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221239" w14:textId="53BAB286" w:rsidR="00597B03" w:rsidRDefault="00597B03">
      <w:pPr>
        <w:tabs>
          <w:tab w:val="clear" w:pos="567"/>
        </w:tabs>
        <w:spacing w:before="0" w:line="240" w:lineRule="auto"/>
        <w:rPr>
          <w:rFonts w:eastAsiaTheme="majorEastAsia" w:cs="Open Sans"/>
          <w:bCs/>
          <w:color w:val="006991"/>
          <w:sz w:val="40"/>
          <w:szCs w:val="40"/>
        </w:rPr>
      </w:pPr>
      <w:bookmarkStart w:id="0" w:name="_Toc143096447"/>
      <w:bookmarkStart w:id="1" w:name="_Toc143096653"/>
      <w:r>
        <w:br w:type="page"/>
      </w:r>
      <w:r w:rsidR="003C1A8E">
        <w:rPr>
          <w:noProof/>
        </w:rPr>
        <w:drawing>
          <wp:anchor distT="0" distB="0" distL="114300" distR="114300" simplePos="0" relativeHeight="251658240" behindDoc="0" locked="0" layoutInCell="1" allowOverlap="1" wp14:anchorId="5AD7C777" wp14:editId="76F80A67">
            <wp:simplePos x="0" y="0"/>
            <wp:positionH relativeFrom="margin">
              <wp:posOffset>0</wp:posOffset>
            </wp:positionH>
            <wp:positionV relativeFrom="paragraph">
              <wp:posOffset>0</wp:posOffset>
            </wp:positionV>
            <wp:extent cx="2519783" cy="474452"/>
            <wp:effectExtent l="0" t="0" r="0" b="190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19783" cy="474452"/>
                    </a:xfrm>
                    <a:prstGeom prst="rect">
                      <a:avLst/>
                    </a:prstGeom>
                    <a:noFill/>
                  </pic:spPr>
                </pic:pic>
              </a:graphicData>
            </a:graphic>
            <wp14:sizeRelH relativeFrom="margin">
              <wp14:pctWidth>0</wp14:pctWidth>
            </wp14:sizeRelH>
            <wp14:sizeRelV relativeFrom="margin">
              <wp14:pctHeight>0</wp14:pctHeight>
            </wp14:sizeRelV>
          </wp:anchor>
        </w:drawing>
      </w:r>
      <w:r w:rsidR="003C1A8E">
        <w:rPr>
          <w:noProof/>
        </w:rPr>
        <mc:AlternateContent>
          <mc:Choice Requires="wps">
            <w:drawing>
              <wp:anchor distT="0" distB="0" distL="114300" distR="114300" simplePos="0" relativeHeight="251658241" behindDoc="0" locked="0" layoutInCell="1" allowOverlap="1" wp14:anchorId="1F262376" wp14:editId="152B2928">
                <wp:simplePos x="0" y="0"/>
                <wp:positionH relativeFrom="margin">
                  <wp:posOffset>271780</wp:posOffset>
                </wp:positionH>
                <wp:positionV relativeFrom="paragraph">
                  <wp:posOffset>1769110</wp:posOffset>
                </wp:positionV>
                <wp:extent cx="4853305" cy="3326765"/>
                <wp:effectExtent l="0" t="0" r="0" b="0"/>
                <wp:wrapNone/>
                <wp:docPr id="36" name="Text Box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53305" cy="3326765"/>
                        </a:xfrm>
                        <a:prstGeom prst="rect">
                          <a:avLst/>
                        </a:prstGeom>
                        <a:noFill/>
                        <a:ln w="6350">
                          <a:noFill/>
                        </a:ln>
                      </wps:spPr>
                      <wps:txbx>
                        <w:txbxContent>
                          <w:p w14:paraId="18AF35AC" w14:textId="77777777" w:rsidR="003C1A8E" w:rsidRPr="00F7761F" w:rsidRDefault="003C1A8E" w:rsidP="003C1A8E">
                            <w:pPr>
                              <w:spacing w:before="0" w:line="240" w:lineRule="auto"/>
                              <w:jc w:val="center"/>
                              <w:rPr>
                                <w:rFonts w:cs="Open Sans Semibold"/>
                                <w:b/>
                                <w:color w:val="FFFFFF"/>
                                <w:sz w:val="72"/>
                                <w:szCs w:val="72"/>
                              </w:rPr>
                            </w:pPr>
                            <w:r w:rsidRPr="00F7761F">
                              <w:rPr>
                                <w:rFonts w:cs="Open Sans Semibold"/>
                                <w:b/>
                                <w:color w:val="FFFFFF"/>
                                <w:sz w:val="72"/>
                                <w:szCs w:val="72"/>
                              </w:rPr>
                              <w:t>GST Revenue</w:t>
                            </w:r>
                          </w:p>
                          <w:p w14:paraId="14AAC11B" w14:textId="77777777" w:rsidR="003C1A8E" w:rsidRPr="00F7761F" w:rsidRDefault="003C1A8E" w:rsidP="003C1A8E">
                            <w:pPr>
                              <w:spacing w:before="0" w:line="240" w:lineRule="auto"/>
                              <w:jc w:val="center"/>
                              <w:rPr>
                                <w:rFonts w:cs="Open Sans Semibold"/>
                                <w:b/>
                                <w:color w:val="FFFFFF"/>
                                <w:sz w:val="72"/>
                                <w:szCs w:val="72"/>
                              </w:rPr>
                            </w:pPr>
                            <w:r w:rsidRPr="00F7761F">
                              <w:rPr>
                                <w:rFonts w:cs="Open Sans Semibold"/>
                                <w:b/>
                                <w:color w:val="FFFFFF"/>
                                <w:sz w:val="72"/>
                                <w:szCs w:val="72"/>
                              </w:rPr>
                              <w:t>Sharing Relativities</w:t>
                            </w:r>
                            <w:r w:rsidRPr="00F7761F">
                              <w:rPr>
                                <w:rFonts w:cs="Open Sans Semibold"/>
                                <w:b/>
                                <w:color w:val="FFFFFF"/>
                                <w:sz w:val="72"/>
                                <w:szCs w:val="72"/>
                              </w:rPr>
                              <w:br/>
                            </w:r>
                          </w:p>
                          <w:p w14:paraId="75BEF66E" w14:textId="078DD88E" w:rsidR="003C1A8E" w:rsidRPr="00F7761F" w:rsidRDefault="003C1A8E" w:rsidP="003C1A8E">
                            <w:pPr>
                              <w:spacing w:before="0" w:line="240" w:lineRule="auto"/>
                              <w:jc w:val="center"/>
                              <w:rPr>
                                <w:rFonts w:cs="Open Sans Semibold"/>
                                <w:b/>
                                <w:color w:val="FFFFFF"/>
                                <w:sz w:val="72"/>
                                <w:szCs w:val="72"/>
                              </w:rPr>
                            </w:pPr>
                            <w:r w:rsidRPr="00F7761F">
                              <w:rPr>
                                <w:rFonts w:cs="Open Sans Semibold"/>
                                <w:b/>
                                <w:color w:val="FFFFFF"/>
                                <w:sz w:val="72"/>
                                <w:szCs w:val="72"/>
                              </w:rPr>
                              <w:t>202</w:t>
                            </w:r>
                            <w:r>
                              <w:rPr>
                                <w:rFonts w:cs="Open Sans Semibold"/>
                                <w:b/>
                                <w:color w:val="FFFFFF"/>
                                <w:sz w:val="72"/>
                                <w:szCs w:val="72"/>
                              </w:rPr>
                              <w:t>4</w:t>
                            </w:r>
                            <w:r w:rsidRPr="00F7761F">
                              <w:rPr>
                                <w:rFonts w:cs="Open Sans Semibold"/>
                                <w:b/>
                                <w:color w:val="FFFFFF"/>
                                <w:sz w:val="72"/>
                                <w:szCs w:val="72"/>
                              </w:rPr>
                              <w:t xml:space="preserve"> Update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F262376" id="_x0000_t202" coordsize="21600,21600" o:spt="202" path="m,l,21600r21600,l21600,xe">
                <v:stroke joinstyle="miter"/>
                <v:path gradientshapeok="t" o:connecttype="rect"/>
              </v:shapetype>
              <v:shape id="Text Box 36" o:spid="_x0000_s1026" type="#_x0000_t202" alt="&quot;&quot;" style="position:absolute;margin-left:21.4pt;margin-top:139.3pt;width:382.15pt;height:261.95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" filled="f" stroked="f" strokeweight=".5pt">
                <v:textbox>
                  <w:txbxContent>
                    <w:p w14:paraId="18AF35AC" w14:textId="77777777" w:rsidR="003C1A8E" w:rsidRPr="00F7761F" w:rsidRDefault="003C1A8E" w:rsidP="003C1A8E">
                      <w:pPr>
                        <w:spacing w:before="0" w:line="240" w:lineRule="auto"/>
                        <w:jc w:val="center"/>
                        <w:rPr>
                          <w:rFonts w:cs="Open Sans Semibold"/>
                          <w:b/>
                          <w:color w:val="FFFFFF"/>
                          <w:sz w:val="72"/>
                          <w:szCs w:val="72"/>
                        </w:rPr>
                      </w:pPr>
                      <w:r w:rsidRPr="00F7761F">
                        <w:rPr>
                          <w:rFonts w:cs="Open Sans Semibold"/>
                          <w:b/>
                          <w:color w:val="FFFFFF"/>
                          <w:sz w:val="72"/>
                          <w:szCs w:val="72"/>
                        </w:rPr>
                        <w:t>GST Revenue</w:t>
                      </w:r>
                    </w:p>
                    <w:p w14:paraId="14AAC11B" w14:textId="77777777" w:rsidR="003C1A8E" w:rsidRPr="00F7761F" w:rsidRDefault="003C1A8E" w:rsidP="003C1A8E">
                      <w:pPr>
                        <w:spacing w:before="0" w:line="240" w:lineRule="auto"/>
                        <w:jc w:val="center"/>
                        <w:rPr>
                          <w:rFonts w:cs="Open Sans Semibold"/>
                          <w:b/>
                          <w:color w:val="FFFFFF"/>
                          <w:sz w:val="72"/>
                          <w:szCs w:val="72"/>
                        </w:rPr>
                      </w:pPr>
                      <w:r w:rsidRPr="00F7761F">
                        <w:rPr>
                          <w:rFonts w:cs="Open Sans Semibold"/>
                          <w:b/>
                          <w:color w:val="FFFFFF"/>
                          <w:sz w:val="72"/>
                          <w:szCs w:val="72"/>
                        </w:rPr>
                        <w:t>Sharing Relativities</w:t>
                      </w:r>
                      <w:r w:rsidRPr="00F7761F">
                        <w:rPr>
                          <w:rFonts w:cs="Open Sans Semibold"/>
                          <w:b/>
                          <w:color w:val="FFFFFF"/>
                          <w:sz w:val="72"/>
                          <w:szCs w:val="72"/>
                        </w:rPr>
                        <w:br/>
                      </w:r>
                    </w:p>
                    <w:p w14:paraId="75BEF66E" w14:textId="078DD88E" w:rsidR="003C1A8E" w:rsidRPr="00F7761F" w:rsidRDefault="003C1A8E" w:rsidP="003C1A8E">
                      <w:pPr>
                        <w:spacing w:before="0" w:line="240" w:lineRule="auto"/>
                        <w:jc w:val="center"/>
                        <w:rPr>
                          <w:rFonts w:cs="Open Sans Semibold"/>
                          <w:b/>
                          <w:color w:val="FFFFFF"/>
                          <w:sz w:val="72"/>
                          <w:szCs w:val="72"/>
                        </w:rPr>
                      </w:pPr>
                      <w:r w:rsidRPr="00F7761F">
                        <w:rPr>
                          <w:rFonts w:cs="Open Sans Semibold"/>
                          <w:b/>
                          <w:color w:val="FFFFFF"/>
                          <w:sz w:val="72"/>
                          <w:szCs w:val="72"/>
                        </w:rPr>
                        <w:t>202</w:t>
                      </w:r>
                      <w:r>
                        <w:rPr>
                          <w:rFonts w:cs="Open Sans Semibold"/>
                          <w:b/>
                          <w:color w:val="FFFFFF"/>
                          <w:sz w:val="72"/>
                          <w:szCs w:val="72"/>
                        </w:rPr>
                        <w:t>4</w:t>
                      </w:r>
                      <w:r w:rsidRPr="00F7761F">
                        <w:rPr>
                          <w:rFonts w:cs="Open Sans Semibold"/>
                          <w:b/>
                          <w:color w:val="FFFFFF"/>
                          <w:sz w:val="72"/>
                          <w:szCs w:val="72"/>
                        </w:rPr>
                        <w:t xml:space="preserve"> Update</w:t>
                      </w:r>
                    </w:p>
                  </w:txbxContent>
                </v:textbox>
                <w10:wrap anchorx="margin"/>
              </v:shape>
            </w:pict>
          </mc:Fallback>
        </mc:AlternateContent>
      </w:r>
      <w:r w:rsidR="003C1A8E">
        <w:rPr>
          <w:noProof/>
        </w:rPr>
        <mc:AlternateContent>
          <mc:Choice Requires="wps">
            <w:drawing>
              <wp:anchor distT="0" distB="0" distL="114300" distR="114300" simplePos="0" relativeHeight="251658242" behindDoc="0" locked="0" layoutInCell="1" allowOverlap="1" wp14:anchorId="33D69B5B" wp14:editId="4B12B1E6">
                <wp:simplePos x="0" y="0"/>
                <wp:positionH relativeFrom="margin">
                  <wp:posOffset>151130</wp:posOffset>
                </wp:positionH>
                <wp:positionV relativeFrom="paragraph">
                  <wp:posOffset>5172710</wp:posOffset>
                </wp:positionV>
                <wp:extent cx="5444490" cy="1685925"/>
                <wp:effectExtent l="0" t="0" r="0" b="0"/>
                <wp:wrapNone/>
                <wp:docPr id="37" name="Text Box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44490" cy="1685925"/>
                        </a:xfrm>
                        <a:prstGeom prst="rect">
                          <a:avLst/>
                        </a:prstGeom>
                        <a:noFill/>
                        <a:ln w="6350">
                          <a:noFill/>
                        </a:ln>
                      </wps:spPr>
                      <wps:txbx>
                        <w:txbxContent>
                          <w:p w14:paraId="4EC6C31B" w14:textId="29E4AE7F" w:rsidR="003C1A8E" w:rsidRPr="00F7761F" w:rsidRDefault="003C1A8E" w:rsidP="003C1A8E">
                            <w:pPr>
                              <w:spacing w:before="0" w:line="240" w:lineRule="auto"/>
                              <w:jc w:val="center"/>
                              <w:rPr>
                                <w:rFonts w:cs="Open Sans Semibold"/>
                                <w:bCs/>
                                <w:color w:val="FFFFFF"/>
                                <w:sz w:val="56"/>
                                <w:szCs w:val="56"/>
                              </w:rPr>
                            </w:pPr>
                            <w:r w:rsidRPr="00F7761F">
                              <w:rPr>
                                <w:rFonts w:cs="Open Sans Semibold"/>
                                <w:bCs/>
                                <w:color w:val="FFFFFF"/>
                                <w:sz w:val="56"/>
                                <w:szCs w:val="56"/>
                              </w:rPr>
                              <w:t xml:space="preserve">GST </w:t>
                            </w:r>
                            <w:r>
                              <w:rPr>
                                <w:rFonts w:cs="Open Sans Semibold"/>
                                <w:bCs/>
                                <w:color w:val="FFFFFF"/>
                                <w:sz w:val="56"/>
                                <w:szCs w:val="56"/>
                              </w:rPr>
                              <w:t>R</w:t>
                            </w:r>
                            <w:r w:rsidRPr="00F7761F">
                              <w:rPr>
                                <w:rFonts w:cs="Open Sans Semibold"/>
                                <w:bCs/>
                                <w:color w:val="FFFFFF"/>
                                <w:sz w:val="56"/>
                                <w:szCs w:val="56"/>
                              </w:rPr>
                              <w:t>elativities for 202</w:t>
                            </w:r>
                            <w:r>
                              <w:rPr>
                                <w:rFonts w:cs="Open Sans Semibold"/>
                                <w:bCs/>
                                <w:color w:val="FFFFFF"/>
                                <w:sz w:val="56"/>
                                <w:szCs w:val="56"/>
                              </w:rPr>
                              <w:t>4–</w:t>
                            </w:r>
                            <w:r w:rsidRPr="00F7761F">
                              <w:rPr>
                                <w:rFonts w:cs="Open Sans Semibold"/>
                                <w:bCs/>
                                <w:color w:val="FFFFFF"/>
                                <w:sz w:val="56"/>
                                <w:szCs w:val="56"/>
                              </w:rPr>
                              <w:t>2</w:t>
                            </w:r>
                            <w:r>
                              <w:rPr>
                                <w:rFonts w:cs="Open Sans Semibold"/>
                                <w:bCs/>
                                <w:color w:val="FFFFFF"/>
                                <w:sz w:val="56"/>
                                <w:szCs w:val="56"/>
                              </w:rPr>
                              <w:t>5</w:t>
                            </w:r>
                          </w:p>
                          <w:p w14:paraId="3A37C7AA" w14:textId="77777777" w:rsidR="003C1A8E" w:rsidRPr="006C19B1" w:rsidRDefault="003C1A8E" w:rsidP="003C1A8E">
                            <w:pPr>
                              <w:spacing w:before="0" w:line="240" w:lineRule="auto"/>
                              <w:jc w:val="center"/>
                              <w:rPr>
                                <w:rFonts w:cs="Open Sans Semibold"/>
                                <w:bCs/>
                                <w:color w:val="FFFFFF"/>
                                <w:sz w:val="32"/>
                                <w:szCs w:val="32"/>
                              </w:rPr>
                            </w:pPr>
                          </w:p>
                          <w:p w14:paraId="08F38AF8" w14:textId="3C778042" w:rsidR="003C1A8E" w:rsidRPr="006C19B1" w:rsidRDefault="003C1A8E" w:rsidP="003C1A8E">
                            <w:pPr>
                              <w:spacing w:before="0" w:line="240" w:lineRule="auto"/>
                              <w:jc w:val="center"/>
                              <w:rPr>
                                <w:rFonts w:cs="Open Sans Semibold"/>
                                <w:bCs/>
                                <w:color w:val="FFFFFF"/>
                                <w:sz w:val="32"/>
                                <w:szCs w:val="32"/>
                              </w:rPr>
                            </w:pPr>
                            <w:r w:rsidRPr="006C19B1">
                              <w:rPr>
                                <w:rFonts w:cs="Open Sans Semibold"/>
                                <w:bCs/>
                                <w:color w:val="FFFFFF"/>
                                <w:sz w:val="32"/>
                                <w:szCs w:val="32"/>
                              </w:rPr>
                              <w:t>March 202</w:t>
                            </w:r>
                            <w:r>
                              <w:rPr>
                                <w:rFonts w:cs="Open Sans Semibold"/>
                                <w:bCs/>
                                <w:color w:val="FFFFFF"/>
                                <w:sz w:val="32"/>
                                <w:szCs w:val="32"/>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69B5B" id="Text Box 37" o:spid="_x0000_s1027" type="#_x0000_t202" alt="&quot;&quot;" style="position:absolute;margin-left:11.9pt;margin-top:407.3pt;width:428.7pt;height:132.7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" filled="f" stroked="f" strokeweight=".5pt">
                <v:textbox>
                  <w:txbxContent>
                    <w:p w14:paraId="4EC6C31B" w14:textId="29E4AE7F" w:rsidR="003C1A8E" w:rsidRPr="00F7761F" w:rsidRDefault="003C1A8E" w:rsidP="003C1A8E">
                      <w:pPr>
                        <w:spacing w:before="0" w:line="240" w:lineRule="auto"/>
                        <w:jc w:val="center"/>
                        <w:rPr>
                          <w:rFonts w:cs="Open Sans Semibold"/>
                          <w:bCs/>
                          <w:color w:val="FFFFFF"/>
                          <w:sz w:val="56"/>
                          <w:szCs w:val="56"/>
                        </w:rPr>
                      </w:pPr>
                      <w:r w:rsidRPr="00F7761F">
                        <w:rPr>
                          <w:rFonts w:cs="Open Sans Semibold"/>
                          <w:bCs/>
                          <w:color w:val="FFFFFF"/>
                          <w:sz w:val="56"/>
                          <w:szCs w:val="56"/>
                        </w:rPr>
                        <w:t xml:space="preserve">GST </w:t>
                      </w:r>
                      <w:r>
                        <w:rPr>
                          <w:rFonts w:cs="Open Sans Semibold"/>
                          <w:bCs/>
                          <w:color w:val="FFFFFF"/>
                          <w:sz w:val="56"/>
                          <w:szCs w:val="56"/>
                        </w:rPr>
                        <w:t>R</w:t>
                      </w:r>
                      <w:r w:rsidRPr="00F7761F">
                        <w:rPr>
                          <w:rFonts w:cs="Open Sans Semibold"/>
                          <w:bCs/>
                          <w:color w:val="FFFFFF"/>
                          <w:sz w:val="56"/>
                          <w:szCs w:val="56"/>
                        </w:rPr>
                        <w:t>elativities for 202</w:t>
                      </w:r>
                      <w:r>
                        <w:rPr>
                          <w:rFonts w:cs="Open Sans Semibold"/>
                          <w:bCs/>
                          <w:color w:val="FFFFFF"/>
                          <w:sz w:val="56"/>
                          <w:szCs w:val="56"/>
                        </w:rPr>
                        <w:t>4–</w:t>
                      </w:r>
                      <w:r w:rsidRPr="00F7761F">
                        <w:rPr>
                          <w:rFonts w:cs="Open Sans Semibold"/>
                          <w:bCs/>
                          <w:color w:val="FFFFFF"/>
                          <w:sz w:val="56"/>
                          <w:szCs w:val="56"/>
                        </w:rPr>
                        <w:t>2</w:t>
                      </w:r>
                      <w:r>
                        <w:rPr>
                          <w:rFonts w:cs="Open Sans Semibold"/>
                          <w:bCs/>
                          <w:color w:val="FFFFFF"/>
                          <w:sz w:val="56"/>
                          <w:szCs w:val="56"/>
                        </w:rPr>
                        <w:t>5</w:t>
                      </w:r>
                    </w:p>
                    <w:p w14:paraId="3A37C7AA" w14:textId="77777777" w:rsidR="003C1A8E" w:rsidRPr="006C19B1" w:rsidRDefault="003C1A8E" w:rsidP="003C1A8E">
                      <w:pPr>
                        <w:spacing w:before="0" w:line="240" w:lineRule="auto"/>
                        <w:jc w:val="center"/>
                        <w:rPr>
                          <w:rFonts w:cs="Open Sans Semibold"/>
                          <w:bCs/>
                          <w:color w:val="FFFFFF"/>
                          <w:sz w:val="32"/>
                          <w:szCs w:val="32"/>
                        </w:rPr>
                      </w:pPr>
                    </w:p>
                    <w:p w14:paraId="08F38AF8" w14:textId="3C778042" w:rsidR="003C1A8E" w:rsidRPr="006C19B1" w:rsidRDefault="003C1A8E" w:rsidP="003C1A8E">
                      <w:pPr>
                        <w:spacing w:before="0" w:line="240" w:lineRule="auto"/>
                        <w:jc w:val="center"/>
                        <w:rPr>
                          <w:rFonts w:cs="Open Sans Semibold"/>
                          <w:bCs/>
                          <w:color w:val="FFFFFF"/>
                          <w:sz w:val="32"/>
                          <w:szCs w:val="32"/>
                        </w:rPr>
                      </w:pPr>
                      <w:r w:rsidRPr="006C19B1">
                        <w:rPr>
                          <w:rFonts w:cs="Open Sans Semibold"/>
                          <w:bCs/>
                          <w:color w:val="FFFFFF"/>
                          <w:sz w:val="32"/>
                          <w:szCs w:val="32"/>
                        </w:rPr>
                        <w:t>March 202</w:t>
                      </w:r>
                      <w:r>
                        <w:rPr>
                          <w:rFonts w:cs="Open Sans Semibold"/>
                          <w:bCs/>
                          <w:color w:val="FFFFFF"/>
                          <w:sz w:val="32"/>
                          <w:szCs w:val="32"/>
                        </w:rPr>
                        <w:t>4</w:t>
                      </w:r>
                    </w:p>
                  </w:txbxContent>
                </v:textbox>
                <w10:wrap anchorx="margin"/>
              </v:shape>
            </w:pict>
          </mc:Fallback>
        </mc:AlternateContent>
      </w:r>
    </w:p>
    <w:p w14:paraId="013593CD" w14:textId="613328A1" w:rsidR="00C54A0C" w:rsidRPr="00974BF0" w:rsidRDefault="00BB4358" w:rsidP="00C54A0C">
      <w:r>
        <w:rPr>
          <w:noProof/>
        </w:rPr>
        <w:lastRenderedPageBreak/>
        <mc:AlternateContent>
          <mc:Choice Requires="wps">
            <w:drawing>
              <wp:anchor distT="0" distB="0" distL="114300" distR="114300" simplePos="0" relativeHeight="251658243" behindDoc="1" locked="0" layoutInCell="1" allowOverlap="1" wp14:anchorId="02AA846E" wp14:editId="53C03B2D">
                <wp:simplePos x="0" y="0"/>
                <wp:positionH relativeFrom="margin">
                  <wp:align>left</wp:align>
                </wp:positionH>
                <wp:positionV relativeFrom="paragraph">
                  <wp:posOffset>-77470</wp:posOffset>
                </wp:positionV>
                <wp:extent cx="5758180" cy="1343025"/>
                <wp:effectExtent l="0" t="0" r="0" b="9525"/>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8180" cy="1343025"/>
                        </a:xfrm>
                        <a:prstGeom prst="rect">
                          <a:avLst/>
                        </a:prstGeom>
                        <a:solidFill>
                          <a:srgbClr val="E5F8FF"/>
                        </a:solidFill>
                        <a:ln>
                          <a:noFill/>
                        </a:ln>
                      </wps:spPr>
                      <wps:txbx>
                        <w:txbxContent>
                          <w:p w14:paraId="550EA7DC" w14:textId="77777777" w:rsidR="00BB4358" w:rsidRPr="00707B3A" w:rsidRDefault="00BB4358" w:rsidP="00A777EC">
                            <w:pPr>
                              <w:pStyle w:val="Heading2"/>
                            </w:pPr>
                            <w:bookmarkStart w:id="2" w:name="_Toc159675656"/>
                            <w:bookmarkStart w:id="3" w:name="_Toc159675963"/>
                            <w:bookmarkStart w:id="4" w:name="_Toc159676030"/>
                            <w:r>
                              <w:t>Acknowledgement of Country</w:t>
                            </w:r>
                            <w:bookmarkEnd w:id="2"/>
                            <w:bookmarkEnd w:id="3"/>
                            <w:bookmarkEnd w:id="4"/>
                          </w:p>
                          <w:p w14:paraId="2E4A8ED2" w14:textId="77777777" w:rsidR="00BB4358" w:rsidRPr="00A777EC" w:rsidRDefault="00BB4358" w:rsidP="00A777EC">
                            <w:r w:rsidRPr="00A777EC">
                              <w:t xml:space="preserve">The Commonwealth Grants Commission acknowledges the Traditional Owners of Country throughout Australia, and their continuing connection to land, </w:t>
                            </w:r>
                            <w:proofErr w:type="gramStart"/>
                            <w:r w:rsidRPr="00A777EC">
                              <w:t>water</w:t>
                            </w:r>
                            <w:proofErr w:type="gramEnd"/>
                            <w:r w:rsidRPr="00A777EC">
                              <w:t xml:space="preserve"> and community. We pay our respects to them and their cultures and to Elders both past and present.</w:t>
                            </w:r>
                          </w:p>
                          <w:p w14:paraId="7D55D757" w14:textId="77777777" w:rsidR="00BB4358" w:rsidRPr="00F579A2" w:rsidRDefault="00BB4358" w:rsidP="00BB4358">
                            <w:pPr>
                              <w:spacing w:line="252" w:lineRule="auto"/>
                              <w:rPr>
                                <w:lang w:bidi="hi-IN"/>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2AA846E" id="Rectangle 23" o:spid="_x0000_s1028" style="position:absolute;margin-left:0;margin-top:-6.1pt;width:453.4pt;height:105.75pt;z-index:-25165823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" fillcolor="#e5f8ff" stroked="f">
                <v:textbox>
                  <w:txbxContent>
                    <w:p w14:paraId="550EA7DC" w14:textId="77777777" w:rsidR="00BB4358" w:rsidRPr="00707B3A" w:rsidRDefault="00BB4358" w:rsidP="00A777EC">
                      <w:pPr>
                        <w:pStyle w:val="Heading2"/>
                      </w:pPr>
                      <w:bookmarkStart w:id="5" w:name="_Toc159675656"/>
                      <w:bookmarkStart w:id="6" w:name="_Toc159675963"/>
                      <w:bookmarkStart w:id="7" w:name="_Toc159676030"/>
                      <w:r>
                        <w:t>Acknowledgement of Country</w:t>
                      </w:r>
                      <w:bookmarkEnd w:id="5"/>
                      <w:bookmarkEnd w:id="6"/>
                      <w:bookmarkEnd w:id="7"/>
                    </w:p>
                    <w:p w14:paraId="2E4A8ED2" w14:textId="77777777" w:rsidR="00BB4358" w:rsidRPr="00A777EC" w:rsidRDefault="00BB4358" w:rsidP="00A777EC">
                      <w:r w:rsidRPr="00A777EC">
                        <w:t xml:space="preserve">The Commonwealth Grants Commission acknowledges the Traditional Owners of Country throughout Australia, and their continuing connection to land, </w:t>
                      </w:r>
                      <w:proofErr w:type="gramStart"/>
                      <w:r w:rsidRPr="00A777EC">
                        <w:t>water</w:t>
                      </w:r>
                      <w:proofErr w:type="gramEnd"/>
                      <w:r w:rsidRPr="00A777EC">
                        <w:t xml:space="preserve"> and community. We pay our respects to them and their cultures and to Elders both past and present.</w:t>
                      </w:r>
                    </w:p>
                    <w:p w14:paraId="7D55D757" w14:textId="77777777" w:rsidR="00BB4358" w:rsidRPr="00F579A2" w:rsidRDefault="00BB4358" w:rsidP="00BB4358">
                      <w:pPr>
                        <w:spacing w:line="252" w:lineRule="auto"/>
                        <w:rPr>
                          <w:lang w:bidi="hi-IN"/>
                        </w:rPr>
                      </w:pPr>
                    </w:p>
                  </w:txbxContent>
                </v:textbox>
                <w10:wrap anchorx="margin"/>
              </v:rect>
            </w:pict>
          </mc:Fallback>
        </mc:AlternateContent>
      </w:r>
    </w:p>
    <w:p w14:paraId="7F73CF93" w14:textId="77777777" w:rsidR="00C54A0C" w:rsidRPr="00974BF0" w:rsidRDefault="00C54A0C" w:rsidP="00C54A0C"/>
    <w:p w14:paraId="18EF2BC6" w14:textId="77777777" w:rsidR="00C54A0C" w:rsidRPr="00974BF0" w:rsidRDefault="00C54A0C" w:rsidP="00C54A0C"/>
    <w:p w14:paraId="2A6F0334" w14:textId="77777777" w:rsidR="00C54A0C" w:rsidRPr="00974BF0" w:rsidRDefault="00C54A0C" w:rsidP="00C54A0C"/>
    <w:p w14:paraId="7FDAA52C" w14:textId="77777777" w:rsidR="00C54A0C" w:rsidRPr="00974BF0" w:rsidRDefault="00C54A0C" w:rsidP="00C54A0C"/>
    <w:p w14:paraId="01FF8D89" w14:textId="77777777" w:rsidR="00C54A0C" w:rsidRDefault="00C54A0C" w:rsidP="00C54A0C"/>
    <w:p w14:paraId="43E580AF" w14:textId="77777777" w:rsidR="00C54A0C" w:rsidRPr="00547B42" w:rsidRDefault="00C54A0C" w:rsidP="00C54A0C"/>
    <w:p w14:paraId="56869117" w14:textId="77777777" w:rsidR="00C54A0C" w:rsidRDefault="00C54A0C" w:rsidP="00C54A0C"/>
    <w:p w14:paraId="03791632" w14:textId="77777777" w:rsidR="00C54A0C" w:rsidRDefault="00C54A0C" w:rsidP="00C54A0C"/>
    <w:p w14:paraId="575532C9" w14:textId="77777777" w:rsidR="00C54A0C" w:rsidRDefault="00C54A0C" w:rsidP="00C54A0C"/>
    <w:p w14:paraId="7A8A32D1" w14:textId="77777777" w:rsidR="00C54A0C" w:rsidRDefault="00C54A0C" w:rsidP="00C54A0C"/>
    <w:p w14:paraId="22CC680D" w14:textId="77777777" w:rsidR="00C54A0C" w:rsidRPr="00547B42" w:rsidRDefault="00C54A0C" w:rsidP="00C54A0C"/>
    <w:p w14:paraId="16C07266" w14:textId="77777777" w:rsidR="00C54A0C" w:rsidRPr="00F728BA" w:rsidRDefault="00C54A0C" w:rsidP="00C54A0C">
      <w:pPr>
        <w:pStyle w:val="Heading3"/>
      </w:pPr>
      <w:bookmarkStart w:id="5" w:name="_Toc127802137"/>
      <w:bookmarkStart w:id="6" w:name="_Toc127804759"/>
      <w:r w:rsidRPr="00BC2612">
        <w:t>Copyright</w:t>
      </w:r>
      <w:bookmarkEnd w:id="5"/>
      <w:bookmarkEnd w:id="6"/>
    </w:p>
    <w:p w14:paraId="6FF164F4" w14:textId="44A4E3B6" w:rsidR="00C54A0C" w:rsidRPr="00B12B63" w:rsidRDefault="00C54A0C" w:rsidP="003A4669">
      <w:pPr>
        <w:spacing w:before="0" w:line="252" w:lineRule="auto"/>
      </w:pPr>
      <w:r w:rsidRPr="0002762D">
        <w:t>© Commonwealth of Australia 202</w:t>
      </w:r>
      <w:r w:rsidR="00037D37">
        <w:t>4</w:t>
      </w:r>
      <w:r w:rsidRPr="0002762D">
        <w:t xml:space="preserve"> ISBN: </w:t>
      </w:r>
      <w:r w:rsidR="00D97789" w:rsidRPr="0002762D">
        <w:t>978-0-6485912-5-2</w:t>
      </w:r>
    </w:p>
    <w:p w14:paraId="1ABAE3CC" w14:textId="77777777" w:rsidR="00C54A0C" w:rsidRPr="00B12B63" w:rsidRDefault="00C54A0C" w:rsidP="003A4669">
      <w:pPr>
        <w:spacing w:before="0" w:line="252" w:lineRule="auto"/>
      </w:pPr>
    </w:p>
    <w:p w14:paraId="0EC1C608" w14:textId="77777777" w:rsidR="00C54A0C" w:rsidRPr="00B12B63" w:rsidRDefault="00C54A0C" w:rsidP="003A4669">
      <w:pPr>
        <w:spacing w:before="0" w:line="252" w:lineRule="auto"/>
      </w:pPr>
      <w:proofErr w:type="gramStart"/>
      <w:r w:rsidRPr="00B12B63">
        <w:t>With the exception of</w:t>
      </w:r>
      <w:proofErr w:type="gramEnd"/>
      <w:r w:rsidRPr="00B12B63">
        <w:t xml:space="preserve"> the Commonwealth Coat of Arms, all material presented in this document is provided under </w:t>
      </w:r>
      <w:hyperlink r:id="rId12" w:history="1">
        <w:r w:rsidRPr="00B12B63">
          <w:rPr>
            <w:rStyle w:val="Hyperlink"/>
          </w:rPr>
          <w:t>Creative Commons Attribution 4.0</w:t>
        </w:r>
      </w:hyperlink>
      <w:r w:rsidRPr="00B12B63">
        <w:t xml:space="preserve"> (https://creativecommons.org/licenses/by/4.0/) licence. The details of the relevant licence conditions are available on the Creative Commons website as is the full legal code for </w:t>
      </w:r>
      <w:hyperlink r:id="rId13" w:history="1">
        <w:r w:rsidRPr="00B12B63">
          <w:rPr>
            <w:rStyle w:val="Hyperlink"/>
          </w:rPr>
          <w:t>CC BY 4.0 International</w:t>
        </w:r>
      </w:hyperlink>
      <w:r w:rsidRPr="00B12B63">
        <w:t xml:space="preserve"> (https://creativecommons.org/licenses/by/4.0/legalcode). </w:t>
      </w:r>
    </w:p>
    <w:p w14:paraId="3AD6C7DF" w14:textId="77777777" w:rsidR="00C54A0C" w:rsidRPr="00B12B63" w:rsidRDefault="00C54A0C" w:rsidP="003A4669">
      <w:pPr>
        <w:spacing w:before="0" w:line="252" w:lineRule="auto"/>
      </w:pPr>
    </w:p>
    <w:p w14:paraId="5CBE7ADF" w14:textId="77777777" w:rsidR="00C54A0C" w:rsidRPr="00B12B63" w:rsidRDefault="00C54A0C" w:rsidP="003A4669">
      <w:pPr>
        <w:spacing w:before="0" w:line="252" w:lineRule="auto"/>
      </w:pPr>
      <w:r w:rsidRPr="00B12B63">
        <w:rPr>
          <w:noProof/>
        </w:rPr>
        <w:drawing>
          <wp:inline distT="0" distB="0" distL="0" distR="0" wp14:anchorId="6EEA2863" wp14:editId="281C4CC9">
            <wp:extent cx="819785" cy="284480"/>
            <wp:effectExtent l="0" t="0" r="0" b="0"/>
            <wp:docPr id="11" name="Picture 11" descr="Creative Commons - Attrib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 Attributio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19785" cy="284480"/>
                    </a:xfrm>
                    <a:prstGeom prst="rect">
                      <a:avLst/>
                    </a:prstGeom>
                    <a:noFill/>
                    <a:ln>
                      <a:noFill/>
                    </a:ln>
                  </pic:spPr>
                </pic:pic>
              </a:graphicData>
            </a:graphic>
          </wp:inline>
        </w:drawing>
      </w:r>
    </w:p>
    <w:p w14:paraId="127C9415" w14:textId="77777777" w:rsidR="00C54A0C" w:rsidRPr="00B12B63" w:rsidRDefault="00C54A0C" w:rsidP="005866BC">
      <w:pPr>
        <w:spacing w:before="0" w:line="252" w:lineRule="auto"/>
      </w:pPr>
    </w:p>
    <w:p w14:paraId="50499FA7" w14:textId="77777777" w:rsidR="00C54A0C" w:rsidRPr="00707B3A" w:rsidRDefault="00C54A0C" w:rsidP="005866BC">
      <w:pPr>
        <w:pStyle w:val="Heading3"/>
        <w:spacing w:before="0" w:after="0"/>
      </w:pPr>
      <w:bookmarkStart w:id="7" w:name="_Toc127802138"/>
      <w:bookmarkStart w:id="8" w:name="_Toc127804760"/>
      <w:r w:rsidRPr="00707B3A">
        <w:t>Use of the Coat of Arms</w:t>
      </w:r>
      <w:bookmarkEnd w:id="7"/>
      <w:bookmarkEnd w:id="8"/>
    </w:p>
    <w:p w14:paraId="337EA216" w14:textId="77777777" w:rsidR="00C54A0C" w:rsidRPr="003A4669" w:rsidRDefault="00C54A0C" w:rsidP="003A4669">
      <w:r w:rsidRPr="003A4669">
        <w:t xml:space="preserve">The terms under which the Coat of Arms can be used are detailed on the </w:t>
      </w:r>
      <w:hyperlink r:id="rId15" w:history="1">
        <w:r w:rsidRPr="003A4669">
          <w:rPr>
            <w:rStyle w:val="Hyperlink"/>
          </w:rPr>
          <w:t>It’s an Honour website</w:t>
        </w:r>
      </w:hyperlink>
      <w:r w:rsidRPr="003A4669">
        <w:t xml:space="preserve"> (</w:t>
      </w:r>
      <w:hyperlink r:id="rId16" w:history="1">
        <w:r w:rsidRPr="003A4669">
          <w:rPr>
            <w:rStyle w:val="Hyperlink"/>
          </w:rPr>
          <w:t>https://www.pmc.gov.au/government/commonwealth-coat-arms</w:t>
        </w:r>
      </w:hyperlink>
      <w:r w:rsidRPr="003A4669">
        <w:t xml:space="preserve">). </w:t>
      </w:r>
    </w:p>
    <w:p w14:paraId="1C1CE65C" w14:textId="77777777" w:rsidR="00C54A0C" w:rsidRPr="003A4669" w:rsidRDefault="00C54A0C" w:rsidP="003A4669"/>
    <w:p w14:paraId="1BBE0C06" w14:textId="77777777" w:rsidR="00C54A0C" w:rsidRPr="00707B3A" w:rsidRDefault="00C54A0C" w:rsidP="00C54A0C">
      <w:pPr>
        <w:pStyle w:val="Heading3"/>
      </w:pPr>
      <w:bookmarkStart w:id="9" w:name="_Toc127802139"/>
      <w:bookmarkStart w:id="10" w:name="_Toc127804761"/>
      <w:r w:rsidRPr="00707B3A">
        <w:t>Attribution</w:t>
      </w:r>
      <w:bookmarkEnd w:id="9"/>
      <w:bookmarkEnd w:id="10"/>
    </w:p>
    <w:p w14:paraId="64E00949" w14:textId="74C24CA4" w:rsidR="00C54A0C" w:rsidRPr="003A4669" w:rsidRDefault="00C54A0C" w:rsidP="000D68B2">
      <w:pPr>
        <w:spacing w:before="0" w:line="252" w:lineRule="auto"/>
      </w:pPr>
      <w:r w:rsidRPr="003A4669">
        <w:t xml:space="preserve">The recommended attribution for this document is Commonwealth Grants Commission, </w:t>
      </w:r>
      <w:r w:rsidRPr="00E34BFE">
        <w:rPr>
          <w:i/>
          <w:iCs/>
        </w:rPr>
        <w:t>GST Revenue Sharing Relativities 202</w:t>
      </w:r>
      <w:r w:rsidR="0079422B" w:rsidRPr="00E34BFE">
        <w:rPr>
          <w:i/>
          <w:iCs/>
        </w:rPr>
        <w:t>4</w:t>
      </w:r>
      <w:r w:rsidRPr="00E34BFE">
        <w:rPr>
          <w:i/>
          <w:iCs/>
        </w:rPr>
        <w:t> Update</w:t>
      </w:r>
      <w:r w:rsidRPr="003A4669">
        <w:t>.</w:t>
      </w:r>
    </w:p>
    <w:p w14:paraId="01D11DD3" w14:textId="77777777" w:rsidR="00C54A0C" w:rsidRPr="003A4669" w:rsidRDefault="00C54A0C" w:rsidP="000D68B2">
      <w:pPr>
        <w:spacing w:before="0" w:line="252" w:lineRule="auto"/>
      </w:pPr>
    </w:p>
    <w:p w14:paraId="4E71D522" w14:textId="77777777" w:rsidR="00C54A0C" w:rsidRPr="00707B3A" w:rsidRDefault="00C54A0C" w:rsidP="00C54A0C">
      <w:pPr>
        <w:pStyle w:val="Heading3"/>
      </w:pPr>
      <w:bookmarkStart w:id="11" w:name="_Toc127802140"/>
      <w:bookmarkStart w:id="12" w:name="_Toc127804762"/>
      <w:r w:rsidRPr="00707B3A">
        <w:t xml:space="preserve">Contact </w:t>
      </w:r>
      <w:proofErr w:type="gramStart"/>
      <w:r w:rsidRPr="00707B3A">
        <w:t>us</w:t>
      </w:r>
      <w:bookmarkEnd w:id="11"/>
      <w:bookmarkEnd w:id="12"/>
      <w:proofErr w:type="gramEnd"/>
    </w:p>
    <w:p w14:paraId="000A5D03" w14:textId="77777777" w:rsidR="00C54A0C" w:rsidRPr="003A4669" w:rsidRDefault="00C54A0C" w:rsidP="000D68B2">
      <w:pPr>
        <w:spacing w:before="0" w:line="252" w:lineRule="auto"/>
      </w:pPr>
      <w:r w:rsidRPr="003A4669">
        <w:t>Inquiries regarding the licence and any use of this document should be directed to:</w:t>
      </w:r>
    </w:p>
    <w:p w14:paraId="289EF689" w14:textId="77777777" w:rsidR="00C54A0C" w:rsidRPr="003A4669" w:rsidRDefault="00C54A0C" w:rsidP="000D68B2">
      <w:pPr>
        <w:spacing w:before="0" w:line="252" w:lineRule="auto"/>
      </w:pPr>
    </w:p>
    <w:p w14:paraId="7564B352" w14:textId="77777777" w:rsidR="00C54A0C" w:rsidRPr="003A4669" w:rsidRDefault="00C54A0C" w:rsidP="000D68B2">
      <w:pPr>
        <w:spacing w:before="0" w:line="252" w:lineRule="auto"/>
      </w:pPr>
      <w:r w:rsidRPr="003A4669">
        <w:t>Secretary</w:t>
      </w:r>
    </w:p>
    <w:p w14:paraId="33403831" w14:textId="77777777" w:rsidR="00C54A0C" w:rsidRPr="003A4669" w:rsidRDefault="00C54A0C" w:rsidP="000D68B2">
      <w:pPr>
        <w:spacing w:before="0" w:line="252" w:lineRule="auto"/>
      </w:pPr>
      <w:r w:rsidRPr="003A4669">
        <w:t>Commonwealth Grants Commission</w:t>
      </w:r>
    </w:p>
    <w:p w14:paraId="41B87CC1" w14:textId="77777777" w:rsidR="00C54A0C" w:rsidRPr="003A4669" w:rsidRDefault="00C54A0C" w:rsidP="000D68B2">
      <w:pPr>
        <w:spacing w:before="0" w:line="252" w:lineRule="auto"/>
      </w:pPr>
      <w:r w:rsidRPr="003A4669">
        <w:t>73 Northbourne Avenue</w:t>
      </w:r>
    </w:p>
    <w:p w14:paraId="5D96C07E" w14:textId="77777777" w:rsidR="00C54A0C" w:rsidRPr="003A4669" w:rsidRDefault="00C54A0C" w:rsidP="000D68B2">
      <w:pPr>
        <w:spacing w:before="0" w:line="252" w:lineRule="auto"/>
      </w:pPr>
      <w:r w:rsidRPr="003A4669">
        <w:t>CANBERRA ACT 2601</w:t>
      </w:r>
    </w:p>
    <w:p w14:paraId="7B638D71" w14:textId="77777777" w:rsidR="00C54A0C" w:rsidRPr="003A4669" w:rsidRDefault="00C54A0C" w:rsidP="000D68B2">
      <w:pPr>
        <w:spacing w:before="0" w:line="252" w:lineRule="auto"/>
      </w:pPr>
      <w:r w:rsidRPr="003A4669">
        <w:t>Telephone (02) 6218 5700</w:t>
      </w:r>
    </w:p>
    <w:p w14:paraId="353628EE" w14:textId="77777777" w:rsidR="00C54A0C" w:rsidRPr="003A4669" w:rsidRDefault="00C54A0C" w:rsidP="000D68B2">
      <w:pPr>
        <w:spacing w:before="0" w:line="252" w:lineRule="auto"/>
      </w:pPr>
      <w:r w:rsidRPr="003A4669">
        <w:t xml:space="preserve">Email </w:t>
      </w:r>
      <w:hyperlink r:id="rId17" w:history="1">
        <w:r w:rsidRPr="003A4669">
          <w:rPr>
            <w:rStyle w:val="Hyperlink"/>
          </w:rPr>
          <w:t>secretary@cgc.gov.au</w:t>
        </w:r>
      </w:hyperlink>
    </w:p>
    <w:p w14:paraId="79CCF61E" w14:textId="77777777" w:rsidR="00C54A0C" w:rsidRPr="003A4669" w:rsidRDefault="00C54A0C" w:rsidP="000D68B2">
      <w:pPr>
        <w:spacing w:before="0" w:line="252" w:lineRule="auto"/>
      </w:pPr>
    </w:p>
    <w:p w14:paraId="470ADDED" w14:textId="77777777" w:rsidR="00C54A0C" w:rsidRPr="00F728BA" w:rsidRDefault="00C54A0C" w:rsidP="00C54A0C">
      <w:pPr>
        <w:pStyle w:val="Heading3"/>
      </w:pPr>
      <w:bookmarkStart w:id="13" w:name="_Toc127802141"/>
      <w:bookmarkStart w:id="14" w:name="_Toc127804763"/>
      <w:r w:rsidRPr="00F728BA">
        <w:t>Internet</w:t>
      </w:r>
      <w:bookmarkEnd w:id="13"/>
      <w:bookmarkEnd w:id="14"/>
    </w:p>
    <w:p w14:paraId="06F09ED9" w14:textId="2BCE0E2D" w:rsidR="00C54A0C" w:rsidRPr="003A4669" w:rsidRDefault="00C54A0C" w:rsidP="003A4669">
      <w:r w:rsidRPr="003A4669">
        <w:t xml:space="preserve">A copy of this report can be obtained from the </w:t>
      </w:r>
      <w:r w:rsidRPr="00C2633C">
        <w:t>Commission’s website</w:t>
      </w:r>
      <w:r w:rsidR="00DD381C">
        <w:t xml:space="preserve"> </w:t>
      </w:r>
      <w:hyperlink r:id="rId18" w:history="1">
        <w:r w:rsidR="00DD381C" w:rsidRPr="002E66CA">
          <w:rPr>
            <w:rStyle w:val="Hyperlink"/>
          </w:rPr>
          <w:t>https://www.cgc.gov.au</w:t>
        </w:r>
      </w:hyperlink>
      <w:r w:rsidRPr="003A4669">
        <w:t>.</w:t>
      </w:r>
    </w:p>
    <w:p w14:paraId="3AE71E29" w14:textId="18C8A75F" w:rsidR="00597B03" w:rsidRDefault="00597B03">
      <w:pPr>
        <w:tabs>
          <w:tab w:val="clear" w:pos="567"/>
        </w:tabs>
        <w:spacing w:before="0" w:line="240" w:lineRule="auto"/>
        <w:rPr>
          <w:rFonts w:eastAsiaTheme="majorEastAsia" w:cs="Open Sans"/>
          <w:bCs/>
          <w:color w:val="006991"/>
          <w:sz w:val="40"/>
          <w:szCs w:val="40"/>
        </w:rPr>
      </w:pPr>
      <w:r>
        <w:br w:type="page"/>
      </w:r>
    </w:p>
    <w:p w14:paraId="477797E9" w14:textId="77777777" w:rsidR="000B1C97" w:rsidRDefault="000B1C97" w:rsidP="00577948">
      <w:pPr>
        <w:pStyle w:val="Heading1"/>
        <w:numPr>
          <w:ilvl w:val="0"/>
          <w:numId w:val="0"/>
        </w:numPr>
      </w:pPr>
      <w:bookmarkStart w:id="15" w:name="_Toc159676097"/>
      <w:r>
        <w:lastRenderedPageBreak/>
        <w:t>Letter of transmittal</w:t>
      </w:r>
      <w:bookmarkEnd w:id="15"/>
    </w:p>
    <w:p w14:paraId="0F8B408E" w14:textId="22AA383B" w:rsidR="0065167E" w:rsidRDefault="00063B5B" w:rsidP="00063B5B">
      <w:pPr>
        <w:jc w:val="center"/>
      </w:pPr>
      <w:r>
        <w:rPr>
          <w:noProof/>
          <w:lang w:eastAsia="en-AU"/>
        </w:rPr>
        <w:drawing>
          <wp:inline distT="0" distB="0" distL="0" distR="0" wp14:anchorId="773C04D9" wp14:editId="2369C144">
            <wp:extent cx="2113280" cy="1095375"/>
            <wp:effectExtent l="0" t="0" r="0" b="0"/>
            <wp:docPr id="9" name="Picture 9" descr="CGC_stacked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GC_stackedstrip"/>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13280" cy="1095375"/>
                    </a:xfrm>
                    <a:prstGeom prst="rect">
                      <a:avLst/>
                    </a:prstGeom>
                    <a:noFill/>
                    <a:ln>
                      <a:noFill/>
                    </a:ln>
                  </pic:spPr>
                </pic:pic>
              </a:graphicData>
            </a:graphic>
          </wp:inline>
        </w:drawing>
      </w:r>
    </w:p>
    <w:p w14:paraId="3D41E137" w14:textId="77777777" w:rsidR="00063B5B" w:rsidRDefault="00063B5B" w:rsidP="00063B5B">
      <w:pPr>
        <w:jc w:val="center"/>
      </w:pPr>
    </w:p>
    <w:p w14:paraId="285B8BA0" w14:textId="77777777" w:rsidR="005E6B18" w:rsidRPr="00A5341F" w:rsidRDefault="005E6B18" w:rsidP="00063B5B">
      <w:pPr>
        <w:jc w:val="center"/>
      </w:pPr>
    </w:p>
    <w:p w14:paraId="6C383A29" w14:textId="77777777" w:rsidR="0065167E" w:rsidRPr="00B33B2C" w:rsidRDefault="0065167E" w:rsidP="00520FEC">
      <w:pPr>
        <w:spacing w:before="0" w:line="252" w:lineRule="auto"/>
        <w:jc w:val="right"/>
        <w:rPr>
          <w:rFonts w:ascii="Open Sans Light" w:hAnsi="Open Sans Light" w:cs="Open Sans Light"/>
          <w:b/>
          <w:bCs/>
        </w:rPr>
      </w:pPr>
      <w:r w:rsidRPr="00B33B2C">
        <w:rPr>
          <w:rFonts w:ascii="Open Sans Light" w:hAnsi="Open Sans Light" w:cs="Open Sans Light"/>
          <w:b/>
          <w:bCs/>
        </w:rPr>
        <w:t>Chairperson</w:t>
      </w:r>
    </w:p>
    <w:p w14:paraId="441C2809" w14:textId="77777777" w:rsidR="0065167E" w:rsidRPr="00520FEC" w:rsidRDefault="0065167E" w:rsidP="00520FEC">
      <w:pPr>
        <w:spacing w:before="0" w:line="252" w:lineRule="auto"/>
        <w:jc w:val="right"/>
        <w:rPr>
          <w:rFonts w:ascii="Open Sans Light" w:hAnsi="Open Sans Light" w:cs="Open Sans Light"/>
          <w:sz w:val="16"/>
          <w:szCs w:val="16"/>
        </w:rPr>
      </w:pPr>
      <w:r w:rsidRPr="00520FEC">
        <w:rPr>
          <w:rFonts w:ascii="Open Sans Light" w:hAnsi="Open Sans Light" w:cs="Open Sans Light"/>
          <w:sz w:val="16"/>
          <w:szCs w:val="16"/>
        </w:rPr>
        <w:t>73 Northbourne Avenue</w:t>
      </w:r>
    </w:p>
    <w:p w14:paraId="0738C5E7" w14:textId="77777777" w:rsidR="0065167E" w:rsidRPr="00520FEC" w:rsidRDefault="0065167E" w:rsidP="00520FEC">
      <w:pPr>
        <w:spacing w:before="0" w:line="252" w:lineRule="auto"/>
        <w:jc w:val="right"/>
        <w:rPr>
          <w:rFonts w:ascii="Open Sans Light" w:hAnsi="Open Sans Light" w:cs="Open Sans Light"/>
          <w:sz w:val="16"/>
          <w:szCs w:val="16"/>
        </w:rPr>
      </w:pPr>
      <w:proofErr w:type="gramStart"/>
      <w:r w:rsidRPr="00520FEC">
        <w:rPr>
          <w:rFonts w:ascii="Open Sans Light" w:hAnsi="Open Sans Light" w:cs="Open Sans Light"/>
          <w:sz w:val="16"/>
          <w:szCs w:val="16"/>
        </w:rPr>
        <w:t>CANBERRA  ACT</w:t>
      </w:r>
      <w:proofErr w:type="gramEnd"/>
      <w:r w:rsidRPr="00520FEC">
        <w:rPr>
          <w:rFonts w:ascii="Open Sans Light" w:hAnsi="Open Sans Light" w:cs="Open Sans Light"/>
          <w:sz w:val="16"/>
          <w:szCs w:val="16"/>
        </w:rPr>
        <w:t xml:space="preserve">  2601</w:t>
      </w:r>
    </w:p>
    <w:p w14:paraId="280CE039" w14:textId="77777777" w:rsidR="0065167E" w:rsidRPr="00520FEC" w:rsidRDefault="0065167E" w:rsidP="00520FEC">
      <w:pPr>
        <w:spacing w:before="0" w:line="252" w:lineRule="auto"/>
        <w:jc w:val="right"/>
        <w:rPr>
          <w:rFonts w:ascii="Open Sans Light" w:hAnsi="Open Sans Light" w:cs="Open Sans Light"/>
          <w:sz w:val="16"/>
          <w:szCs w:val="16"/>
        </w:rPr>
      </w:pPr>
    </w:p>
    <w:p w14:paraId="1102B21E" w14:textId="77777777" w:rsidR="0065167E" w:rsidRPr="00520FEC" w:rsidRDefault="0065167E" w:rsidP="00520FEC">
      <w:pPr>
        <w:spacing w:before="0" w:line="252" w:lineRule="auto"/>
        <w:jc w:val="right"/>
        <w:rPr>
          <w:rFonts w:ascii="Open Sans Light" w:hAnsi="Open Sans Light" w:cs="Open Sans Light"/>
          <w:sz w:val="16"/>
          <w:szCs w:val="16"/>
        </w:rPr>
      </w:pPr>
      <w:r w:rsidRPr="00520FEC">
        <w:rPr>
          <w:rFonts w:ascii="Open Sans Light" w:hAnsi="Open Sans Light" w:cs="Open Sans Light"/>
          <w:sz w:val="16"/>
          <w:szCs w:val="16"/>
        </w:rPr>
        <w:t>Telephone: 02 6218 5716</w:t>
      </w:r>
    </w:p>
    <w:p w14:paraId="2F77E059" w14:textId="77777777" w:rsidR="0065167E" w:rsidRPr="00520FEC" w:rsidRDefault="00000000" w:rsidP="00520FEC">
      <w:pPr>
        <w:spacing w:before="0" w:line="252" w:lineRule="auto"/>
        <w:jc w:val="right"/>
        <w:rPr>
          <w:rFonts w:ascii="Open Sans Light" w:hAnsi="Open Sans Light" w:cs="Open Sans Light"/>
          <w:sz w:val="16"/>
          <w:szCs w:val="16"/>
        </w:rPr>
      </w:pPr>
      <w:hyperlink r:id="rId20" w:history="1">
        <w:r w:rsidR="0065167E" w:rsidRPr="00520FEC">
          <w:rPr>
            <w:rStyle w:val="Hyperlink"/>
            <w:rFonts w:ascii="Open Sans Light" w:hAnsi="Open Sans Light" w:cs="Open Sans Light"/>
            <w:sz w:val="16"/>
            <w:szCs w:val="16"/>
          </w:rPr>
          <w:t>Mike.Callaghan@cgc.gov.au</w:t>
        </w:r>
      </w:hyperlink>
      <w:r w:rsidR="0065167E" w:rsidRPr="00520FEC">
        <w:rPr>
          <w:rFonts w:ascii="Open Sans Light" w:hAnsi="Open Sans Light" w:cs="Open Sans Light"/>
          <w:sz w:val="16"/>
          <w:szCs w:val="16"/>
        </w:rPr>
        <w:t xml:space="preserve"> </w:t>
      </w:r>
    </w:p>
    <w:p w14:paraId="24E679B2" w14:textId="77777777" w:rsidR="0065167E" w:rsidRPr="00520FEC" w:rsidRDefault="0065167E" w:rsidP="00520FEC">
      <w:pPr>
        <w:spacing w:before="0" w:line="252" w:lineRule="auto"/>
        <w:jc w:val="right"/>
        <w:rPr>
          <w:rFonts w:ascii="Open Sans Light" w:hAnsi="Open Sans Light" w:cs="Open Sans Light"/>
          <w:sz w:val="16"/>
          <w:szCs w:val="16"/>
        </w:rPr>
      </w:pPr>
      <w:r w:rsidRPr="00520FEC">
        <w:rPr>
          <w:rFonts w:ascii="Open Sans Light" w:hAnsi="Open Sans Light" w:cs="Open Sans Light"/>
          <w:sz w:val="16"/>
          <w:szCs w:val="16"/>
        </w:rPr>
        <w:t>https://www.cgc.gov.au</w:t>
      </w:r>
    </w:p>
    <w:p w14:paraId="38D76074" w14:textId="77777777" w:rsidR="0065167E" w:rsidRPr="00B31F2D" w:rsidRDefault="0065167E" w:rsidP="001A65A0">
      <w:pPr>
        <w:spacing w:before="0" w:line="252" w:lineRule="auto"/>
        <w:rPr>
          <w:rFonts w:ascii="Open Sans Light" w:hAnsi="Open Sans Light" w:cs="Open Sans Light"/>
        </w:rPr>
      </w:pPr>
    </w:p>
    <w:p w14:paraId="399C2439" w14:textId="77777777" w:rsidR="0065167E" w:rsidRPr="00B31F2D" w:rsidRDefault="0065167E" w:rsidP="001A65A0">
      <w:pPr>
        <w:spacing w:before="0" w:line="252" w:lineRule="auto"/>
        <w:rPr>
          <w:rFonts w:ascii="Open Sans Light" w:hAnsi="Open Sans Light" w:cs="Open Sans Light"/>
        </w:rPr>
      </w:pPr>
    </w:p>
    <w:p w14:paraId="36266FA1" w14:textId="45ABF8A3"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2</w:t>
      </w:r>
      <w:r w:rsidR="00574A16">
        <w:rPr>
          <w:rFonts w:ascii="Open Sans Light" w:hAnsi="Open Sans Light" w:cs="Open Sans Light"/>
        </w:rPr>
        <w:t>7 February 2024</w:t>
      </w:r>
    </w:p>
    <w:p w14:paraId="7B9553EB" w14:textId="77777777" w:rsidR="0065167E" w:rsidRPr="00B31F2D" w:rsidRDefault="0065167E" w:rsidP="001A65A0">
      <w:pPr>
        <w:spacing w:before="0" w:line="252" w:lineRule="auto"/>
        <w:rPr>
          <w:rFonts w:ascii="Open Sans Light" w:hAnsi="Open Sans Light" w:cs="Open Sans Light"/>
        </w:rPr>
      </w:pPr>
      <w:r w:rsidRPr="00CE2EA8">
        <w:rPr>
          <w:rFonts w:ascii="Open Sans Light" w:hAnsi="Open Sans Light" w:cs="Open Sans Light"/>
        </w:rPr>
        <w:t>The Hon Dr Jim Chalmers MP</w:t>
      </w:r>
    </w:p>
    <w:p w14:paraId="2AC155CF" w14:textId="77777777"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Treasurer</w:t>
      </w:r>
    </w:p>
    <w:p w14:paraId="5605AE5B" w14:textId="77777777"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Parliament House</w:t>
      </w:r>
    </w:p>
    <w:p w14:paraId="32FEAFD4" w14:textId="77777777"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CANBERRA ACT 2600</w:t>
      </w:r>
    </w:p>
    <w:p w14:paraId="6FAC1887" w14:textId="77777777" w:rsidR="0065167E" w:rsidRPr="00B31F2D" w:rsidRDefault="0065167E" w:rsidP="001A65A0">
      <w:pPr>
        <w:spacing w:before="0" w:line="252" w:lineRule="auto"/>
        <w:rPr>
          <w:rFonts w:ascii="Open Sans Light" w:hAnsi="Open Sans Light" w:cs="Open Sans Light"/>
        </w:rPr>
      </w:pPr>
    </w:p>
    <w:p w14:paraId="3835DBF2" w14:textId="77777777"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 xml:space="preserve">Dear </w:t>
      </w:r>
      <w:proofErr w:type="gramStart"/>
      <w:r w:rsidRPr="00B31F2D">
        <w:rPr>
          <w:rFonts w:ascii="Open Sans Light" w:hAnsi="Open Sans Light" w:cs="Open Sans Light"/>
        </w:rPr>
        <w:t>Treasurer</w:t>
      </w:r>
      <w:proofErr w:type="gramEnd"/>
      <w:r w:rsidRPr="00B31F2D">
        <w:rPr>
          <w:rFonts w:ascii="Open Sans Light" w:hAnsi="Open Sans Light" w:cs="Open Sans Light"/>
        </w:rPr>
        <w:br/>
      </w:r>
    </w:p>
    <w:p w14:paraId="054391C8" w14:textId="430CD28D"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 xml:space="preserve">As members of the Commonwealth Grants Commission appointed under the </w:t>
      </w:r>
      <w:r w:rsidRPr="00CB30D7">
        <w:rPr>
          <w:rFonts w:ascii="Open Sans Light" w:hAnsi="Open Sans Light" w:cs="Open Sans Light"/>
          <w:i/>
          <w:iCs/>
        </w:rPr>
        <w:t>Commonwealth Grants Commission Act 1973</w:t>
      </w:r>
      <w:r w:rsidRPr="00B31F2D">
        <w:rPr>
          <w:rFonts w:ascii="Open Sans Light" w:hAnsi="Open Sans Light" w:cs="Open Sans Light"/>
        </w:rPr>
        <w:t>, and in response to the terms of reference from you, we have updated GST relativities for use in distributing GST revenue among the states and territories in 202</w:t>
      </w:r>
      <w:r w:rsidR="00574A16">
        <w:rPr>
          <w:rFonts w:ascii="Open Sans Light" w:hAnsi="Open Sans Light" w:cs="Open Sans Light"/>
        </w:rPr>
        <w:t>4</w:t>
      </w:r>
      <w:r w:rsidR="00F737D1">
        <w:rPr>
          <w:rFonts w:ascii="Open Sans Light" w:hAnsi="Open Sans Light" w:cs="Open Sans Light"/>
        </w:rPr>
        <w:t>–</w:t>
      </w:r>
      <w:r w:rsidR="00574A16">
        <w:rPr>
          <w:rFonts w:ascii="Open Sans Light" w:hAnsi="Open Sans Light" w:cs="Open Sans Light"/>
        </w:rPr>
        <w:t>25</w:t>
      </w:r>
      <w:r w:rsidRPr="00B31F2D">
        <w:rPr>
          <w:rFonts w:ascii="Open Sans Light" w:hAnsi="Open Sans Light" w:cs="Open Sans Light"/>
        </w:rPr>
        <w:t xml:space="preserve">. </w:t>
      </w:r>
      <w:r w:rsidRPr="00B31F2D">
        <w:rPr>
          <w:rFonts w:ascii="Open Sans Light" w:hAnsi="Open Sans Light" w:cs="Open Sans Light"/>
        </w:rPr>
        <w:br/>
      </w:r>
    </w:p>
    <w:p w14:paraId="0C3C6859" w14:textId="4E602D3D"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 xml:space="preserve">In accordance with those terms of reference, we are also providing the update to the states and territories on </w:t>
      </w:r>
      <w:r w:rsidR="00574A16">
        <w:rPr>
          <w:rFonts w:ascii="Open Sans Light" w:hAnsi="Open Sans Light" w:cs="Open Sans Light"/>
        </w:rPr>
        <w:t>27 February 2024</w:t>
      </w:r>
      <w:r w:rsidRPr="00B31F2D">
        <w:rPr>
          <w:rFonts w:ascii="Open Sans Light" w:hAnsi="Open Sans Light" w:cs="Open Sans Light"/>
        </w:rPr>
        <w:t>, under embargo.</w:t>
      </w:r>
      <w:r w:rsidRPr="00B31F2D">
        <w:rPr>
          <w:rFonts w:ascii="Open Sans Light" w:hAnsi="Open Sans Light" w:cs="Open Sans Light"/>
        </w:rPr>
        <w:br/>
      </w:r>
    </w:p>
    <w:p w14:paraId="047BC4C6" w14:textId="70D0F953"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Yours sincerely</w:t>
      </w:r>
    </w:p>
    <w:p w14:paraId="35C910A0" w14:textId="77777777" w:rsidR="0065167E" w:rsidRPr="00B31F2D" w:rsidRDefault="0065167E" w:rsidP="001A65A0">
      <w:pPr>
        <w:spacing w:before="0" w:line="252" w:lineRule="auto"/>
        <w:rPr>
          <w:rFonts w:ascii="Open Sans Light" w:hAnsi="Open Sans Light" w:cs="Open Sans Light"/>
        </w:rPr>
      </w:pPr>
    </w:p>
    <w:p w14:paraId="0C40895D" w14:textId="6DFEB32D" w:rsidR="0065167E" w:rsidRPr="00B31F2D" w:rsidRDefault="00531ED9" w:rsidP="001A65A0">
      <w:pPr>
        <w:spacing w:before="0" w:line="252" w:lineRule="auto"/>
        <w:rPr>
          <w:rFonts w:ascii="Open Sans Light" w:hAnsi="Open Sans Light" w:cs="Open Sans Light"/>
        </w:rPr>
      </w:pPr>
      <w:r>
        <w:rPr>
          <w:rFonts w:ascii="Open Sans Light" w:hAnsi="Open Sans Light" w:cs="Open Sans Light"/>
        </w:rPr>
        <w:br/>
      </w:r>
    </w:p>
    <w:p w14:paraId="22E27F7E" w14:textId="77777777"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Mike Callaghan AM PSM</w:t>
      </w:r>
    </w:p>
    <w:p w14:paraId="5C52CA30" w14:textId="53794EB3" w:rsidR="0049740E" w:rsidRPr="00F240A4" w:rsidRDefault="0065167E" w:rsidP="001A65A0">
      <w:pPr>
        <w:spacing w:before="0" w:line="252" w:lineRule="auto"/>
        <w:rPr>
          <w:rFonts w:ascii="Open Sans Light" w:hAnsi="Open Sans Light" w:cs="Open Sans Light"/>
        </w:rPr>
      </w:pPr>
      <w:r w:rsidRPr="00B31F2D">
        <w:rPr>
          <w:rFonts w:ascii="Open Sans Light" w:hAnsi="Open Sans Light" w:cs="Open Sans Light"/>
        </w:rPr>
        <w:t>Chairperson</w:t>
      </w:r>
      <w:r w:rsidRPr="00B31F2D">
        <w:rPr>
          <w:rFonts w:ascii="Open Sans Light" w:hAnsi="Open Sans Light" w:cs="Open Sans Light"/>
        </w:rPr>
        <w:tab/>
      </w:r>
      <w:r w:rsidRPr="00B31F2D">
        <w:rPr>
          <w:rFonts w:ascii="Open Sans Light" w:hAnsi="Open Sans Light" w:cs="Open Sans Light"/>
        </w:rPr>
        <w:tab/>
      </w:r>
      <w:r w:rsidRPr="00B31F2D">
        <w:rPr>
          <w:rFonts w:ascii="Open Sans Light" w:hAnsi="Open Sans Light" w:cs="Open Sans Light"/>
        </w:rPr>
        <w:tab/>
      </w:r>
      <w:r w:rsidR="00F92504">
        <w:rPr>
          <w:rFonts w:ascii="Open Sans Light" w:hAnsi="Open Sans Light" w:cs="Open Sans Light"/>
        </w:rPr>
        <w:tab/>
      </w:r>
      <w:r w:rsidR="00F92504">
        <w:rPr>
          <w:rFonts w:ascii="Open Sans Light" w:hAnsi="Open Sans Light" w:cs="Open Sans Light"/>
        </w:rPr>
        <w:tab/>
      </w:r>
      <w:r w:rsidR="00AD4890">
        <w:rPr>
          <w:rFonts w:ascii="Open Sans Light" w:hAnsi="Open Sans Light" w:cs="Open Sans Light"/>
          <w:noProof/>
        </w:rPr>
        <w:tab/>
      </w:r>
      <w:r w:rsidR="00AD4890">
        <w:rPr>
          <w:rFonts w:ascii="Open Sans Light" w:hAnsi="Open Sans Light" w:cs="Open Sans Light"/>
          <w:noProof/>
        </w:rPr>
        <w:tab/>
      </w:r>
      <w:r w:rsidR="00AD4890">
        <w:rPr>
          <w:rFonts w:ascii="Open Sans Light" w:hAnsi="Open Sans Light" w:cs="Open Sans Light"/>
          <w:noProof/>
        </w:rPr>
        <w:tab/>
      </w:r>
    </w:p>
    <w:p w14:paraId="16C018D1" w14:textId="77777777" w:rsidR="00102F51" w:rsidRDefault="00102F51" w:rsidP="001A65A0">
      <w:pPr>
        <w:spacing w:before="0" w:line="252" w:lineRule="auto"/>
        <w:rPr>
          <w:noProof/>
        </w:rPr>
      </w:pPr>
    </w:p>
    <w:p w14:paraId="411EFF13" w14:textId="2F085702" w:rsidR="00102F51" w:rsidRDefault="00C449DA" w:rsidP="001A65A0">
      <w:pPr>
        <w:spacing w:before="0" w:line="252" w:lineRule="auto"/>
        <w:rPr>
          <w:noProof/>
        </w:rPr>
      </w:pPr>
      <w:r>
        <w:rPr>
          <w:noProof/>
        </w:rPr>
        <w:tab/>
      </w:r>
      <w:r>
        <w:rPr>
          <w:noProof/>
        </w:rPr>
        <w:tab/>
      </w:r>
      <w:r w:rsidR="00F240A4">
        <w:rPr>
          <w:noProof/>
        </w:rPr>
        <w:tab/>
      </w:r>
      <w:r w:rsidR="00F240A4">
        <w:rPr>
          <w:noProof/>
        </w:rPr>
        <w:tab/>
      </w:r>
      <w:r w:rsidR="00F240A4">
        <w:rPr>
          <w:noProof/>
        </w:rPr>
        <w:tab/>
      </w:r>
    </w:p>
    <w:p w14:paraId="79E6CB07" w14:textId="1761F7DB"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ab/>
      </w:r>
      <w:r w:rsidR="00F240A4">
        <w:rPr>
          <w:rFonts w:ascii="Open Sans Light" w:hAnsi="Open Sans Light" w:cs="Open Sans Light"/>
        </w:rPr>
        <w:tab/>
      </w:r>
      <w:r w:rsidR="00F240A4">
        <w:rPr>
          <w:rFonts w:ascii="Open Sans Light" w:hAnsi="Open Sans Light" w:cs="Open Sans Light"/>
        </w:rPr>
        <w:tab/>
      </w:r>
      <w:r w:rsidR="00F240A4">
        <w:rPr>
          <w:rFonts w:ascii="Open Sans Light" w:hAnsi="Open Sans Light" w:cs="Open Sans Light"/>
        </w:rPr>
        <w:tab/>
      </w:r>
      <w:r w:rsidR="00F240A4">
        <w:rPr>
          <w:rFonts w:ascii="Open Sans Light" w:hAnsi="Open Sans Light" w:cs="Open Sans Light"/>
        </w:rPr>
        <w:tab/>
      </w:r>
      <w:r w:rsidR="00F240A4">
        <w:rPr>
          <w:rFonts w:ascii="Open Sans Light" w:hAnsi="Open Sans Light" w:cs="Open Sans Light"/>
        </w:rPr>
        <w:tab/>
      </w:r>
    </w:p>
    <w:p w14:paraId="2607CEF8" w14:textId="77777777"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Dr L S Williams AM</w:t>
      </w:r>
      <w:r w:rsidRPr="00B31F2D">
        <w:rPr>
          <w:rFonts w:ascii="Open Sans Light" w:hAnsi="Open Sans Light" w:cs="Open Sans Light"/>
        </w:rPr>
        <w:tab/>
      </w:r>
      <w:r w:rsidRPr="00B31F2D">
        <w:rPr>
          <w:rFonts w:ascii="Open Sans Light" w:hAnsi="Open Sans Light" w:cs="Open Sans Light"/>
        </w:rPr>
        <w:tab/>
        <w:t>Dr A Jackson</w:t>
      </w:r>
      <w:r w:rsidRPr="00B31F2D">
        <w:rPr>
          <w:rFonts w:ascii="Open Sans Light" w:hAnsi="Open Sans Light" w:cs="Open Sans Light"/>
        </w:rPr>
        <w:tab/>
      </w:r>
      <w:r w:rsidRPr="00B31F2D">
        <w:rPr>
          <w:rFonts w:ascii="Open Sans Light" w:hAnsi="Open Sans Light" w:cs="Open Sans Light"/>
        </w:rPr>
        <w:tab/>
      </w:r>
      <w:r w:rsidRPr="00B31F2D">
        <w:rPr>
          <w:rFonts w:ascii="Open Sans Light" w:hAnsi="Open Sans Light" w:cs="Open Sans Light"/>
        </w:rPr>
        <w:tab/>
        <w:t>Prof. A Tiernan</w:t>
      </w:r>
    </w:p>
    <w:p w14:paraId="149BCAA6" w14:textId="77777777" w:rsidR="0065167E" w:rsidRPr="00B31F2D" w:rsidRDefault="0065167E" w:rsidP="001A65A0">
      <w:pPr>
        <w:spacing w:before="0" w:line="252" w:lineRule="auto"/>
        <w:rPr>
          <w:rFonts w:ascii="Open Sans Light" w:hAnsi="Open Sans Light" w:cs="Open Sans Light"/>
        </w:rPr>
      </w:pPr>
      <w:r w:rsidRPr="00B31F2D">
        <w:rPr>
          <w:rFonts w:ascii="Open Sans Light" w:hAnsi="Open Sans Light" w:cs="Open Sans Light"/>
        </w:rPr>
        <w:t>Member</w:t>
      </w:r>
      <w:r w:rsidRPr="00B31F2D">
        <w:rPr>
          <w:rFonts w:ascii="Open Sans Light" w:hAnsi="Open Sans Light" w:cs="Open Sans Light"/>
        </w:rPr>
        <w:tab/>
      </w:r>
      <w:r w:rsidRPr="00B31F2D">
        <w:rPr>
          <w:rFonts w:ascii="Open Sans Light" w:hAnsi="Open Sans Light" w:cs="Open Sans Light"/>
        </w:rPr>
        <w:tab/>
      </w:r>
      <w:r w:rsidRPr="00B31F2D">
        <w:rPr>
          <w:rFonts w:ascii="Open Sans Light" w:hAnsi="Open Sans Light" w:cs="Open Sans Light"/>
        </w:rPr>
        <w:tab/>
      </w:r>
      <w:proofErr w:type="spellStart"/>
      <w:r w:rsidRPr="00B31F2D">
        <w:rPr>
          <w:rFonts w:ascii="Open Sans Light" w:hAnsi="Open Sans Light" w:cs="Open Sans Light"/>
        </w:rPr>
        <w:t>Member</w:t>
      </w:r>
      <w:proofErr w:type="spellEnd"/>
      <w:r w:rsidRPr="00B31F2D">
        <w:rPr>
          <w:rFonts w:ascii="Open Sans Light" w:hAnsi="Open Sans Light" w:cs="Open Sans Light"/>
        </w:rPr>
        <w:tab/>
      </w:r>
      <w:r w:rsidRPr="00B31F2D">
        <w:rPr>
          <w:rFonts w:ascii="Open Sans Light" w:hAnsi="Open Sans Light" w:cs="Open Sans Light"/>
        </w:rPr>
        <w:tab/>
      </w:r>
      <w:r w:rsidRPr="00B31F2D">
        <w:rPr>
          <w:rFonts w:ascii="Open Sans Light" w:hAnsi="Open Sans Light" w:cs="Open Sans Light"/>
        </w:rPr>
        <w:tab/>
      </w:r>
      <w:proofErr w:type="spellStart"/>
      <w:r w:rsidRPr="00B31F2D">
        <w:rPr>
          <w:rFonts w:ascii="Open Sans Light" w:hAnsi="Open Sans Light" w:cs="Open Sans Light"/>
        </w:rPr>
        <w:t>Member</w:t>
      </w:r>
      <w:proofErr w:type="spellEnd"/>
      <w:r w:rsidRPr="00B31F2D">
        <w:rPr>
          <w:rFonts w:ascii="Open Sans Light" w:hAnsi="Open Sans Light" w:cs="Open Sans Light"/>
        </w:rPr>
        <w:t xml:space="preserve"> </w:t>
      </w:r>
    </w:p>
    <w:p w14:paraId="7E2FF193" w14:textId="77777777" w:rsidR="00621A9F" w:rsidRPr="00B31F2D" w:rsidRDefault="00621A9F" w:rsidP="001A65A0">
      <w:pPr>
        <w:spacing w:before="0" w:line="252" w:lineRule="auto"/>
        <w:rPr>
          <w:rFonts w:ascii="Open Sans Light" w:hAnsi="Open Sans Light" w:cs="Open Sans Light"/>
        </w:rPr>
      </w:pPr>
    </w:p>
    <w:p w14:paraId="134FFD7F" w14:textId="69019EA4" w:rsidR="000B1C97" w:rsidRDefault="000B1C97">
      <w:pPr>
        <w:tabs>
          <w:tab w:val="clear" w:pos="567"/>
        </w:tabs>
        <w:spacing w:before="0" w:line="240" w:lineRule="auto"/>
        <w:rPr>
          <w:rFonts w:eastAsiaTheme="majorEastAsia" w:cs="Open Sans"/>
          <w:bCs/>
          <w:color w:val="006991"/>
          <w:sz w:val="40"/>
          <w:szCs w:val="40"/>
        </w:rPr>
      </w:pPr>
      <w:r>
        <w:br w:type="page"/>
      </w:r>
    </w:p>
    <w:p w14:paraId="263EC15D" w14:textId="77777777" w:rsidR="00621A9F" w:rsidRDefault="00621A9F" w:rsidP="00577948">
      <w:pPr>
        <w:pStyle w:val="Heading1"/>
        <w:numPr>
          <w:ilvl w:val="0"/>
          <w:numId w:val="0"/>
        </w:numPr>
      </w:pPr>
      <w:bookmarkStart w:id="16" w:name="_Toc159676098"/>
      <w:r>
        <w:lastRenderedPageBreak/>
        <w:t>Acknowledgements</w:t>
      </w:r>
      <w:bookmarkEnd w:id="16"/>
    </w:p>
    <w:p w14:paraId="508CD2FE" w14:textId="77777777" w:rsidR="00621A9F" w:rsidRPr="001B5088" w:rsidRDefault="00621A9F" w:rsidP="00621A9F">
      <w:pPr>
        <w:spacing w:before="0" w:line="252" w:lineRule="auto"/>
      </w:pPr>
    </w:p>
    <w:p w14:paraId="45873BAE" w14:textId="01DD636B" w:rsidR="00621A9F" w:rsidRPr="001B5088" w:rsidRDefault="00621A9F" w:rsidP="00621A9F">
      <w:pPr>
        <w:spacing w:before="0" w:line="252" w:lineRule="auto"/>
      </w:pPr>
      <w:r w:rsidRPr="001B5088">
        <w:t>The Commission appreciates the cooperation extended to the Commission and its staff during this update by staff of Commonwealth and state treasuries and other agencies.</w:t>
      </w:r>
    </w:p>
    <w:p w14:paraId="70096124" w14:textId="77777777" w:rsidR="00621A9F" w:rsidRDefault="00621A9F" w:rsidP="00621A9F">
      <w:pPr>
        <w:spacing w:before="0" w:line="252" w:lineRule="auto"/>
      </w:pPr>
    </w:p>
    <w:p w14:paraId="32E0A79A" w14:textId="77777777" w:rsidR="00621A9F" w:rsidRPr="001B5088" w:rsidRDefault="00621A9F" w:rsidP="00621A9F">
      <w:pPr>
        <w:spacing w:before="0" w:line="252" w:lineRule="auto"/>
      </w:pPr>
      <w:r w:rsidRPr="001B5088">
        <w:t>The Commission also acknowledges the commitment and excellent contribution of its staff.</w:t>
      </w:r>
    </w:p>
    <w:p w14:paraId="26A20599" w14:textId="77777777" w:rsidR="000B1C97" w:rsidRDefault="000B1C97">
      <w:pPr>
        <w:tabs>
          <w:tab w:val="clear" w:pos="567"/>
        </w:tabs>
        <w:spacing w:before="0" w:line="240" w:lineRule="auto"/>
        <w:rPr>
          <w:rFonts w:eastAsiaTheme="majorEastAsia" w:cs="Open Sans"/>
          <w:bCs/>
          <w:color w:val="006991"/>
          <w:sz w:val="40"/>
          <w:szCs w:val="40"/>
        </w:rPr>
      </w:pPr>
      <w:r>
        <w:br w:type="page"/>
      </w:r>
    </w:p>
    <w:p w14:paraId="27DF4374" w14:textId="7EBCA8BB" w:rsidR="00C05E7B" w:rsidRDefault="000B1C97" w:rsidP="00577948">
      <w:pPr>
        <w:pStyle w:val="Heading1"/>
        <w:numPr>
          <w:ilvl w:val="0"/>
          <w:numId w:val="0"/>
        </w:numPr>
      </w:pPr>
      <w:bookmarkStart w:id="17" w:name="_Toc159676099"/>
      <w:bookmarkStart w:id="18" w:name="Terms_of_reference"/>
      <w:r>
        <w:lastRenderedPageBreak/>
        <w:t>Terms of reference</w:t>
      </w:r>
      <w:bookmarkEnd w:id="17"/>
    </w:p>
    <w:bookmarkEnd w:id="18"/>
    <w:p w14:paraId="30B6261F" w14:textId="77777777" w:rsidR="00DE7C3D" w:rsidRDefault="00DE7C3D">
      <w:pPr>
        <w:tabs>
          <w:tab w:val="clear" w:pos="567"/>
        </w:tabs>
        <w:spacing w:before="0" w:line="240" w:lineRule="auto"/>
      </w:pPr>
    </w:p>
    <w:p w14:paraId="4DBEDF70" w14:textId="77777777" w:rsidR="00DE7C3D" w:rsidRDefault="00DE7C3D">
      <w:pPr>
        <w:tabs>
          <w:tab w:val="clear" w:pos="567"/>
        </w:tabs>
        <w:spacing w:before="0" w:line="240" w:lineRule="auto"/>
      </w:pPr>
    </w:p>
    <w:p w14:paraId="1167BC39" w14:textId="44E2D980" w:rsidR="00C05E7B" w:rsidRDefault="00B16BBD">
      <w:pPr>
        <w:tabs>
          <w:tab w:val="clear" w:pos="567"/>
        </w:tabs>
        <w:spacing w:before="0" w:line="240" w:lineRule="auto"/>
      </w:pPr>
      <w:r w:rsidRPr="00B16BBD">
        <w:rPr>
          <w:noProof/>
        </w:rPr>
        <w:drawing>
          <wp:inline distT="0" distB="0" distL="0" distR="0" wp14:anchorId="6FD2B79C" wp14:editId="56C0A672">
            <wp:extent cx="5447921" cy="8242710"/>
            <wp:effectExtent l="0" t="0" r="635" b="6350"/>
            <wp:docPr id="207716901" name="Picture 207716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16901" name=""/>
                    <pic:cNvPicPr/>
                  </pic:nvPicPr>
                  <pic:blipFill rotWithShape="1">
                    <a:blip r:embed="rId21"/>
                    <a:srcRect l="7210" t="4407" r="6598" b="2162"/>
                    <a:stretch/>
                  </pic:blipFill>
                  <pic:spPr bwMode="auto">
                    <a:xfrm>
                      <a:off x="0" y="0"/>
                      <a:ext cx="5476422" cy="8285832"/>
                    </a:xfrm>
                    <a:prstGeom prst="rect">
                      <a:avLst/>
                    </a:prstGeom>
                    <a:ln>
                      <a:noFill/>
                    </a:ln>
                    <a:extLst>
                      <a:ext uri="{53640926-AAD7-44D8-BBD7-CCE9431645EC}">
                        <a14:shadowObscured xmlns:a14="http://schemas.microsoft.com/office/drawing/2010/main"/>
                      </a:ext>
                    </a:extLst>
                  </pic:spPr>
                </pic:pic>
              </a:graphicData>
            </a:graphic>
          </wp:inline>
        </w:drawing>
      </w:r>
    </w:p>
    <w:p w14:paraId="431ADC29" w14:textId="77777777" w:rsidR="00D84A83" w:rsidRDefault="00C05E7B" w:rsidP="00D84A83">
      <w:pPr>
        <w:tabs>
          <w:tab w:val="clear" w:pos="567"/>
        </w:tabs>
        <w:spacing w:before="0" w:line="240" w:lineRule="auto"/>
        <w:ind w:left="-426"/>
        <w:jc w:val="center"/>
      </w:pPr>
      <w:r>
        <w:br w:type="page"/>
      </w:r>
    </w:p>
    <w:p w14:paraId="2EB366AE" w14:textId="238A24B1" w:rsidR="00DD748E" w:rsidRDefault="00C051C3" w:rsidP="00033536">
      <w:pPr>
        <w:tabs>
          <w:tab w:val="clear" w:pos="567"/>
        </w:tabs>
        <w:spacing w:before="0" w:line="240" w:lineRule="auto"/>
        <w:ind w:left="-567"/>
      </w:pPr>
      <w:r w:rsidRPr="00C051C3">
        <w:rPr>
          <w:noProof/>
        </w:rPr>
        <w:lastRenderedPageBreak/>
        <w:drawing>
          <wp:inline distT="0" distB="0" distL="0" distR="0" wp14:anchorId="50E8E3E0" wp14:editId="0D0F6B0A">
            <wp:extent cx="6171565" cy="8908445"/>
            <wp:effectExtent l="0" t="0" r="635" b="6985"/>
            <wp:docPr id="127108459" name="Picture 127108459"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108459" name="Picture 1" descr="A paper with text on it&#10;&#10;Description automatically generated"/>
                    <pic:cNvPicPr/>
                  </pic:nvPicPr>
                  <pic:blipFill rotWithShape="1">
                    <a:blip r:embed="rId22"/>
                    <a:srcRect l="-164" t="1794" r="8632" b="4778"/>
                    <a:stretch/>
                  </pic:blipFill>
                  <pic:spPr bwMode="auto">
                    <a:xfrm>
                      <a:off x="0" y="0"/>
                      <a:ext cx="6193834" cy="8940590"/>
                    </a:xfrm>
                    <a:prstGeom prst="rect">
                      <a:avLst/>
                    </a:prstGeom>
                    <a:ln>
                      <a:noFill/>
                    </a:ln>
                    <a:extLst>
                      <a:ext uri="{53640926-AAD7-44D8-BBD7-CCE9431645EC}">
                        <a14:shadowObscured xmlns:a14="http://schemas.microsoft.com/office/drawing/2010/main"/>
                      </a:ext>
                    </a:extLst>
                  </pic:spPr>
                </pic:pic>
              </a:graphicData>
            </a:graphic>
          </wp:inline>
        </w:drawing>
      </w:r>
    </w:p>
    <w:p w14:paraId="6332CE7C" w14:textId="77777777" w:rsidR="00680D27" w:rsidRDefault="00680D27" w:rsidP="00C051C3">
      <w:pPr>
        <w:tabs>
          <w:tab w:val="clear" w:pos="567"/>
        </w:tabs>
        <w:spacing w:before="0" w:line="240" w:lineRule="auto"/>
        <w:ind w:left="-426"/>
      </w:pPr>
    </w:p>
    <w:p w14:paraId="7568CF46" w14:textId="00E672BC" w:rsidR="00C05E7B" w:rsidRPr="007B4922" w:rsidRDefault="00A84FDC">
      <w:pPr>
        <w:tabs>
          <w:tab w:val="clear" w:pos="567"/>
        </w:tabs>
        <w:spacing w:before="0" w:line="240" w:lineRule="auto"/>
      </w:pPr>
      <w:r>
        <w:br w:type="page"/>
      </w:r>
    </w:p>
    <w:p w14:paraId="6F2E0B20" w14:textId="37E42A82" w:rsidR="00F65B29" w:rsidRDefault="00541995" w:rsidP="00F66608">
      <w:pPr>
        <w:tabs>
          <w:tab w:val="clear" w:pos="567"/>
        </w:tabs>
        <w:spacing w:before="0" w:line="240" w:lineRule="auto"/>
        <w:ind w:left="-426"/>
      </w:pPr>
      <w:r w:rsidRPr="00541995">
        <w:rPr>
          <w:noProof/>
        </w:rPr>
        <w:lastRenderedPageBreak/>
        <w:drawing>
          <wp:inline distT="0" distB="0" distL="0" distR="0" wp14:anchorId="4D59F34C" wp14:editId="23FDF8AD">
            <wp:extent cx="6170400" cy="8492346"/>
            <wp:effectExtent l="0" t="0" r="1905" b="4445"/>
            <wp:docPr id="2001270793" name="Picture 2001270793" descr="A paper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70793" name="Picture 1" descr="A paper with text on it&#10;&#10;Description automatically generated"/>
                    <pic:cNvPicPr/>
                  </pic:nvPicPr>
                  <pic:blipFill rotWithShape="1">
                    <a:blip r:embed="rId23"/>
                    <a:srcRect t="1850" r="3975" b="4691"/>
                    <a:stretch/>
                  </pic:blipFill>
                  <pic:spPr bwMode="auto">
                    <a:xfrm>
                      <a:off x="0" y="0"/>
                      <a:ext cx="6204847" cy="8539755"/>
                    </a:xfrm>
                    <a:prstGeom prst="rect">
                      <a:avLst/>
                    </a:prstGeom>
                    <a:ln>
                      <a:noFill/>
                    </a:ln>
                    <a:extLst>
                      <a:ext uri="{53640926-AAD7-44D8-BBD7-CCE9431645EC}">
                        <a14:shadowObscured xmlns:a14="http://schemas.microsoft.com/office/drawing/2010/main"/>
                      </a:ext>
                    </a:extLst>
                  </pic:spPr>
                </pic:pic>
              </a:graphicData>
            </a:graphic>
          </wp:inline>
        </w:drawing>
      </w:r>
    </w:p>
    <w:p w14:paraId="6D3A397E" w14:textId="4BB80F41" w:rsidR="007B4922" w:rsidRDefault="007B4922">
      <w:pPr>
        <w:tabs>
          <w:tab w:val="clear" w:pos="567"/>
        </w:tabs>
        <w:spacing w:before="0" w:line="240" w:lineRule="auto"/>
        <w:rPr>
          <w:rFonts w:eastAsiaTheme="majorEastAsia" w:cs="Open Sans"/>
          <w:bCs/>
          <w:color w:val="006991"/>
          <w:sz w:val="40"/>
          <w:szCs w:val="40"/>
        </w:rPr>
      </w:pPr>
      <w:r>
        <w:br w:type="page"/>
      </w:r>
    </w:p>
    <w:p w14:paraId="2ED2AB0F" w14:textId="382C2FA9" w:rsidR="00FF29D3" w:rsidRDefault="00CB09CC" w:rsidP="007A135E">
      <w:pPr>
        <w:tabs>
          <w:tab w:val="clear" w:pos="567"/>
        </w:tabs>
        <w:spacing w:before="0" w:line="240" w:lineRule="auto"/>
        <w:ind w:left="-567"/>
      </w:pPr>
      <w:r w:rsidRPr="00CB09CC">
        <w:rPr>
          <w:noProof/>
        </w:rPr>
        <w:lastRenderedPageBreak/>
        <w:drawing>
          <wp:inline distT="0" distB="0" distL="0" distR="0" wp14:anchorId="2F1ADB87" wp14:editId="267EB8D5">
            <wp:extent cx="6170400" cy="8394557"/>
            <wp:effectExtent l="0" t="0" r="1905" b="6985"/>
            <wp:docPr id="1354941557" name="Picture 1354941557" descr="A document with a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41557" name="Picture 1" descr="A document with a signature&#10;&#10;Description automatically generated"/>
                    <pic:cNvPicPr/>
                  </pic:nvPicPr>
                  <pic:blipFill rotWithShape="1">
                    <a:blip r:embed="rId24"/>
                    <a:srcRect t="2814" r="4348" b="5165"/>
                    <a:stretch/>
                  </pic:blipFill>
                  <pic:spPr bwMode="auto">
                    <a:xfrm>
                      <a:off x="0" y="0"/>
                      <a:ext cx="6189315" cy="8420290"/>
                    </a:xfrm>
                    <a:prstGeom prst="rect">
                      <a:avLst/>
                    </a:prstGeom>
                    <a:ln>
                      <a:noFill/>
                    </a:ln>
                    <a:extLst>
                      <a:ext uri="{53640926-AAD7-44D8-BBD7-CCE9431645EC}">
                        <a14:shadowObscured xmlns:a14="http://schemas.microsoft.com/office/drawing/2010/main"/>
                      </a:ext>
                    </a:extLst>
                  </pic:spPr>
                </pic:pic>
              </a:graphicData>
            </a:graphic>
          </wp:inline>
        </w:drawing>
      </w:r>
    </w:p>
    <w:p w14:paraId="43EBF470" w14:textId="3656426B" w:rsidR="00DD381C" w:rsidRDefault="00940808">
      <w:pPr>
        <w:tabs>
          <w:tab w:val="clear" w:pos="567"/>
        </w:tabs>
        <w:spacing w:before="0" w:line="240" w:lineRule="auto"/>
        <w:rPr>
          <w:rFonts w:eastAsiaTheme="majorEastAsia" w:cs="Open Sans"/>
          <w:bCs/>
          <w:color w:val="006991"/>
          <w:sz w:val="40"/>
          <w:szCs w:val="40"/>
        </w:rPr>
      </w:pPr>
      <w:r>
        <w:br w:type="page"/>
      </w:r>
    </w:p>
    <w:p w14:paraId="605BE8D6" w14:textId="749F9EB5" w:rsidR="00C05E7B" w:rsidRDefault="00621A9F" w:rsidP="00577948">
      <w:pPr>
        <w:pStyle w:val="Heading1"/>
        <w:numPr>
          <w:ilvl w:val="0"/>
          <w:numId w:val="0"/>
        </w:numPr>
      </w:pPr>
      <w:bookmarkStart w:id="19" w:name="_Toc159676100"/>
      <w:r>
        <w:lastRenderedPageBreak/>
        <w:t>List of acronyms</w:t>
      </w:r>
      <w:bookmarkEnd w:id="19"/>
    </w:p>
    <w:tbl>
      <w:tblPr>
        <w:tblW w:w="8940" w:type="dxa"/>
        <w:tblInd w:w="93" w:type="dxa"/>
        <w:tblBorders>
          <w:top w:val="single" w:sz="4" w:space="0" w:color="ADD6EA"/>
          <w:bottom w:val="single" w:sz="4" w:space="0" w:color="ADD6EA"/>
          <w:insideH w:val="single" w:sz="4" w:space="0" w:color="ADD6EA"/>
        </w:tblBorders>
        <w:tblLook w:val="04A0" w:firstRow="1" w:lastRow="0" w:firstColumn="1" w:lastColumn="0" w:noHBand="0" w:noVBand="1"/>
      </w:tblPr>
      <w:tblGrid>
        <w:gridCol w:w="1440"/>
        <w:gridCol w:w="7500"/>
      </w:tblGrid>
      <w:tr w:rsidR="000360A0" w:rsidRPr="00570C7B" w14:paraId="3EFD2E95" w14:textId="77777777">
        <w:trPr>
          <w:trHeight w:val="340"/>
        </w:trPr>
        <w:tc>
          <w:tcPr>
            <w:tcW w:w="1440" w:type="dxa"/>
            <w:shd w:val="clear" w:color="auto" w:fill="auto"/>
          </w:tcPr>
          <w:p w14:paraId="7B464B7A" w14:textId="77777777" w:rsidR="000360A0" w:rsidRPr="00570C7B" w:rsidRDefault="000360A0" w:rsidP="00983245">
            <w:r w:rsidRPr="00570C7B">
              <w:t>ABS</w:t>
            </w:r>
          </w:p>
        </w:tc>
        <w:tc>
          <w:tcPr>
            <w:tcW w:w="7500" w:type="dxa"/>
            <w:shd w:val="clear" w:color="auto" w:fill="auto"/>
          </w:tcPr>
          <w:p w14:paraId="52CA892C" w14:textId="77777777" w:rsidR="000360A0" w:rsidRPr="00570C7B" w:rsidRDefault="000360A0" w:rsidP="00983245">
            <w:r w:rsidRPr="00570C7B">
              <w:t>Australian Bureau of Statistics</w:t>
            </w:r>
          </w:p>
        </w:tc>
      </w:tr>
      <w:tr w:rsidR="000360A0" w:rsidRPr="00570C7B" w14:paraId="0D12AF6C" w14:textId="77777777">
        <w:trPr>
          <w:trHeight w:val="340"/>
        </w:trPr>
        <w:tc>
          <w:tcPr>
            <w:tcW w:w="1440" w:type="dxa"/>
            <w:shd w:val="clear" w:color="auto" w:fill="auto"/>
          </w:tcPr>
          <w:p w14:paraId="11F0DC8E" w14:textId="77777777" w:rsidR="000360A0" w:rsidRPr="00570C7B" w:rsidRDefault="000360A0" w:rsidP="00983245">
            <w:r w:rsidRPr="00570C7B">
              <w:t>ACT</w:t>
            </w:r>
          </w:p>
        </w:tc>
        <w:tc>
          <w:tcPr>
            <w:tcW w:w="7500" w:type="dxa"/>
            <w:shd w:val="clear" w:color="auto" w:fill="auto"/>
          </w:tcPr>
          <w:p w14:paraId="6049DF91" w14:textId="77777777" w:rsidR="000360A0" w:rsidRPr="00570C7B" w:rsidRDefault="000360A0" w:rsidP="00983245">
            <w:r w:rsidRPr="00570C7B">
              <w:t>Australian Capital Territory</w:t>
            </w:r>
          </w:p>
        </w:tc>
      </w:tr>
      <w:tr w:rsidR="000360A0" w:rsidRPr="00570C7B" w14:paraId="4BCD41DC" w14:textId="77777777">
        <w:trPr>
          <w:trHeight w:val="340"/>
        </w:trPr>
        <w:tc>
          <w:tcPr>
            <w:tcW w:w="1440" w:type="dxa"/>
            <w:shd w:val="clear" w:color="auto" w:fill="auto"/>
          </w:tcPr>
          <w:p w14:paraId="20E06B5F" w14:textId="77777777" w:rsidR="000360A0" w:rsidRPr="00570C7B" w:rsidRDefault="000360A0" w:rsidP="00983245">
            <w:r w:rsidRPr="00570C7B">
              <w:t>GST</w:t>
            </w:r>
          </w:p>
        </w:tc>
        <w:tc>
          <w:tcPr>
            <w:tcW w:w="7500" w:type="dxa"/>
            <w:shd w:val="clear" w:color="auto" w:fill="auto"/>
          </w:tcPr>
          <w:p w14:paraId="5C83EAA2" w14:textId="77777777" w:rsidR="000360A0" w:rsidRPr="00570C7B" w:rsidRDefault="000360A0" w:rsidP="00983245">
            <w:r w:rsidRPr="00570C7B">
              <w:t>Goods and Services Tax</w:t>
            </w:r>
          </w:p>
        </w:tc>
      </w:tr>
      <w:tr w:rsidR="000360A0" w:rsidRPr="00921CAE" w14:paraId="52B87BC9" w14:textId="77777777">
        <w:trPr>
          <w:trHeight w:val="340"/>
        </w:trPr>
        <w:tc>
          <w:tcPr>
            <w:tcW w:w="1440" w:type="dxa"/>
            <w:shd w:val="clear" w:color="auto" w:fill="auto"/>
          </w:tcPr>
          <w:p w14:paraId="17C0D1B5" w14:textId="77777777" w:rsidR="000360A0" w:rsidRPr="00570C7B" w:rsidRDefault="000360A0" w:rsidP="00983245">
            <w:r w:rsidRPr="00570C7B">
              <w:t>pc</w:t>
            </w:r>
          </w:p>
        </w:tc>
        <w:tc>
          <w:tcPr>
            <w:tcW w:w="7500" w:type="dxa"/>
            <w:shd w:val="clear" w:color="auto" w:fill="auto"/>
          </w:tcPr>
          <w:p w14:paraId="5B39C7F2" w14:textId="77777777" w:rsidR="000360A0" w:rsidRPr="00570C7B" w:rsidRDefault="000360A0" w:rsidP="00983245">
            <w:r w:rsidRPr="00570C7B">
              <w:t>Per capita</w:t>
            </w:r>
          </w:p>
        </w:tc>
      </w:tr>
    </w:tbl>
    <w:p w14:paraId="411ADD8A" w14:textId="77777777" w:rsidR="00C05E7B" w:rsidRDefault="00C05E7B">
      <w:pPr>
        <w:tabs>
          <w:tab w:val="clear" w:pos="567"/>
        </w:tabs>
        <w:spacing w:before="0" w:line="240" w:lineRule="auto"/>
      </w:pPr>
    </w:p>
    <w:p w14:paraId="357074CE" w14:textId="77777777" w:rsidR="000360A0" w:rsidRDefault="000360A0">
      <w:pPr>
        <w:tabs>
          <w:tab w:val="clear" w:pos="567"/>
        </w:tabs>
        <w:spacing w:before="0" w:line="240" w:lineRule="auto"/>
      </w:pPr>
    </w:p>
    <w:p w14:paraId="2AD222D6" w14:textId="77777777" w:rsidR="00983245" w:rsidRDefault="00983245">
      <w:pPr>
        <w:tabs>
          <w:tab w:val="clear" w:pos="567"/>
        </w:tabs>
        <w:spacing w:before="0" w:line="240" w:lineRule="auto"/>
      </w:pPr>
    </w:p>
    <w:p w14:paraId="337CDC9D" w14:textId="4780D759" w:rsidR="000360A0" w:rsidRDefault="000360A0" w:rsidP="00577948">
      <w:pPr>
        <w:pStyle w:val="Heading1"/>
        <w:numPr>
          <w:ilvl w:val="0"/>
          <w:numId w:val="0"/>
        </w:numPr>
      </w:pPr>
      <w:bookmarkStart w:id="20" w:name="_Toc159676101"/>
      <w:r>
        <w:t>Note</w:t>
      </w:r>
      <w:bookmarkEnd w:id="20"/>
    </w:p>
    <w:p w14:paraId="3B94B909" w14:textId="77777777" w:rsidR="00C25B67" w:rsidRPr="003D7EC0" w:rsidRDefault="00C25B67" w:rsidP="00274381">
      <w:pPr>
        <w:ind w:left="1276" w:hanging="1276"/>
      </w:pPr>
      <w:bookmarkStart w:id="21" w:name="_Toc127804769"/>
      <w:r w:rsidRPr="003D7EC0">
        <w:t xml:space="preserve">State(s): </w:t>
      </w:r>
      <w:r w:rsidRPr="003D7EC0">
        <w:tab/>
        <w:t>Unless the context indicates otherwise, the term ‘state(s)’ includes the ACT and the Northern Territory</w:t>
      </w:r>
      <w:bookmarkEnd w:id="21"/>
      <w:r w:rsidRPr="003D7EC0">
        <w:t xml:space="preserve">. </w:t>
      </w:r>
    </w:p>
    <w:p w14:paraId="3180ED78" w14:textId="77777777" w:rsidR="00623DE9" w:rsidRPr="00623DE9" w:rsidRDefault="00623DE9" w:rsidP="00623DE9">
      <w:pPr>
        <w:pStyle w:val="BodyText"/>
        <w:rPr>
          <w:lang w:eastAsia="en-US"/>
        </w:rPr>
      </w:pPr>
    </w:p>
    <w:p w14:paraId="69CBDB90" w14:textId="41003C6C" w:rsidR="00C05E7B" w:rsidRDefault="00C05E7B">
      <w:pPr>
        <w:tabs>
          <w:tab w:val="clear" w:pos="567"/>
        </w:tabs>
        <w:spacing w:before="0" w:line="240" w:lineRule="auto"/>
        <w:rPr>
          <w:rFonts w:eastAsiaTheme="majorEastAsia" w:cs="Open Sans"/>
          <w:bCs/>
          <w:color w:val="006991"/>
          <w:sz w:val="40"/>
          <w:szCs w:val="40"/>
        </w:rPr>
      </w:pPr>
      <w:r>
        <w:br w:type="page"/>
      </w:r>
    </w:p>
    <w:p w14:paraId="28154AB5" w14:textId="7FA2E6CB" w:rsidR="00897281" w:rsidRDefault="00897281" w:rsidP="0024010E">
      <w:pPr>
        <w:pStyle w:val="Heading1"/>
        <w:numPr>
          <w:ilvl w:val="0"/>
          <w:numId w:val="0"/>
        </w:numPr>
      </w:pPr>
      <w:bookmarkStart w:id="22" w:name="_Toc159676102"/>
      <w:r>
        <w:lastRenderedPageBreak/>
        <w:t>Contents</w:t>
      </w:r>
      <w:bookmarkEnd w:id="22"/>
      <w:r w:rsidR="00E20B7F">
        <w:br/>
      </w:r>
    </w:p>
    <w:p w14:paraId="5756DC13" w14:textId="418117E8" w:rsidR="00C77F83" w:rsidRPr="00236FE7" w:rsidRDefault="00C77F83">
      <w:pPr>
        <w:pStyle w:val="TOC1"/>
        <w:tabs>
          <w:tab w:val="right" w:leader="dot" w:pos="9054"/>
        </w:tabs>
        <w:rPr>
          <w:rFonts w:ascii="Work Sans" w:eastAsiaTheme="minorEastAsia" w:hAnsi="Work Sans"/>
          <w:noProof/>
          <w:kern w:val="2"/>
          <w:sz w:val="22"/>
          <w:lang w:eastAsia="en-AU"/>
          <w14:ligatures w14:val="standardContextual"/>
        </w:rPr>
      </w:pPr>
      <w:r w:rsidRPr="00236FE7">
        <w:rPr>
          <w:rFonts w:ascii="Work Sans" w:hAnsi="Work Sans"/>
        </w:rPr>
        <w:fldChar w:fldCharType="begin"/>
      </w:r>
      <w:r w:rsidRPr="00236FE7">
        <w:rPr>
          <w:rFonts w:ascii="Work Sans" w:hAnsi="Work Sans"/>
        </w:rPr>
        <w:instrText xml:space="preserve"> TOC \o "1-1" \h \z \u </w:instrText>
      </w:r>
      <w:r w:rsidRPr="00236FE7">
        <w:rPr>
          <w:rFonts w:ascii="Work Sans" w:hAnsi="Work Sans"/>
        </w:rPr>
        <w:fldChar w:fldCharType="separate"/>
      </w:r>
      <w:hyperlink w:anchor="_Toc159676097" w:history="1">
        <w:r w:rsidRPr="00236FE7">
          <w:rPr>
            <w:rStyle w:val="Hyperlink"/>
            <w:rFonts w:ascii="Work Sans" w:hAnsi="Work Sans"/>
            <w:noProof/>
          </w:rPr>
          <w:t>Letter of transmittal</w:t>
        </w:r>
        <w:r w:rsidRPr="00236FE7">
          <w:rPr>
            <w:rFonts w:ascii="Work Sans" w:hAnsi="Work Sans"/>
            <w:noProof/>
            <w:webHidden/>
          </w:rPr>
          <w:tab/>
        </w:r>
        <w:r w:rsidRPr="00236FE7">
          <w:rPr>
            <w:rFonts w:ascii="Work Sans" w:hAnsi="Work Sans"/>
            <w:noProof/>
            <w:webHidden/>
          </w:rPr>
          <w:fldChar w:fldCharType="begin"/>
        </w:r>
        <w:r w:rsidRPr="00236FE7">
          <w:rPr>
            <w:rFonts w:ascii="Work Sans" w:hAnsi="Work Sans"/>
            <w:noProof/>
            <w:webHidden/>
          </w:rPr>
          <w:instrText xml:space="preserve"> PAGEREF _Toc159676097 \h </w:instrText>
        </w:r>
        <w:r w:rsidRPr="00236FE7">
          <w:rPr>
            <w:rFonts w:ascii="Work Sans" w:hAnsi="Work Sans"/>
            <w:noProof/>
            <w:webHidden/>
          </w:rPr>
        </w:r>
        <w:r w:rsidRPr="00236FE7">
          <w:rPr>
            <w:rFonts w:ascii="Work Sans" w:hAnsi="Work Sans"/>
            <w:noProof/>
            <w:webHidden/>
          </w:rPr>
          <w:fldChar w:fldCharType="separate"/>
        </w:r>
        <w:r w:rsidR="00047120">
          <w:rPr>
            <w:rFonts w:ascii="Work Sans" w:hAnsi="Work Sans"/>
            <w:noProof/>
            <w:webHidden/>
          </w:rPr>
          <w:t>3</w:t>
        </w:r>
        <w:r w:rsidRPr="00236FE7">
          <w:rPr>
            <w:rFonts w:ascii="Work Sans" w:hAnsi="Work Sans"/>
            <w:noProof/>
            <w:webHidden/>
          </w:rPr>
          <w:fldChar w:fldCharType="end"/>
        </w:r>
      </w:hyperlink>
    </w:p>
    <w:p w14:paraId="3A459693" w14:textId="64DA2944" w:rsidR="00C77F83" w:rsidRPr="00236FE7" w:rsidRDefault="00000000">
      <w:pPr>
        <w:pStyle w:val="TOC1"/>
        <w:tabs>
          <w:tab w:val="right" w:leader="dot" w:pos="9054"/>
        </w:tabs>
        <w:rPr>
          <w:rFonts w:ascii="Work Sans" w:eastAsiaTheme="minorEastAsia" w:hAnsi="Work Sans"/>
          <w:noProof/>
          <w:kern w:val="2"/>
          <w:sz w:val="22"/>
          <w:lang w:eastAsia="en-AU"/>
          <w14:ligatures w14:val="standardContextual"/>
        </w:rPr>
      </w:pPr>
      <w:hyperlink w:anchor="_Toc159676098" w:history="1">
        <w:r w:rsidR="00C77F83" w:rsidRPr="00236FE7">
          <w:rPr>
            <w:rStyle w:val="Hyperlink"/>
            <w:rFonts w:ascii="Work Sans" w:hAnsi="Work Sans"/>
            <w:noProof/>
          </w:rPr>
          <w:t>Acknowledgements</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_Toc159676098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4</w:t>
        </w:r>
        <w:r w:rsidR="00C77F83" w:rsidRPr="00236FE7">
          <w:rPr>
            <w:rFonts w:ascii="Work Sans" w:hAnsi="Work Sans"/>
            <w:noProof/>
            <w:webHidden/>
          </w:rPr>
          <w:fldChar w:fldCharType="end"/>
        </w:r>
      </w:hyperlink>
    </w:p>
    <w:p w14:paraId="1AAE6A42" w14:textId="356BAF15" w:rsidR="00C77F83" w:rsidRPr="00236FE7" w:rsidRDefault="00000000">
      <w:pPr>
        <w:pStyle w:val="TOC1"/>
        <w:tabs>
          <w:tab w:val="right" w:leader="dot" w:pos="9054"/>
        </w:tabs>
        <w:rPr>
          <w:rFonts w:ascii="Work Sans" w:eastAsiaTheme="minorEastAsia" w:hAnsi="Work Sans"/>
          <w:noProof/>
          <w:kern w:val="2"/>
          <w:sz w:val="22"/>
          <w:lang w:eastAsia="en-AU"/>
          <w14:ligatures w14:val="standardContextual"/>
        </w:rPr>
      </w:pPr>
      <w:hyperlink w:anchor="_Toc159676099" w:history="1">
        <w:r w:rsidR="00C77F83" w:rsidRPr="00236FE7">
          <w:rPr>
            <w:rStyle w:val="Hyperlink"/>
            <w:rFonts w:ascii="Work Sans" w:hAnsi="Work Sans"/>
            <w:noProof/>
          </w:rPr>
          <w:t>Terms of reference</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_Toc159676099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5</w:t>
        </w:r>
        <w:r w:rsidR="00C77F83" w:rsidRPr="00236FE7">
          <w:rPr>
            <w:rFonts w:ascii="Work Sans" w:hAnsi="Work Sans"/>
            <w:noProof/>
            <w:webHidden/>
          </w:rPr>
          <w:fldChar w:fldCharType="end"/>
        </w:r>
      </w:hyperlink>
    </w:p>
    <w:p w14:paraId="302F2C30" w14:textId="5048F121" w:rsidR="00C77F83" w:rsidRPr="00236FE7" w:rsidRDefault="00000000">
      <w:pPr>
        <w:pStyle w:val="TOC1"/>
        <w:tabs>
          <w:tab w:val="right" w:leader="dot" w:pos="9054"/>
        </w:tabs>
        <w:rPr>
          <w:rFonts w:ascii="Work Sans" w:eastAsiaTheme="minorEastAsia" w:hAnsi="Work Sans"/>
          <w:noProof/>
          <w:kern w:val="2"/>
          <w:sz w:val="22"/>
          <w:lang w:eastAsia="en-AU"/>
          <w14:ligatures w14:val="standardContextual"/>
        </w:rPr>
      </w:pPr>
      <w:hyperlink w:anchor="_Toc159676100" w:history="1">
        <w:r w:rsidR="00C77F83" w:rsidRPr="00236FE7">
          <w:rPr>
            <w:rStyle w:val="Hyperlink"/>
            <w:rFonts w:ascii="Work Sans" w:hAnsi="Work Sans"/>
            <w:noProof/>
          </w:rPr>
          <w:t>List of acronyms</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_Toc159676100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9</w:t>
        </w:r>
        <w:r w:rsidR="00C77F83" w:rsidRPr="00236FE7">
          <w:rPr>
            <w:rFonts w:ascii="Work Sans" w:hAnsi="Work Sans"/>
            <w:noProof/>
            <w:webHidden/>
          </w:rPr>
          <w:fldChar w:fldCharType="end"/>
        </w:r>
      </w:hyperlink>
    </w:p>
    <w:p w14:paraId="1CBEE87C" w14:textId="49B4EF22" w:rsidR="00C77F83" w:rsidRPr="00236FE7" w:rsidRDefault="00000000">
      <w:pPr>
        <w:pStyle w:val="TOC1"/>
        <w:tabs>
          <w:tab w:val="right" w:leader="dot" w:pos="9054"/>
        </w:tabs>
        <w:rPr>
          <w:rFonts w:ascii="Work Sans" w:eastAsiaTheme="minorEastAsia" w:hAnsi="Work Sans"/>
          <w:noProof/>
          <w:kern w:val="2"/>
          <w:sz w:val="22"/>
          <w:lang w:eastAsia="en-AU"/>
          <w14:ligatures w14:val="standardContextual"/>
        </w:rPr>
      </w:pPr>
      <w:hyperlink w:anchor="_Toc159676101" w:history="1">
        <w:r w:rsidR="00C77F83" w:rsidRPr="00236FE7">
          <w:rPr>
            <w:rStyle w:val="Hyperlink"/>
            <w:rFonts w:ascii="Work Sans" w:hAnsi="Work Sans"/>
            <w:noProof/>
          </w:rPr>
          <w:t>Note</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_Toc159676101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9</w:t>
        </w:r>
        <w:r w:rsidR="00C77F83" w:rsidRPr="00236FE7">
          <w:rPr>
            <w:rFonts w:ascii="Work Sans" w:hAnsi="Work Sans"/>
            <w:noProof/>
            <w:webHidden/>
          </w:rPr>
          <w:fldChar w:fldCharType="end"/>
        </w:r>
      </w:hyperlink>
    </w:p>
    <w:p w14:paraId="62E9959E" w14:textId="5DC00937" w:rsidR="00C77F83" w:rsidRPr="00236FE7" w:rsidRDefault="00000000">
      <w:pPr>
        <w:pStyle w:val="TOC1"/>
        <w:tabs>
          <w:tab w:val="right" w:leader="dot" w:pos="9054"/>
        </w:tabs>
        <w:rPr>
          <w:rFonts w:ascii="Work Sans" w:eastAsiaTheme="minorEastAsia" w:hAnsi="Work Sans"/>
          <w:noProof/>
          <w:kern w:val="2"/>
          <w:sz w:val="22"/>
          <w:lang w:eastAsia="en-AU"/>
          <w14:ligatures w14:val="standardContextual"/>
        </w:rPr>
      </w:pPr>
      <w:hyperlink w:anchor="_Toc159676102" w:history="1">
        <w:r w:rsidR="00C77F83" w:rsidRPr="00236FE7">
          <w:rPr>
            <w:rStyle w:val="Hyperlink"/>
            <w:rFonts w:ascii="Work Sans" w:hAnsi="Work Sans"/>
            <w:noProof/>
          </w:rPr>
          <w:t>Contents</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_Toc159676102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10</w:t>
        </w:r>
        <w:r w:rsidR="00C77F83" w:rsidRPr="00236FE7">
          <w:rPr>
            <w:rFonts w:ascii="Work Sans" w:hAnsi="Work Sans"/>
            <w:noProof/>
            <w:webHidden/>
          </w:rPr>
          <w:fldChar w:fldCharType="end"/>
        </w:r>
      </w:hyperlink>
    </w:p>
    <w:p w14:paraId="361DAD8F" w14:textId="2E04A671" w:rsidR="00C77F83" w:rsidRPr="00236FE7" w:rsidRDefault="00000000">
      <w:pPr>
        <w:pStyle w:val="TOC1"/>
        <w:tabs>
          <w:tab w:val="right" w:leader="dot" w:pos="9054"/>
        </w:tabs>
        <w:rPr>
          <w:rFonts w:ascii="Work Sans" w:eastAsiaTheme="minorEastAsia" w:hAnsi="Work Sans"/>
          <w:noProof/>
          <w:kern w:val="2"/>
          <w:sz w:val="22"/>
          <w:lang w:eastAsia="en-AU"/>
          <w14:ligatures w14:val="standardContextual"/>
        </w:rPr>
      </w:pPr>
      <w:hyperlink w:anchor="_Toc159676103" w:history="1">
        <w:r w:rsidR="00C77F83" w:rsidRPr="00236FE7">
          <w:rPr>
            <w:rStyle w:val="Hyperlink"/>
            <w:rFonts w:ascii="Work Sans" w:hAnsi="Work Sans"/>
            <w:noProof/>
          </w:rPr>
          <w:t>Executive summary</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_Toc159676103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11</w:t>
        </w:r>
        <w:r w:rsidR="00C77F83" w:rsidRPr="00236FE7">
          <w:rPr>
            <w:rFonts w:ascii="Work Sans" w:hAnsi="Work Sans"/>
            <w:noProof/>
            <w:webHidden/>
          </w:rPr>
          <w:fldChar w:fldCharType="end"/>
        </w:r>
      </w:hyperlink>
    </w:p>
    <w:p w14:paraId="2B9814A7" w14:textId="4B74B409" w:rsidR="00C77F83" w:rsidRPr="00236FE7" w:rsidRDefault="00000000">
      <w:pPr>
        <w:pStyle w:val="TOC1"/>
        <w:tabs>
          <w:tab w:val="right" w:leader="dot" w:pos="9054"/>
        </w:tabs>
        <w:rPr>
          <w:rFonts w:ascii="Work Sans" w:eastAsiaTheme="minorEastAsia" w:hAnsi="Work Sans"/>
          <w:noProof/>
          <w:kern w:val="2"/>
          <w:sz w:val="22"/>
          <w:lang w:eastAsia="en-AU"/>
          <w14:ligatures w14:val="standardContextual"/>
        </w:rPr>
      </w:pPr>
      <w:hyperlink w:anchor="_Toc159676104" w:history="1">
        <w:r w:rsidR="00C77F83" w:rsidRPr="00236FE7">
          <w:rPr>
            <w:rStyle w:val="Hyperlink"/>
            <w:rFonts w:ascii="Work Sans" w:hAnsi="Work Sans"/>
            <w:noProof/>
          </w:rPr>
          <w:t>Introduction</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_Toc159676104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15</w:t>
        </w:r>
        <w:r w:rsidR="00C77F83" w:rsidRPr="00236FE7">
          <w:rPr>
            <w:rFonts w:ascii="Work Sans" w:hAnsi="Work Sans"/>
            <w:noProof/>
            <w:webHidden/>
          </w:rPr>
          <w:fldChar w:fldCharType="end"/>
        </w:r>
      </w:hyperlink>
    </w:p>
    <w:p w14:paraId="045D0C02" w14:textId="3C1D7831" w:rsidR="00C77F83" w:rsidRPr="00236FE7" w:rsidRDefault="00000000">
      <w:pPr>
        <w:pStyle w:val="TOC1"/>
        <w:tabs>
          <w:tab w:val="left" w:pos="400"/>
          <w:tab w:val="right" w:leader="dot" w:pos="9054"/>
        </w:tabs>
        <w:rPr>
          <w:rFonts w:ascii="Work Sans" w:eastAsiaTheme="minorEastAsia" w:hAnsi="Work Sans"/>
          <w:noProof/>
          <w:kern w:val="2"/>
          <w:sz w:val="22"/>
          <w:lang w:eastAsia="en-AU"/>
          <w14:ligatures w14:val="standardContextual"/>
        </w:rPr>
      </w:pPr>
      <w:hyperlink w:anchor="_Toc159676105" w:history="1">
        <w:r w:rsidR="00C77F83" w:rsidRPr="00236FE7">
          <w:rPr>
            <w:rStyle w:val="Hyperlink"/>
            <w:rFonts w:ascii="Work Sans" w:hAnsi="Work Sans"/>
            <w:noProof/>
          </w:rPr>
          <w:t>1.</w:t>
        </w:r>
        <w:r w:rsidR="00C77F83" w:rsidRPr="00236FE7">
          <w:rPr>
            <w:rFonts w:ascii="Work Sans" w:eastAsiaTheme="minorEastAsia" w:hAnsi="Work Sans"/>
            <w:noProof/>
            <w:kern w:val="2"/>
            <w:sz w:val="22"/>
            <w:lang w:eastAsia="en-AU"/>
            <w14:ligatures w14:val="standardContextual"/>
          </w:rPr>
          <w:tab/>
        </w:r>
        <w:r w:rsidR="00C77F83" w:rsidRPr="00236FE7">
          <w:rPr>
            <w:rStyle w:val="Hyperlink"/>
            <w:rFonts w:ascii="Work Sans" w:hAnsi="Work Sans"/>
            <w:noProof/>
          </w:rPr>
          <w:t>Recommended GST relativities</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_Toc159676105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16</w:t>
        </w:r>
        <w:r w:rsidR="00C77F83" w:rsidRPr="00236FE7">
          <w:rPr>
            <w:rFonts w:ascii="Work Sans" w:hAnsi="Work Sans"/>
            <w:noProof/>
            <w:webHidden/>
          </w:rPr>
          <w:fldChar w:fldCharType="end"/>
        </w:r>
      </w:hyperlink>
    </w:p>
    <w:p w14:paraId="00A26B31" w14:textId="6DBBA767" w:rsidR="00C77F83" w:rsidRPr="00236FE7" w:rsidRDefault="00000000">
      <w:pPr>
        <w:pStyle w:val="TOC1"/>
        <w:tabs>
          <w:tab w:val="left" w:pos="400"/>
          <w:tab w:val="right" w:leader="dot" w:pos="9054"/>
        </w:tabs>
        <w:rPr>
          <w:rFonts w:ascii="Work Sans" w:eastAsiaTheme="minorEastAsia" w:hAnsi="Work Sans"/>
          <w:noProof/>
          <w:kern w:val="2"/>
          <w:sz w:val="22"/>
          <w:lang w:eastAsia="en-AU"/>
          <w14:ligatures w14:val="standardContextual"/>
        </w:rPr>
      </w:pPr>
      <w:hyperlink w:anchor="_Toc159676106" w:history="1">
        <w:r w:rsidR="00C77F83" w:rsidRPr="00236FE7">
          <w:rPr>
            <w:rStyle w:val="Hyperlink"/>
            <w:rFonts w:ascii="Work Sans" w:hAnsi="Work Sans"/>
            <w:noProof/>
          </w:rPr>
          <w:t>2.</w:t>
        </w:r>
        <w:r w:rsidR="00C77F83" w:rsidRPr="00236FE7">
          <w:rPr>
            <w:rFonts w:ascii="Work Sans" w:eastAsiaTheme="minorEastAsia" w:hAnsi="Work Sans"/>
            <w:noProof/>
            <w:kern w:val="2"/>
            <w:sz w:val="22"/>
            <w:lang w:eastAsia="en-AU"/>
            <w14:ligatures w14:val="standardContextual"/>
          </w:rPr>
          <w:tab/>
        </w:r>
        <w:r w:rsidR="00C77F83" w:rsidRPr="00236FE7">
          <w:rPr>
            <w:rStyle w:val="Hyperlink"/>
            <w:rFonts w:ascii="Work Sans" w:hAnsi="Work Sans"/>
            <w:noProof/>
          </w:rPr>
          <w:t>Drivers of GST distribution</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_Toc159676106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27</w:t>
        </w:r>
        <w:r w:rsidR="00C77F83" w:rsidRPr="00236FE7">
          <w:rPr>
            <w:rFonts w:ascii="Work Sans" w:hAnsi="Work Sans"/>
            <w:noProof/>
            <w:webHidden/>
          </w:rPr>
          <w:fldChar w:fldCharType="end"/>
        </w:r>
      </w:hyperlink>
    </w:p>
    <w:p w14:paraId="71F6EEB2" w14:textId="766C3056" w:rsidR="00C77F83" w:rsidRPr="00236FE7" w:rsidRDefault="00000000">
      <w:pPr>
        <w:pStyle w:val="TOC1"/>
        <w:tabs>
          <w:tab w:val="left" w:pos="400"/>
          <w:tab w:val="right" w:leader="dot" w:pos="9054"/>
        </w:tabs>
        <w:rPr>
          <w:rFonts w:ascii="Work Sans" w:eastAsiaTheme="minorEastAsia" w:hAnsi="Work Sans"/>
          <w:noProof/>
          <w:kern w:val="2"/>
          <w:sz w:val="22"/>
          <w:lang w:eastAsia="en-AU"/>
          <w14:ligatures w14:val="standardContextual"/>
        </w:rPr>
      </w:pPr>
      <w:hyperlink w:anchor="_Toc159676107" w:history="1">
        <w:r w:rsidR="00C77F83" w:rsidRPr="00236FE7">
          <w:rPr>
            <w:rStyle w:val="Hyperlink"/>
            <w:rFonts w:ascii="Work Sans" w:hAnsi="Work Sans"/>
            <w:noProof/>
          </w:rPr>
          <w:t>3.</w:t>
        </w:r>
        <w:r w:rsidR="00C77F83" w:rsidRPr="00236FE7">
          <w:rPr>
            <w:rFonts w:ascii="Work Sans" w:eastAsiaTheme="minorEastAsia" w:hAnsi="Work Sans"/>
            <w:noProof/>
            <w:kern w:val="2"/>
            <w:sz w:val="22"/>
            <w:lang w:eastAsia="en-AU"/>
            <w14:ligatures w14:val="standardContextual"/>
          </w:rPr>
          <w:tab/>
        </w:r>
        <w:r w:rsidR="00C77F83" w:rsidRPr="00236FE7">
          <w:rPr>
            <w:rStyle w:val="Hyperlink"/>
            <w:rFonts w:ascii="Work Sans" w:hAnsi="Work Sans"/>
            <w:noProof/>
          </w:rPr>
          <w:t>State by state changes</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_Toc159676107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42</w:t>
        </w:r>
        <w:r w:rsidR="00C77F83" w:rsidRPr="00236FE7">
          <w:rPr>
            <w:rFonts w:ascii="Work Sans" w:hAnsi="Work Sans"/>
            <w:noProof/>
            <w:webHidden/>
          </w:rPr>
          <w:fldChar w:fldCharType="end"/>
        </w:r>
      </w:hyperlink>
    </w:p>
    <w:p w14:paraId="29300FD6" w14:textId="746B3BD0" w:rsidR="00C77F83" w:rsidRPr="00236FE7" w:rsidRDefault="00000000">
      <w:pPr>
        <w:pStyle w:val="TOC1"/>
        <w:tabs>
          <w:tab w:val="right" w:leader="dot" w:pos="9054"/>
        </w:tabs>
        <w:rPr>
          <w:rFonts w:ascii="Work Sans" w:eastAsiaTheme="minorEastAsia" w:hAnsi="Work Sans"/>
          <w:noProof/>
          <w:kern w:val="2"/>
          <w:sz w:val="22"/>
          <w:lang w:eastAsia="en-AU"/>
          <w14:ligatures w14:val="standardContextual"/>
        </w:rPr>
      </w:pPr>
      <w:hyperlink w:anchor="_Toc159676108" w:history="1">
        <w:r w:rsidR="00C77F83" w:rsidRPr="00236FE7">
          <w:rPr>
            <w:rStyle w:val="Hyperlink"/>
            <w:rFonts w:ascii="Work Sans" w:hAnsi="Work Sans"/>
            <w:noProof/>
          </w:rPr>
          <w:t>Attachment A: GST distribution since 2000–</w:t>
        </w:r>
        <w:r w:rsidR="00C77F83" w:rsidRPr="00236FE7">
          <w:rPr>
            <w:rStyle w:val="Hyperlink"/>
            <w:rFonts w:ascii="Work Sans" w:hAnsi="Work Sans" w:cs="Times New Roman"/>
            <w:noProof/>
            <w:rtl/>
          </w:rPr>
          <w:t>‍</w:t>
        </w:r>
        <w:r w:rsidR="00C77F83" w:rsidRPr="00236FE7">
          <w:rPr>
            <w:rStyle w:val="Hyperlink"/>
            <w:rFonts w:ascii="Work Sans" w:hAnsi="Work Sans"/>
            <w:noProof/>
          </w:rPr>
          <w:t>01</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_Toc159676108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60</w:t>
        </w:r>
        <w:r w:rsidR="00C77F83" w:rsidRPr="00236FE7">
          <w:rPr>
            <w:rFonts w:ascii="Work Sans" w:hAnsi="Work Sans"/>
            <w:noProof/>
            <w:webHidden/>
          </w:rPr>
          <w:fldChar w:fldCharType="end"/>
        </w:r>
      </w:hyperlink>
    </w:p>
    <w:p w14:paraId="33DC5CC9" w14:textId="1E38DB78" w:rsidR="00C77F83" w:rsidRPr="00236FE7" w:rsidRDefault="00000000">
      <w:pPr>
        <w:pStyle w:val="TOC1"/>
        <w:tabs>
          <w:tab w:val="right" w:leader="dot" w:pos="9054"/>
        </w:tabs>
        <w:rPr>
          <w:rFonts w:ascii="Work Sans" w:eastAsiaTheme="minorEastAsia" w:hAnsi="Work Sans"/>
          <w:noProof/>
          <w:kern w:val="2"/>
          <w:sz w:val="22"/>
          <w:lang w:eastAsia="en-AU"/>
          <w14:ligatures w14:val="standardContextual"/>
        </w:rPr>
      </w:pPr>
      <w:hyperlink w:anchor="_Toc159676109" w:history="1">
        <w:r w:rsidR="00C77F83" w:rsidRPr="00236FE7">
          <w:rPr>
            <w:rStyle w:val="Hyperlink"/>
            <w:rFonts w:ascii="Work Sans" w:hAnsi="Work Sans"/>
            <w:noProof/>
          </w:rPr>
          <w:t>Attachment B: Quality assurance</w:t>
        </w:r>
        <w:r w:rsidR="00C77F83" w:rsidRPr="00236FE7">
          <w:rPr>
            <w:rFonts w:ascii="Work Sans" w:hAnsi="Work Sans"/>
            <w:noProof/>
            <w:webHidden/>
          </w:rPr>
          <w:tab/>
        </w:r>
        <w:r w:rsidR="00C77F83" w:rsidRPr="00236FE7">
          <w:rPr>
            <w:rFonts w:ascii="Work Sans" w:hAnsi="Work Sans"/>
            <w:noProof/>
            <w:webHidden/>
          </w:rPr>
          <w:fldChar w:fldCharType="begin"/>
        </w:r>
        <w:r w:rsidR="00C77F83" w:rsidRPr="00236FE7">
          <w:rPr>
            <w:rFonts w:ascii="Work Sans" w:hAnsi="Work Sans"/>
            <w:noProof/>
            <w:webHidden/>
          </w:rPr>
          <w:instrText xml:space="preserve"> PAGEREF _Toc159676109 \h </w:instrText>
        </w:r>
        <w:r w:rsidR="00C77F83" w:rsidRPr="00236FE7">
          <w:rPr>
            <w:rFonts w:ascii="Work Sans" w:hAnsi="Work Sans"/>
            <w:noProof/>
            <w:webHidden/>
          </w:rPr>
        </w:r>
        <w:r w:rsidR="00C77F83" w:rsidRPr="00236FE7">
          <w:rPr>
            <w:rFonts w:ascii="Work Sans" w:hAnsi="Work Sans"/>
            <w:noProof/>
            <w:webHidden/>
          </w:rPr>
          <w:fldChar w:fldCharType="separate"/>
        </w:r>
        <w:r w:rsidR="00047120">
          <w:rPr>
            <w:rFonts w:ascii="Work Sans" w:hAnsi="Work Sans"/>
            <w:noProof/>
            <w:webHidden/>
          </w:rPr>
          <w:t>65</w:t>
        </w:r>
        <w:r w:rsidR="00C77F83" w:rsidRPr="00236FE7">
          <w:rPr>
            <w:rFonts w:ascii="Work Sans" w:hAnsi="Work Sans"/>
            <w:noProof/>
            <w:webHidden/>
          </w:rPr>
          <w:fldChar w:fldCharType="end"/>
        </w:r>
      </w:hyperlink>
    </w:p>
    <w:p w14:paraId="26368C76" w14:textId="27E04EE8" w:rsidR="00274381" w:rsidRDefault="00C77F83" w:rsidP="00897281">
      <w:pPr>
        <w:pStyle w:val="TOC1"/>
      </w:pPr>
      <w:r w:rsidRPr="00236FE7">
        <w:rPr>
          <w:rFonts w:ascii="Work Sans" w:hAnsi="Work Sans"/>
        </w:rPr>
        <w:fldChar w:fldCharType="end"/>
      </w:r>
    </w:p>
    <w:p w14:paraId="33F90F75" w14:textId="77777777" w:rsidR="00274381" w:rsidRDefault="00274381">
      <w:pPr>
        <w:tabs>
          <w:tab w:val="clear" w:pos="567"/>
        </w:tabs>
        <w:spacing w:before="0" w:line="240" w:lineRule="auto"/>
      </w:pPr>
    </w:p>
    <w:p w14:paraId="56BCC93C" w14:textId="77777777" w:rsidR="00274381" w:rsidRDefault="00274381">
      <w:pPr>
        <w:tabs>
          <w:tab w:val="clear" w:pos="567"/>
        </w:tabs>
        <w:spacing w:before="0" w:line="240" w:lineRule="auto"/>
      </w:pPr>
    </w:p>
    <w:p w14:paraId="244F0BDA" w14:textId="77777777" w:rsidR="00274381" w:rsidRDefault="00274381">
      <w:pPr>
        <w:tabs>
          <w:tab w:val="clear" w:pos="567"/>
        </w:tabs>
        <w:spacing w:before="0" w:line="240" w:lineRule="auto"/>
      </w:pPr>
    </w:p>
    <w:p w14:paraId="49F51373" w14:textId="77777777" w:rsidR="00274381" w:rsidRDefault="00274381">
      <w:pPr>
        <w:tabs>
          <w:tab w:val="clear" w:pos="567"/>
        </w:tabs>
        <w:spacing w:before="0" w:line="240" w:lineRule="auto"/>
      </w:pPr>
    </w:p>
    <w:p w14:paraId="20F9FEFC" w14:textId="0786659E" w:rsidR="00274381" w:rsidRDefault="00274381">
      <w:pPr>
        <w:tabs>
          <w:tab w:val="clear" w:pos="567"/>
        </w:tabs>
        <w:spacing w:before="0" w:line="240" w:lineRule="auto"/>
        <w:rPr>
          <w:rFonts w:eastAsiaTheme="majorEastAsia" w:cs="Open Sans"/>
          <w:bCs/>
          <w:color w:val="006991"/>
          <w:sz w:val="40"/>
          <w:szCs w:val="40"/>
        </w:rPr>
      </w:pPr>
      <w:r>
        <w:br w:type="page"/>
      </w:r>
    </w:p>
    <w:p w14:paraId="0615D871" w14:textId="40F48741" w:rsidR="009929FD" w:rsidRPr="00D825A0" w:rsidRDefault="009929FD" w:rsidP="00577948">
      <w:pPr>
        <w:pStyle w:val="Heading1"/>
        <w:numPr>
          <w:ilvl w:val="0"/>
          <w:numId w:val="0"/>
        </w:numPr>
      </w:pPr>
      <w:bookmarkStart w:id="23" w:name="_Toc159676103"/>
      <w:r>
        <w:rPr>
          <w:noProof/>
        </w:rPr>
        <w:lastRenderedPageBreak/>
        <mc:AlternateContent>
          <mc:Choice Requires="wps">
            <w:drawing>
              <wp:anchor distT="45720" distB="45720" distL="114300" distR="114300" simplePos="0" relativeHeight="251658244" behindDoc="0" locked="0" layoutInCell="1" allowOverlap="1" wp14:anchorId="4C44348C" wp14:editId="68D2C494">
                <wp:simplePos x="0" y="0"/>
                <wp:positionH relativeFrom="margin">
                  <wp:align>left</wp:align>
                </wp:positionH>
                <wp:positionV relativeFrom="paragraph">
                  <wp:posOffset>584200</wp:posOffset>
                </wp:positionV>
                <wp:extent cx="5862955" cy="8640000"/>
                <wp:effectExtent l="0" t="0" r="23495" b="2794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2955" cy="8640000"/>
                        </a:xfrm>
                        <a:prstGeom prst="rect">
                          <a:avLst/>
                        </a:prstGeom>
                        <a:solidFill>
                          <a:srgbClr val="E5F8FF"/>
                        </a:solidFill>
                        <a:ln w="9525">
                          <a:solidFill>
                            <a:schemeClr val="bg1"/>
                          </a:solidFill>
                          <a:miter lim="800000"/>
                          <a:headEnd/>
                          <a:tailEnd/>
                        </a:ln>
                      </wps:spPr>
                      <wps:txbx>
                        <w:txbxContent>
                          <w:p w14:paraId="60E15728" w14:textId="1A780CCD" w:rsidR="00CC7807" w:rsidRPr="00756539" w:rsidRDefault="00CC7807" w:rsidP="00437F9F">
                            <w:pPr>
                              <w:ind w:right="6"/>
                            </w:pPr>
                            <w:r w:rsidRPr="00756539">
                              <w:t>The 2024 Update presents the Commission’s recommended GST relativities for 2024–25.</w:t>
                            </w:r>
                          </w:p>
                          <w:p w14:paraId="3FD97731" w14:textId="77777777" w:rsidR="00CC7807" w:rsidRPr="00756539" w:rsidRDefault="00CC7807" w:rsidP="00437F9F">
                            <w:pPr>
                              <w:pStyle w:val="Heading2"/>
                              <w:ind w:right="6"/>
                            </w:pPr>
                            <w:bookmarkStart w:id="24" w:name="_Toc127786109"/>
                            <w:bookmarkStart w:id="25" w:name="_Toc127786240"/>
                            <w:bookmarkStart w:id="26" w:name="_Toc127786541"/>
                            <w:bookmarkStart w:id="27" w:name="_Toc127786866"/>
                            <w:bookmarkStart w:id="28" w:name="_Toc127787083"/>
                            <w:bookmarkStart w:id="29" w:name="_Toc127788019"/>
                            <w:bookmarkStart w:id="30" w:name="_Toc127802148"/>
                            <w:bookmarkStart w:id="31" w:name="_Toc127804771"/>
                            <w:r w:rsidRPr="00756539">
                              <w:t>Recommended GST relativities</w:t>
                            </w:r>
                            <w:bookmarkEnd w:id="24"/>
                            <w:bookmarkEnd w:id="25"/>
                            <w:bookmarkEnd w:id="26"/>
                            <w:bookmarkEnd w:id="27"/>
                            <w:bookmarkEnd w:id="28"/>
                            <w:bookmarkEnd w:id="29"/>
                            <w:bookmarkEnd w:id="30"/>
                            <w:bookmarkEnd w:id="31"/>
                          </w:p>
                          <w:p w14:paraId="14BE6E97" w14:textId="2BCDD378" w:rsidR="00CC7807" w:rsidRPr="00756539" w:rsidRDefault="00CC7807" w:rsidP="00437F9F">
                            <w:pPr>
                              <w:ind w:right="6"/>
                            </w:pPr>
                            <w:r w:rsidRPr="00756539">
                              <w:t>The table below sets out the distribution of the estimated GST pool in 2024</w:t>
                            </w:r>
                            <w:r w:rsidR="00064B69">
                              <w:t>–</w:t>
                            </w:r>
                            <w:r w:rsidRPr="00756539">
                              <w:t>25, based on the Commission’s recommended GST relativities. The table compares the 2024 Update with 2023</w:t>
                            </w:r>
                            <w:r w:rsidR="00E875D0">
                              <w:t>–</w:t>
                            </w:r>
                            <w:r w:rsidRPr="00756539">
                              <w:t>24, showing each state and territory’s (state’s) GST relativity, share of the GST pool, and estimated amount of GST.</w:t>
                            </w:r>
                          </w:p>
                          <w:p w14:paraId="68A55DE3" w14:textId="2DE46076" w:rsidR="00CC7807" w:rsidRPr="00756539" w:rsidRDefault="00CC7807" w:rsidP="00437F9F">
                            <w:pPr>
                              <w:ind w:right="6"/>
                            </w:pPr>
                            <w:r w:rsidRPr="00756539">
                              <w:t>This table, and most of the tables and analysis in this report, do not</w:t>
                            </w:r>
                            <w:r w:rsidRPr="00756539" w:rsidDel="004F65CE">
                              <w:t xml:space="preserve"> </w:t>
                            </w:r>
                            <w:r w:rsidRPr="00756539">
                              <w:t xml:space="preserve">include no worse off payments provided by the Commonwealth under the 2018 legislated arrangements. Information on no worse off payments is provided at the end of this Executive Summary and in </w:t>
                            </w:r>
                            <w:hyperlink w:anchor="Recommend_GST_Relativities" w:history="1">
                              <w:r w:rsidRPr="00961FA6">
                                <w:rPr>
                                  <w:rStyle w:val="Hyperlink"/>
                                  <w:color w:val="auto"/>
                                  <w:u w:val="none"/>
                                </w:rPr>
                                <w:t>Chapter 1</w:t>
                              </w:r>
                            </w:hyperlink>
                            <w:r w:rsidRPr="00756539">
                              <w:t>.</w:t>
                            </w:r>
                          </w:p>
                          <w:p w14:paraId="2B0FAECC" w14:textId="5F79D7F9" w:rsidR="00CC7807" w:rsidRDefault="00CC7807" w:rsidP="00437F9F">
                            <w:pPr>
                              <w:pStyle w:val="Tableheading"/>
                              <w:ind w:right="6"/>
                            </w:pPr>
                            <w:r w:rsidRPr="00756539">
                              <w:t>GST relativities, shares and estimated GST distribution, 2023</w:t>
                            </w:r>
                            <w:r w:rsidR="00575390">
                              <w:t>–</w:t>
                            </w:r>
                            <w:r w:rsidRPr="00756539">
                              <w:t>24 and 2024</w:t>
                            </w:r>
                            <w:r w:rsidR="00575390">
                              <w:t>–</w:t>
                            </w:r>
                            <w:r w:rsidRPr="00756539">
                              <w:t>25 (excludes no worse off payments)</w:t>
                            </w:r>
                          </w:p>
                          <w:tbl>
                            <w:tblPr>
                              <w:tblW w:w="8900" w:type="dxa"/>
                              <w:tblLook w:val="04A0" w:firstRow="1" w:lastRow="0" w:firstColumn="1" w:lastColumn="0" w:noHBand="0" w:noVBand="1"/>
                            </w:tblPr>
                            <w:tblGrid>
                              <w:gridCol w:w="2599"/>
                              <w:gridCol w:w="880"/>
                              <w:gridCol w:w="880"/>
                              <w:gridCol w:w="880"/>
                              <w:gridCol w:w="880"/>
                              <w:gridCol w:w="880"/>
                              <w:gridCol w:w="880"/>
                              <w:gridCol w:w="1021"/>
                            </w:tblGrid>
                            <w:tr w:rsidR="00622790" w:rsidRPr="00622790" w14:paraId="5517A219" w14:textId="77777777" w:rsidTr="00622790">
                              <w:trPr>
                                <w:trHeight w:val="379"/>
                              </w:trPr>
                              <w:tc>
                                <w:tcPr>
                                  <w:tcW w:w="2620" w:type="dxa"/>
                                  <w:tcBorders>
                                    <w:top w:val="nil"/>
                                    <w:left w:val="nil"/>
                                    <w:bottom w:val="single" w:sz="4" w:space="0" w:color="ADD6EA"/>
                                    <w:right w:val="nil"/>
                                  </w:tcBorders>
                                  <w:shd w:val="clear" w:color="000000" w:fill="006991"/>
                                  <w:vAlign w:val="bottom"/>
                                  <w:hideMark/>
                                </w:tcPr>
                                <w:p w14:paraId="02216181" w14:textId="77777777" w:rsidR="00622790" w:rsidRPr="00622790" w:rsidRDefault="00622790" w:rsidP="00622790">
                                  <w:pPr>
                                    <w:tabs>
                                      <w:tab w:val="clear" w:pos="567"/>
                                    </w:tabs>
                                    <w:spacing w:before="0" w:line="240" w:lineRule="auto"/>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 </w:t>
                                  </w:r>
                                </w:p>
                              </w:tc>
                              <w:tc>
                                <w:tcPr>
                                  <w:tcW w:w="1760" w:type="dxa"/>
                                  <w:gridSpan w:val="2"/>
                                  <w:tcBorders>
                                    <w:top w:val="nil"/>
                                    <w:left w:val="nil"/>
                                    <w:bottom w:val="single" w:sz="4" w:space="0" w:color="ADD6EA"/>
                                    <w:right w:val="nil"/>
                                  </w:tcBorders>
                                  <w:shd w:val="clear" w:color="000000" w:fill="006991"/>
                                  <w:vAlign w:val="center"/>
                                  <w:hideMark/>
                                </w:tcPr>
                                <w:p w14:paraId="55A637DA" w14:textId="77777777" w:rsidR="00622790" w:rsidRPr="00622790" w:rsidRDefault="00622790" w:rsidP="00622790">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GST relativities</w:t>
                                  </w:r>
                                </w:p>
                              </w:tc>
                              <w:tc>
                                <w:tcPr>
                                  <w:tcW w:w="1760" w:type="dxa"/>
                                  <w:gridSpan w:val="2"/>
                                  <w:tcBorders>
                                    <w:top w:val="nil"/>
                                    <w:left w:val="nil"/>
                                    <w:bottom w:val="single" w:sz="4" w:space="0" w:color="ADD6EA"/>
                                    <w:right w:val="nil"/>
                                  </w:tcBorders>
                                  <w:shd w:val="clear" w:color="000000" w:fill="006991"/>
                                  <w:vAlign w:val="center"/>
                                  <w:hideMark/>
                                </w:tcPr>
                                <w:p w14:paraId="64B9838E" w14:textId="77777777" w:rsidR="00622790" w:rsidRPr="00622790" w:rsidRDefault="00622790" w:rsidP="00622790">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GST shares</w:t>
                                  </w:r>
                                </w:p>
                              </w:tc>
                              <w:tc>
                                <w:tcPr>
                                  <w:tcW w:w="2760" w:type="dxa"/>
                                  <w:gridSpan w:val="3"/>
                                  <w:tcBorders>
                                    <w:top w:val="nil"/>
                                    <w:left w:val="nil"/>
                                    <w:bottom w:val="single" w:sz="4" w:space="0" w:color="ADD6EA"/>
                                    <w:right w:val="nil"/>
                                  </w:tcBorders>
                                  <w:shd w:val="clear" w:color="000000" w:fill="006991"/>
                                  <w:vAlign w:val="center"/>
                                  <w:hideMark/>
                                </w:tcPr>
                                <w:p w14:paraId="3BF8DBDE" w14:textId="77777777" w:rsidR="00622790" w:rsidRPr="00622790" w:rsidRDefault="00622790" w:rsidP="00622790">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GST distribution</w:t>
                                  </w:r>
                                </w:p>
                              </w:tc>
                            </w:tr>
                            <w:tr w:rsidR="00622790" w:rsidRPr="00622790" w14:paraId="664DDA72" w14:textId="77777777" w:rsidTr="00622790">
                              <w:trPr>
                                <w:trHeight w:val="315"/>
                              </w:trPr>
                              <w:tc>
                                <w:tcPr>
                                  <w:tcW w:w="2620" w:type="dxa"/>
                                  <w:tcBorders>
                                    <w:top w:val="nil"/>
                                    <w:left w:val="nil"/>
                                    <w:bottom w:val="nil"/>
                                    <w:right w:val="nil"/>
                                  </w:tcBorders>
                                  <w:shd w:val="clear" w:color="000000" w:fill="006991"/>
                                  <w:vAlign w:val="bottom"/>
                                  <w:hideMark/>
                                </w:tcPr>
                                <w:p w14:paraId="06B279BE" w14:textId="77777777" w:rsidR="00622790" w:rsidRPr="00622790" w:rsidRDefault="00622790" w:rsidP="00622790">
                                  <w:pPr>
                                    <w:tabs>
                                      <w:tab w:val="clear" w:pos="567"/>
                                    </w:tabs>
                                    <w:spacing w:before="0" w:line="240" w:lineRule="auto"/>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 </w:t>
                                  </w:r>
                                </w:p>
                              </w:tc>
                              <w:tc>
                                <w:tcPr>
                                  <w:tcW w:w="880" w:type="dxa"/>
                                  <w:tcBorders>
                                    <w:top w:val="nil"/>
                                    <w:left w:val="nil"/>
                                    <w:bottom w:val="nil"/>
                                    <w:right w:val="nil"/>
                                  </w:tcBorders>
                                  <w:shd w:val="clear" w:color="000000" w:fill="006991"/>
                                  <w:vAlign w:val="center"/>
                                  <w:hideMark/>
                                </w:tcPr>
                                <w:p w14:paraId="07F52DA4"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2023-24</w:t>
                                  </w:r>
                                </w:p>
                              </w:tc>
                              <w:tc>
                                <w:tcPr>
                                  <w:tcW w:w="880" w:type="dxa"/>
                                  <w:tcBorders>
                                    <w:top w:val="nil"/>
                                    <w:left w:val="nil"/>
                                    <w:bottom w:val="nil"/>
                                    <w:right w:val="nil"/>
                                  </w:tcBorders>
                                  <w:shd w:val="clear" w:color="000000" w:fill="006991"/>
                                  <w:vAlign w:val="center"/>
                                  <w:hideMark/>
                                </w:tcPr>
                                <w:p w14:paraId="63E4A838"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2024-25</w:t>
                                  </w:r>
                                </w:p>
                              </w:tc>
                              <w:tc>
                                <w:tcPr>
                                  <w:tcW w:w="880" w:type="dxa"/>
                                  <w:tcBorders>
                                    <w:top w:val="nil"/>
                                    <w:left w:val="nil"/>
                                    <w:bottom w:val="nil"/>
                                    <w:right w:val="nil"/>
                                  </w:tcBorders>
                                  <w:shd w:val="clear" w:color="000000" w:fill="006991"/>
                                  <w:vAlign w:val="center"/>
                                  <w:hideMark/>
                                </w:tcPr>
                                <w:p w14:paraId="56165CA9"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2023-24</w:t>
                                  </w:r>
                                </w:p>
                              </w:tc>
                              <w:tc>
                                <w:tcPr>
                                  <w:tcW w:w="880" w:type="dxa"/>
                                  <w:tcBorders>
                                    <w:top w:val="nil"/>
                                    <w:left w:val="nil"/>
                                    <w:bottom w:val="nil"/>
                                    <w:right w:val="nil"/>
                                  </w:tcBorders>
                                  <w:shd w:val="clear" w:color="000000" w:fill="006991"/>
                                  <w:vAlign w:val="center"/>
                                  <w:hideMark/>
                                </w:tcPr>
                                <w:p w14:paraId="32EDA3F3"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2024-25</w:t>
                                  </w:r>
                                </w:p>
                              </w:tc>
                              <w:tc>
                                <w:tcPr>
                                  <w:tcW w:w="880" w:type="dxa"/>
                                  <w:tcBorders>
                                    <w:top w:val="nil"/>
                                    <w:left w:val="nil"/>
                                    <w:bottom w:val="nil"/>
                                    <w:right w:val="nil"/>
                                  </w:tcBorders>
                                  <w:shd w:val="clear" w:color="000000" w:fill="006991"/>
                                  <w:vAlign w:val="center"/>
                                  <w:hideMark/>
                                </w:tcPr>
                                <w:p w14:paraId="61B771F9"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2023-24</w:t>
                                  </w:r>
                                </w:p>
                              </w:tc>
                              <w:tc>
                                <w:tcPr>
                                  <w:tcW w:w="880" w:type="dxa"/>
                                  <w:tcBorders>
                                    <w:top w:val="nil"/>
                                    <w:left w:val="nil"/>
                                    <w:bottom w:val="nil"/>
                                    <w:right w:val="nil"/>
                                  </w:tcBorders>
                                  <w:shd w:val="clear" w:color="000000" w:fill="006991"/>
                                  <w:vAlign w:val="center"/>
                                  <w:hideMark/>
                                </w:tcPr>
                                <w:p w14:paraId="559C4F59"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2024-25</w:t>
                                  </w:r>
                                </w:p>
                              </w:tc>
                              <w:tc>
                                <w:tcPr>
                                  <w:tcW w:w="1000" w:type="dxa"/>
                                  <w:tcBorders>
                                    <w:top w:val="nil"/>
                                    <w:left w:val="nil"/>
                                    <w:bottom w:val="nil"/>
                                    <w:right w:val="nil"/>
                                  </w:tcBorders>
                                  <w:shd w:val="clear" w:color="000000" w:fill="006991"/>
                                  <w:vAlign w:val="center"/>
                                  <w:hideMark/>
                                </w:tcPr>
                                <w:p w14:paraId="689CE6C4"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Difference</w:t>
                                  </w:r>
                                </w:p>
                              </w:tc>
                            </w:tr>
                            <w:tr w:rsidR="00622790" w:rsidRPr="00622790" w14:paraId="1AA20358" w14:textId="77777777" w:rsidTr="00622790">
                              <w:trPr>
                                <w:trHeight w:val="259"/>
                              </w:trPr>
                              <w:tc>
                                <w:tcPr>
                                  <w:tcW w:w="2620" w:type="dxa"/>
                                  <w:tcBorders>
                                    <w:top w:val="single" w:sz="4" w:space="0" w:color="ADD6EA"/>
                                    <w:left w:val="nil"/>
                                    <w:bottom w:val="single" w:sz="4" w:space="0" w:color="ADD6EA"/>
                                    <w:right w:val="nil"/>
                                  </w:tcBorders>
                                  <w:shd w:val="clear" w:color="000000" w:fill="B6D5E4"/>
                                  <w:vAlign w:val="bottom"/>
                                  <w:hideMark/>
                                </w:tcPr>
                                <w:p w14:paraId="53C2412C" w14:textId="77777777" w:rsidR="00622790" w:rsidRPr="00622790" w:rsidRDefault="00622790" w:rsidP="00622790">
                                  <w:pPr>
                                    <w:tabs>
                                      <w:tab w:val="clear" w:pos="567"/>
                                    </w:tabs>
                                    <w:spacing w:before="0" w:line="240" w:lineRule="auto"/>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 </w:t>
                                  </w:r>
                                </w:p>
                              </w:tc>
                              <w:tc>
                                <w:tcPr>
                                  <w:tcW w:w="880" w:type="dxa"/>
                                  <w:tcBorders>
                                    <w:top w:val="single" w:sz="4" w:space="0" w:color="ADD6EA"/>
                                    <w:left w:val="nil"/>
                                    <w:bottom w:val="single" w:sz="4" w:space="0" w:color="ADD6EA"/>
                                    <w:right w:val="nil"/>
                                  </w:tcBorders>
                                  <w:shd w:val="clear" w:color="000000" w:fill="B6D5E4"/>
                                  <w:noWrap/>
                                  <w:vAlign w:val="bottom"/>
                                  <w:hideMark/>
                                </w:tcPr>
                                <w:p w14:paraId="5E4B1531"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 </w:t>
                                  </w:r>
                                </w:p>
                              </w:tc>
                              <w:tc>
                                <w:tcPr>
                                  <w:tcW w:w="880" w:type="dxa"/>
                                  <w:tcBorders>
                                    <w:top w:val="single" w:sz="4" w:space="0" w:color="ADD6EA"/>
                                    <w:left w:val="nil"/>
                                    <w:bottom w:val="single" w:sz="4" w:space="0" w:color="ADD6EA"/>
                                    <w:right w:val="nil"/>
                                  </w:tcBorders>
                                  <w:shd w:val="clear" w:color="000000" w:fill="B6D5E4"/>
                                  <w:noWrap/>
                                  <w:vAlign w:val="bottom"/>
                                  <w:hideMark/>
                                </w:tcPr>
                                <w:p w14:paraId="0178DB56"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 </w:t>
                                  </w:r>
                                </w:p>
                              </w:tc>
                              <w:tc>
                                <w:tcPr>
                                  <w:tcW w:w="880" w:type="dxa"/>
                                  <w:tcBorders>
                                    <w:top w:val="single" w:sz="4" w:space="0" w:color="ADD6EA"/>
                                    <w:left w:val="nil"/>
                                    <w:bottom w:val="single" w:sz="4" w:space="0" w:color="ADD6EA"/>
                                    <w:right w:val="nil"/>
                                  </w:tcBorders>
                                  <w:shd w:val="clear" w:color="000000" w:fill="B6D5E4"/>
                                  <w:noWrap/>
                                  <w:vAlign w:val="bottom"/>
                                  <w:hideMark/>
                                </w:tcPr>
                                <w:p w14:paraId="14832040"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w:t>
                                  </w:r>
                                </w:p>
                              </w:tc>
                              <w:tc>
                                <w:tcPr>
                                  <w:tcW w:w="880" w:type="dxa"/>
                                  <w:tcBorders>
                                    <w:top w:val="single" w:sz="4" w:space="0" w:color="ADD6EA"/>
                                    <w:left w:val="nil"/>
                                    <w:bottom w:val="single" w:sz="4" w:space="0" w:color="ADD6EA"/>
                                    <w:right w:val="nil"/>
                                  </w:tcBorders>
                                  <w:shd w:val="clear" w:color="000000" w:fill="B6D5E4"/>
                                  <w:noWrap/>
                                  <w:vAlign w:val="bottom"/>
                                  <w:hideMark/>
                                </w:tcPr>
                                <w:p w14:paraId="0578FEF6"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w:t>
                                  </w:r>
                                </w:p>
                              </w:tc>
                              <w:tc>
                                <w:tcPr>
                                  <w:tcW w:w="880" w:type="dxa"/>
                                  <w:tcBorders>
                                    <w:top w:val="single" w:sz="4" w:space="0" w:color="ADD6EA"/>
                                    <w:left w:val="nil"/>
                                    <w:bottom w:val="single" w:sz="4" w:space="0" w:color="ADD6EA"/>
                                    <w:right w:val="nil"/>
                                  </w:tcBorders>
                                  <w:shd w:val="clear" w:color="000000" w:fill="B6D5E4"/>
                                  <w:noWrap/>
                                  <w:vAlign w:val="bottom"/>
                                  <w:hideMark/>
                                </w:tcPr>
                                <w:p w14:paraId="0DD9DBD4"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$m</w:t>
                                  </w:r>
                                </w:p>
                              </w:tc>
                              <w:tc>
                                <w:tcPr>
                                  <w:tcW w:w="880" w:type="dxa"/>
                                  <w:tcBorders>
                                    <w:top w:val="single" w:sz="4" w:space="0" w:color="ADD6EA"/>
                                    <w:left w:val="nil"/>
                                    <w:bottom w:val="single" w:sz="4" w:space="0" w:color="ADD6EA"/>
                                    <w:right w:val="nil"/>
                                  </w:tcBorders>
                                  <w:shd w:val="clear" w:color="000000" w:fill="B6D5E4"/>
                                  <w:noWrap/>
                                  <w:vAlign w:val="bottom"/>
                                  <w:hideMark/>
                                </w:tcPr>
                                <w:p w14:paraId="79D3158A"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$m</w:t>
                                  </w:r>
                                </w:p>
                              </w:tc>
                              <w:tc>
                                <w:tcPr>
                                  <w:tcW w:w="1000" w:type="dxa"/>
                                  <w:tcBorders>
                                    <w:top w:val="single" w:sz="4" w:space="0" w:color="ADD6EA"/>
                                    <w:left w:val="nil"/>
                                    <w:bottom w:val="single" w:sz="4" w:space="0" w:color="ADD6EA"/>
                                    <w:right w:val="nil"/>
                                  </w:tcBorders>
                                  <w:shd w:val="clear" w:color="000000" w:fill="B6D5E4"/>
                                  <w:noWrap/>
                                  <w:vAlign w:val="bottom"/>
                                  <w:hideMark/>
                                </w:tcPr>
                                <w:p w14:paraId="31EE3633"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$m</w:t>
                                  </w:r>
                                </w:p>
                              </w:tc>
                            </w:tr>
                            <w:tr w:rsidR="00622790" w:rsidRPr="00622790" w14:paraId="1DD05F5C" w14:textId="77777777" w:rsidTr="00622790">
                              <w:trPr>
                                <w:trHeight w:val="315"/>
                              </w:trPr>
                              <w:tc>
                                <w:tcPr>
                                  <w:tcW w:w="2620" w:type="dxa"/>
                                  <w:tcBorders>
                                    <w:top w:val="nil"/>
                                    <w:left w:val="nil"/>
                                    <w:bottom w:val="nil"/>
                                    <w:right w:val="nil"/>
                                  </w:tcBorders>
                                  <w:shd w:val="clear" w:color="auto" w:fill="auto"/>
                                  <w:vAlign w:val="center"/>
                                  <w:hideMark/>
                                </w:tcPr>
                                <w:p w14:paraId="5466FF04"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New South Wales</w:t>
                                  </w:r>
                                </w:p>
                              </w:tc>
                              <w:tc>
                                <w:tcPr>
                                  <w:tcW w:w="880" w:type="dxa"/>
                                  <w:tcBorders>
                                    <w:top w:val="nil"/>
                                    <w:left w:val="nil"/>
                                    <w:bottom w:val="single" w:sz="4" w:space="0" w:color="ADD6EA"/>
                                    <w:right w:val="nil"/>
                                  </w:tcBorders>
                                  <w:shd w:val="clear" w:color="000000" w:fill="D6E7F0"/>
                                  <w:noWrap/>
                                  <w:vAlign w:val="center"/>
                                  <w:hideMark/>
                                </w:tcPr>
                                <w:p w14:paraId="0E521133"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0.92350</w:t>
                                  </w:r>
                                </w:p>
                              </w:tc>
                              <w:tc>
                                <w:tcPr>
                                  <w:tcW w:w="880" w:type="dxa"/>
                                  <w:tcBorders>
                                    <w:top w:val="nil"/>
                                    <w:left w:val="nil"/>
                                    <w:bottom w:val="nil"/>
                                    <w:right w:val="nil"/>
                                  </w:tcBorders>
                                  <w:shd w:val="clear" w:color="auto" w:fill="auto"/>
                                  <w:noWrap/>
                                  <w:vAlign w:val="center"/>
                                  <w:hideMark/>
                                </w:tcPr>
                                <w:p w14:paraId="7D6A95B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0.86736</w:t>
                                  </w:r>
                                </w:p>
                              </w:tc>
                              <w:tc>
                                <w:tcPr>
                                  <w:tcW w:w="880" w:type="dxa"/>
                                  <w:tcBorders>
                                    <w:top w:val="nil"/>
                                    <w:left w:val="nil"/>
                                    <w:bottom w:val="single" w:sz="4" w:space="0" w:color="ADD6EA"/>
                                    <w:right w:val="nil"/>
                                  </w:tcBorders>
                                  <w:shd w:val="clear" w:color="000000" w:fill="D6E7F0"/>
                                  <w:noWrap/>
                                  <w:vAlign w:val="center"/>
                                  <w:hideMark/>
                                </w:tcPr>
                                <w:p w14:paraId="7CFE4C31"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29.0</w:t>
                                  </w:r>
                                </w:p>
                              </w:tc>
                              <w:tc>
                                <w:tcPr>
                                  <w:tcW w:w="880" w:type="dxa"/>
                                  <w:tcBorders>
                                    <w:top w:val="nil"/>
                                    <w:left w:val="nil"/>
                                    <w:bottom w:val="nil"/>
                                    <w:right w:val="nil"/>
                                  </w:tcBorders>
                                  <w:shd w:val="clear" w:color="auto" w:fill="auto"/>
                                  <w:noWrap/>
                                  <w:vAlign w:val="center"/>
                                  <w:hideMark/>
                                </w:tcPr>
                                <w:p w14:paraId="42BDF55A"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27.1</w:t>
                                  </w:r>
                                </w:p>
                              </w:tc>
                              <w:tc>
                                <w:tcPr>
                                  <w:tcW w:w="880" w:type="dxa"/>
                                  <w:tcBorders>
                                    <w:top w:val="nil"/>
                                    <w:left w:val="nil"/>
                                    <w:bottom w:val="single" w:sz="4" w:space="0" w:color="ADD6EA"/>
                                    <w:right w:val="nil"/>
                                  </w:tcBorders>
                                  <w:shd w:val="clear" w:color="000000" w:fill="D6E7F0"/>
                                  <w:noWrap/>
                                  <w:vAlign w:val="center"/>
                                  <w:hideMark/>
                                </w:tcPr>
                                <w:p w14:paraId="0C7A59C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24,535</w:t>
                                  </w:r>
                                </w:p>
                              </w:tc>
                              <w:tc>
                                <w:tcPr>
                                  <w:tcW w:w="880" w:type="dxa"/>
                                  <w:tcBorders>
                                    <w:top w:val="nil"/>
                                    <w:left w:val="nil"/>
                                    <w:bottom w:val="nil"/>
                                    <w:right w:val="nil"/>
                                  </w:tcBorders>
                                  <w:shd w:val="clear" w:color="auto" w:fill="auto"/>
                                  <w:noWrap/>
                                  <w:vAlign w:val="center"/>
                                  <w:hideMark/>
                                </w:tcPr>
                                <w:p w14:paraId="4CD33090"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24,224</w:t>
                                  </w:r>
                                </w:p>
                              </w:tc>
                              <w:tc>
                                <w:tcPr>
                                  <w:tcW w:w="1000" w:type="dxa"/>
                                  <w:tcBorders>
                                    <w:top w:val="nil"/>
                                    <w:left w:val="nil"/>
                                    <w:bottom w:val="single" w:sz="4" w:space="0" w:color="ADD6EA"/>
                                    <w:right w:val="nil"/>
                                  </w:tcBorders>
                                  <w:shd w:val="clear" w:color="000000" w:fill="D6E7F0"/>
                                  <w:noWrap/>
                                  <w:vAlign w:val="center"/>
                                  <w:hideMark/>
                                </w:tcPr>
                                <w:p w14:paraId="5CFAD52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-310</w:t>
                                  </w:r>
                                </w:p>
                              </w:tc>
                            </w:tr>
                            <w:tr w:rsidR="00622790" w:rsidRPr="00622790" w14:paraId="087DB519"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5DE7219D"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Victoria</w:t>
                                  </w:r>
                                </w:p>
                              </w:tc>
                              <w:tc>
                                <w:tcPr>
                                  <w:tcW w:w="880" w:type="dxa"/>
                                  <w:tcBorders>
                                    <w:top w:val="nil"/>
                                    <w:left w:val="nil"/>
                                    <w:bottom w:val="single" w:sz="4" w:space="0" w:color="ADD6EA"/>
                                    <w:right w:val="nil"/>
                                  </w:tcBorders>
                                  <w:shd w:val="clear" w:color="000000" w:fill="D6E7F0"/>
                                  <w:noWrap/>
                                  <w:vAlign w:val="center"/>
                                  <w:hideMark/>
                                </w:tcPr>
                                <w:p w14:paraId="0701720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0.85169</w:t>
                                  </w:r>
                                </w:p>
                              </w:tc>
                              <w:tc>
                                <w:tcPr>
                                  <w:tcW w:w="880" w:type="dxa"/>
                                  <w:tcBorders>
                                    <w:top w:val="single" w:sz="4" w:space="0" w:color="ADD6EA"/>
                                    <w:left w:val="nil"/>
                                    <w:bottom w:val="nil"/>
                                    <w:right w:val="nil"/>
                                  </w:tcBorders>
                                  <w:shd w:val="clear" w:color="auto" w:fill="auto"/>
                                  <w:noWrap/>
                                  <w:vAlign w:val="center"/>
                                  <w:hideMark/>
                                </w:tcPr>
                                <w:p w14:paraId="5D806942"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0.96502</w:t>
                                  </w:r>
                                </w:p>
                              </w:tc>
                              <w:tc>
                                <w:tcPr>
                                  <w:tcW w:w="880" w:type="dxa"/>
                                  <w:tcBorders>
                                    <w:top w:val="nil"/>
                                    <w:left w:val="nil"/>
                                    <w:bottom w:val="single" w:sz="4" w:space="0" w:color="ADD6EA"/>
                                    <w:right w:val="nil"/>
                                  </w:tcBorders>
                                  <w:shd w:val="clear" w:color="000000" w:fill="D6E7F0"/>
                                  <w:noWrap/>
                                  <w:vAlign w:val="center"/>
                                  <w:hideMark/>
                                </w:tcPr>
                                <w:p w14:paraId="2252E65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21.9</w:t>
                                  </w:r>
                                </w:p>
                              </w:tc>
                              <w:tc>
                                <w:tcPr>
                                  <w:tcW w:w="880" w:type="dxa"/>
                                  <w:tcBorders>
                                    <w:top w:val="single" w:sz="4" w:space="0" w:color="ADD6EA"/>
                                    <w:left w:val="nil"/>
                                    <w:bottom w:val="nil"/>
                                    <w:right w:val="nil"/>
                                  </w:tcBorders>
                                  <w:shd w:val="clear" w:color="auto" w:fill="auto"/>
                                  <w:noWrap/>
                                  <w:vAlign w:val="center"/>
                                  <w:hideMark/>
                                </w:tcPr>
                                <w:p w14:paraId="615B578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24.8</w:t>
                                  </w:r>
                                </w:p>
                              </w:tc>
                              <w:tc>
                                <w:tcPr>
                                  <w:tcW w:w="880" w:type="dxa"/>
                                  <w:tcBorders>
                                    <w:top w:val="nil"/>
                                    <w:left w:val="nil"/>
                                    <w:bottom w:val="single" w:sz="4" w:space="0" w:color="ADD6EA"/>
                                    <w:right w:val="nil"/>
                                  </w:tcBorders>
                                  <w:shd w:val="clear" w:color="000000" w:fill="D6E7F0"/>
                                  <w:noWrap/>
                                  <w:vAlign w:val="center"/>
                                  <w:hideMark/>
                                </w:tcPr>
                                <w:p w14:paraId="083960D6"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18,541</w:t>
                                  </w:r>
                                </w:p>
                              </w:tc>
                              <w:tc>
                                <w:tcPr>
                                  <w:tcW w:w="880" w:type="dxa"/>
                                  <w:tcBorders>
                                    <w:top w:val="single" w:sz="4" w:space="0" w:color="ADD6EA"/>
                                    <w:left w:val="nil"/>
                                    <w:bottom w:val="nil"/>
                                    <w:right w:val="nil"/>
                                  </w:tcBorders>
                                  <w:shd w:val="clear" w:color="auto" w:fill="auto"/>
                                  <w:noWrap/>
                                  <w:vAlign w:val="center"/>
                                  <w:hideMark/>
                                </w:tcPr>
                                <w:p w14:paraId="1C44AB3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22,227</w:t>
                                  </w:r>
                                </w:p>
                              </w:tc>
                              <w:tc>
                                <w:tcPr>
                                  <w:tcW w:w="1000" w:type="dxa"/>
                                  <w:tcBorders>
                                    <w:top w:val="nil"/>
                                    <w:left w:val="nil"/>
                                    <w:bottom w:val="single" w:sz="4" w:space="0" w:color="ADD6EA"/>
                                    <w:right w:val="nil"/>
                                  </w:tcBorders>
                                  <w:shd w:val="clear" w:color="000000" w:fill="D6E7F0"/>
                                  <w:noWrap/>
                                  <w:vAlign w:val="center"/>
                                  <w:hideMark/>
                                </w:tcPr>
                                <w:p w14:paraId="11691CAC"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3,686</w:t>
                                  </w:r>
                                </w:p>
                              </w:tc>
                            </w:tr>
                            <w:tr w:rsidR="00622790" w:rsidRPr="00622790" w14:paraId="198985A5"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599945EA"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Queensland</w:t>
                                  </w:r>
                                </w:p>
                              </w:tc>
                              <w:tc>
                                <w:tcPr>
                                  <w:tcW w:w="880" w:type="dxa"/>
                                  <w:tcBorders>
                                    <w:top w:val="nil"/>
                                    <w:left w:val="nil"/>
                                    <w:bottom w:val="single" w:sz="4" w:space="0" w:color="ADD6EA"/>
                                    <w:right w:val="nil"/>
                                  </w:tcBorders>
                                  <w:shd w:val="clear" w:color="000000" w:fill="D6E7F0"/>
                                  <w:noWrap/>
                                  <w:vAlign w:val="center"/>
                                  <w:hideMark/>
                                </w:tcPr>
                                <w:p w14:paraId="681C06EF"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1.03118</w:t>
                                  </w:r>
                                </w:p>
                              </w:tc>
                              <w:tc>
                                <w:tcPr>
                                  <w:tcW w:w="880" w:type="dxa"/>
                                  <w:tcBorders>
                                    <w:top w:val="single" w:sz="4" w:space="0" w:color="ADD6EA"/>
                                    <w:left w:val="nil"/>
                                    <w:bottom w:val="nil"/>
                                    <w:right w:val="nil"/>
                                  </w:tcBorders>
                                  <w:shd w:val="clear" w:color="auto" w:fill="auto"/>
                                  <w:noWrap/>
                                  <w:vAlign w:val="center"/>
                                  <w:hideMark/>
                                </w:tcPr>
                                <w:p w14:paraId="1642F25E"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0.95232</w:t>
                                  </w:r>
                                </w:p>
                              </w:tc>
                              <w:tc>
                                <w:tcPr>
                                  <w:tcW w:w="880" w:type="dxa"/>
                                  <w:tcBorders>
                                    <w:top w:val="nil"/>
                                    <w:left w:val="nil"/>
                                    <w:bottom w:val="single" w:sz="4" w:space="0" w:color="ADD6EA"/>
                                    <w:right w:val="nil"/>
                                  </w:tcBorders>
                                  <w:shd w:val="clear" w:color="000000" w:fill="D6E7F0"/>
                                  <w:noWrap/>
                                  <w:vAlign w:val="center"/>
                                  <w:hideMark/>
                                </w:tcPr>
                                <w:p w14:paraId="2158B713"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21.2</w:t>
                                  </w:r>
                                </w:p>
                              </w:tc>
                              <w:tc>
                                <w:tcPr>
                                  <w:tcW w:w="880" w:type="dxa"/>
                                  <w:tcBorders>
                                    <w:top w:val="single" w:sz="4" w:space="0" w:color="ADD6EA"/>
                                    <w:left w:val="nil"/>
                                    <w:bottom w:val="nil"/>
                                    <w:right w:val="nil"/>
                                  </w:tcBorders>
                                  <w:shd w:val="clear" w:color="auto" w:fill="auto"/>
                                  <w:noWrap/>
                                  <w:vAlign w:val="center"/>
                                  <w:hideMark/>
                                </w:tcPr>
                                <w:p w14:paraId="63740CD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19.5</w:t>
                                  </w:r>
                                </w:p>
                              </w:tc>
                              <w:tc>
                                <w:tcPr>
                                  <w:tcW w:w="880" w:type="dxa"/>
                                  <w:tcBorders>
                                    <w:top w:val="nil"/>
                                    <w:left w:val="nil"/>
                                    <w:bottom w:val="single" w:sz="4" w:space="0" w:color="ADD6EA"/>
                                    <w:right w:val="nil"/>
                                  </w:tcBorders>
                                  <w:shd w:val="clear" w:color="000000" w:fill="D6E7F0"/>
                                  <w:noWrap/>
                                  <w:vAlign w:val="center"/>
                                  <w:hideMark/>
                                </w:tcPr>
                                <w:p w14:paraId="761DBC7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17,929</w:t>
                                  </w:r>
                                </w:p>
                              </w:tc>
                              <w:tc>
                                <w:tcPr>
                                  <w:tcW w:w="880" w:type="dxa"/>
                                  <w:tcBorders>
                                    <w:top w:val="single" w:sz="4" w:space="0" w:color="ADD6EA"/>
                                    <w:left w:val="nil"/>
                                    <w:bottom w:val="nil"/>
                                    <w:right w:val="nil"/>
                                  </w:tcBorders>
                                  <w:shd w:val="clear" w:color="auto" w:fill="auto"/>
                                  <w:noWrap/>
                                  <w:vAlign w:val="center"/>
                                  <w:hideMark/>
                                </w:tcPr>
                                <w:p w14:paraId="6DD4270D"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17,460</w:t>
                                  </w:r>
                                </w:p>
                              </w:tc>
                              <w:tc>
                                <w:tcPr>
                                  <w:tcW w:w="1000" w:type="dxa"/>
                                  <w:tcBorders>
                                    <w:top w:val="nil"/>
                                    <w:left w:val="nil"/>
                                    <w:bottom w:val="single" w:sz="4" w:space="0" w:color="ADD6EA"/>
                                    <w:right w:val="nil"/>
                                  </w:tcBorders>
                                  <w:shd w:val="clear" w:color="000000" w:fill="D6E7F0"/>
                                  <w:noWrap/>
                                  <w:vAlign w:val="center"/>
                                  <w:hideMark/>
                                </w:tcPr>
                                <w:p w14:paraId="7EEB0771"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-469</w:t>
                                  </w:r>
                                </w:p>
                              </w:tc>
                            </w:tr>
                            <w:tr w:rsidR="00622790" w:rsidRPr="00622790" w14:paraId="143EEC7A"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4BD8CDB4"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Western Australia</w:t>
                                  </w:r>
                                </w:p>
                              </w:tc>
                              <w:tc>
                                <w:tcPr>
                                  <w:tcW w:w="880" w:type="dxa"/>
                                  <w:tcBorders>
                                    <w:top w:val="nil"/>
                                    <w:left w:val="nil"/>
                                    <w:bottom w:val="single" w:sz="4" w:space="0" w:color="ADD6EA"/>
                                    <w:right w:val="nil"/>
                                  </w:tcBorders>
                                  <w:shd w:val="clear" w:color="000000" w:fill="D6E7F0"/>
                                  <w:noWrap/>
                                  <w:vAlign w:val="center"/>
                                  <w:hideMark/>
                                </w:tcPr>
                                <w:p w14:paraId="5758462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0.70000</w:t>
                                  </w:r>
                                </w:p>
                              </w:tc>
                              <w:tc>
                                <w:tcPr>
                                  <w:tcW w:w="880" w:type="dxa"/>
                                  <w:tcBorders>
                                    <w:top w:val="single" w:sz="4" w:space="0" w:color="ADD6EA"/>
                                    <w:left w:val="nil"/>
                                    <w:bottom w:val="nil"/>
                                    <w:right w:val="nil"/>
                                  </w:tcBorders>
                                  <w:shd w:val="clear" w:color="auto" w:fill="auto"/>
                                  <w:noWrap/>
                                  <w:vAlign w:val="center"/>
                                  <w:hideMark/>
                                </w:tcPr>
                                <w:p w14:paraId="70886F94"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0.75000</w:t>
                                  </w:r>
                                </w:p>
                              </w:tc>
                              <w:tc>
                                <w:tcPr>
                                  <w:tcW w:w="880" w:type="dxa"/>
                                  <w:tcBorders>
                                    <w:top w:val="nil"/>
                                    <w:left w:val="nil"/>
                                    <w:bottom w:val="single" w:sz="4" w:space="0" w:color="ADD6EA"/>
                                    <w:right w:val="nil"/>
                                  </w:tcBorders>
                                  <w:shd w:val="clear" w:color="000000" w:fill="D6E7F0"/>
                                  <w:noWrap/>
                                  <w:vAlign w:val="center"/>
                                  <w:hideMark/>
                                </w:tcPr>
                                <w:p w14:paraId="3D2D750E"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7.6</w:t>
                                  </w:r>
                                </w:p>
                              </w:tc>
                              <w:tc>
                                <w:tcPr>
                                  <w:tcW w:w="880" w:type="dxa"/>
                                  <w:tcBorders>
                                    <w:top w:val="single" w:sz="4" w:space="0" w:color="ADD6EA"/>
                                    <w:left w:val="nil"/>
                                    <w:bottom w:val="nil"/>
                                    <w:right w:val="nil"/>
                                  </w:tcBorders>
                                  <w:shd w:val="clear" w:color="auto" w:fill="auto"/>
                                  <w:noWrap/>
                                  <w:vAlign w:val="center"/>
                                  <w:hideMark/>
                                </w:tcPr>
                                <w:p w14:paraId="13F0705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8.1</w:t>
                                  </w:r>
                                </w:p>
                              </w:tc>
                              <w:tc>
                                <w:tcPr>
                                  <w:tcW w:w="880" w:type="dxa"/>
                                  <w:tcBorders>
                                    <w:top w:val="nil"/>
                                    <w:left w:val="nil"/>
                                    <w:bottom w:val="single" w:sz="4" w:space="0" w:color="ADD6EA"/>
                                    <w:right w:val="nil"/>
                                  </w:tcBorders>
                                  <w:shd w:val="clear" w:color="000000" w:fill="D6E7F0"/>
                                  <w:noWrap/>
                                  <w:vAlign w:val="center"/>
                                  <w:hideMark/>
                                </w:tcPr>
                                <w:p w14:paraId="0A1222FB"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6,419</w:t>
                                  </w:r>
                                </w:p>
                              </w:tc>
                              <w:tc>
                                <w:tcPr>
                                  <w:tcW w:w="880" w:type="dxa"/>
                                  <w:tcBorders>
                                    <w:top w:val="single" w:sz="4" w:space="0" w:color="ADD6EA"/>
                                    <w:left w:val="nil"/>
                                    <w:bottom w:val="nil"/>
                                    <w:right w:val="nil"/>
                                  </w:tcBorders>
                                  <w:shd w:val="clear" w:color="auto" w:fill="auto"/>
                                  <w:noWrap/>
                                  <w:vAlign w:val="center"/>
                                  <w:hideMark/>
                                </w:tcPr>
                                <w:p w14:paraId="74D4B033"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7,257</w:t>
                                  </w:r>
                                </w:p>
                              </w:tc>
                              <w:tc>
                                <w:tcPr>
                                  <w:tcW w:w="1000" w:type="dxa"/>
                                  <w:tcBorders>
                                    <w:top w:val="nil"/>
                                    <w:left w:val="nil"/>
                                    <w:bottom w:val="single" w:sz="4" w:space="0" w:color="ADD6EA"/>
                                    <w:right w:val="nil"/>
                                  </w:tcBorders>
                                  <w:shd w:val="clear" w:color="000000" w:fill="D6E7F0"/>
                                  <w:noWrap/>
                                  <w:vAlign w:val="center"/>
                                  <w:hideMark/>
                                </w:tcPr>
                                <w:p w14:paraId="1E789D80"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838</w:t>
                                  </w:r>
                                </w:p>
                              </w:tc>
                            </w:tr>
                            <w:tr w:rsidR="00622790" w:rsidRPr="00622790" w14:paraId="37C57A41"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4D02C7E8"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South Australia</w:t>
                                  </w:r>
                                </w:p>
                              </w:tc>
                              <w:tc>
                                <w:tcPr>
                                  <w:tcW w:w="880" w:type="dxa"/>
                                  <w:tcBorders>
                                    <w:top w:val="nil"/>
                                    <w:left w:val="nil"/>
                                    <w:bottom w:val="single" w:sz="4" w:space="0" w:color="ADD6EA"/>
                                    <w:right w:val="nil"/>
                                  </w:tcBorders>
                                  <w:shd w:val="clear" w:color="000000" w:fill="D6E7F0"/>
                                  <w:noWrap/>
                                  <w:vAlign w:val="center"/>
                                  <w:hideMark/>
                                </w:tcPr>
                                <w:p w14:paraId="7EBBE2F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1.39463</w:t>
                                  </w:r>
                                </w:p>
                              </w:tc>
                              <w:tc>
                                <w:tcPr>
                                  <w:tcW w:w="880" w:type="dxa"/>
                                  <w:tcBorders>
                                    <w:top w:val="single" w:sz="4" w:space="0" w:color="ADD6EA"/>
                                    <w:left w:val="nil"/>
                                    <w:bottom w:val="nil"/>
                                    <w:right w:val="nil"/>
                                  </w:tcBorders>
                                  <w:shd w:val="clear" w:color="auto" w:fill="auto"/>
                                  <w:noWrap/>
                                  <w:vAlign w:val="center"/>
                                  <w:hideMark/>
                                </w:tcPr>
                                <w:p w14:paraId="08FF668B"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1.40312</w:t>
                                  </w:r>
                                </w:p>
                              </w:tc>
                              <w:tc>
                                <w:tcPr>
                                  <w:tcW w:w="880" w:type="dxa"/>
                                  <w:tcBorders>
                                    <w:top w:val="nil"/>
                                    <w:left w:val="nil"/>
                                    <w:bottom w:val="single" w:sz="4" w:space="0" w:color="ADD6EA"/>
                                    <w:right w:val="nil"/>
                                  </w:tcBorders>
                                  <w:shd w:val="clear" w:color="000000" w:fill="D6E7F0"/>
                                  <w:noWrap/>
                                  <w:vAlign w:val="center"/>
                                  <w:hideMark/>
                                </w:tcPr>
                                <w:p w14:paraId="490D8E2E"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9.7</w:t>
                                  </w:r>
                                </w:p>
                              </w:tc>
                              <w:tc>
                                <w:tcPr>
                                  <w:tcW w:w="880" w:type="dxa"/>
                                  <w:tcBorders>
                                    <w:top w:val="single" w:sz="4" w:space="0" w:color="ADD6EA"/>
                                    <w:left w:val="nil"/>
                                    <w:bottom w:val="nil"/>
                                    <w:right w:val="nil"/>
                                  </w:tcBorders>
                                  <w:shd w:val="clear" w:color="auto" w:fill="auto"/>
                                  <w:noWrap/>
                                  <w:vAlign w:val="center"/>
                                  <w:hideMark/>
                                </w:tcPr>
                                <w:p w14:paraId="2814509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9.7</w:t>
                                  </w:r>
                                </w:p>
                              </w:tc>
                              <w:tc>
                                <w:tcPr>
                                  <w:tcW w:w="880" w:type="dxa"/>
                                  <w:tcBorders>
                                    <w:top w:val="nil"/>
                                    <w:left w:val="nil"/>
                                    <w:bottom w:val="single" w:sz="4" w:space="0" w:color="ADD6EA"/>
                                    <w:right w:val="nil"/>
                                  </w:tcBorders>
                                  <w:shd w:val="clear" w:color="000000" w:fill="D6E7F0"/>
                                  <w:noWrap/>
                                  <w:vAlign w:val="center"/>
                                  <w:hideMark/>
                                </w:tcPr>
                                <w:p w14:paraId="2E641DC0"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8,214</w:t>
                                  </w:r>
                                </w:p>
                              </w:tc>
                              <w:tc>
                                <w:tcPr>
                                  <w:tcW w:w="880" w:type="dxa"/>
                                  <w:tcBorders>
                                    <w:top w:val="single" w:sz="4" w:space="0" w:color="ADD6EA"/>
                                    <w:left w:val="nil"/>
                                    <w:bottom w:val="nil"/>
                                    <w:right w:val="nil"/>
                                  </w:tcBorders>
                                  <w:shd w:val="clear" w:color="auto" w:fill="auto"/>
                                  <w:noWrap/>
                                  <w:vAlign w:val="center"/>
                                  <w:hideMark/>
                                </w:tcPr>
                                <w:p w14:paraId="51D61C60"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8,671</w:t>
                                  </w:r>
                                </w:p>
                              </w:tc>
                              <w:tc>
                                <w:tcPr>
                                  <w:tcW w:w="1000" w:type="dxa"/>
                                  <w:tcBorders>
                                    <w:top w:val="nil"/>
                                    <w:left w:val="nil"/>
                                    <w:bottom w:val="single" w:sz="4" w:space="0" w:color="ADD6EA"/>
                                    <w:right w:val="nil"/>
                                  </w:tcBorders>
                                  <w:shd w:val="clear" w:color="000000" w:fill="D6E7F0"/>
                                  <w:noWrap/>
                                  <w:vAlign w:val="center"/>
                                  <w:hideMark/>
                                </w:tcPr>
                                <w:p w14:paraId="1E0B6F9C"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457</w:t>
                                  </w:r>
                                </w:p>
                              </w:tc>
                            </w:tr>
                            <w:tr w:rsidR="00622790" w:rsidRPr="00622790" w14:paraId="17D5CF55"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2DEFED80"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Tasmania</w:t>
                                  </w:r>
                                </w:p>
                              </w:tc>
                              <w:tc>
                                <w:tcPr>
                                  <w:tcW w:w="880" w:type="dxa"/>
                                  <w:tcBorders>
                                    <w:top w:val="nil"/>
                                    <w:left w:val="nil"/>
                                    <w:bottom w:val="single" w:sz="4" w:space="0" w:color="ADD6EA"/>
                                    <w:right w:val="nil"/>
                                  </w:tcBorders>
                                  <w:shd w:val="clear" w:color="000000" w:fill="D6E7F0"/>
                                  <w:noWrap/>
                                  <w:vAlign w:val="center"/>
                                  <w:hideMark/>
                                </w:tcPr>
                                <w:p w14:paraId="687711D4"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1.79080</w:t>
                                  </w:r>
                                </w:p>
                              </w:tc>
                              <w:tc>
                                <w:tcPr>
                                  <w:tcW w:w="880" w:type="dxa"/>
                                  <w:tcBorders>
                                    <w:top w:val="single" w:sz="4" w:space="0" w:color="ADD6EA"/>
                                    <w:left w:val="nil"/>
                                    <w:bottom w:val="nil"/>
                                    <w:right w:val="nil"/>
                                  </w:tcBorders>
                                  <w:shd w:val="clear" w:color="auto" w:fill="auto"/>
                                  <w:noWrap/>
                                  <w:vAlign w:val="center"/>
                                  <w:hideMark/>
                                </w:tcPr>
                                <w:p w14:paraId="3AF3D30C"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1.82832</w:t>
                                  </w:r>
                                </w:p>
                              </w:tc>
                              <w:tc>
                                <w:tcPr>
                                  <w:tcW w:w="880" w:type="dxa"/>
                                  <w:tcBorders>
                                    <w:top w:val="nil"/>
                                    <w:left w:val="nil"/>
                                    <w:bottom w:val="single" w:sz="4" w:space="0" w:color="ADD6EA"/>
                                    <w:right w:val="nil"/>
                                  </w:tcBorders>
                                  <w:shd w:val="clear" w:color="000000" w:fill="D6E7F0"/>
                                  <w:noWrap/>
                                  <w:vAlign w:val="center"/>
                                  <w:hideMark/>
                                </w:tcPr>
                                <w:p w14:paraId="36F455D1"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3.8</w:t>
                                  </w:r>
                                </w:p>
                              </w:tc>
                              <w:tc>
                                <w:tcPr>
                                  <w:tcW w:w="880" w:type="dxa"/>
                                  <w:tcBorders>
                                    <w:top w:val="single" w:sz="4" w:space="0" w:color="ADD6EA"/>
                                    <w:left w:val="nil"/>
                                    <w:bottom w:val="nil"/>
                                    <w:right w:val="nil"/>
                                  </w:tcBorders>
                                  <w:shd w:val="clear" w:color="auto" w:fill="auto"/>
                                  <w:noWrap/>
                                  <w:vAlign w:val="center"/>
                                  <w:hideMark/>
                                </w:tcPr>
                                <w:p w14:paraId="568D0053"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3.9</w:t>
                                  </w:r>
                                </w:p>
                              </w:tc>
                              <w:tc>
                                <w:tcPr>
                                  <w:tcW w:w="880" w:type="dxa"/>
                                  <w:tcBorders>
                                    <w:top w:val="nil"/>
                                    <w:left w:val="nil"/>
                                    <w:bottom w:val="single" w:sz="4" w:space="0" w:color="ADD6EA"/>
                                    <w:right w:val="nil"/>
                                  </w:tcBorders>
                                  <w:shd w:val="clear" w:color="000000" w:fill="D6E7F0"/>
                                  <w:noWrap/>
                                  <w:vAlign w:val="center"/>
                                  <w:hideMark/>
                                </w:tcPr>
                                <w:p w14:paraId="7A52625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3,257</w:t>
                                  </w:r>
                                </w:p>
                              </w:tc>
                              <w:tc>
                                <w:tcPr>
                                  <w:tcW w:w="880" w:type="dxa"/>
                                  <w:tcBorders>
                                    <w:top w:val="single" w:sz="4" w:space="0" w:color="ADD6EA"/>
                                    <w:left w:val="nil"/>
                                    <w:bottom w:val="nil"/>
                                    <w:right w:val="nil"/>
                                  </w:tcBorders>
                                  <w:shd w:val="clear" w:color="auto" w:fill="auto"/>
                                  <w:noWrap/>
                                  <w:vAlign w:val="center"/>
                                  <w:hideMark/>
                                </w:tcPr>
                                <w:p w14:paraId="45939CEA"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3,476</w:t>
                                  </w:r>
                                </w:p>
                              </w:tc>
                              <w:tc>
                                <w:tcPr>
                                  <w:tcW w:w="1000" w:type="dxa"/>
                                  <w:tcBorders>
                                    <w:top w:val="nil"/>
                                    <w:left w:val="nil"/>
                                    <w:bottom w:val="single" w:sz="4" w:space="0" w:color="ADD6EA"/>
                                    <w:right w:val="nil"/>
                                  </w:tcBorders>
                                  <w:shd w:val="clear" w:color="000000" w:fill="D6E7F0"/>
                                  <w:noWrap/>
                                  <w:vAlign w:val="center"/>
                                  <w:hideMark/>
                                </w:tcPr>
                                <w:p w14:paraId="4AF799D8"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219</w:t>
                                  </w:r>
                                </w:p>
                              </w:tc>
                            </w:tr>
                            <w:tr w:rsidR="00622790" w:rsidRPr="00622790" w14:paraId="355C09D9"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007FBDE2"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Australian Capital Territory</w:t>
                                  </w:r>
                                </w:p>
                              </w:tc>
                              <w:tc>
                                <w:tcPr>
                                  <w:tcW w:w="880" w:type="dxa"/>
                                  <w:tcBorders>
                                    <w:top w:val="nil"/>
                                    <w:left w:val="nil"/>
                                    <w:bottom w:val="single" w:sz="4" w:space="0" w:color="ADD6EA"/>
                                    <w:right w:val="nil"/>
                                  </w:tcBorders>
                                  <w:shd w:val="clear" w:color="000000" w:fill="D6E7F0"/>
                                  <w:noWrap/>
                                  <w:vAlign w:val="center"/>
                                  <w:hideMark/>
                                </w:tcPr>
                                <w:p w14:paraId="3FA43DF3"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1.19540</w:t>
                                  </w:r>
                                </w:p>
                              </w:tc>
                              <w:tc>
                                <w:tcPr>
                                  <w:tcW w:w="880" w:type="dxa"/>
                                  <w:tcBorders>
                                    <w:top w:val="single" w:sz="4" w:space="0" w:color="ADD6EA"/>
                                    <w:left w:val="nil"/>
                                    <w:bottom w:val="nil"/>
                                    <w:right w:val="nil"/>
                                  </w:tcBorders>
                                  <w:shd w:val="clear" w:color="auto" w:fill="auto"/>
                                  <w:vAlign w:val="center"/>
                                  <w:hideMark/>
                                </w:tcPr>
                                <w:p w14:paraId="1AE96B9F"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1.20419</w:t>
                                  </w:r>
                                </w:p>
                              </w:tc>
                              <w:tc>
                                <w:tcPr>
                                  <w:tcW w:w="880" w:type="dxa"/>
                                  <w:tcBorders>
                                    <w:top w:val="nil"/>
                                    <w:left w:val="nil"/>
                                    <w:bottom w:val="single" w:sz="4" w:space="0" w:color="ADD6EA"/>
                                    <w:right w:val="nil"/>
                                  </w:tcBorders>
                                  <w:shd w:val="clear" w:color="000000" w:fill="D6E7F0"/>
                                  <w:noWrap/>
                                  <w:vAlign w:val="center"/>
                                  <w:hideMark/>
                                </w:tcPr>
                                <w:p w14:paraId="07D277A0"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2.1</w:t>
                                  </w:r>
                                </w:p>
                              </w:tc>
                              <w:tc>
                                <w:tcPr>
                                  <w:tcW w:w="880" w:type="dxa"/>
                                  <w:tcBorders>
                                    <w:top w:val="single" w:sz="4" w:space="0" w:color="ADD6EA"/>
                                    <w:left w:val="nil"/>
                                    <w:bottom w:val="nil"/>
                                    <w:right w:val="nil"/>
                                  </w:tcBorders>
                                  <w:shd w:val="clear" w:color="auto" w:fill="auto"/>
                                  <w:vAlign w:val="center"/>
                                  <w:hideMark/>
                                </w:tcPr>
                                <w:p w14:paraId="3043E5D4"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2.1</w:t>
                                  </w:r>
                                </w:p>
                              </w:tc>
                              <w:tc>
                                <w:tcPr>
                                  <w:tcW w:w="880" w:type="dxa"/>
                                  <w:tcBorders>
                                    <w:top w:val="nil"/>
                                    <w:left w:val="nil"/>
                                    <w:bottom w:val="single" w:sz="4" w:space="0" w:color="ADD6EA"/>
                                    <w:right w:val="nil"/>
                                  </w:tcBorders>
                                  <w:shd w:val="clear" w:color="000000" w:fill="D6E7F0"/>
                                  <w:noWrap/>
                                  <w:vAlign w:val="center"/>
                                  <w:hideMark/>
                                </w:tcPr>
                                <w:p w14:paraId="37D4D26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1,778</w:t>
                                  </w:r>
                                </w:p>
                              </w:tc>
                              <w:tc>
                                <w:tcPr>
                                  <w:tcW w:w="880" w:type="dxa"/>
                                  <w:tcBorders>
                                    <w:top w:val="single" w:sz="4" w:space="0" w:color="ADD6EA"/>
                                    <w:left w:val="nil"/>
                                    <w:bottom w:val="nil"/>
                                    <w:right w:val="nil"/>
                                  </w:tcBorders>
                                  <w:shd w:val="clear" w:color="auto" w:fill="auto"/>
                                  <w:vAlign w:val="center"/>
                                  <w:hideMark/>
                                </w:tcPr>
                                <w:p w14:paraId="7A9891D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1,889</w:t>
                                  </w:r>
                                </w:p>
                              </w:tc>
                              <w:tc>
                                <w:tcPr>
                                  <w:tcW w:w="1000" w:type="dxa"/>
                                  <w:tcBorders>
                                    <w:top w:val="nil"/>
                                    <w:left w:val="nil"/>
                                    <w:bottom w:val="single" w:sz="4" w:space="0" w:color="ADD6EA"/>
                                    <w:right w:val="nil"/>
                                  </w:tcBorders>
                                  <w:shd w:val="clear" w:color="000000" w:fill="D6E7F0"/>
                                  <w:noWrap/>
                                  <w:vAlign w:val="center"/>
                                  <w:hideMark/>
                                </w:tcPr>
                                <w:p w14:paraId="4A1F7F1B"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111</w:t>
                                  </w:r>
                                </w:p>
                              </w:tc>
                            </w:tr>
                            <w:tr w:rsidR="00622790" w:rsidRPr="00622790" w14:paraId="708FE556"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26F297E9"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Northern Territory</w:t>
                                  </w:r>
                                </w:p>
                              </w:tc>
                              <w:tc>
                                <w:tcPr>
                                  <w:tcW w:w="880" w:type="dxa"/>
                                  <w:tcBorders>
                                    <w:top w:val="nil"/>
                                    <w:left w:val="nil"/>
                                    <w:bottom w:val="single" w:sz="4" w:space="0" w:color="ADD6EA"/>
                                    <w:right w:val="nil"/>
                                  </w:tcBorders>
                                  <w:shd w:val="clear" w:color="000000" w:fill="D6E7F0"/>
                                  <w:noWrap/>
                                  <w:vAlign w:val="center"/>
                                  <w:hideMark/>
                                </w:tcPr>
                                <w:p w14:paraId="43BA8376"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4.98725</w:t>
                                  </w:r>
                                </w:p>
                              </w:tc>
                              <w:tc>
                                <w:tcPr>
                                  <w:tcW w:w="880" w:type="dxa"/>
                                  <w:tcBorders>
                                    <w:top w:val="single" w:sz="4" w:space="0" w:color="ADD6EA"/>
                                    <w:left w:val="nil"/>
                                    <w:bottom w:val="nil"/>
                                    <w:right w:val="nil"/>
                                  </w:tcBorders>
                                  <w:shd w:val="clear" w:color="auto" w:fill="auto"/>
                                  <w:noWrap/>
                                  <w:vAlign w:val="center"/>
                                  <w:hideMark/>
                                </w:tcPr>
                                <w:p w14:paraId="65521A16"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5.06681</w:t>
                                  </w:r>
                                </w:p>
                              </w:tc>
                              <w:tc>
                                <w:tcPr>
                                  <w:tcW w:w="880" w:type="dxa"/>
                                  <w:tcBorders>
                                    <w:top w:val="nil"/>
                                    <w:left w:val="nil"/>
                                    <w:bottom w:val="single" w:sz="4" w:space="0" w:color="ADD6EA"/>
                                    <w:right w:val="nil"/>
                                  </w:tcBorders>
                                  <w:shd w:val="clear" w:color="000000" w:fill="D6E7F0"/>
                                  <w:noWrap/>
                                  <w:vAlign w:val="center"/>
                                  <w:hideMark/>
                                </w:tcPr>
                                <w:p w14:paraId="19BF9E21"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4.7</w:t>
                                  </w:r>
                                </w:p>
                              </w:tc>
                              <w:tc>
                                <w:tcPr>
                                  <w:tcW w:w="880" w:type="dxa"/>
                                  <w:tcBorders>
                                    <w:top w:val="single" w:sz="4" w:space="0" w:color="ADD6EA"/>
                                    <w:left w:val="nil"/>
                                    <w:bottom w:val="nil"/>
                                    <w:right w:val="nil"/>
                                  </w:tcBorders>
                                  <w:shd w:val="clear" w:color="auto" w:fill="auto"/>
                                  <w:noWrap/>
                                  <w:vAlign w:val="center"/>
                                  <w:hideMark/>
                                </w:tcPr>
                                <w:p w14:paraId="67220D2F"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4.8</w:t>
                                  </w:r>
                                </w:p>
                              </w:tc>
                              <w:tc>
                                <w:tcPr>
                                  <w:tcW w:w="880" w:type="dxa"/>
                                  <w:tcBorders>
                                    <w:top w:val="nil"/>
                                    <w:left w:val="nil"/>
                                    <w:bottom w:val="single" w:sz="4" w:space="0" w:color="ADD6EA"/>
                                    <w:right w:val="nil"/>
                                  </w:tcBorders>
                                  <w:shd w:val="clear" w:color="000000" w:fill="D6E7F0"/>
                                  <w:noWrap/>
                                  <w:vAlign w:val="center"/>
                                  <w:hideMark/>
                                </w:tcPr>
                                <w:p w14:paraId="2060C2EE"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4,002</w:t>
                                  </w:r>
                                </w:p>
                              </w:tc>
                              <w:tc>
                                <w:tcPr>
                                  <w:tcW w:w="880" w:type="dxa"/>
                                  <w:tcBorders>
                                    <w:top w:val="single" w:sz="4" w:space="0" w:color="ADD6EA"/>
                                    <w:left w:val="nil"/>
                                    <w:bottom w:val="nil"/>
                                    <w:right w:val="nil"/>
                                  </w:tcBorders>
                                  <w:shd w:val="clear" w:color="auto" w:fill="auto"/>
                                  <w:noWrap/>
                                  <w:vAlign w:val="center"/>
                                  <w:hideMark/>
                                </w:tcPr>
                                <w:p w14:paraId="3B22EBCB"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4,257</w:t>
                                  </w:r>
                                </w:p>
                              </w:tc>
                              <w:tc>
                                <w:tcPr>
                                  <w:tcW w:w="1000" w:type="dxa"/>
                                  <w:tcBorders>
                                    <w:top w:val="nil"/>
                                    <w:left w:val="nil"/>
                                    <w:bottom w:val="single" w:sz="4" w:space="0" w:color="ADD6EA"/>
                                    <w:right w:val="nil"/>
                                  </w:tcBorders>
                                  <w:shd w:val="clear" w:color="000000" w:fill="D6E7F0"/>
                                  <w:noWrap/>
                                  <w:vAlign w:val="center"/>
                                  <w:hideMark/>
                                </w:tcPr>
                                <w:p w14:paraId="45BCA19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256</w:t>
                                  </w:r>
                                </w:p>
                              </w:tc>
                            </w:tr>
                            <w:tr w:rsidR="00622790" w:rsidRPr="00622790" w14:paraId="2556F30A" w14:textId="77777777" w:rsidTr="00622790">
                              <w:trPr>
                                <w:trHeight w:val="315"/>
                              </w:trPr>
                              <w:tc>
                                <w:tcPr>
                                  <w:tcW w:w="2620" w:type="dxa"/>
                                  <w:tcBorders>
                                    <w:top w:val="single" w:sz="4" w:space="0" w:color="ADD6EA"/>
                                    <w:left w:val="nil"/>
                                    <w:bottom w:val="single" w:sz="4" w:space="0" w:color="ADD6EA"/>
                                    <w:right w:val="nil"/>
                                  </w:tcBorders>
                                  <w:shd w:val="clear" w:color="auto" w:fill="auto"/>
                                  <w:vAlign w:val="center"/>
                                  <w:hideMark/>
                                </w:tcPr>
                                <w:p w14:paraId="5B5DF905"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Total</w:t>
                                  </w:r>
                                </w:p>
                              </w:tc>
                              <w:tc>
                                <w:tcPr>
                                  <w:tcW w:w="880" w:type="dxa"/>
                                  <w:tcBorders>
                                    <w:top w:val="nil"/>
                                    <w:left w:val="nil"/>
                                    <w:bottom w:val="single" w:sz="4" w:space="0" w:color="ADD6EA"/>
                                    <w:right w:val="nil"/>
                                  </w:tcBorders>
                                  <w:shd w:val="clear" w:color="000000" w:fill="D6E7F0"/>
                                  <w:noWrap/>
                                  <w:vAlign w:val="center"/>
                                  <w:hideMark/>
                                </w:tcPr>
                                <w:p w14:paraId="3F271A7F"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1.00000</w:t>
                                  </w:r>
                                </w:p>
                              </w:tc>
                              <w:tc>
                                <w:tcPr>
                                  <w:tcW w:w="880" w:type="dxa"/>
                                  <w:tcBorders>
                                    <w:top w:val="single" w:sz="4" w:space="0" w:color="ADD6EA"/>
                                    <w:left w:val="nil"/>
                                    <w:bottom w:val="single" w:sz="4" w:space="0" w:color="ADD6EA"/>
                                    <w:right w:val="nil"/>
                                  </w:tcBorders>
                                  <w:shd w:val="clear" w:color="auto" w:fill="auto"/>
                                  <w:noWrap/>
                                  <w:vAlign w:val="center"/>
                                  <w:hideMark/>
                                </w:tcPr>
                                <w:p w14:paraId="5A30404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1.00000</w:t>
                                  </w:r>
                                </w:p>
                              </w:tc>
                              <w:tc>
                                <w:tcPr>
                                  <w:tcW w:w="880" w:type="dxa"/>
                                  <w:tcBorders>
                                    <w:top w:val="nil"/>
                                    <w:left w:val="nil"/>
                                    <w:bottom w:val="single" w:sz="4" w:space="0" w:color="ADD6EA"/>
                                    <w:right w:val="nil"/>
                                  </w:tcBorders>
                                  <w:shd w:val="clear" w:color="000000" w:fill="D6E7F0"/>
                                  <w:noWrap/>
                                  <w:vAlign w:val="center"/>
                                  <w:hideMark/>
                                </w:tcPr>
                                <w:p w14:paraId="081E7182"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100.0</w:t>
                                  </w:r>
                                </w:p>
                              </w:tc>
                              <w:tc>
                                <w:tcPr>
                                  <w:tcW w:w="880" w:type="dxa"/>
                                  <w:tcBorders>
                                    <w:top w:val="single" w:sz="4" w:space="0" w:color="ADD6EA"/>
                                    <w:left w:val="nil"/>
                                    <w:bottom w:val="single" w:sz="4" w:space="0" w:color="ADD6EA"/>
                                    <w:right w:val="nil"/>
                                  </w:tcBorders>
                                  <w:shd w:val="clear" w:color="auto" w:fill="auto"/>
                                  <w:noWrap/>
                                  <w:vAlign w:val="center"/>
                                  <w:hideMark/>
                                </w:tcPr>
                                <w:p w14:paraId="12F544EC"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100.0</w:t>
                                  </w:r>
                                </w:p>
                              </w:tc>
                              <w:tc>
                                <w:tcPr>
                                  <w:tcW w:w="880" w:type="dxa"/>
                                  <w:tcBorders>
                                    <w:top w:val="nil"/>
                                    <w:left w:val="nil"/>
                                    <w:bottom w:val="single" w:sz="4" w:space="0" w:color="ADD6EA"/>
                                    <w:right w:val="nil"/>
                                  </w:tcBorders>
                                  <w:shd w:val="clear" w:color="000000" w:fill="D6E7F0"/>
                                  <w:noWrap/>
                                  <w:vAlign w:val="center"/>
                                  <w:hideMark/>
                                </w:tcPr>
                                <w:p w14:paraId="6661CA2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84,675</w:t>
                                  </w:r>
                                </w:p>
                              </w:tc>
                              <w:tc>
                                <w:tcPr>
                                  <w:tcW w:w="880" w:type="dxa"/>
                                  <w:tcBorders>
                                    <w:top w:val="single" w:sz="4" w:space="0" w:color="ADD6EA"/>
                                    <w:left w:val="nil"/>
                                    <w:bottom w:val="single" w:sz="4" w:space="0" w:color="ADD6EA"/>
                                    <w:right w:val="nil"/>
                                  </w:tcBorders>
                                  <w:shd w:val="clear" w:color="auto" w:fill="auto"/>
                                  <w:noWrap/>
                                  <w:vAlign w:val="center"/>
                                  <w:hideMark/>
                                </w:tcPr>
                                <w:p w14:paraId="509531C1"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89,462</w:t>
                                  </w:r>
                                </w:p>
                              </w:tc>
                              <w:tc>
                                <w:tcPr>
                                  <w:tcW w:w="1000" w:type="dxa"/>
                                  <w:tcBorders>
                                    <w:top w:val="nil"/>
                                    <w:left w:val="nil"/>
                                    <w:bottom w:val="single" w:sz="4" w:space="0" w:color="ADD6EA"/>
                                    <w:right w:val="nil"/>
                                  </w:tcBorders>
                                  <w:shd w:val="clear" w:color="000000" w:fill="D6E7F0"/>
                                  <w:noWrap/>
                                  <w:vAlign w:val="center"/>
                                  <w:hideMark/>
                                </w:tcPr>
                                <w:p w14:paraId="06A28F0F"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4,787</w:t>
                                  </w:r>
                                </w:p>
                              </w:tc>
                            </w:tr>
                          </w:tbl>
                          <w:p w14:paraId="63C7E320" w14:textId="77777777" w:rsidR="00CC7807" w:rsidRPr="00756539" w:rsidRDefault="00CC7807" w:rsidP="00940363">
                            <w:pPr>
                              <w:pStyle w:val="Tablefootnote"/>
                            </w:pPr>
                            <w:r w:rsidRPr="00756539">
                              <w:t>Source: Commission calculation.</w:t>
                            </w:r>
                          </w:p>
                          <w:p w14:paraId="066129BB" w14:textId="77777777" w:rsidR="00CC7807" w:rsidRPr="00756539" w:rsidRDefault="00CC7807" w:rsidP="00437F9F">
                            <w:pPr>
                              <w:pStyle w:val="Heading2"/>
                              <w:ind w:right="6"/>
                            </w:pPr>
                            <w:bookmarkStart w:id="32" w:name="_Toc127786110"/>
                            <w:bookmarkStart w:id="33" w:name="_Toc127786241"/>
                            <w:bookmarkStart w:id="34" w:name="_Toc127786542"/>
                            <w:bookmarkStart w:id="35" w:name="_Toc127786867"/>
                            <w:bookmarkStart w:id="36" w:name="_Toc127787084"/>
                            <w:bookmarkStart w:id="37" w:name="_Toc127788020"/>
                            <w:bookmarkStart w:id="38" w:name="_Toc127802149"/>
                            <w:bookmarkStart w:id="39" w:name="_Toc127804772"/>
                            <w:r w:rsidRPr="00756539">
                              <w:t>Overview</w:t>
                            </w:r>
                            <w:bookmarkEnd w:id="32"/>
                            <w:bookmarkEnd w:id="33"/>
                            <w:bookmarkEnd w:id="34"/>
                            <w:bookmarkEnd w:id="35"/>
                            <w:bookmarkEnd w:id="36"/>
                            <w:bookmarkEnd w:id="37"/>
                            <w:bookmarkEnd w:id="38"/>
                            <w:bookmarkEnd w:id="39"/>
                          </w:p>
                          <w:p w14:paraId="588A9C03" w14:textId="21F0A50F" w:rsidR="00CC7807" w:rsidRPr="00756539" w:rsidRDefault="00CC7807" w:rsidP="00437F9F">
                            <w:pPr>
                              <w:ind w:right="6"/>
                            </w:pPr>
                            <w:r w:rsidRPr="00756539">
                              <w:t>Recommended GST relativities in 2024</w:t>
                            </w:r>
                            <w:r w:rsidR="00F269A2">
                              <w:t>–</w:t>
                            </w:r>
                            <w:r w:rsidRPr="00756539">
                              <w:t>25 reflect changes in state fiscal circumstances, predominantly changes in mining royalties, land values and property sales. The release of new data from the 2021 Census has also impacted the GST distribution.</w:t>
                            </w:r>
                          </w:p>
                          <w:p w14:paraId="588FF7F4" w14:textId="77777777" w:rsidR="00CC7807" w:rsidRPr="00756539" w:rsidRDefault="00CC7807" w:rsidP="00437F9F">
                            <w:pPr>
                              <w:ind w:right="6"/>
                            </w:pPr>
                            <w:r w:rsidRPr="00756539">
                              <w:t>Under the 2018 legislated arrangements, this is the fourth year in which the blending of assessed and standard state relativities was used to calculate GST relativities. It is the first year in which the GST relativity floor is 0.75. The blending of relativities from the previous and current arrangements, together with the GST floor, continues to have a significant impact on the GST distribution outcomes.</w:t>
                            </w:r>
                          </w:p>
                          <w:p w14:paraId="5EFA3DE4" w14:textId="12F97B6C" w:rsidR="009929FD" w:rsidRPr="00BF5015" w:rsidRDefault="00CC7807" w:rsidP="00437F9F">
                            <w:pPr>
                              <w:ind w:right="6"/>
                            </w:pPr>
                            <w:r w:rsidRPr="00756539">
                              <w:t>Victoria’s GST distribution is estimated to increase significantly from last year (by $3.7</w:t>
                            </w:r>
                            <w:r w:rsidR="005F4141">
                              <w:t> </w:t>
                            </w:r>
                            <w:r w:rsidRPr="00756539">
                              <w:t xml:space="preserve">billion). This is largely driven by its lower capacity to raise mining revenue relative to other states. Victoria’s assessed GST needs have also increased </w:t>
                            </w:r>
                            <w:proofErr w:type="gramStart"/>
                            <w:r w:rsidRPr="00756539">
                              <w:t>as a result of</w:t>
                            </w:r>
                            <w:proofErr w:type="gramEnd"/>
                            <w:r w:rsidRPr="00756539">
                              <w:t xml:space="preserve"> new data from the 2021 Census increasing its urban population and urban density.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44348C" id="_x0000_t202" coordsize="21600,21600" o:spt="202" path="m,l,21600r21600,l21600,xe">
                <v:stroke joinstyle="miter"/>
                <v:path gradientshapeok="t" o:connecttype="rect"/>
              </v:shapetype>
              <v:shape id="Text Box 217" o:spid="_x0000_s1029" type="#_x0000_t202" style="position:absolute;margin-left:0;margin-top:46pt;width:461.65pt;height:680.3pt;z-index:25165824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" fillcolor="#e5f8ff" strokecolor="white [3212]">
                <v:textbox>
                  <w:txbxContent>
                    <w:p w14:paraId="60E15728" w14:textId="1A780CCD" w:rsidR="00CC7807" w:rsidRPr="00756539" w:rsidRDefault="00CC7807" w:rsidP="00437F9F">
                      <w:pPr>
                        <w:ind w:right="6"/>
                      </w:pPr>
                      <w:r w:rsidRPr="00756539">
                        <w:t>The 2024 Update presents the Commission’s recommended GST relativities for 2024–25.</w:t>
                      </w:r>
                    </w:p>
                    <w:p w14:paraId="3FD97731" w14:textId="77777777" w:rsidR="00CC7807" w:rsidRPr="00756539" w:rsidRDefault="00CC7807" w:rsidP="00437F9F">
                      <w:pPr>
                        <w:pStyle w:val="Heading2"/>
                        <w:ind w:right="6"/>
                      </w:pPr>
                      <w:bookmarkStart w:id="40" w:name="_Toc127786109"/>
                      <w:bookmarkStart w:id="41" w:name="_Toc127786240"/>
                      <w:bookmarkStart w:id="42" w:name="_Toc127786541"/>
                      <w:bookmarkStart w:id="43" w:name="_Toc127786866"/>
                      <w:bookmarkStart w:id="44" w:name="_Toc127787083"/>
                      <w:bookmarkStart w:id="45" w:name="_Toc127788019"/>
                      <w:bookmarkStart w:id="46" w:name="_Toc127802148"/>
                      <w:bookmarkStart w:id="47" w:name="_Toc127804771"/>
                      <w:r w:rsidRPr="00756539">
                        <w:t>Recommended GST relativities</w:t>
                      </w:r>
                      <w:bookmarkEnd w:id="40"/>
                      <w:bookmarkEnd w:id="41"/>
                      <w:bookmarkEnd w:id="42"/>
                      <w:bookmarkEnd w:id="43"/>
                      <w:bookmarkEnd w:id="44"/>
                      <w:bookmarkEnd w:id="45"/>
                      <w:bookmarkEnd w:id="46"/>
                      <w:bookmarkEnd w:id="47"/>
                    </w:p>
                    <w:p w14:paraId="14BE6E97" w14:textId="2BCDD378" w:rsidR="00CC7807" w:rsidRPr="00756539" w:rsidRDefault="00CC7807" w:rsidP="00437F9F">
                      <w:pPr>
                        <w:ind w:right="6"/>
                      </w:pPr>
                      <w:r w:rsidRPr="00756539">
                        <w:t>The table below sets out the distribution of the estimated GST pool in 2024</w:t>
                      </w:r>
                      <w:r w:rsidR="00064B69">
                        <w:t>–</w:t>
                      </w:r>
                      <w:r w:rsidRPr="00756539">
                        <w:t>25, based on the Commission’s recommended GST relativities. The table compares the 2024 Update with 2023</w:t>
                      </w:r>
                      <w:r w:rsidR="00E875D0">
                        <w:t>–</w:t>
                      </w:r>
                      <w:r w:rsidRPr="00756539">
                        <w:t>24, showing each state and territory’s (state’s) GST relativity, share of the GST pool, and estimated amount of GST.</w:t>
                      </w:r>
                    </w:p>
                    <w:p w14:paraId="68A55DE3" w14:textId="2DE46076" w:rsidR="00CC7807" w:rsidRPr="00756539" w:rsidRDefault="00CC7807" w:rsidP="00437F9F">
                      <w:pPr>
                        <w:ind w:right="6"/>
                      </w:pPr>
                      <w:r w:rsidRPr="00756539">
                        <w:t>This table, and most of the tables and analysis in this report, do not</w:t>
                      </w:r>
                      <w:r w:rsidRPr="00756539" w:rsidDel="004F65CE">
                        <w:t xml:space="preserve"> </w:t>
                      </w:r>
                      <w:r w:rsidRPr="00756539">
                        <w:t xml:space="preserve">include no worse off payments provided by the Commonwealth under the 2018 legislated arrangements. Information on no worse off payments is provided at the end of this Executive Summary and in </w:t>
                      </w:r>
                      <w:hyperlink w:anchor="Recommend_GST_Relativities" w:history="1">
                        <w:r w:rsidRPr="00961FA6">
                          <w:rPr>
                            <w:rStyle w:val="Hyperlink"/>
                            <w:color w:val="auto"/>
                            <w:u w:val="none"/>
                          </w:rPr>
                          <w:t>Chapter 1</w:t>
                        </w:r>
                      </w:hyperlink>
                      <w:r w:rsidRPr="00756539">
                        <w:t>.</w:t>
                      </w:r>
                    </w:p>
                    <w:p w14:paraId="2B0FAECC" w14:textId="5F79D7F9" w:rsidR="00CC7807" w:rsidRDefault="00CC7807" w:rsidP="00437F9F">
                      <w:pPr>
                        <w:pStyle w:val="Tableheading"/>
                        <w:ind w:right="6"/>
                      </w:pPr>
                      <w:r w:rsidRPr="00756539">
                        <w:t>GST relativities, shares and estimated GST distribution, 2023</w:t>
                      </w:r>
                      <w:r w:rsidR="00575390">
                        <w:t>–</w:t>
                      </w:r>
                      <w:r w:rsidRPr="00756539">
                        <w:t>24 and 2024</w:t>
                      </w:r>
                      <w:r w:rsidR="00575390">
                        <w:t>–</w:t>
                      </w:r>
                      <w:r w:rsidRPr="00756539">
                        <w:t>25 (excludes no worse off payments)</w:t>
                      </w:r>
                    </w:p>
                    <w:tbl>
                      <w:tblPr>
                        <w:tblW w:w="8900" w:type="dxa"/>
                        <w:tblLook w:val="04A0" w:firstRow="1" w:lastRow="0" w:firstColumn="1" w:lastColumn="0" w:noHBand="0" w:noVBand="1"/>
                      </w:tblPr>
                      <w:tblGrid>
                        <w:gridCol w:w="2599"/>
                        <w:gridCol w:w="880"/>
                        <w:gridCol w:w="880"/>
                        <w:gridCol w:w="880"/>
                        <w:gridCol w:w="880"/>
                        <w:gridCol w:w="880"/>
                        <w:gridCol w:w="880"/>
                        <w:gridCol w:w="1021"/>
                      </w:tblGrid>
                      <w:tr w:rsidR="00622790" w:rsidRPr="00622790" w14:paraId="5517A219" w14:textId="77777777" w:rsidTr="00622790">
                        <w:trPr>
                          <w:trHeight w:val="379"/>
                        </w:trPr>
                        <w:tc>
                          <w:tcPr>
                            <w:tcW w:w="2620" w:type="dxa"/>
                            <w:tcBorders>
                              <w:top w:val="nil"/>
                              <w:left w:val="nil"/>
                              <w:bottom w:val="single" w:sz="4" w:space="0" w:color="ADD6EA"/>
                              <w:right w:val="nil"/>
                            </w:tcBorders>
                            <w:shd w:val="clear" w:color="000000" w:fill="006991"/>
                            <w:vAlign w:val="bottom"/>
                            <w:hideMark/>
                          </w:tcPr>
                          <w:p w14:paraId="02216181" w14:textId="77777777" w:rsidR="00622790" w:rsidRPr="00622790" w:rsidRDefault="00622790" w:rsidP="00622790">
                            <w:pPr>
                              <w:tabs>
                                <w:tab w:val="clear" w:pos="567"/>
                              </w:tabs>
                              <w:spacing w:before="0" w:line="240" w:lineRule="auto"/>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 </w:t>
                            </w:r>
                          </w:p>
                        </w:tc>
                        <w:tc>
                          <w:tcPr>
                            <w:tcW w:w="1760" w:type="dxa"/>
                            <w:gridSpan w:val="2"/>
                            <w:tcBorders>
                              <w:top w:val="nil"/>
                              <w:left w:val="nil"/>
                              <w:bottom w:val="single" w:sz="4" w:space="0" w:color="ADD6EA"/>
                              <w:right w:val="nil"/>
                            </w:tcBorders>
                            <w:shd w:val="clear" w:color="000000" w:fill="006991"/>
                            <w:vAlign w:val="center"/>
                            <w:hideMark/>
                          </w:tcPr>
                          <w:p w14:paraId="55A637DA" w14:textId="77777777" w:rsidR="00622790" w:rsidRPr="00622790" w:rsidRDefault="00622790" w:rsidP="00622790">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GST relativities</w:t>
                            </w:r>
                          </w:p>
                        </w:tc>
                        <w:tc>
                          <w:tcPr>
                            <w:tcW w:w="1760" w:type="dxa"/>
                            <w:gridSpan w:val="2"/>
                            <w:tcBorders>
                              <w:top w:val="nil"/>
                              <w:left w:val="nil"/>
                              <w:bottom w:val="single" w:sz="4" w:space="0" w:color="ADD6EA"/>
                              <w:right w:val="nil"/>
                            </w:tcBorders>
                            <w:shd w:val="clear" w:color="000000" w:fill="006991"/>
                            <w:vAlign w:val="center"/>
                            <w:hideMark/>
                          </w:tcPr>
                          <w:p w14:paraId="64B9838E" w14:textId="77777777" w:rsidR="00622790" w:rsidRPr="00622790" w:rsidRDefault="00622790" w:rsidP="00622790">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GST shares</w:t>
                            </w:r>
                          </w:p>
                        </w:tc>
                        <w:tc>
                          <w:tcPr>
                            <w:tcW w:w="2760" w:type="dxa"/>
                            <w:gridSpan w:val="3"/>
                            <w:tcBorders>
                              <w:top w:val="nil"/>
                              <w:left w:val="nil"/>
                              <w:bottom w:val="single" w:sz="4" w:space="0" w:color="ADD6EA"/>
                              <w:right w:val="nil"/>
                            </w:tcBorders>
                            <w:shd w:val="clear" w:color="000000" w:fill="006991"/>
                            <w:vAlign w:val="center"/>
                            <w:hideMark/>
                          </w:tcPr>
                          <w:p w14:paraId="3BF8DBDE" w14:textId="77777777" w:rsidR="00622790" w:rsidRPr="00622790" w:rsidRDefault="00622790" w:rsidP="00622790">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GST distribution</w:t>
                            </w:r>
                          </w:p>
                        </w:tc>
                      </w:tr>
                      <w:tr w:rsidR="00622790" w:rsidRPr="00622790" w14:paraId="664DDA72" w14:textId="77777777" w:rsidTr="00622790">
                        <w:trPr>
                          <w:trHeight w:val="315"/>
                        </w:trPr>
                        <w:tc>
                          <w:tcPr>
                            <w:tcW w:w="2620" w:type="dxa"/>
                            <w:tcBorders>
                              <w:top w:val="nil"/>
                              <w:left w:val="nil"/>
                              <w:bottom w:val="nil"/>
                              <w:right w:val="nil"/>
                            </w:tcBorders>
                            <w:shd w:val="clear" w:color="000000" w:fill="006991"/>
                            <w:vAlign w:val="bottom"/>
                            <w:hideMark/>
                          </w:tcPr>
                          <w:p w14:paraId="06B279BE" w14:textId="77777777" w:rsidR="00622790" w:rsidRPr="00622790" w:rsidRDefault="00622790" w:rsidP="00622790">
                            <w:pPr>
                              <w:tabs>
                                <w:tab w:val="clear" w:pos="567"/>
                              </w:tabs>
                              <w:spacing w:before="0" w:line="240" w:lineRule="auto"/>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 </w:t>
                            </w:r>
                          </w:p>
                        </w:tc>
                        <w:tc>
                          <w:tcPr>
                            <w:tcW w:w="880" w:type="dxa"/>
                            <w:tcBorders>
                              <w:top w:val="nil"/>
                              <w:left w:val="nil"/>
                              <w:bottom w:val="nil"/>
                              <w:right w:val="nil"/>
                            </w:tcBorders>
                            <w:shd w:val="clear" w:color="000000" w:fill="006991"/>
                            <w:vAlign w:val="center"/>
                            <w:hideMark/>
                          </w:tcPr>
                          <w:p w14:paraId="07F52DA4"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2023-24</w:t>
                            </w:r>
                          </w:p>
                        </w:tc>
                        <w:tc>
                          <w:tcPr>
                            <w:tcW w:w="880" w:type="dxa"/>
                            <w:tcBorders>
                              <w:top w:val="nil"/>
                              <w:left w:val="nil"/>
                              <w:bottom w:val="nil"/>
                              <w:right w:val="nil"/>
                            </w:tcBorders>
                            <w:shd w:val="clear" w:color="000000" w:fill="006991"/>
                            <w:vAlign w:val="center"/>
                            <w:hideMark/>
                          </w:tcPr>
                          <w:p w14:paraId="63E4A838"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2024-25</w:t>
                            </w:r>
                          </w:p>
                        </w:tc>
                        <w:tc>
                          <w:tcPr>
                            <w:tcW w:w="880" w:type="dxa"/>
                            <w:tcBorders>
                              <w:top w:val="nil"/>
                              <w:left w:val="nil"/>
                              <w:bottom w:val="nil"/>
                              <w:right w:val="nil"/>
                            </w:tcBorders>
                            <w:shd w:val="clear" w:color="000000" w:fill="006991"/>
                            <w:vAlign w:val="center"/>
                            <w:hideMark/>
                          </w:tcPr>
                          <w:p w14:paraId="56165CA9"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2023-24</w:t>
                            </w:r>
                          </w:p>
                        </w:tc>
                        <w:tc>
                          <w:tcPr>
                            <w:tcW w:w="880" w:type="dxa"/>
                            <w:tcBorders>
                              <w:top w:val="nil"/>
                              <w:left w:val="nil"/>
                              <w:bottom w:val="nil"/>
                              <w:right w:val="nil"/>
                            </w:tcBorders>
                            <w:shd w:val="clear" w:color="000000" w:fill="006991"/>
                            <w:vAlign w:val="center"/>
                            <w:hideMark/>
                          </w:tcPr>
                          <w:p w14:paraId="32EDA3F3"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2024-25</w:t>
                            </w:r>
                          </w:p>
                        </w:tc>
                        <w:tc>
                          <w:tcPr>
                            <w:tcW w:w="880" w:type="dxa"/>
                            <w:tcBorders>
                              <w:top w:val="nil"/>
                              <w:left w:val="nil"/>
                              <w:bottom w:val="nil"/>
                              <w:right w:val="nil"/>
                            </w:tcBorders>
                            <w:shd w:val="clear" w:color="000000" w:fill="006991"/>
                            <w:vAlign w:val="center"/>
                            <w:hideMark/>
                          </w:tcPr>
                          <w:p w14:paraId="61B771F9"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2023-24</w:t>
                            </w:r>
                          </w:p>
                        </w:tc>
                        <w:tc>
                          <w:tcPr>
                            <w:tcW w:w="880" w:type="dxa"/>
                            <w:tcBorders>
                              <w:top w:val="nil"/>
                              <w:left w:val="nil"/>
                              <w:bottom w:val="nil"/>
                              <w:right w:val="nil"/>
                            </w:tcBorders>
                            <w:shd w:val="clear" w:color="000000" w:fill="006991"/>
                            <w:vAlign w:val="center"/>
                            <w:hideMark/>
                          </w:tcPr>
                          <w:p w14:paraId="559C4F59"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2024-25</w:t>
                            </w:r>
                          </w:p>
                        </w:tc>
                        <w:tc>
                          <w:tcPr>
                            <w:tcW w:w="1000" w:type="dxa"/>
                            <w:tcBorders>
                              <w:top w:val="nil"/>
                              <w:left w:val="nil"/>
                              <w:bottom w:val="nil"/>
                              <w:right w:val="nil"/>
                            </w:tcBorders>
                            <w:shd w:val="clear" w:color="000000" w:fill="006991"/>
                            <w:vAlign w:val="center"/>
                            <w:hideMark/>
                          </w:tcPr>
                          <w:p w14:paraId="689CE6C4"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22790">
                              <w:rPr>
                                <w:rFonts w:ascii="Open Sans Semibold" w:eastAsia="Times New Roman" w:hAnsi="Open Sans Semibold" w:cs="Open Sans Semibold"/>
                                <w:color w:val="FFFFFF"/>
                                <w:sz w:val="16"/>
                                <w:szCs w:val="16"/>
                                <w:lang w:eastAsia="en-AU"/>
                              </w:rPr>
                              <w:t>Difference</w:t>
                            </w:r>
                          </w:p>
                        </w:tc>
                      </w:tr>
                      <w:tr w:rsidR="00622790" w:rsidRPr="00622790" w14:paraId="1AA20358" w14:textId="77777777" w:rsidTr="00622790">
                        <w:trPr>
                          <w:trHeight w:val="259"/>
                        </w:trPr>
                        <w:tc>
                          <w:tcPr>
                            <w:tcW w:w="2620" w:type="dxa"/>
                            <w:tcBorders>
                              <w:top w:val="single" w:sz="4" w:space="0" w:color="ADD6EA"/>
                              <w:left w:val="nil"/>
                              <w:bottom w:val="single" w:sz="4" w:space="0" w:color="ADD6EA"/>
                              <w:right w:val="nil"/>
                            </w:tcBorders>
                            <w:shd w:val="clear" w:color="000000" w:fill="B6D5E4"/>
                            <w:vAlign w:val="bottom"/>
                            <w:hideMark/>
                          </w:tcPr>
                          <w:p w14:paraId="53C2412C" w14:textId="77777777" w:rsidR="00622790" w:rsidRPr="00622790" w:rsidRDefault="00622790" w:rsidP="00622790">
                            <w:pPr>
                              <w:tabs>
                                <w:tab w:val="clear" w:pos="567"/>
                              </w:tabs>
                              <w:spacing w:before="0" w:line="240" w:lineRule="auto"/>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 </w:t>
                            </w:r>
                          </w:p>
                        </w:tc>
                        <w:tc>
                          <w:tcPr>
                            <w:tcW w:w="880" w:type="dxa"/>
                            <w:tcBorders>
                              <w:top w:val="single" w:sz="4" w:space="0" w:color="ADD6EA"/>
                              <w:left w:val="nil"/>
                              <w:bottom w:val="single" w:sz="4" w:space="0" w:color="ADD6EA"/>
                              <w:right w:val="nil"/>
                            </w:tcBorders>
                            <w:shd w:val="clear" w:color="000000" w:fill="B6D5E4"/>
                            <w:noWrap/>
                            <w:vAlign w:val="bottom"/>
                            <w:hideMark/>
                          </w:tcPr>
                          <w:p w14:paraId="5E4B1531"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 </w:t>
                            </w:r>
                          </w:p>
                        </w:tc>
                        <w:tc>
                          <w:tcPr>
                            <w:tcW w:w="880" w:type="dxa"/>
                            <w:tcBorders>
                              <w:top w:val="single" w:sz="4" w:space="0" w:color="ADD6EA"/>
                              <w:left w:val="nil"/>
                              <w:bottom w:val="single" w:sz="4" w:space="0" w:color="ADD6EA"/>
                              <w:right w:val="nil"/>
                            </w:tcBorders>
                            <w:shd w:val="clear" w:color="000000" w:fill="B6D5E4"/>
                            <w:noWrap/>
                            <w:vAlign w:val="bottom"/>
                            <w:hideMark/>
                          </w:tcPr>
                          <w:p w14:paraId="0178DB56"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 </w:t>
                            </w:r>
                          </w:p>
                        </w:tc>
                        <w:tc>
                          <w:tcPr>
                            <w:tcW w:w="880" w:type="dxa"/>
                            <w:tcBorders>
                              <w:top w:val="single" w:sz="4" w:space="0" w:color="ADD6EA"/>
                              <w:left w:val="nil"/>
                              <w:bottom w:val="single" w:sz="4" w:space="0" w:color="ADD6EA"/>
                              <w:right w:val="nil"/>
                            </w:tcBorders>
                            <w:shd w:val="clear" w:color="000000" w:fill="B6D5E4"/>
                            <w:noWrap/>
                            <w:vAlign w:val="bottom"/>
                            <w:hideMark/>
                          </w:tcPr>
                          <w:p w14:paraId="14832040"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w:t>
                            </w:r>
                          </w:p>
                        </w:tc>
                        <w:tc>
                          <w:tcPr>
                            <w:tcW w:w="880" w:type="dxa"/>
                            <w:tcBorders>
                              <w:top w:val="single" w:sz="4" w:space="0" w:color="ADD6EA"/>
                              <w:left w:val="nil"/>
                              <w:bottom w:val="single" w:sz="4" w:space="0" w:color="ADD6EA"/>
                              <w:right w:val="nil"/>
                            </w:tcBorders>
                            <w:shd w:val="clear" w:color="000000" w:fill="B6D5E4"/>
                            <w:noWrap/>
                            <w:vAlign w:val="bottom"/>
                            <w:hideMark/>
                          </w:tcPr>
                          <w:p w14:paraId="0578FEF6"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w:t>
                            </w:r>
                          </w:p>
                        </w:tc>
                        <w:tc>
                          <w:tcPr>
                            <w:tcW w:w="880" w:type="dxa"/>
                            <w:tcBorders>
                              <w:top w:val="single" w:sz="4" w:space="0" w:color="ADD6EA"/>
                              <w:left w:val="nil"/>
                              <w:bottom w:val="single" w:sz="4" w:space="0" w:color="ADD6EA"/>
                              <w:right w:val="nil"/>
                            </w:tcBorders>
                            <w:shd w:val="clear" w:color="000000" w:fill="B6D5E4"/>
                            <w:noWrap/>
                            <w:vAlign w:val="bottom"/>
                            <w:hideMark/>
                          </w:tcPr>
                          <w:p w14:paraId="0DD9DBD4"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$m</w:t>
                            </w:r>
                          </w:p>
                        </w:tc>
                        <w:tc>
                          <w:tcPr>
                            <w:tcW w:w="880" w:type="dxa"/>
                            <w:tcBorders>
                              <w:top w:val="single" w:sz="4" w:space="0" w:color="ADD6EA"/>
                              <w:left w:val="nil"/>
                              <w:bottom w:val="single" w:sz="4" w:space="0" w:color="ADD6EA"/>
                              <w:right w:val="nil"/>
                            </w:tcBorders>
                            <w:shd w:val="clear" w:color="000000" w:fill="B6D5E4"/>
                            <w:noWrap/>
                            <w:vAlign w:val="bottom"/>
                            <w:hideMark/>
                          </w:tcPr>
                          <w:p w14:paraId="79D3158A"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$m</w:t>
                            </w:r>
                          </w:p>
                        </w:tc>
                        <w:tc>
                          <w:tcPr>
                            <w:tcW w:w="1000" w:type="dxa"/>
                            <w:tcBorders>
                              <w:top w:val="single" w:sz="4" w:space="0" w:color="ADD6EA"/>
                              <w:left w:val="nil"/>
                              <w:bottom w:val="single" w:sz="4" w:space="0" w:color="ADD6EA"/>
                              <w:right w:val="nil"/>
                            </w:tcBorders>
                            <w:shd w:val="clear" w:color="000000" w:fill="B6D5E4"/>
                            <w:noWrap/>
                            <w:vAlign w:val="bottom"/>
                            <w:hideMark/>
                          </w:tcPr>
                          <w:p w14:paraId="31EE3633" w14:textId="77777777" w:rsidR="00622790" w:rsidRPr="00622790" w:rsidRDefault="00622790" w:rsidP="00622790">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22790">
                              <w:rPr>
                                <w:rFonts w:ascii="Open Sans Semibold" w:eastAsia="Times New Roman" w:hAnsi="Open Sans Semibold" w:cs="Open Sans Semibold"/>
                                <w:color w:val="000000"/>
                                <w:sz w:val="16"/>
                                <w:szCs w:val="16"/>
                                <w:lang w:eastAsia="en-AU"/>
                              </w:rPr>
                              <w:t>$m</w:t>
                            </w:r>
                          </w:p>
                        </w:tc>
                      </w:tr>
                      <w:tr w:rsidR="00622790" w:rsidRPr="00622790" w14:paraId="1DD05F5C" w14:textId="77777777" w:rsidTr="00622790">
                        <w:trPr>
                          <w:trHeight w:val="315"/>
                        </w:trPr>
                        <w:tc>
                          <w:tcPr>
                            <w:tcW w:w="2620" w:type="dxa"/>
                            <w:tcBorders>
                              <w:top w:val="nil"/>
                              <w:left w:val="nil"/>
                              <w:bottom w:val="nil"/>
                              <w:right w:val="nil"/>
                            </w:tcBorders>
                            <w:shd w:val="clear" w:color="auto" w:fill="auto"/>
                            <w:vAlign w:val="center"/>
                            <w:hideMark/>
                          </w:tcPr>
                          <w:p w14:paraId="5466FF04"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New South Wales</w:t>
                            </w:r>
                          </w:p>
                        </w:tc>
                        <w:tc>
                          <w:tcPr>
                            <w:tcW w:w="880" w:type="dxa"/>
                            <w:tcBorders>
                              <w:top w:val="nil"/>
                              <w:left w:val="nil"/>
                              <w:bottom w:val="single" w:sz="4" w:space="0" w:color="ADD6EA"/>
                              <w:right w:val="nil"/>
                            </w:tcBorders>
                            <w:shd w:val="clear" w:color="000000" w:fill="D6E7F0"/>
                            <w:noWrap/>
                            <w:vAlign w:val="center"/>
                            <w:hideMark/>
                          </w:tcPr>
                          <w:p w14:paraId="0E521133"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0.92350</w:t>
                            </w:r>
                          </w:p>
                        </w:tc>
                        <w:tc>
                          <w:tcPr>
                            <w:tcW w:w="880" w:type="dxa"/>
                            <w:tcBorders>
                              <w:top w:val="nil"/>
                              <w:left w:val="nil"/>
                              <w:bottom w:val="nil"/>
                              <w:right w:val="nil"/>
                            </w:tcBorders>
                            <w:shd w:val="clear" w:color="auto" w:fill="auto"/>
                            <w:noWrap/>
                            <w:vAlign w:val="center"/>
                            <w:hideMark/>
                          </w:tcPr>
                          <w:p w14:paraId="7D6A95B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0.86736</w:t>
                            </w:r>
                          </w:p>
                        </w:tc>
                        <w:tc>
                          <w:tcPr>
                            <w:tcW w:w="880" w:type="dxa"/>
                            <w:tcBorders>
                              <w:top w:val="nil"/>
                              <w:left w:val="nil"/>
                              <w:bottom w:val="single" w:sz="4" w:space="0" w:color="ADD6EA"/>
                              <w:right w:val="nil"/>
                            </w:tcBorders>
                            <w:shd w:val="clear" w:color="000000" w:fill="D6E7F0"/>
                            <w:noWrap/>
                            <w:vAlign w:val="center"/>
                            <w:hideMark/>
                          </w:tcPr>
                          <w:p w14:paraId="7CFE4C31"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29.0</w:t>
                            </w:r>
                          </w:p>
                        </w:tc>
                        <w:tc>
                          <w:tcPr>
                            <w:tcW w:w="880" w:type="dxa"/>
                            <w:tcBorders>
                              <w:top w:val="nil"/>
                              <w:left w:val="nil"/>
                              <w:bottom w:val="nil"/>
                              <w:right w:val="nil"/>
                            </w:tcBorders>
                            <w:shd w:val="clear" w:color="auto" w:fill="auto"/>
                            <w:noWrap/>
                            <w:vAlign w:val="center"/>
                            <w:hideMark/>
                          </w:tcPr>
                          <w:p w14:paraId="42BDF55A"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27.1</w:t>
                            </w:r>
                          </w:p>
                        </w:tc>
                        <w:tc>
                          <w:tcPr>
                            <w:tcW w:w="880" w:type="dxa"/>
                            <w:tcBorders>
                              <w:top w:val="nil"/>
                              <w:left w:val="nil"/>
                              <w:bottom w:val="single" w:sz="4" w:space="0" w:color="ADD6EA"/>
                              <w:right w:val="nil"/>
                            </w:tcBorders>
                            <w:shd w:val="clear" w:color="000000" w:fill="D6E7F0"/>
                            <w:noWrap/>
                            <w:vAlign w:val="center"/>
                            <w:hideMark/>
                          </w:tcPr>
                          <w:p w14:paraId="0C7A59C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24,535</w:t>
                            </w:r>
                          </w:p>
                        </w:tc>
                        <w:tc>
                          <w:tcPr>
                            <w:tcW w:w="880" w:type="dxa"/>
                            <w:tcBorders>
                              <w:top w:val="nil"/>
                              <w:left w:val="nil"/>
                              <w:bottom w:val="nil"/>
                              <w:right w:val="nil"/>
                            </w:tcBorders>
                            <w:shd w:val="clear" w:color="auto" w:fill="auto"/>
                            <w:noWrap/>
                            <w:vAlign w:val="center"/>
                            <w:hideMark/>
                          </w:tcPr>
                          <w:p w14:paraId="4CD33090"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24,224</w:t>
                            </w:r>
                          </w:p>
                        </w:tc>
                        <w:tc>
                          <w:tcPr>
                            <w:tcW w:w="1000" w:type="dxa"/>
                            <w:tcBorders>
                              <w:top w:val="nil"/>
                              <w:left w:val="nil"/>
                              <w:bottom w:val="single" w:sz="4" w:space="0" w:color="ADD6EA"/>
                              <w:right w:val="nil"/>
                            </w:tcBorders>
                            <w:shd w:val="clear" w:color="000000" w:fill="D6E7F0"/>
                            <w:noWrap/>
                            <w:vAlign w:val="center"/>
                            <w:hideMark/>
                          </w:tcPr>
                          <w:p w14:paraId="5CFAD52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-310</w:t>
                            </w:r>
                          </w:p>
                        </w:tc>
                      </w:tr>
                      <w:tr w:rsidR="00622790" w:rsidRPr="00622790" w14:paraId="087DB519"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5DE7219D"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Victoria</w:t>
                            </w:r>
                          </w:p>
                        </w:tc>
                        <w:tc>
                          <w:tcPr>
                            <w:tcW w:w="880" w:type="dxa"/>
                            <w:tcBorders>
                              <w:top w:val="nil"/>
                              <w:left w:val="nil"/>
                              <w:bottom w:val="single" w:sz="4" w:space="0" w:color="ADD6EA"/>
                              <w:right w:val="nil"/>
                            </w:tcBorders>
                            <w:shd w:val="clear" w:color="000000" w:fill="D6E7F0"/>
                            <w:noWrap/>
                            <w:vAlign w:val="center"/>
                            <w:hideMark/>
                          </w:tcPr>
                          <w:p w14:paraId="0701720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0.85169</w:t>
                            </w:r>
                          </w:p>
                        </w:tc>
                        <w:tc>
                          <w:tcPr>
                            <w:tcW w:w="880" w:type="dxa"/>
                            <w:tcBorders>
                              <w:top w:val="single" w:sz="4" w:space="0" w:color="ADD6EA"/>
                              <w:left w:val="nil"/>
                              <w:bottom w:val="nil"/>
                              <w:right w:val="nil"/>
                            </w:tcBorders>
                            <w:shd w:val="clear" w:color="auto" w:fill="auto"/>
                            <w:noWrap/>
                            <w:vAlign w:val="center"/>
                            <w:hideMark/>
                          </w:tcPr>
                          <w:p w14:paraId="5D806942"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0.96502</w:t>
                            </w:r>
                          </w:p>
                        </w:tc>
                        <w:tc>
                          <w:tcPr>
                            <w:tcW w:w="880" w:type="dxa"/>
                            <w:tcBorders>
                              <w:top w:val="nil"/>
                              <w:left w:val="nil"/>
                              <w:bottom w:val="single" w:sz="4" w:space="0" w:color="ADD6EA"/>
                              <w:right w:val="nil"/>
                            </w:tcBorders>
                            <w:shd w:val="clear" w:color="000000" w:fill="D6E7F0"/>
                            <w:noWrap/>
                            <w:vAlign w:val="center"/>
                            <w:hideMark/>
                          </w:tcPr>
                          <w:p w14:paraId="2252E65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21.9</w:t>
                            </w:r>
                          </w:p>
                        </w:tc>
                        <w:tc>
                          <w:tcPr>
                            <w:tcW w:w="880" w:type="dxa"/>
                            <w:tcBorders>
                              <w:top w:val="single" w:sz="4" w:space="0" w:color="ADD6EA"/>
                              <w:left w:val="nil"/>
                              <w:bottom w:val="nil"/>
                              <w:right w:val="nil"/>
                            </w:tcBorders>
                            <w:shd w:val="clear" w:color="auto" w:fill="auto"/>
                            <w:noWrap/>
                            <w:vAlign w:val="center"/>
                            <w:hideMark/>
                          </w:tcPr>
                          <w:p w14:paraId="615B578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24.8</w:t>
                            </w:r>
                          </w:p>
                        </w:tc>
                        <w:tc>
                          <w:tcPr>
                            <w:tcW w:w="880" w:type="dxa"/>
                            <w:tcBorders>
                              <w:top w:val="nil"/>
                              <w:left w:val="nil"/>
                              <w:bottom w:val="single" w:sz="4" w:space="0" w:color="ADD6EA"/>
                              <w:right w:val="nil"/>
                            </w:tcBorders>
                            <w:shd w:val="clear" w:color="000000" w:fill="D6E7F0"/>
                            <w:noWrap/>
                            <w:vAlign w:val="center"/>
                            <w:hideMark/>
                          </w:tcPr>
                          <w:p w14:paraId="083960D6"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18,541</w:t>
                            </w:r>
                          </w:p>
                        </w:tc>
                        <w:tc>
                          <w:tcPr>
                            <w:tcW w:w="880" w:type="dxa"/>
                            <w:tcBorders>
                              <w:top w:val="single" w:sz="4" w:space="0" w:color="ADD6EA"/>
                              <w:left w:val="nil"/>
                              <w:bottom w:val="nil"/>
                              <w:right w:val="nil"/>
                            </w:tcBorders>
                            <w:shd w:val="clear" w:color="auto" w:fill="auto"/>
                            <w:noWrap/>
                            <w:vAlign w:val="center"/>
                            <w:hideMark/>
                          </w:tcPr>
                          <w:p w14:paraId="1C44AB3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22,227</w:t>
                            </w:r>
                          </w:p>
                        </w:tc>
                        <w:tc>
                          <w:tcPr>
                            <w:tcW w:w="1000" w:type="dxa"/>
                            <w:tcBorders>
                              <w:top w:val="nil"/>
                              <w:left w:val="nil"/>
                              <w:bottom w:val="single" w:sz="4" w:space="0" w:color="ADD6EA"/>
                              <w:right w:val="nil"/>
                            </w:tcBorders>
                            <w:shd w:val="clear" w:color="000000" w:fill="D6E7F0"/>
                            <w:noWrap/>
                            <w:vAlign w:val="center"/>
                            <w:hideMark/>
                          </w:tcPr>
                          <w:p w14:paraId="11691CAC"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3,686</w:t>
                            </w:r>
                          </w:p>
                        </w:tc>
                      </w:tr>
                      <w:tr w:rsidR="00622790" w:rsidRPr="00622790" w14:paraId="198985A5"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599945EA"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Queensland</w:t>
                            </w:r>
                          </w:p>
                        </w:tc>
                        <w:tc>
                          <w:tcPr>
                            <w:tcW w:w="880" w:type="dxa"/>
                            <w:tcBorders>
                              <w:top w:val="nil"/>
                              <w:left w:val="nil"/>
                              <w:bottom w:val="single" w:sz="4" w:space="0" w:color="ADD6EA"/>
                              <w:right w:val="nil"/>
                            </w:tcBorders>
                            <w:shd w:val="clear" w:color="000000" w:fill="D6E7F0"/>
                            <w:noWrap/>
                            <w:vAlign w:val="center"/>
                            <w:hideMark/>
                          </w:tcPr>
                          <w:p w14:paraId="681C06EF"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1.03118</w:t>
                            </w:r>
                          </w:p>
                        </w:tc>
                        <w:tc>
                          <w:tcPr>
                            <w:tcW w:w="880" w:type="dxa"/>
                            <w:tcBorders>
                              <w:top w:val="single" w:sz="4" w:space="0" w:color="ADD6EA"/>
                              <w:left w:val="nil"/>
                              <w:bottom w:val="nil"/>
                              <w:right w:val="nil"/>
                            </w:tcBorders>
                            <w:shd w:val="clear" w:color="auto" w:fill="auto"/>
                            <w:noWrap/>
                            <w:vAlign w:val="center"/>
                            <w:hideMark/>
                          </w:tcPr>
                          <w:p w14:paraId="1642F25E"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0.95232</w:t>
                            </w:r>
                          </w:p>
                        </w:tc>
                        <w:tc>
                          <w:tcPr>
                            <w:tcW w:w="880" w:type="dxa"/>
                            <w:tcBorders>
                              <w:top w:val="nil"/>
                              <w:left w:val="nil"/>
                              <w:bottom w:val="single" w:sz="4" w:space="0" w:color="ADD6EA"/>
                              <w:right w:val="nil"/>
                            </w:tcBorders>
                            <w:shd w:val="clear" w:color="000000" w:fill="D6E7F0"/>
                            <w:noWrap/>
                            <w:vAlign w:val="center"/>
                            <w:hideMark/>
                          </w:tcPr>
                          <w:p w14:paraId="2158B713"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21.2</w:t>
                            </w:r>
                          </w:p>
                        </w:tc>
                        <w:tc>
                          <w:tcPr>
                            <w:tcW w:w="880" w:type="dxa"/>
                            <w:tcBorders>
                              <w:top w:val="single" w:sz="4" w:space="0" w:color="ADD6EA"/>
                              <w:left w:val="nil"/>
                              <w:bottom w:val="nil"/>
                              <w:right w:val="nil"/>
                            </w:tcBorders>
                            <w:shd w:val="clear" w:color="auto" w:fill="auto"/>
                            <w:noWrap/>
                            <w:vAlign w:val="center"/>
                            <w:hideMark/>
                          </w:tcPr>
                          <w:p w14:paraId="63740CD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19.5</w:t>
                            </w:r>
                          </w:p>
                        </w:tc>
                        <w:tc>
                          <w:tcPr>
                            <w:tcW w:w="880" w:type="dxa"/>
                            <w:tcBorders>
                              <w:top w:val="nil"/>
                              <w:left w:val="nil"/>
                              <w:bottom w:val="single" w:sz="4" w:space="0" w:color="ADD6EA"/>
                              <w:right w:val="nil"/>
                            </w:tcBorders>
                            <w:shd w:val="clear" w:color="000000" w:fill="D6E7F0"/>
                            <w:noWrap/>
                            <w:vAlign w:val="center"/>
                            <w:hideMark/>
                          </w:tcPr>
                          <w:p w14:paraId="761DBC7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17,929</w:t>
                            </w:r>
                          </w:p>
                        </w:tc>
                        <w:tc>
                          <w:tcPr>
                            <w:tcW w:w="880" w:type="dxa"/>
                            <w:tcBorders>
                              <w:top w:val="single" w:sz="4" w:space="0" w:color="ADD6EA"/>
                              <w:left w:val="nil"/>
                              <w:bottom w:val="nil"/>
                              <w:right w:val="nil"/>
                            </w:tcBorders>
                            <w:shd w:val="clear" w:color="auto" w:fill="auto"/>
                            <w:noWrap/>
                            <w:vAlign w:val="center"/>
                            <w:hideMark/>
                          </w:tcPr>
                          <w:p w14:paraId="6DD4270D"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17,460</w:t>
                            </w:r>
                          </w:p>
                        </w:tc>
                        <w:tc>
                          <w:tcPr>
                            <w:tcW w:w="1000" w:type="dxa"/>
                            <w:tcBorders>
                              <w:top w:val="nil"/>
                              <w:left w:val="nil"/>
                              <w:bottom w:val="single" w:sz="4" w:space="0" w:color="ADD6EA"/>
                              <w:right w:val="nil"/>
                            </w:tcBorders>
                            <w:shd w:val="clear" w:color="000000" w:fill="D6E7F0"/>
                            <w:noWrap/>
                            <w:vAlign w:val="center"/>
                            <w:hideMark/>
                          </w:tcPr>
                          <w:p w14:paraId="7EEB0771"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-469</w:t>
                            </w:r>
                          </w:p>
                        </w:tc>
                      </w:tr>
                      <w:tr w:rsidR="00622790" w:rsidRPr="00622790" w14:paraId="143EEC7A"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4BD8CDB4"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Western Australia</w:t>
                            </w:r>
                          </w:p>
                        </w:tc>
                        <w:tc>
                          <w:tcPr>
                            <w:tcW w:w="880" w:type="dxa"/>
                            <w:tcBorders>
                              <w:top w:val="nil"/>
                              <w:left w:val="nil"/>
                              <w:bottom w:val="single" w:sz="4" w:space="0" w:color="ADD6EA"/>
                              <w:right w:val="nil"/>
                            </w:tcBorders>
                            <w:shd w:val="clear" w:color="000000" w:fill="D6E7F0"/>
                            <w:noWrap/>
                            <w:vAlign w:val="center"/>
                            <w:hideMark/>
                          </w:tcPr>
                          <w:p w14:paraId="5758462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0.70000</w:t>
                            </w:r>
                          </w:p>
                        </w:tc>
                        <w:tc>
                          <w:tcPr>
                            <w:tcW w:w="880" w:type="dxa"/>
                            <w:tcBorders>
                              <w:top w:val="single" w:sz="4" w:space="0" w:color="ADD6EA"/>
                              <w:left w:val="nil"/>
                              <w:bottom w:val="nil"/>
                              <w:right w:val="nil"/>
                            </w:tcBorders>
                            <w:shd w:val="clear" w:color="auto" w:fill="auto"/>
                            <w:noWrap/>
                            <w:vAlign w:val="center"/>
                            <w:hideMark/>
                          </w:tcPr>
                          <w:p w14:paraId="70886F94"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0.75000</w:t>
                            </w:r>
                          </w:p>
                        </w:tc>
                        <w:tc>
                          <w:tcPr>
                            <w:tcW w:w="880" w:type="dxa"/>
                            <w:tcBorders>
                              <w:top w:val="nil"/>
                              <w:left w:val="nil"/>
                              <w:bottom w:val="single" w:sz="4" w:space="0" w:color="ADD6EA"/>
                              <w:right w:val="nil"/>
                            </w:tcBorders>
                            <w:shd w:val="clear" w:color="000000" w:fill="D6E7F0"/>
                            <w:noWrap/>
                            <w:vAlign w:val="center"/>
                            <w:hideMark/>
                          </w:tcPr>
                          <w:p w14:paraId="3D2D750E"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7.6</w:t>
                            </w:r>
                          </w:p>
                        </w:tc>
                        <w:tc>
                          <w:tcPr>
                            <w:tcW w:w="880" w:type="dxa"/>
                            <w:tcBorders>
                              <w:top w:val="single" w:sz="4" w:space="0" w:color="ADD6EA"/>
                              <w:left w:val="nil"/>
                              <w:bottom w:val="nil"/>
                              <w:right w:val="nil"/>
                            </w:tcBorders>
                            <w:shd w:val="clear" w:color="auto" w:fill="auto"/>
                            <w:noWrap/>
                            <w:vAlign w:val="center"/>
                            <w:hideMark/>
                          </w:tcPr>
                          <w:p w14:paraId="13F0705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8.1</w:t>
                            </w:r>
                          </w:p>
                        </w:tc>
                        <w:tc>
                          <w:tcPr>
                            <w:tcW w:w="880" w:type="dxa"/>
                            <w:tcBorders>
                              <w:top w:val="nil"/>
                              <w:left w:val="nil"/>
                              <w:bottom w:val="single" w:sz="4" w:space="0" w:color="ADD6EA"/>
                              <w:right w:val="nil"/>
                            </w:tcBorders>
                            <w:shd w:val="clear" w:color="000000" w:fill="D6E7F0"/>
                            <w:noWrap/>
                            <w:vAlign w:val="center"/>
                            <w:hideMark/>
                          </w:tcPr>
                          <w:p w14:paraId="0A1222FB"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6,419</w:t>
                            </w:r>
                          </w:p>
                        </w:tc>
                        <w:tc>
                          <w:tcPr>
                            <w:tcW w:w="880" w:type="dxa"/>
                            <w:tcBorders>
                              <w:top w:val="single" w:sz="4" w:space="0" w:color="ADD6EA"/>
                              <w:left w:val="nil"/>
                              <w:bottom w:val="nil"/>
                              <w:right w:val="nil"/>
                            </w:tcBorders>
                            <w:shd w:val="clear" w:color="auto" w:fill="auto"/>
                            <w:noWrap/>
                            <w:vAlign w:val="center"/>
                            <w:hideMark/>
                          </w:tcPr>
                          <w:p w14:paraId="74D4B033"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7,257</w:t>
                            </w:r>
                          </w:p>
                        </w:tc>
                        <w:tc>
                          <w:tcPr>
                            <w:tcW w:w="1000" w:type="dxa"/>
                            <w:tcBorders>
                              <w:top w:val="nil"/>
                              <w:left w:val="nil"/>
                              <w:bottom w:val="single" w:sz="4" w:space="0" w:color="ADD6EA"/>
                              <w:right w:val="nil"/>
                            </w:tcBorders>
                            <w:shd w:val="clear" w:color="000000" w:fill="D6E7F0"/>
                            <w:noWrap/>
                            <w:vAlign w:val="center"/>
                            <w:hideMark/>
                          </w:tcPr>
                          <w:p w14:paraId="1E789D80"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838</w:t>
                            </w:r>
                          </w:p>
                        </w:tc>
                      </w:tr>
                      <w:tr w:rsidR="00622790" w:rsidRPr="00622790" w14:paraId="37C57A41"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4D02C7E8"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South Australia</w:t>
                            </w:r>
                          </w:p>
                        </w:tc>
                        <w:tc>
                          <w:tcPr>
                            <w:tcW w:w="880" w:type="dxa"/>
                            <w:tcBorders>
                              <w:top w:val="nil"/>
                              <w:left w:val="nil"/>
                              <w:bottom w:val="single" w:sz="4" w:space="0" w:color="ADD6EA"/>
                              <w:right w:val="nil"/>
                            </w:tcBorders>
                            <w:shd w:val="clear" w:color="000000" w:fill="D6E7F0"/>
                            <w:noWrap/>
                            <w:vAlign w:val="center"/>
                            <w:hideMark/>
                          </w:tcPr>
                          <w:p w14:paraId="7EBBE2F9"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1.39463</w:t>
                            </w:r>
                          </w:p>
                        </w:tc>
                        <w:tc>
                          <w:tcPr>
                            <w:tcW w:w="880" w:type="dxa"/>
                            <w:tcBorders>
                              <w:top w:val="single" w:sz="4" w:space="0" w:color="ADD6EA"/>
                              <w:left w:val="nil"/>
                              <w:bottom w:val="nil"/>
                              <w:right w:val="nil"/>
                            </w:tcBorders>
                            <w:shd w:val="clear" w:color="auto" w:fill="auto"/>
                            <w:noWrap/>
                            <w:vAlign w:val="center"/>
                            <w:hideMark/>
                          </w:tcPr>
                          <w:p w14:paraId="08FF668B"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1.40312</w:t>
                            </w:r>
                          </w:p>
                        </w:tc>
                        <w:tc>
                          <w:tcPr>
                            <w:tcW w:w="880" w:type="dxa"/>
                            <w:tcBorders>
                              <w:top w:val="nil"/>
                              <w:left w:val="nil"/>
                              <w:bottom w:val="single" w:sz="4" w:space="0" w:color="ADD6EA"/>
                              <w:right w:val="nil"/>
                            </w:tcBorders>
                            <w:shd w:val="clear" w:color="000000" w:fill="D6E7F0"/>
                            <w:noWrap/>
                            <w:vAlign w:val="center"/>
                            <w:hideMark/>
                          </w:tcPr>
                          <w:p w14:paraId="490D8E2E"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9.7</w:t>
                            </w:r>
                          </w:p>
                        </w:tc>
                        <w:tc>
                          <w:tcPr>
                            <w:tcW w:w="880" w:type="dxa"/>
                            <w:tcBorders>
                              <w:top w:val="single" w:sz="4" w:space="0" w:color="ADD6EA"/>
                              <w:left w:val="nil"/>
                              <w:bottom w:val="nil"/>
                              <w:right w:val="nil"/>
                            </w:tcBorders>
                            <w:shd w:val="clear" w:color="auto" w:fill="auto"/>
                            <w:noWrap/>
                            <w:vAlign w:val="center"/>
                            <w:hideMark/>
                          </w:tcPr>
                          <w:p w14:paraId="2814509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9.7</w:t>
                            </w:r>
                          </w:p>
                        </w:tc>
                        <w:tc>
                          <w:tcPr>
                            <w:tcW w:w="880" w:type="dxa"/>
                            <w:tcBorders>
                              <w:top w:val="nil"/>
                              <w:left w:val="nil"/>
                              <w:bottom w:val="single" w:sz="4" w:space="0" w:color="ADD6EA"/>
                              <w:right w:val="nil"/>
                            </w:tcBorders>
                            <w:shd w:val="clear" w:color="000000" w:fill="D6E7F0"/>
                            <w:noWrap/>
                            <w:vAlign w:val="center"/>
                            <w:hideMark/>
                          </w:tcPr>
                          <w:p w14:paraId="2E641DC0"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8,214</w:t>
                            </w:r>
                          </w:p>
                        </w:tc>
                        <w:tc>
                          <w:tcPr>
                            <w:tcW w:w="880" w:type="dxa"/>
                            <w:tcBorders>
                              <w:top w:val="single" w:sz="4" w:space="0" w:color="ADD6EA"/>
                              <w:left w:val="nil"/>
                              <w:bottom w:val="nil"/>
                              <w:right w:val="nil"/>
                            </w:tcBorders>
                            <w:shd w:val="clear" w:color="auto" w:fill="auto"/>
                            <w:noWrap/>
                            <w:vAlign w:val="center"/>
                            <w:hideMark/>
                          </w:tcPr>
                          <w:p w14:paraId="51D61C60"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8,671</w:t>
                            </w:r>
                          </w:p>
                        </w:tc>
                        <w:tc>
                          <w:tcPr>
                            <w:tcW w:w="1000" w:type="dxa"/>
                            <w:tcBorders>
                              <w:top w:val="nil"/>
                              <w:left w:val="nil"/>
                              <w:bottom w:val="single" w:sz="4" w:space="0" w:color="ADD6EA"/>
                              <w:right w:val="nil"/>
                            </w:tcBorders>
                            <w:shd w:val="clear" w:color="000000" w:fill="D6E7F0"/>
                            <w:noWrap/>
                            <w:vAlign w:val="center"/>
                            <w:hideMark/>
                          </w:tcPr>
                          <w:p w14:paraId="1E0B6F9C"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457</w:t>
                            </w:r>
                          </w:p>
                        </w:tc>
                      </w:tr>
                      <w:tr w:rsidR="00622790" w:rsidRPr="00622790" w14:paraId="17D5CF55"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2DEFED80"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Tasmania</w:t>
                            </w:r>
                          </w:p>
                        </w:tc>
                        <w:tc>
                          <w:tcPr>
                            <w:tcW w:w="880" w:type="dxa"/>
                            <w:tcBorders>
                              <w:top w:val="nil"/>
                              <w:left w:val="nil"/>
                              <w:bottom w:val="single" w:sz="4" w:space="0" w:color="ADD6EA"/>
                              <w:right w:val="nil"/>
                            </w:tcBorders>
                            <w:shd w:val="clear" w:color="000000" w:fill="D6E7F0"/>
                            <w:noWrap/>
                            <w:vAlign w:val="center"/>
                            <w:hideMark/>
                          </w:tcPr>
                          <w:p w14:paraId="687711D4"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1.79080</w:t>
                            </w:r>
                          </w:p>
                        </w:tc>
                        <w:tc>
                          <w:tcPr>
                            <w:tcW w:w="880" w:type="dxa"/>
                            <w:tcBorders>
                              <w:top w:val="single" w:sz="4" w:space="0" w:color="ADD6EA"/>
                              <w:left w:val="nil"/>
                              <w:bottom w:val="nil"/>
                              <w:right w:val="nil"/>
                            </w:tcBorders>
                            <w:shd w:val="clear" w:color="auto" w:fill="auto"/>
                            <w:noWrap/>
                            <w:vAlign w:val="center"/>
                            <w:hideMark/>
                          </w:tcPr>
                          <w:p w14:paraId="3AF3D30C"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1.82832</w:t>
                            </w:r>
                          </w:p>
                        </w:tc>
                        <w:tc>
                          <w:tcPr>
                            <w:tcW w:w="880" w:type="dxa"/>
                            <w:tcBorders>
                              <w:top w:val="nil"/>
                              <w:left w:val="nil"/>
                              <w:bottom w:val="single" w:sz="4" w:space="0" w:color="ADD6EA"/>
                              <w:right w:val="nil"/>
                            </w:tcBorders>
                            <w:shd w:val="clear" w:color="000000" w:fill="D6E7F0"/>
                            <w:noWrap/>
                            <w:vAlign w:val="center"/>
                            <w:hideMark/>
                          </w:tcPr>
                          <w:p w14:paraId="36F455D1"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3.8</w:t>
                            </w:r>
                          </w:p>
                        </w:tc>
                        <w:tc>
                          <w:tcPr>
                            <w:tcW w:w="880" w:type="dxa"/>
                            <w:tcBorders>
                              <w:top w:val="single" w:sz="4" w:space="0" w:color="ADD6EA"/>
                              <w:left w:val="nil"/>
                              <w:bottom w:val="nil"/>
                              <w:right w:val="nil"/>
                            </w:tcBorders>
                            <w:shd w:val="clear" w:color="auto" w:fill="auto"/>
                            <w:noWrap/>
                            <w:vAlign w:val="center"/>
                            <w:hideMark/>
                          </w:tcPr>
                          <w:p w14:paraId="568D0053"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3.9</w:t>
                            </w:r>
                          </w:p>
                        </w:tc>
                        <w:tc>
                          <w:tcPr>
                            <w:tcW w:w="880" w:type="dxa"/>
                            <w:tcBorders>
                              <w:top w:val="nil"/>
                              <w:left w:val="nil"/>
                              <w:bottom w:val="single" w:sz="4" w:space="0" w:color="ADD6EA"/>
                              <w:right w:val="nil"/>
                            </w:tcBorders>
                            <w:shd w:val="clear" w:color="000000" w:fill="D6E7F0"/>
                            <w:noWrap/>
                            <w:vAlign w:val="center"/>
                            <w:hideMark/>
                          </w:tcPr>
                          <w:p w14:paraId="7A52625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3,257</w:t>
                            </w:r>
                          </w:p>
                        </w:tc>
                        <w:tc>
                          <w:tcPr>
                            <w:tcW w:w="880" w:type="dxa"/>
                            <w:tcBorders>
                              <w:top w:val="single" w:sz="4" w:space="0" w:color="ADD6EA"/>
                              <w:left w:val="nil"/>
                              <w:bottom w:val="nil"/>
                              <w:right w:val="nil"/>
                            </w:tcBorders>
                            <w:shd w:val="clear" w:color="auto" w:fill="auto"/>
                            <w:noWrap/>
                            <w:vAlign w:val="center"/>
                            <w:hideMark/>
                          </w:tcPr>
                          <w:p w14:paraId="45939CEA"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3,476</w:t>
                            </w:r>
                          </w:p>
                        </w:tc>
                        <w:tc>
                          <w:tcPr>
                            <w:tcW w:w="1000" w:type="dxa"/>
                            <w:tcBorders>
                              <w:top w:val="nil"/>
                              <w:left w:val="nil"/>
                              <w:bottom w:val="single" w:sz="4" w:space="0" w:color="ADD6EA"/>
                              <w:right w:val="nil"/>
                            </w:tcBorders>
                            <w:shd w:val="clear" w:color="000000" w:fill="D6E7F0"/>
                            <w:noWrap/>
                            <w:vAlign w:val="center"/>
                            <w:hideMark/>
                          </w:tcPr>
                          <w:p w14:paraId="4AF799D8"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219</w:t>
                            </w:r>
                          </w:p>
                        </w:tc>
                      </w:tr>
                      <w:tr w:rsidR="00622790" w:rsidRPr="00622790" w14:paraId="355C09D9"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007FBDE2"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Australian Capital Territory</w:t>
                            </w:r>
                          </w:p>
                        </w:tc>
                        <w:tc>
                          <w:tcPr>
                            <w:tcW w:w="880" w:type="dxa"/>
                            <w:tcBorders>
                              <w:top w:val="nil"/>
                              <w:left w:val="nil"/>
                              <w:bottom w:val="single" w:sz="4" w:space="0" w:color="ADD6EA"/>
                              <w:right w:val="nil"/>
                            </w:tcBorders>
                            <w:shd w:val="clear" w:color="000000" w:fill="D6E7F0"/>
                            <w:noWrap/>
                            <w:vAlign w:val="center"/>
                            <w:hideMark/>
                          </w:tcPr>
                          <w:p w14:paraId="3FA43DF3"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1.19540</w:t>
                            </w:r>
                          </w:p>
                        </w:tc>
                        <w:tc>
                          <w:tcPr>
                            <w:tcW w:w="880" w:type="dxa"/>
                            <w:tcBorders>
                              <w:top w:val="single" w:sz="4" w:space="0" w:color="ADD6EA"/>
                              <w:left w:val="nil"/>
                              <w:bottom w:val="nil"/>
                              <w:right w:val="nil"/>
                            </w:tcBorders>
                            <w:shd w:val="clear" w:color="auto" w:fill="auto"/>
                            <w:vAlign w:val="center"/>
                            <w:hideMark/>
                          </w:tcPr>
                          <w:p w14:paraId="1AE96B9F"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1.20419</w:t>
                            </w:r>
                          </w:p>
                        </w:tc>
                        <w:tc>
                          <w:tcPr>
                            <w:tcW w:w="880" w:type="dxa"/>
                            <w:tcBorders>
                              <w:top w:val="nil"/>
                              <w:left w:val="nil"/>
                              <w:bottom w:val="single" w:sz="4" w:space="0" w:color="ADD6EA"/>
                              <w:right w:val="nil"/>
                            </w:tcBorders>
                            <w:shd w:val="clear" w:color="000000" w:fill="D6E7F0"/>
                            <w:noWrap/>
                            <w:vAlign w:val="center"/>
                            <w:hideMark/>
                          </w:tcPr>
                          <w:p w14:paraId="07D277A0"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2.1</w:t>
                            </w:r>
                          </w:p>
                        </w:tc>
                        <w:tc>
                          <w:tcPr>
                            <w:tcW w:w="880" w:type="dxa"/>
                            <w:tcBorders>
                              <w:top w:val="single" w:sz="4" w:space="0" w:color="ADD6EA"/>
                              <w:left w:val="nil"/>
                              <w:bottom w:val="nil"/>
                              <w:right w:val="nil"/>
                            </w:tcBorders>
                            <w:shd w:val="clear" w:color="auto" w:fill="auto"/>
                            <w:vAlign w:val="center"/>
                            <w:hideMark/>
                          </w:tcPr>
                          <w:p w14:paraId="3043E5D4"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2.1</w:t>
                            </w:r>
                          </w:p>
                        </w:tc>
                        <w:tc>
                          <w:tcPr>
                            <w:tcW w:w="880" w:type="dxa"/>
                            <w:tcBorders>
                              <w:top w:val="nil"/>
                              <w:left w:val="nil"/>
                              <w:bottom w:val="single" w:sz="4" w:space="0" w:color="ADD6EA"/>
                              <w:right w:val="nil"/>
                            </w:tcBorders>
                            <w:shd w:val="clear" w:color="000000" w:fill="D6E7F0"/>
                            <w:noWrap/>
                            <w:vAlign w:val="center"/>
                            <w:hideMark/>
                          </w:tcPr>
                          <w:p w14:paraId="37D4D26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1,778</w:t>
                            </w:r>
                          </w:p>
                        </w:tc>
                        <w:tc>
                          <w:tcPr>
                            <w:tcW w:w="880" w:type="dxa"/>
                            <w:tcBorders>
                              <w:top w:val="single" w:sz="4" w:space="0" w:color="ADD6EA"/>
                              <w:left w:val="nil"/>
                              <w:bottom w:val="nil"/>
                              <w:right w:val="nil"/>
                            </w:tcBorders>
                            <w:shd w:val="clear" w:color="auto" w:fill="auto"/>
                            <w:vAlign w:val="center"/>
                            <w:hideMark/>
                          </w:tcPr>
                          <w:p w14:paraId="7A9891D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1,889</w:t>
                            </w:r>
                          </w:p>
                        </w:tc>
                        <w:tc>
                          <w:tcPr>
                            <w:tcW w:w="1000" w:type="dxa"/>
                            <w:tcBorders>
                              <w:top w:val="nil"/>
                              <w:left w:val="nil"/>
                              <w:bottom w:val="single" w:sz="4" w:space="0" w:color="ADD6EA"/>
                              <w:right w:val="nil"/>
                            </w:tcBorders>
                            <w:shd w:val="clear" w:color="000000" w:fill="D6E7F0"/>
                            <w:noWrap/>
                            <w:vAlign w:val="center"/>
                            <w:hideMark/>
                          </w:tcPr>
                          <w:p w14:paraId="4A1F7F1B"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111</w:t>
                            </w:r>
                          </w:p>
                        </w:tc>
                      </w:tr>
                      <w:tr w:rsidR="00622790" w:rsidRPr="00622790" w14:paraId="708FE556" w14:textId="77777777" w:rsidTr="00622790">
                        <w:trPr>
                          <w:trHeight w:val="315"/>
                        </w:trPr>
                        <w:tc>
                          <w:tcPr>
                            <w:tcW w:w="2620" w:type="dxa"/>
                            <w:tcBorders>
                              <w:top w:val="single" w:sz="4" w:space="0" w:color="ADD6EA"/>
                              <w:left w:val="nil"/>
                              <w:bottom w:val="nil"/>
                              <w:right w:val="nil"/>
                            </w:tcBorders>
                            <w:shd w:val="clear" w:color="auto" w:fill="auto"/>
                            <w:vAlign w:val="center"/>
                            <w:hideMark/>
                          </w:tcPr>
                          <w:p w14:paraId="26F297E9"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Northern Territory</w:t>
                            </w:r>
                          </w:p>
                        </w:tc>
                        <w:tc>
                          <w:tcPr>
                            <w:tcW w:w="880" w:type="dxa"/>
                            <w:tcBorders>
                              <w:top w:val="nil"/>
                              <w:left w:val="nil"/>
                              <w:bottom w:val="single" w:sz="4" w:space="0" w:color="ADD6EA"/>
                              <w:right w:val="nil"/>
                            </w:tcBorders>
                            <w:shd w:val="clear" w:color="000000" w:fill="D6E7F0"/>
                            <w:noWrap/>
                            <w:vAlign w:val="center"/>
                            <w:hideMark/>
                          </w:tcPr>
                          <w:p w14:paraId="43BA8376"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4.98725</w:t>
                            </w:r>
                          </w:p>
                        </w:tc>
                        <w:tc>
                          <w:tcPr>
                            <w:tcW w:w="880" w:type="dxa"/>
                            <w:tcBorders>
                              <w:top w:val="single" w:sz="4" w:space="0" w:color="ADD6EA"/>
                              <w:left w:val="nil"/>
                              <w:bottom w:val="nil"/>
                              <w:right w:val="nil"/>
                            </w:tcBorders>
                            <w:shd w:val="clear" w:color="auto" w:fill="auto"/>
                            <w:noWrap/>
                            <w:vAlign w:val="center"/>
                            <w:hideMark/>
                          </w:tcPr>
                          <w:p w14:paraId="65521A16"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5.06681</w:t>
                            </w:r>
                          </w:p>
                        </w:tc>
                        <w:tc>
                          <w:tcPr>
                            <w:tcW w:w="880" w:type="dxa"/>
                            <w:tcBorders>
                              <w:top w:val="nil"/>
                              <w:left w:val="nil"/>
                              <w:bottom w:val="single" w:sz="4" w:space="0" w:color="ADD6EA"/>
                              <w:right w:val="nil"/>
                            </w:tcBorders>
                            <w:shd w:val="clear" w:color="000000" w:fill="D6E7F0"/>
                            <w:noWrap/>
                            <w:vAlign w:val="center"/>
                            <w:hideMark/>
                          </w:tcPr>
                          <w:p w14:paraId="19BF9E21"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4.7</w:t>
                            </w:r>
                          </w:p>
                        </w:tc>
                        <w:tc>
                          <w:tcPr>
                            <w:tcW w:w="880" w:type="dxa"/>
                            <w:tcBorders>
                              <w:top w:val="single" w:sz="4" w:space="0" w:color="ADD6EA"/>
                              <w:left w:val="nil"/>
                              <w:bottom w:val="nil"/>
                              <w:right w:val="nil"/>
                            </w:tcBorders>
                            <w:shd w:val="clear" w:color="auto" w:fill="auto"/>
                            <w:noWrap/>
                            <w:vAlign w:val="center"/>
                            <w:hideMark/>
                          </w:tcPr>
                          <w:p w14:paraId="67220D2F"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4.8</w:t>
                            </w:r>
                          </w:p>
                        </w:tc>
                        <w:tc>
                          <w:tcPr>
                            <w:tcW w:w="880" w:type="dxa"/>
                            <w:tcBorders>
                              <w:top w:val="nil"/>
                              <w:left w:val="nil"/>
                              <w:bottom w:val="single" w:sz="4" w:space="0" w:color="ADD6EA"/>
                              <w:right w:val="nil"/>
                            </w:tcBorders>
                            <w:shd w:val="clear" w:color="000000" w:fill="D6E7F0"/>
                            <w:noWrap/>
                            <w:vAlign w:val="center"/>
                            <w:hideMark/>
                          </w:tcPr>
                          <w:p w14:paraId="2060C2EE"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4,002</w:t>
                            </w:r>
                          </w:p>
                        </w:tc>
                        <w:tc>
                          <w:tcPr>
                            <w:tcW w:w="880" w:type="dxa"/>
                            <w:tcBorders>
                              <w:top w:val="single" w:sz="4" w:space="0" w:color="ADD6EA"/>
                              <w:left w:val="nil"/>
                              <w:bottom w:val="nil"/>
                              <w:right w:val="nil"/>
                            </w:tcBorders>
                            <w:shd w:val="clear" w:color="auto" w:fill="auto"/>
                            <w:noWrap/>
                            <w:vAlign w:val="center"/>
                            <w:hideMark/>
                          </w:tcPr>
                          <w:p w14:paraId="3B22EBCB"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4,257</w:t>
                            </w:r>
                          </w:p>
                        </w:tc>
                        <w:tc>
                          <w:tcPr>
                            <w:tcW w:w="1000" w:type="dxa"/>
                            <w:tcBorders>
                              <w:top w:val="nil"/>
                              <w:left w:val="nil"/>
                              <w:bottom w:val="single" w:sz="4" w:space="0" w:color="ADD6EA"/>
                              <w:right w:val="nil"/>
                            </w:tcBorders>
                            <w:shd w:val="clear" w:color="000000" w:fill="D6E7F0"/>
                            <w:noWrap/>
                            <w:vAlign w:val="center"/>
                            <w:hideMark/>
                          </w:tcPr>
                          <w:p w14:paraId="45BCA19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256</w:t>
                            </w:r>
                          </w:p>
                        </w:tc>
                      </w:tr>
                      <w:tr w:rsidR="00622790" w:rsidRPr="00622790" w14:paraId="2556F30A" w14:textId="77777777" w:rsidTr="00622790">
                        <w:trPr>
                          <w:trHeight w:val="315"/>
                        </w:trPr>
                        <w:tc>
                          <w:tcPr>
                            <w:tcW w:w="2620" w:type="dxa"/>
                            <w:tcBorders>
                              <w:top w:val="single" w:sz="4" w:space="0" w:color="ADD6EA"/>
                              <w:left w:val="nil"/>
                              <w:bottom w:val="single" w:sz="4" w:space="0" w:color="ADD6EA"/>
                              <w:right w:val="nil"/>
                            </w:tcBorders>
                            <w:shd w:val="clear" w:color="auto" w:fill="auto"/>
                            <w:vAlign w:val="center"/>
                            <w:hideMark/>
                          </w:tcPr>
                          <w:p w14:paraId="5B5DF905" w14:textId="77777777" w:rsidR="00622790" w:rsidRPr="00EB0A0B" w:rsidRDefault="00622790" w:rsidP="00622790">
                            <w:pPr>
                              <w:tabs>
                                <w:tab w:val="clear" w:pos="567"/>
                              </w:tabs>
                              <w:spacing w:before="0" w:line="240" w:lineRule="auto"/>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Total</w:t>
                            </w:r>
                          </w:p>
                        </w:tc>
                        <w:tc>
                          <w:tcPr>
                            <w:tcW w:w="880" w:type="dxa"/>
                            <w:tcBorders>
                              <w:top w:val="nil"/>
                              <w:left w:val="nil"/>
                              <w:bottom w:val="single" w:sz="4" w:space="0" w:color="ADD6EA"/>
                              <w:right w:val="nil"/>
                            </w:tcBorders>
                            <w:shd w:val="clear" w:color="000000" w:fill="D6E7F0"/>
                            <w:noWrap/>
                            <w:vAlign w:val="center"/>
                            <w:hideMark/>
                          </w:tcPr>
                          <w:p w14:paraId="3F271A7F"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1.00000</w:t>
                            </w:r>
                          </w:p>
                        </w:tc>
                        <w:tc>
                          <w:tcPr>
                            <w:tcW w:w="880" w:type="dxa"/>
                            <w:tcBorders>
                              <w:top w:val="single" w:sz="4" w:space="0" w:color="ADD6EA"/>
                              <w:left w:val="nil"/>
                              <w:bottom w:val="single" w:sz="4" w:space="0" w:color="ADD6EA"/>
                              <w:right w:val="nil"/>
                            </w:tcBorders>
                            <w:shd w:val="clear" w:color="auto" w:fill="auto"/>
                            <w:noWrap/>
                            <w:vAlign w:val="center"/>
                            <w:hideMark/>
                          </w:tcPr>
                          <w:p w14:paraId="5A304045"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1.00000</w:t>
                            </w:r>
                          </w:p>
                        </w:tc>
                        <w:tc>
                          <w:tcPr>
                            <w:tcW w:w="880" w:type="dxa"/>
                            <w:tcBorders>
                              <w:top w:val="nil"/>
                              <w:left w:val="nil"/>
                              <w:bottom w:val="single" w:sz="4" w:space="0" w:color="ADD6EA"/>
                              <w:right w:val="nil"/>
                            </w:tcBorders>
                            <w:shd w:val="clear" w:color="000000" w:fill="D6E7F0"/>
                            <w:noWrap/>
                            <w:vAlign w:val="center"/>
                            <w:hideMark/>
                          </w:tcPr>
                          <w:p w14:paraId="081E7182"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100.0</w:t>
                            </w:r>
                          </w:p>
                        </w:tc>
                        <w:tc>
                          <w:tcPr>
                            <w:tcW w:w="880" w:type="dxa"/>
                            <w:tcBorders>
                              <w:top w:val="single" w:sz="4" w:space="0" w:color="ADD6EA"/>
                              <w:left w:val="nil"/>
                              <w:bottom w:val="single" w:sz="4" w:space="0" w:color="ADD6EA"/>
                              <w:right w:val="nil"/>
                            </w:tcBorders>
                            <w:shd w:val="clear" w:color="auto" w:fill="auto"/>
                            <w:noWrap/>
                            <w:vAlign w:val="center"/>
                            <w:hideMark/>
                          </w:tcPr>
                          <w:p w14:paraId="12F544EC"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100.0</w:t>
                            </w:r>
                          </w:p>
                        </w:tc>
                        <w:tc>
                          <w:tcPr>
                            <w:tcW w:w="880" w:type="dxa"/>
                            <w:tcBorders>
                              <w:top w:val="nil"/>
                              <w:left w:val="nil"/>
                              <w:bottom w:val="single" w:sz="4" w:space="0" w:color="ADD6EA"/>
                              <w:right w:val="nil"/>
                            </w:tcBorders>
                            <w:shd w:val="clear" w:color="000000" w:fill="D6E7F0"/>
                            <w:noWrap/>
                            <w:vAlign w:val="center"/>
                            <w:hideMark/>
                          </w:tcPr>
                          <w:p w14:paraId="6661CA27"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84,675</w:t>
                            </w:r>
                          </w:p>
                        </w:tc>
                        <w:tc>
                          <w:tcPr>
                            <w:tcW w:w="880" w:type="dxa"/>
                            <w:tcBorders>
                              <w:top w:val="single" w:sz="4" w:space="0" w:color="ADD6EA"/>
                              <w:left w:val="nil"/>
                              <w:bottom w:val="single" w:sz="4" w:space="0" w:color="ADD6EA"/>
                              <w:right w:val="nil"/>
                            </w:tcBorders>
                            <w:shd w:val="clear" w:color="auto" w:fill="auto"/>
                            <w:noWrap/>
                            <w:vAlign w:val="center"/>
                            <w:hideMark/>
                          </w:tcPr>
                          <w:p w14:paraId="509531C1"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89,462</w:t>
                            </w:r>
                          </w:p>
                        </w:tc>
                        <w:tc>
                          <w:tcPr>
                            <w:tcW w:w="1000" w:type="dxa"/>
                            <w:tcBorders>
                              <w:top w:val="nil"/>
                              <w:left w:val="nil"/>
                              <w:bottom w:val="single" w:sz="4" w:space="0" w:color="ADD6EA"/>
                              <w:right w:val="nil"/>
                            </w:tcBorders>
                            <w:shd w:val="clear" w:color="000000" w:fill="D6E7F0"/>
                            <w:noWrap/>
                            <w:vAlign w:val="center"/>
                            <w:hideMark/>
                          </w:tcPr>
                          <w:p w14:paraId="06A28F0F" w14:textId="77777777" w:rsidR="00622790" w:rsidRPr="00EB0A0B" w:rsidRDefault="00622790" w:rsidP="00622790">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B0A0B">
                              <w:rPr>
                                <w:rFonts w:ascii="Open Sans Light" w:eastAsia="Times New Roman" w:hAnsi="Open Sans Light" w:cs="Open Sans Light"/>
                                <w:color w:val="000000"/>
                                <w:sz w:val="16"/>
                                <w:szCs w:val="16"/>
                                <w:lang w:eastAsia="en-AU"/>
                              </w:rPr>
                              <w:t>4,787</w:t>
                            </w:r>
                          </w:p>
                        </w:tc>
                      </w:tr>
                    </w:tbl>
                    <w:p w14:paraId="63C7E320" w14:textId="77777777" w:rsidR="00CC7807" w:rsidRPr="00756539" w:rsidRDefault="00CC7807" w:rsidP="00940363">
                      <w:pPr>
                        <w:pStyle w:val="Tablefootnote"/>
                      </w:pPr>
                      <w:r w:rsidRPr="00756539">
                        <w:t>Source: Commission calculation.</w:t>
                      </w:r>
                    </w:p>
                    <w:p w14:paraId="066129BB" w14:textId="77777777" w:rsidR="00CC7807" w:rsidRPr="00756539" w:rsidRDefault="00CC7807" w:rsidP="00437F9F">
                      <w:pPr>
                        <w:pStyle w:val="Heading2"/>
                        <w:ind w:right="6"/>
                      </w:pPr>
                      <w:bookmarkStart w:id="48" w:name="_Toc127786110"/>
                      <w:bookmarkStart w:id="49" w:name="_Toc127786241"/>
                      <w:bookmarkStart w:id="50" w:name="_Toc127786542"/>
                      <w:bookmarkStart w:id="51" w:name="_Toc127786867"/>
                      <w:bookmarkStart w:id="52" w:name="_Toc127787084"/>
                      <w:bookmarkStart w:id="53" w:name="_Toc127788020"/>
                      <w:bookmarkStart w:id="54" w:name="_Toc127802149"/>
                      <w:bookmarkStart w:id="55" w:name="_Toc127804772"/>
                      <w:r w:rsidRPr="00756539">
                        <w:t>Overview</w:t>
                      </w:r>
                      <w:bookmarkEnd w:id="48"/>
                      <w:bookmarkEnd w:id="49"/>
                      <w:bookmarkEnd w:id="50"/>
                      <w:bookmarkEnd w:id="51"/>
                      <w:bookmarkEnd w:id="52"/>
                      <w:bookmarkEnd w:id="53"/>
                      <w:bookmarkEnd w:id="54"/>
                      <w:bookmarkEnd w:id="55"/>
                    </w:p>
                    <w:p w14:paraId="588A9C03" w14:textId="21F0A50F" w:rsidR="00CC7807" w:rsidRPr="00756539" w:rsidRDefault="00CC7807" w:rsidP="00437F9F">
                      <w:pPr>
                        <w:ind w:right="6"/>
                      </w:pPr>
                      <w:r w:rsidRPr="00756539">
                        <w:t>Recommended GST relativities in 2024</w:t>
                      </w:r>
                      <w:r w:rsidR="00F269A2">
                        <w:t>–</w:t>
                      </w:r>
                      <w:r w:rsidRPr="00756539">
                        <w:t>25 reflect changes in state fiscal circumstances, predominantly changes in mining royalties, land values and property sales. The release of new data from the 2021 Census has also impacted the GST distribution.</w:t>
                      </w:r>
                    </w:p>
                    <w:p w14:paraId="588FF7F4" w14:textId="77777777" w:rsidR="00CC7807" w:rsidRPr="00756539" w:rsidRDefault="00CC7807" w:rsidP="00437F9F">
                      <w:pPr>
                        <w:ind w:right="6"/>
                      </w:pPr>
                      <w:r w:rsidRPr="00756539">
                        <w:t>Under the 2018 legislated arrangements, this is the fourth year in which the blending of assessed and standard state relativities was used to calculate GST relativities. It is the first year in which the GST relativity floor is 0.75. The blending of relativities from the previous and current arrangements, together with the GST floor, continues to have a significant impact on the GST distribution outcomes.</w:t>
                      </w:r>
                    </w:p>
                    <w:p w14:paraId="5EFA3DE4" w14:textId="12F97B6C" w:rsidR="009929FD" w:rsidRPr="00BF5015" w:rsidRDefault="00CC7807" w:rsidP="00437F9F">
                      <w:pPr>
                        <w:ind w:right="6"/>
                      </w:pPr>
                      <w:r w:rsidRPr="00756539">
                        <w:t>Victoria’s GST distribution is estimated to increase significantly from last year (by $3.7</w:t>
                      </w:r>
                      <w:r w:rsidR="005F4141">
                        <w:t> </w:t>
                      </w:r>
                      <w:r w:rsidRPr="00756539">
                        <w:t xml:space="preserve">billion). This is largely driven by its lower capacity to raise mining revenue relative to other states. Victoria’s assessed GST needs have also increased </w:t>
                      </w:r>
                      <w:proofErr w:type="gramStart"/>
                      <w:r w:rsidRPr="00756539">
                        <w:t>as a result of</w:t>
                      </w:r>
                      <w:proofErr w:type="gramEnd"/>
                      <w:r w:rsidRPr="00756539">
                        <w:t xml:space="preserve"> new data from the 2021 Census increasing its urban population and urban density.</w:t>
                      </w:r>
                    </w:p>
                  </w:txbxContent>
                </v:textbox>
                <w10:wrap type="square" anchorx="margin"/>
              </v:shape>
            </w:pict>
          </mc:Fallback>
        </mc:AlternateContent>
      </w:r>
      <w:r w:rsidR="00274381">
        <w:t>Executive summary</w:t>
      </w:r>
      <w:bookmarkEnd w:id="0"/>
      <w:bookmarkEnd w:id="1"/>
      <w:bookmarkEnd w:id="23"/>
    </w:p>
    <w:p w14:paraId="6B083948" w14:textId="606AF025" w:rsidR="00AB56A8" w:rsidRDefault="00AB56A8">
      <w:pPr>
        <w:tabs>
          <w:tab w:val="clear" w:pos="567"/>
        </w:tabs>
        <w:spacing w:before="0" w:line="240" w:lineRule="auto"/>
        <w:rPr>
          <w:rFonts w:ascii="Open Sans Light" w:eastAsia="Times New Roman" w:hAnsi="Open Sans Light" w:cs="Times New Roman"/>
          <w:szCs w:val="20"/>
        </w:rPr>
      </w:pPr>
      <w:r>
        <w:rPr>
          <w:noProof/>
        </w:rPr>
        <w:lastRenderedPageBreak/>
        <mc:AlternateContent>
          <mc:Choice Requires="wps">
            <w:drawing>
              <wp:anchor distT="45720" distB="45720" distL="114300" distR="114300" simplePos="0" relativeHeight="251658245" behindDoc="0" locked="0" layoutInCell="1" allowOverlap="1" wp14:anchorId="018BABD7" wp14:editId="0565FD64">
                <wp:simplePos x="0" y="0"/>
                <wp:positionH relativeFrom="margin">
                  <wp:align>left</wp:align>
                </wp:positionH>
                <wp:positionV relativeFrom="paragraph">
                  <wp:posOffset>217805</wp:posOffset>
                </wp:positionV>
                <wp:extent cx="5853430" cy="8999855"/>
                <wp:effectExtent l="0" t="0" r="13970" b="10795"/>
                <wp:wrapSquare wrapText="bothSides"/>
                <wp:docPr id="1232713158" name="Text Box 1232713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8999855"/>
                        </a:xfrm>
                        <a:prstGeom prst="rect">
                          <a:avLst/>
                        </a:prstGeom>
                        <a:solidFill>
                          <a:srgbClr val="E5F8FF"/>
                        </a:solidFill>
                        <a:ln w="9525">
                          <a:solidFill>
                            <a:schemeClr val="bg1"/>
                          </a:solidFill>
                          <a:miter lim="800000"/>
                          <a:headEnd/>
                          <a:tailEnd/>
                        </a:ln>
                      </wps:spPr>
                      <wps:txbx>
                        <w:txbxContent>
                          <w:p w14:paraId="6EBCF449" w14:textId="32885CD7" w:rsidR="00FF63AD" w:rsidRPr="00756539" w:rsidRDefault="00FF63AD" w:rsidP="00FF63AD">
                            <w:pPr>
                              <w:ind w:right="6"/>
                            </w:pPr>
                            <w:r w:rsidRPr="00756539">
                              <w:t xml:space="preserve">New South </w:t>
                            </w:r>
                            <w:proofErr w:type="spellStart"/>
                            <w:r w:rsidRPr="00756539">
                              <w:t>Wales’</w:t>
                            </w:r>
                            <w:proofErr w:type="spellEnd"/>
                            <w:r w:rsidRPr="00756539">
                              <w:t xml:space="preserve"> and Queensland’s GST distributions are estimated to fall, largely due to increases in their respective revenue</w:t>
                            </w:r>
                            <w:r w:rsidR="00F229E9">
                              <w:t xml:space="preserve"> </w:t>
                            </w:r>
                            <w:r w:rsidRPr="00756539">
                              <w:t>raising capacities. Both states have an increased capacity to raise coal mining royalties. New South Wales also has an increased capacity, relative to other states, to raise revenue from land tax.</w:t>
                            </w:r>
                          </w:p>
                          <w:p w14:paraId="149063FF" w14:textId="7E4DFCB9" w:rsidR="006A505E" w:rsidRPr="0017514B" w:rsidRDefault="006A505E" w:rsidP="006A505E">
                            <w:bookmarkStart w:id="56" w:name="_Toc127786543"/>
                            <w:bookmarkStart w:id="57" w:name="_Toc127786868"/>
                            <w:bookmarkStart w:id="58" w:name="_Toc127787085"/>
                            <w:bookmarkStart w:id="59" w:name="_Toc127788021"/>
                            <w:bookmarkStart w:id="60" w:name="_Toc127802150"/>
                            <w:bookmarkStart w:id="61" w:name="_Toc127804773"/>
                            <w:r w:rsidRPr="004B3CA7">
                              <w:t>Western Australia’s GST distribution is estimated to increase in 2024</w:t>
                            </w:r>
                            <w:r w:rsidR="002E32C9">
                              <w:t>–</w:t>
                            </w:r>
                            <w:r w:rsidRPr="004B3CA7">
                              <w:t xml:space="preserve">25 </w:t>
                            </w:r>
                            <w:proofErr w:type="gramStart"/>
                            <w:r w:rsidRPr="004B3CA7">
                              <w:t>as a result of</w:t>
                            </w:r>
                            <w:proofErr w:type="gramEnd"/>
                            <w:r w:rsidRPr="004B3CA7">
                              <w:t xml:space="preserve"> the higher GST relativity floor of 0.75. It continues to have a very strong fiscal capacity, driven by its capacity to raise iron ore royalties. However, Western Australia’s relative fiscal capacity is estimated to be lower than last year, largely due to strong growth in coal royalties raising the fiscal capacity of other states.</w:t>
                            </w:r>
                            <w:r w:rsidRPr="0017514B">
                              <w:t xml:space="preserve">  </w:t>
                            </w:r>
                          </w:p>
                          <w:p w14:paraId="0258E769" w14:textId="77777777" w:rsidR="006A505E" w:rsidRPr="0017514B" w:rsidRDefault="006A505E" w:rsidP="006A505E">
                            <w:r w:rsidRPr="0017514B">
                              <w:t xml:space="preserve">All states are expected to benefit from the estimated growth in the GST pool. </w:t>
                            </w:r>
                          </w:p>
                          <w:p w14:paraId="27B25C58" w14:textId="61779D38" w:rsidR="006A505E" w:rsidRPr="0017514B" w:rsidRDefault="006A505E" w:rsidP="006A505E">
                            <w:r w:rsidRPr="0017514B">
                              <w:t>All states, other than N</w:t>
                            </w:r>
                            <w:r w:rsidR="00543E44">
                              <w:t xml:space="preserve">ew </w:t>
                            </w:r>
                            <w:r w:rsidRPr="0017514B">
                              <w:t>S</w:t>
                            </w:r>
                            <w:r w:rsidR="00543E44">
                              <w:t xml:space="preserve">outh </w:t>
                            </w:r>
                            <w:r w:rsidRPr="0017514B">
                              <w:t>W</w:t>
                            </w:r>
                            <w:r w:rsidR="00543E44">
                              <w:t>ales</w:t>
                            </w:r>
                            <w:r w:rsidRPr="0017514B">
                              <w:t xml:space="preserve"> and Queensland, are estimated to receive more in total GST and no worse off payments than they received in 2023</w:t>
                            </w:r>
                            <w:r w:rsidR="00B07EE5">
                              <w:t>–</w:t>
                            </w:r>
                            <w:r w:rsidRPr="0017514B">
                              <w:t>24.</w:t>
                            </w:r>
                          </w:p>
                          <w:p w14:paraId="008D7477" w14:textId="77777777" w:rsidR="006A505E" w:rsidRPr="0017514B" w:rsidRDefault="006A505E" w:rsidP="001616B3">
                            <w:pPr>
                              <w:pStyle w:val="Heading2"/>
                            </w:pPr>
                            <w:r w:rsidRPr="0017514B">
                              <w:t>Drivers of the changes in GST distribution</w:t>
                            </w:r>
                            <w:bookmarkEnd w:id="56"/>
                            <w:bookmarkEnd w:id="57"/>
                            <w:bookmarkEnd w:id="58"/>
                            <w:bookmarkEnd w:id="59"/>
                            <w:bookmarkEnd w:id="60"/>
                            <w:bookmarkEnd w:id="61"/>
                          </w:p>
                          <w:p w14:paraId="1435F98B" w14:textId="639CFADC" w:rsidR="00B73256" w:rsidRPr="00B73256" w:rsidRDefault="00B73256" w:rsidP="00B73256">
                            <w:pPr>
                              <w:pStyle w:val="Tableheading"/>
                            </w:pPr>
                            <w:r w:rsidRPr="00B73256">
                              <w:t>Major drivers of change in GST distribution, 2023</w:t>
                            </w:r>
                            <w:r w:rsidR="00B07EE5">
                              <w:t>–</w:t>
                            </w:r>
                            <w:r w:rsidRPr="00B73256">
                              <w:t>24 to 2024</w:t>
                            </w:r>
                            <w:r w:rsidR="00B07EE5">
                              <w:t>–</w:t>
                            </w:r>
                            <w:r w:rsidRPr="00B73256">
                              <w:t>25 (excludes no worse off payments)</w:t>
                            </w:r>
                          </w:p>
                          <w:tbl>
                            <w:tblPr>
                              <w:tblW w:w="9000" w:type="dxa"/>
                              <w:tblCellMar>
                                <w:left w:w="0" w:type="dxa"/>
                                <w:right w:w="0" w:type="dxa"/>
                              </w:tblCellMar>
                              <w:tblLook w:val="04A0" w:firstRow="1" w:lastRow="0" w:firstColumn="1" w:lastColumn="0" w:noHBand="0" w:noVBand="1"/>
                            </w:tblPr>
                            <w:tblGrid>
                              <w:gridCol w:w="2920"/>
                              <w:gridCol w:w="640"/>
                              <w:gridCol w:w="640"/>
                              <w:gridCol w:w="640"/>
                              <w:gridCol w:w="640"/>
                              <w:gridCol w:w="640"/>
                              <w:gridCol w:w="640"/>
                              <w:gridCol w:w="640"/>
                              <w:gridCol w:w="640"/>
                              <w:gridCol w:w="960"/>
                            </w:tblGrid>
                            <w:tr w:rsidR="005573A6" w14:paraId="7A307ADB" w14:textId="77777777" w:rsidTr="005573A6">
                              <w:trPr>
                                <w:trHeight w:val="375"/>
                              </w:trPr>
                              <w:tc>
                                <w:tcPr>
                                  <w:tcW w:w="2920" w:type="dxa"/>
                                  <w:tcBorders>
                                    <w:top w:val="nil"/>
                                    <w:left w:val="nil"/>
                                    <w:bottom w:val="nil"/>
                                    <w:right w:val="nil"/>
                                  </w:tcBorders>
                                  <w:shd w:val="clear" w:color="000000" w:fill="006991"/>
                                  <w:tcMar>
                                    <w:top w:w="15" w:type="dxa"/>
                                    <w:left w:w="15" w:type="dxa"/>
                                    <w:bottom w:w="0" w:type="dxa"/>
                                    <w:right w:w="15" w:type="dxa"/>
                                  </w:tcMar>
                                  <w:vAlign w:val="bottom"/>
                                  <w:hideMark/>
                                </w:tcPr>
                                <w:p w14:paraId="3F1B4DCE" w14:textId="77777777" w:rsidR="005573A6" w:rsidRDefault="005573A6" w:rsidP="005573A6">
                                  <w:pPr>
                                    <w:tabs>
                                      <w:tab w:val="clear" w:pos="567"/>
                                    </w:tabs>
                                    <w:spacing w:before="0" w:line="240" w:lineRule="auto"/>
                                    <w:rPr>
                                      <w:rFonts w:ascii="Open Sans Semibold" w:hAnsi="Open Sans Semibold" w:cs="Open Sans Semibold"/>
                                      <w:color w:val="FFFFFF"/>
                                      <w:sz w:val="16"/>
                                      <w:szCs w:val="16"/>
                                    </w:rPr>
                                  </w:pPr>
                                  <w:bookmarkStart w:id="62" w:name="Major_drivers"/>
                                  <w:r>
                                    <w:rPr>
                                      <w:rFonts w:ascii="Open Sans Semibold" w:hAnsi="Open Sans Semibold" w:cs="Open Sans Semibold"/>
                                      <w:color w:val="FFFFFF"/>
                                      <w:sz w:val="16"/>
                                      <w:szCs w:val="16"/>
                                    </w:rPr>
                                    <w:t> </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15849C53"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1B6DD061"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5EDFE3DE"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4E359231"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783633C5"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526D01D4"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3AEC0632"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0BB68063"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960" w:type="dxa"/>
                                  <w:tcBorders>
                                    <w:top w:val="nil"/>
                                    <w:left w:val="nil"/>
                                    <w:bottom w:val="nil"/>
                                    <w:right w:val="nil"/>
                                  </w:tcBorders>
                                  <w:shd w:val="clear" w:color="000000" w:fill="006991"/>
                                  <w:tcMar>
                                    <w:top w:w="15" w:type="dxa"/>
                                    <w:left w:w="15" w:type="dxa"/>
                                    <w:bottom w:w="0" w:type="dxa"/>
                                    <w:right w:w="15" w:type="dxa"/>
                                  </w:tcMar>
                                  <w:vAlign w:val="center"/>
                                  <w:hideMark/>
                                </w:tcPr>
                                <w:p w14:paraId="73680FBB"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 Effect</w:t>
                                  </w:r>
                                </w:p>
                              </w:tc>
                            </w:tr>
                            <w:tr w:rsidR="005573A6" w14:paraId="2547557E" w14:textId="77777777" w:rsidTr="005573A6">
                              <w:trPr>
                                <w:trHeight w:val="259"/>
                              </w:trPr>
                              <w:tc>
                                <w:tcPr>
                                  <w:tcW w:w="2920" w:type="dxa"/>
                                  <w:tcBorders>
                                    <w:top w:val="single" w:sz="4" w:space="0" w:color="ADD6EA"/>
                                    <w:left w:val="nil"/>
                                    <w:bottom w:val="nil"/>
                                    <w:right w:val="nil"/>
                                  </w:tcBorders>
                                  <w:shd w:val="clear" w:color="000000" w:fill="B6D5E4"/>
                                  <w:tcMar>
                                    <w:top w:w="15" w:type="dxa"/>
                                    <w:left w:w="15" w:type="dxa"/>
                                    <w:bottom w:w="0" w:type="dxa"/>
                                    <w:right w:w="15" w:type="dxa"/>
                                  </w:tcMar>
                                  <w:vAlign w:val="bottom"/>
                                  <w:hideMark/>
                                </w:tcPr>
                                <w:p w14:paraId="30E62290" w14:textId="77777777" w:rsidR="005573A6" w:rsidRDefault="005573A6" w:rsidP="005573A6">
                                  <w:pPr>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07C8C3A9"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3C06D99A"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6DD6AD0D"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5FB9D032"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7674ED65"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7EC436B8"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48743AF0"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2E05DA09"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318A64BC"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r>
                            <w:tr w:rsidR="005573A6" w14:paraId="73688127" w14:textId="77777777" w:rsidTr="005573A6">
                              <w:trPr>
                                <w:trHeight w:val="315"/>
                              </w:trPr>
                              <w:tc>
                                <w:tcPr>
                                  <w:tcW w:w="29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CA78A68"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Changes in fiscal capacities</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2758423"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15AE9B6"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7C4D166"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4A1FE35"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5A23463"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AC07A7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527833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7E1E092"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F712A17"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r>
                            <w:tr w:rsidR="008A114D" w14:paraId="1A05D1C8" w14:textId="77777777" w:rsidTr="005573A6">
                              <w:trPr>
                                <w:trHeight w:val="315"/>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0B2FBC58" w14:textId="704BE77A" w:rsidR="008A114D" w:rsidRDefault="008A114D" w:rsidP="008A114D">
                                  <w:pPr>
                                    <w:rPr>
                                      <w:rFonts w:ascii="Open Sans Light" w:hAnsi="Open Sans Light" w:cs="Open Sans Light"/>
                                      <w:color w:val="000000"/>
                                      <w:sz w:val="16"/>
                                      <w:szCs w:val="16"/>
                                    </w:rPr>
                                  </w:pPr>
                                  <w:r>
                                    <w:rPr>
                                      <w:rFonts w:ascii="Open Sans Light" w:hAnsi="Open Sans Light" w:cs="Open Sans Light"/>
                                      <w:color w:val="000000"/>
                                      <w:sz w:val="16"/>
                                      <w:szCs w:val="16"/>
                                    </w:rPr>
                                    <w:t>Mining production</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1592328"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-867</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3A68F4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1,304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7D4214F"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-1,781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00ED793"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699</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470F040"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374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BBDBCE4"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110</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9043133"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89</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0E0381D"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71</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4D5680E"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2,648</w:t>
                                  </w:r>
                                </w:p>
                              </w:tc>
                            </w:tr>
                            <w:tr w:rsidR="008A114D" w14:paraId="49ABE709" w14:textId="77777777" w:rsidTr="005573A6">
                              <w:trPr>
                                <w:trHeight w:val="555"/>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6C4DA053" w14:textId="240A3EC7" w:rsidR="008A114D" w:rsidRDefault="008A114D" w:rsidP="008A114D">
                                  <w:pPr>
                                    <w:rPr>
                                      <w:rFonts w:ascii="Open Sans Light" w:hAnsi="Open Sans Light" w:cs="Open Sans Light"/>
                                      <w:color w:val="000000"/>
                                      <w:sz w:val="16"/>
                                      <w:szCs w:val="16"/>
                                    </w:rPr>
                                  </w:pPr>
                                  <w:r>
                                    <w:rPr>
                                      <w:rFonts w:ascii="Open Sans Light" w:hAnsi="Open Sans Light" w:cs="Open Sans Light"/>
                                      <w:color w:val="000000"/>
                                      <w:sz w:val="16"/>
                                      <w:szCs w:val="16"/>
                                    </w:rPr>
                                    <w:t>Urban centre characteristics (census) (a)</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90C729B"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-222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D959838"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702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EFD9C8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-65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26B789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-265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FFEB2AA"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-167</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919143B"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229D833"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35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A580248"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-7</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D5C5169"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737</w:t>
                                  </w:r>
                                </w:p>
                              </w:tc>
                            </w:tr>
                            <w:tr w:rsidR="008A114D" w14:paraId="32532E16" w14:textId="77777777" w:rsidTr="005573A6">
                              <w:trPr>
                                <w:trHeight w:val="315"/>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62CB1F75" w14:textId="68C663BE" w:rsidR="008A114D" w:rsidRDefault="008A114D" w:rsidP="008A114D">
                                  <w:pPr>
                                    <w:rPr>
                                      <w:rFonts w:ascii="Open Sans Light" w:hAnsi="Open Sans Light" w:cs="Open Sans Light"/>
                                      <w:color w:val="000000"/>
                                      <w:sz w:val="16"/>
                                      <w:szCs w:val="16"/>
                                    </w:rPr>
                                  </w:pPr>
                                  <w:r>
                                    <w:rPr>
                                      <w:rFonts w:ascii="Open Sans Light" w:hAnsi="Open Sans Light" w:cs="Open Sans Light"/>
                                      <w:color w:val="000000"/>
                                      <w:sz w:val="16"/>
                                      <w:szCs w:val="16"/>
                                    </w:rPr>
                                    <w:t>Property sales</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582A785"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222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0614EE4"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165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01C55C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-138</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A144C32"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-229</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7BC193F"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10</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6213BC2"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23</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3FE7251"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-50</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3747C8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6DAC8B9"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420</w:t>
                                  </w:r>
                                </w:p>
                              </w:tc>
                            </w:tr>
                            <w:tr w:rsidR="008A114D" w14:paraId="53D04C32" w14:textId="77777777" w:rsidTr="005573A6">
                              <w:trPr>
                                <w:trHeight w:val="315"/>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3C1BC368" w14:textId="36D22B72" w:rsidR="008A114D" w:rsidRDefault="008A114D" w:rsidP="008A114D">
                                  <w:pPr>
                                    <w:rPr>
                                      <w:rFonts w:ascii="Open Sans Light" w:hAnsi="Open Sans Light" w:cs="Open Sans Light"/>
                                      <w:color w:val="000000"/>
                                      <w:sz w:val="16"/>
                                      <w:szCs w:val="16"/>
                                    </w:rPr>
                                  </w:pPr>
                                  <w:r>
                                    <w:rPr>
                                      <w:rFonts w:ascii="Open Sans Light" w:hAnsi="Open Sans Light" w:cs="Open Sans Light"/>
                                      <w:color w:val="000000"/>
                                      <w:sz w:val="16"/>
                                      <w:szCs w:val="16"/>
                                    </w:rPr>
                                    <w:t>Taxable land values</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0243637"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-412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8408FC1"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136</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FD7CCA9"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126</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4D3384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136</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623B1B2"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264DDB1"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299BBF2"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ECC1B49"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11</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73FC0B3"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417</w:t>
                                  </w:r>
                                </w:p>
                              </w:tc>
                            </w:tr>
                            <w:tr w:rsidR="00080012" w14:paraId="602BE1EE" w14:textId="77777777" w:rsidTr="005573A6">
                              <w:trPr>
                                <w:trHeight w:val="570"/>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79080AB4" w14:textId="1CA727D6" w:rsidR="00080012" w:rsidRDefault="00080012" w:rsidP="00080012">
                                  <w:pPr>
                                    <w:rPr>
                                      <w:rFonts w:ascii="Open Sans Light" w:hAnsi="Open Sans Light" w:cs="Open Sans Light"/>
                                      <w:color w:val="000000"/>
                                      <w:sz w:val="16"/>
                                      <w:szCs w:val="16"/>
                                    </w:rPr>
                                  </w:pPr>
                                  <w:r>
                                    <w:rPr>
                                      <w:rFonts w:ascii="Open Sans Light" w:hAnsi="Open Sans Light" w:cs="Open Sans Light"/>
                                      <w:color w:val="000000"/>
                                      <w:sz w:val="16"/>
                                      <w:szCs w:val="16"/>
                                    </w:rPr>
                                    <w:t>Socio-demographic composition (census) (a)</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48F94D9"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-281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34E339B"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70</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A1E94ED"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125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2443D37"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61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EED16DD"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-106</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892D263"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49</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39DEFFC"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D0C9674"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71</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6F49604"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387</w:t>
                                  </w:r>
                                </w:p>
                              </w:tc>
                            </w:tr>
                            <w:tr w:rsidR="00080012" w14:paraId="7F76A2D0" w14:textId="77777777" w:rsidTr="005573A6">
                              <w:trPr>
                                <w:trHeight w:val="555"/>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0E87566F" w14:textId="240BF310" w:rsidR="00080012" w:rsidRDefault="00080012" w:rsidP="00080012">
                                  <w:pPr>
                                    <w:rPr>
                                      <w:rFonts w:ascii="Open Sans Light" w:hAnsi="Open Sans Light" w:cs="Open Sans Light"/>
                                      <w:color w:val="000000"/>
                                      <w:sz w:val="16"/>
                                      <w:szCs w:val="16"/>
                                    </w:rPr>
                                  </w:pPr>
                                  <w:r>
                                    <w:rPr>
                                      <w:rFonts w:ascii="Open Sans Light" w:hAnsi="Open Sans Light" w:cs="Open Sans Light"/>
                                      <w:color w:val="000000"/>
                                      <w:sz w:val="16"/>
                                      <w:szCs w:val="16"/>
                                    </w:rPr>
                                    <w:t>Urban centre characteristics (non-census)</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90B942C"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-171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C40507F"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-115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A5D035C"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147</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D56B77D"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53</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2CA12CC"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34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D3FF486"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26</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9949F67"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5B433BE"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11</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D31EDA4"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286</w:t>
                                  </w:r>
                                </w:p>
                              </w:tc>
                            </w:tr>
                            <w:tr w:rsidR="005573A6" w14:paraId="50F5C393" w14:textId="77777777" w:rsidTr="005573A6">
                              <w:trPr>
                                <w:trHeight w:val="315"/>
                              </w:trPr>
                              <w:tc>
                                <w:tcPr>
                                  <w:tcW w:w="29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550F7AF"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Other revenue effects (b)</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E3A9A44"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-92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93CE430"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38</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00AFC33"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40</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07A069F"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45CD04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78</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7AF6826"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F3B354C"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D7886FD"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3DF84C8"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160</w:t>
                                  </w:r>
                                </w:p>
                              </w:tc>
                            </w:tr>
                            <w:tr w:rsidR="005573A6" w14:paraId="33C7091C" w14:textId="77777777" w:rsidTr="005573A6">
                              <w:trPr>
                                <w:trHeight w:val="315"/>
                              </w:trPr>
                              <w:tc>
                                <w:tcPr>
                                  <w:tcW w:w="29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F5CACD9"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Other expense effects (b)</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16007D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274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C1A1C52"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331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0BD65BC"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107</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CF49F2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-238</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F8AB4C5"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-183</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745D157"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-122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C7CE665"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-65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E9FB131"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-103</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F5D926C"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711</w:t>
                                  </w:r>
                                </w:p>
                              </w:tc>
                            </w:tr>
                            <w:tr w:rsidR="005573A6" w14:paraId="66934EE6" w14:textId="77777777" w:rsidTr="005573A6">
                              <w:trPr>
                                <w:trHeight w:val="300"/>
                              </w:trPr>
                              <w:tc>
                                <w:tcPr>
                                  <w:tcW w:w="2920" w:type="dxa"/>
                                  <w:tcBorders>
                                    <w:top w:val="single" w:sz="4" w:space="0" w:color="ADD6EA"/>
                                    <w:left w:val="nil"/>
                                    <w:bottom w:val="single" w:sz="4" w:space="0" w:color="ADD6EA"/>
                                    <w:right w:val="nil"/>
                                  </w:tcBorders>
                                  <w:shd w:val="clear" w:color="000000" w:fill="D6E7F0"/>
                                  <w:tcMar>
                                    <w:top w:w="15" w:type="dxa"/>
                                    <w:left w:w="15" w:type="dxa"/>
                                    <w:bottom w:w="0" w:type="dxa"/>
                                    <w:right w:w="15" w:type="dxa"/>
                                  </w:tcMar>
                                  <w:vAlign w:val="bottom"/>
                                  <w:hideMark/>
                                </w:tcPr>
                                <w:p w14:paraId="75B542C6" w14:textId="77777777" w:rsidR="005573A6" w:rsidRDefault="005573A6" w:rsidP="005573A6">
                                  <w:pPr>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change in fiscal capacities</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5CF8A55"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-1,551</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5FAC801"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2,633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0D7A222"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-1,442</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2B73CF0A"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178</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4DA8090"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D82C432"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67</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3CAD6843"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385B1B9"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AFFE8D1"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2,992</w:t>
                                  </w:r>
                                </w:p>
                              </w:tc>
                            </w:tr>
                            <w:tr w:rsidR="005573A6" w14:paraId="303B80F5" w14:textId="77777777" w:rsidTr="005573A6">
                              <w:trPr>
                                <w:trHeight w:val="315"/>
                              </w:trPr>
                              <w:tc>
                                <w:tcPr>
                                  <w:tcW w:w="2920" w:type="dxa"/>
                                  <w:tcBorders>
                                    <w:top w:val="nil"/>
                                    <w:left w:val="nil"/>
                                    <w:bottom w:val="nil"/>
                                    <w:right w:val="nil"/>
                                  </w:tcBorders>
                                  <w:shd w:val="clear" w:color="auto" w:fill="auto"/>
                                  <w:tcMar>
                                    <w:top w:w="15" w:type="dxa"/>
                                    <w:left w:w="15" w:type="dxa"/>
                                    <w:bottom w:w="0" w:type="dxa"/>
                                    <w:right w:w="15" w:type="dxa"/>
                                  </w:tcMar>
                                  <w:vAlign w:val="bottom"/>
                                  <w:hideMark/>
                                </w:tcPr>
                                <w:p w14:paraId="3C46B781"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Effect of GST floor and blended relativities</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7FFAA38E"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-99</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4D617AA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-85</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2FABC42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-65</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6B917B7D"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285</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473B4A65"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-21</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48A1D264"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-6</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03112E08"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-6</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451FAB5E"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w:t>
                                  </w:r>
                                </w:p>
                              </w:tc>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AFE136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285</w:t>
                                  </w:r>
                                </w:p>
                              </w:tc>
                            </w:tr>
                            <w:tr w:rsidR="005573A6" w14:paraId="67A80962" w14:textId="77777777" w:rsidTr="005573A6">
                              <w:trPr>
                                <w:trHeight w:val="315"/>
                              </w:trPr>
                              <w:tc>
                                <w:tcPr>
                                  <w:tcW w:w="29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5CEFA5D"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Change in population</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067A6F1"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-44</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437C276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85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D0112BC"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D38681F"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12</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7FF6572"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-31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BE3ADBE"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-24</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88D1816"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7E1B11A"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853F343"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122</w:t>
                                  </w:r>
                                </w:p>
                              </w:tc>
                            </w:tr>
                            <w:tr w:rsidR="005573A6" w14:paraId="32EF9910" w14:textId="77777777" w:rsidTr="005573A6">
                              <w:trPr>
                                <w:trHeight w:val="315"/>
                              </w:trPr>
                              <w:tc>
                                <w:tcPr>
                                  <w:tcW w:w="29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47CEFB6"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Change in pool (c)</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804DD4E"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1,384</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DAAB80D"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1,053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963A5D7"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1,015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4EDDD7C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364</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FAC1A14"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463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87145D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183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C91E58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101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41F7FB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225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773DCEE"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4,787</w:t>
                                  </w:r>
                                </w:p>
                              </w:tc>
                            </w:tr>
                            <w:tr w:rsidR="005573A6" w14:paraId="16F06153" w14:textId="77777777" w:rsidTr="005573A6">
                              <w:trPr>
                                <w:trHeight w:val="300"/>
                              </w:trPr>
                              <w:tc>
                                <w:tcPr>
                                  <w:tcW w:w="2920" w:type="dxa"/>
                                  <w:tcBorders>
                                    <w:top w:val="single" w:sz="4" w:space="0" w:color="ADD6EA"/>
                                    <w:left w:val="nil"/>
                                    <w:bottom w:val="single" w:sz="4" w:space="0" w:color="ADD6EA"/>
                                    <w:right w:val="nil"/>
                                  </w:tcBorders>
                                  <w:shd w:val="clear" w:color="000000" w:fill="D6E7F0"/>
                                  <w:tcMar>
                                    <w:top w:w="15" w:type="dxa"/>
                                    <w:left w:w="15" w:type="dxa"/>
                                    <w:bottom w:w="0" w:type="dxa"/>
                                    <w:right w:w="15" w:type="dxa"/>
                                  </w:tcMar>
                                  <w:vAlign w:val="bottom"/>
                                  <w:hideMark/>
                                </w:tcPr>
                                <w:p w14:paraId="2CCFC55E" w14:textId="77777777" w:rsidR="005573A6" w:rsidRDefault="005573A6" w:rsidP="005573A6">
                                  <w:pPr>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change in GST</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39D376B9"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-310</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007E6D4E"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3,686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0D33F180"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-469</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CC47CC4"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838</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38F33233"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457</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4D99931"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219</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0AD6DA0D"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111</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F77D1C1"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256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2B6B952"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4,787</w:t>
                                  </w:r>
                                </w:p>
                              </w:tc>
                            </w:tr>
                          </w:tbl>
                          <w:bookmarkEnd w:id="62"/>
                          <w:p w14:paraId="3E490248" w14:textId="0CF7C438" w:rsidR="00B73256" w:rsidRDefault="00B73256" w:rsidP="000F1B2D">
                            <w:pPr>
                              <w:pStyle w:val="Tablefootnote"/>
                            </w:pPr>
                            <w:r>
                              <w:t>(a)</w:t>
                            </w:r>
                            <w:r>
                              <w:tab/>
                            </w:r>
                            <w:r>
                              <w:tab/>
                              <w:t>Data revisions</w:t>
                            </w:r>
                            <w:r w:rsidR="00AA0F35">
                              <w:t>.</w:t>
                            </w:r>
                          </w:p>
                          <w:p w14:paraId="11E9469F" w14:textId="39D7FB55" w:rsidR="00B73256" w:rsidRDefault="00B73256" w:rsidP="000F1B2D">
                            <w:pPr>
                              <w:pStyle w:val="Tablefootnote"/>
                            </w:pPr>
                            <w:r w:rsidRPr="00B6556E">
                              <w:t>(</w:t>
                            </w:r>
                            <w:r>
                              <w:t>b</w:t>
                            </w:r>
                            <w:r w:rsidRPr="00B6556E">
                              <w:t xml:space="preserve">) </w:t>
                            </w:r>
                            <w:r w:rsidRPr="00B6556E">
                              <w:tab/>
                              <w:t>Includes other changes in state circumstances and revisions to data.</w:t>
                            </w:r>
                          </w:p>
                          <w:p w14:paraId="3D46F9A9" w14:textId="77777777" w:rsidR="00B73256" w:rsidRPr="00B6556E" w:rsidRDefault="00B73256" w:rsidP="000F1B2D">
                            <w:pPr>
                              <w:pStyle w:val="Tablefootnote"/>
                            </w:pPr>
                            <w:r w:rsidRPr="00B6556E">
                              <w:t>(</w:t>
                            </w:r>
                            <w:r>
                              <w:t>c</w:t>
                            </w:r>
                            <w:r w:rsidRPr="00B6556E">
                              <w:t xml:space="preserve">) </w:t>
                            </w:r>
                            <w:r w:rsidRPr="00B6556E">
                              <w:tab/>
                            </w:r>
                            <w:r w:rsidRPr="00B6556E">
                              <w:tab/>
                              <w:t>Total increase in GST pool including top-up payments.</w:t>
                            </w:r>
                          </w:p>
                          <w:p w14:paraId="66E48F33" w14:textId="77777777" w:rsidR="00B73256" w:rsidRPr="00B6556E" w:rsidRDefault="00B73256" w:rsidP="000F1B2D">
                            <w:pPr>
                              <w:pStyle w:val="Tablefootnote"/>
                            </w:pPr>
                            <w:r w:rsidRPr="00B6556E">
                              <w:t>Source:</w:t>
                            </w:r>
                            <w:r w:rsidRPr="00B6556E">
                              <w:tab/>
                              <w:t>Commission calculation</w:t>
                            </w:r>
                            <w:r>
                              <w:t>.</w:t>
                            </w:r>
                          </w:p>
                          <w:p w14:paraId="4782F808" w14:textId="0FB16F64" w:rsidR="00BA4C45" w:rsidRPr="0017514B" w:rsidRDefault="00BA4C45" w:rsidP="00BA4C45">
                            <w:r w:rsidRPr="0017514B">
                              <w:t>A significant increase in the value of coal production reduced the assessed GST needs of New South Wales and Queensland and increased those of other states, including Western</w:t>
                            </w:r>
                            <w:r w:rsidR="0096775C">
                              <w:t> </w:t>
                            </w:r>
                            <w:r w:rsidRPr="0017514B">
                              <w:t>Australia. Above-average growth in land tax capacity in New South Wales and Tasmania reduced their assessed GST needs. Above-average growth in property sales in Queensland, Western Australia and the ACT reduced their assessed GST needs.</w:t>
                            </w:r>
                          </w:p>
                          <w:p w14:paraId="4DEE8238" w14:textId="77777777" w:rsidR="00AB56A8" w:rsidRPr="00176917" w:rsidRDefault="00AB56A8" w:rsidP="00AB56A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8BABD7" id="Text Box 1232713158" o:spid="_x0000_s1030" type="#_x0000_t202" style="position:absolute;margin-left:0;margin-top:17.15pt;width:460.9pt;height:708.65pt;z-index:25165824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" fillcolor="#e5f8ff" strokecolor="white [3212]">
                <v:textbox>
                  <w:txbxContent>
                    <w:p w14:paraId="6EBCF449" w14:textId="32885CD7" w:rsidR="00FF63AD" w:rsidRPr="00756539" w:rsidRDefault="00FF63AD" w:rsidP="00FF63AD">
                      <w:pPr>
                        <w:ind w:right="6"/>
                      </w:pPr>
                      <w:r w:rsidRPr="00756539">
                        <w:t xml:space="preserve">New South </w:t>
                      </w:r>
                      <w:proofErr w:type="spellStart"/>
                      <w:r w:rsidRPr="00756539">
                        <w:t>Wales’</w:t>
                      </w:r>
                      <w:proofErr w:type="spellEnd"/>
                      <w:r w:rsidRPr="00756539">
                        <w:t xml:space="preserve"> and Queensland’s GST distributions are estimated to fall, largely due to increases in their respective revenue</w:t>
                      </w:r>
                      <w:r w:rsidR="00F229E9">
                        <w:t xml:space="preserve"> </w:t>
                      </w:r>
                      <w:r w:rsidRPr="00756539">
                        <w:t>raising capacities. Both states have an increased capacity to raise coal mining royalties. New South Wales also has an increased capacity, relative to other states, to raise revenue from land tax.</w:t>
                      </w:r>
                    </w:p>
                    <w:p w14:paraId="149063FF" w14:textId="7E4DFCB9" w:rsidR="006A505E" w:rsidRPr="0017514B" w:rsidRDefault="006A505E" w:rsidP="006A505E">
                      <w:bookmarkStart w:id="63" w:name="_Toc127786543"/>
                      <w:bookmarkStart w:id="64" w:name="_Toc127786868"/>
                      <w:bookmarkStart w:id="65" w:name="_Toc127787085"/>
                      <w:bookmarkStart w:id="66" w:name="_Toc127788021"/>
                      <w:bookmarkStart w:id="67" w:name="_Toc127802150"/>
                      <w:bookmarkStart w:id="68" w:name="_Toc127804773"/>
                      <w:r w:rsidRPr="004B3CA7">
                        <w:t>Western Australia’s GST distribution is estimated to increase in 2024</w:t>
                      </w:r>
                      <w:r w:rsidR="002E32C9">
                        <w:t>–</w:t>
                      </w:r>
                      <w:r w:rsidRPr="004B3CA7">
                        <w:t xml:space="preserve">25 </w:t>
                      </w:r>
                      <w:proofErr w:type="gramStart"/>
                      <w:r w:rsidRPr="004B3CA7">
                        <w:t>as a result of</w:t>
                      </w:r>
                      <w:proofErr w:type="gramEnd"/>
                      <w:r w:rsidRPr="004B3CA7">
                        <w:t xml:space="preserve"> the higher GST relativity floor of 0.75. It continues to have a very strong fiscal capacity, driven by its capacity to raise iron ore royalties. However, Western Australia’s relative fiscal capacity is estimated to be lower than last year, largely due to strong growth in coal royalties raising the fiscal capacity of other states.</w:t>
                      </w:r>
                      <w:r w:rsidRPr="0017514B">
                        <w:t xml:space="preserve">  </w:t>
                      </w:r>
                    </w:p>
                    <w:p w14:paraId="0258E769" w14:textId="77777777" w:rsidR="006A505E" w:rsidRPr="0017514B" w:rsidRDefault="006A505E" w:rsidP="006A505E">
                      <w:r w:rsidRPr="0017514B">
                        <w:t xml:space="preserve">All states are expected to benefit from the estimated growth in the GST pool. </w:t>
                      </w:r>
                    </w:p>
                    <w:p w14:paraId="27B25C58" w14:textId="61779D38" w:rsidR="006A505E" w:rsidRPr="0017514B" w:rsidRDefault="006A505E" w:rsidP="006A505E">
                      <w:r w:rsidRPr="0017514B">
                        <w:t>All states, other than N</w:t>
                      </w:r>
                      <w:r w:rsidR="00543E44">
                        <w:t xml:space="preserve">ew </w:t>
                      </w:r>
                      <w:r w:rsidRPr="0017514B">
                        <w:t>S</w:t>
                      </w:r>
                      <w:r w:rsidR="00543E44">
                        <w:t xml:space="preserve">outh </w:t>
                      </w:r>
                      <w:r w:rsidRPr="0017514B">
                        <w:t>W</w:t>
                      </w:r>
                      <w:r w:rsidR="00543E44">
                        <w:t>ales</w:t>
                      </w:r>
                      <w:r w:rsidRPr="0017514B">
                        <w:t xml:space="preserve"> and Queensland, are estimated to receive more in total GST and no worse off payments than they received in 2023</w:t>
                      </w:r>
                      <w:r w:rsidR="00B07EE5">
                        <w:t>–</w:t>
                      </w:r>
                      <w:r w:rsidRPr="0017514B">
                        <w:t>24.</w:t>
                      </w:r>
                    </w:p>
                    <w:p w14:paraId="008D7477" w14:textId="77777777" w:rsidR="006A505E" w:rsidRPr="0017514B" w:rsidRDefault="006A505E" w:rsidP="001616B3">
                      <w:pPr>
                        <w:pStyle w:val="Heading2"/>
                      </w:pPr>
                      <w:r w:rsidRPr="0017514B">
                        <w:t>Drivers of the changes in GST distribution</w:t>
                      </w:r>
                      <w:bookmarkEnd w:id="63"/>
                      <w:bookmarkEnd w:id="64"/>
                      <w:bookmarkEnd w:id="65"/>
                      <w:bookmarkEnd w:id="66"/>
                      <w:bookmarkEnd w:id="67"/>
                      <w:bookmarkEnd w:id="68"/>
                    </w:p>
                    <w:p w14:paraId="1435F98B" w14:textId="639CFADC" w:rsidR="00B73256" w:rsidRPr="00B73256" w:rsidRDefault="00B73256" w:rsidP="00B73256">
                      <w:pPr>
                        <w:pStyle w:val="Tableheading"/>
                      </w:pPr>
                      <w:r w:rsidRPr="00B73256">
                        <w:t>Major drivers of change in GST distribution, 2023</w:t>
                      </w:r>
                      <w:r w:rsidR="00B07EE5">
                        <w:t>–</w:t>
                      </w:r>
                      <w:r w:rsidRPr="00B73256">
                        <w:t>24 to 2024</w:t>
                      </w:r>
                      <w:r w:rsidR="00B07EE5">
                        <w:t>–</w:t>
                      </w:r>
                      <w:r w:rsidRPr="00B73256">
                        <w:t>25 (excludes no worse off payments)</w:t>
                      </w:r>
                    </w:p>
                    <w:tbl>
                      <w:tblPr>
                        <w:tblW w:w="9000" w:type="dxa"/>
                        <w:tblCellMar>
                          <w:left w:w="0" w:type="dxa"/>
                          <w:right w:w="0" w:type="dxa"/>
                        </w:tblCellMar>
                        <w:tblLook w:val="04A0" w:firstRow="1" w:lastRow="0" w:firstColumn="1" w:lastColumn="0" w:noHBand="0" w:noVBand="1"/>
                      </w:tblPr>
                      <w:tblGrid>
                        <w:gridCol w:w="2920"/>
                        <w:gridCol w:w="640"/>
                        <w:gridCol w:w="640"/>
                        <w:gridCol w:w="640"/>
                        <w:gridCol w:w="640"/>
                        <w:gridCol w:w="640"/>
                        <w:gridCol w:w="640"/>
                        <w:gridCol w:w="640"/>
                        <w:gridCol w:w="640"/>
                        <w:gridCol w:w="960"/>
                      </w:tblGrid>
                      <w:tr w:rsidR="005573A6" w14:paraId="7A307ADB" w14:textId="77777777" w:rsidTr="005573A6">
                        <w:trPr>
                          <w:trHeight w:val="375"/>
                        </w:trPr>
                        <w:tc>
                          <w:tcPr>
                            <w:tcW w:w="2920" w:type="dxa"/>
                            <w:tcBorders>
                              <w:top w:val="nil"/>
                              <w:left w:val="nil"/>
                              <w:bottom w:val="nil"/>
                              <w:right w:val="nil"/>
                            </w:tcBorders>
                            <w:shd w:val="clear" w:color="000000" w:fill="006991"/>
                            <w:tcMar>
                              <w:top w:w="15" w:type="dxa"/>
                              <w:left w:w="15" w:type="dxa"/>
                              <w:bottom w:w="0" w:type="dxa"/>
                              <w:right w:w="15" w:type="dxa"/>
                            </w:tcMar>
                            <w:vAlign w:val="bottom"/>
                            <w:hideMark/>
                          </w:tcPr>
                          <w:p w14:paraId="3F1B4DCE" w14:textId="77777777" w:rsidR="005573A6" w:rsidRDefault="005573A6" w:rsidP="005573A6">
                            <w:pPr>
                              <w:tabs>
                                <w:tab w:val="clear" w:pos="567"/>
                              </w:tabs>
                              <w:spacing w:before="0" w:line="240" w:lineRule="auto"/>
                              <w:rPr>
                                <w:rFonts w:ascii="Open Sans Semibold" w:hAnsi="Open Sans Semibold" w:cs="Open Sans Semibold"/>
                                <w:color w:val="FFFFFF"/>
                                <w:sz w:val="16"/>
                                <w:szCs w:val="16"/>
                              </w:rPr>
                            </w:pPr>
                            <w:bookmarkStart w:id="69" w:name="Major_drivers"/>
                            <w:r>
                              <w:rPr>
                                <w:rFonts w:ascii="Open Sans Semibold" w:hAnsi="Open Sans Semibold" w:cs="Open Sans Semibold"/>
                                <w:color w:val="FFFFFF"/>
                                <w:sz w:val="16"/>
                                <w:szCs w:val="16"/>
                              </w:rPr>
                              <w:t> </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15849C53"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NSW</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1B6DD061"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Vic</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5EDFE3DE"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Qld</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4E359231"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WA</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783633C5"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SA</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526D01D4"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Tas</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3AEC0632"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ACT</w:t>
                            </w:r>
                          </w:p>
                        </w:tc>
                        <w:tc>
                          <w:tcPr>
                            <w:tcW w:w="640" w:type="dxa"/>
                            <w:tcBorders>
                              <w:top w:val="nil"/>
                              <w:left w:val="nil"/>
                              <w:bottom w:val="nil"/>
                              <w:right w:val="nil"/>
                            </w:tcBorders>
                            <w:shd w:val="clear" w:color="000000" w:fill="006991"/>
                            <w:tcMar>
                              <w:top w:w="15" w:type="dxa"/>
                              <w:left w:w="15" w:type="dxa"/>
                              <w:bottom w:w="0" w:type="dxa"/>
                              <w:right w:w="15" w:type="dxa"/>
                            </w:tcMar>
                            <w:vAlign w:val="center"/>
                            <w:hideMark/>
                          </w:tcPr>
                          <w:p w14:paraId="0BB68063"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NT</w:t>
                            </w:r>
                          </w:p>
                        </w:tc>
                        <w:tc>
                          <w:tcPr>
                            <w:tcW w:w="960" w:type="dxa"/>
                            <w:tcBorders>
                              <w:top w:val="nil"/>
                              <w:left w:val="nil"/>
                              <w:bottom w:val="nil"/>
                              <w:right w:val="nil"/>
                            </w:tcBorders>
                            <w:shd w:val="clear" w:color="000000" w:fill="006991"/>
                            <w:tcMar>
                              <w:top w:w="15" w:type="dxa"/>
                              <w:left w:w="15" w:type="dxa"/>
                              <w:bottom w:w="0" w:type="dxa"/>
                              <w:right w:w="15" w:type="dxa"/>
                            </w:tcMar>
                            <w:vAlign w:val="center"/>
                            <w:hideMark/>
                          </w:tcPr>
                          <w:p w14:paraId="73680FBB" w14:textId="77777777" w:rsidR="005573A6" w:rsidRDefault="005573A6" w:rsidP="005573A6">
                            <w:pPr>
                              <w:jc w:val="right"/>
                              <w:rPr>
                                <w:rFonts w:ascii="Open Sans Semibold" w:hAnsi="Open Sans Semibold" w:cs="Open Sans Semibold"/>
                                <w:color w:val="FFFFFF"/>
                                <w:sz w:val="16"/>
                                <w:szCs w:val="16"/>
                              </w:rPr>
                            </w:pPr>
                            <w:r>
                              <w:rPr>
                                <w:rFonts w:ascii="Open Sans Semibold" w:hAnsi="Open Sans Semibold" w:cs="Open Sans Semibold"/>
                                <w:color w:val="FFFFFF"/>
                                <w:sz w:val="16"/>
                                <w:szCs w:val="16"/>
                              </w:rPr>
                              <w:t>Total Effect</w:t>
                            </w:r>
                          </w:p>
                        </w:tc>
                      </w:tr>
                      <w:tr w:rsidR="005573A6" w14:paraId="2547557E" w14:textId="77777777" w:rsidTr="005573A6">
                        <w:trPr>
                          <w:trHeight w:val="259"/>
                        </w:trPr>
                        <w:tc>
                          <w:tcPr>
                            <w:tcW w:w="2920" w:type="dxa"/>
                            <w:tcBorders>
                              <w:top w:val="single" w:sz="4" w:space="0" w:color="ADD6EA"/>
                              <w:left w:val="nil"/>
                              <w:bottom w:val="nil"/>
                              <w:right w:val="nil"/>
                            </w:tcBorders>
                            <w:shd w:val="clear" w:color="000000" w:fill="B6D5E4"/>
                            <w:tcMar>
                              <w:top w:w="15" w:type="dxa"/>
                              <w:left w:w="15" w:type="dxa"/>
                              <w:bottom w:w="0" w:type="dxa"/>
                              <w:right w:w="15" w:type="dxa"/>
                            </w:tcMar>
                            <w:vAlign w:val="bottom"/>
                            <w:hideMark/>
                          </w:tcPr>
                          <w:p w14:paraId="30E62290" w14:textId="77777777" w:rsidR="005573A6" w:rsidRDefault="005573A6" w:rsidP="005573A6">
                            <w:pPr>
                              <w:rPr>
                                <w:rFonts w:ascii="Open Sans Semibold" w:hAnsi="Open Sans Semibold" w:cs="Open Sans Semibold"/>
                                <w:color w:val="000000"/>
                                <w:sz w:val="16"/>
                                <w:szCs w:val="16"/>
                              </w:rPr>
                            </w:pPr>
                            <w:r>
                              <w:rPr>
                                <w:rFonts w:ascii="Open Sans Semibold" w:hAnsi="Open Sans Semibold" w:cs="Open Sans Semibold"/>
                                <w:color w:val="000000"/>
                                <w:sz w:val="16"/>
                                <w:szCs w:val="16"/>
                              </w:rPr>
                              <w:t> </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07C8C3A9"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3C06D99A"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6DD6AD0D"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5FB9D032"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7674ED65"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7EC436B8"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48743AF0"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2E05DA09"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c>
                          <w:tcPr>
                            <w:tcW w:w="0" w:type="auto"/>
                            <w:tcBorders>
                              <w:top w:val="single" w:sz="4" w:space="0" w:color="ADD6EA"/>
                              <w:left w:val="nil"/>
                              <w:bottom w:val="nil"/>
                              <w:right w:val="nil"/>
                            </w:tcBorders>
                            <w:shd w:val="clear" w:color="000000" w:fill="B6D5E4"/>
                            <w:noWrap/>
                            <w:tcMar>
                              <w:top w:w="15" w:type="dxa"/>
                              <w:left w:w="15" w:type="dxa"/>
                              <w:bottom w:w="0" w:type="dxa"/>
                              <w:right w:w="15" w:type="dxa"/>
                            </w:tcMar>
                            <w:vAlign w:val="bottom"/>
                            <w:hideMark/>
                          </w:tcPr>
                          <w:p w14:paraId="318A64BC"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$m</w:t>
                            </w:r>
                          </w:p>
                        </w:tc>
                      </w:tr>
                      <w:tr w:rsidR="005573A6" w14:paraId="73688127" w14:textId="77777777" w:rsidTr="005573A6">
                        <w:trPr>
                          <w:trHeight w:val="315"/>
                        </w:trPr>
                        <w:tc>
                          <w:tcPr>
                            <w:tcW w:w="29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CA78A68"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Changes in fiscal capacities</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2758423"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15AE9B6"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7C4D166"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4A1FE35"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5A23463"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AC07A7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527833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7E1E092"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F712A17"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 xml:space="preserve"> </w:t>
                            </w:r>
                          </w:p>
                        </w:tc>
                      </w:tr>
                      <w:tr w:rsidR="008A114D" w14:paraId="1A05D1C8" w14:textId="77777777" w:rsidTr="005573A6">
                        <w:trPr>
                          <w:trHeight w:val="315"/>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0B2FBC58" w14:textId="704BE77A" w:rsidR="008A114D" w:rsidRDefault="008A114D" w:rsidP="008A114D">
                            <w:pPr>
                              <w:rPr>
                                <w:rFonts w:ascii="Open Sans Light" w:hAnsi="Open Sans Light" w:cs="Open Sans Light"/>
                                <w:color w:val="000000"/>
                                <w:sz w:val="16"/>
                                <w:szCs w:val="16"/>
                              </w:rPr>
                            </w:pPr>
                            <w:r>
                              <w:rPr>
                                <w:rFonts w:ascii="Open Sans Light" w:hAnsi="Open Sans Light" w:cs="Open Sans Light"/>
                                <w:color w:val="000000"/>
                                <w:sz w:val="16"/>
                                <w:szCs w:val="16"/>
                              </w:rPr>
                              <w:t>Mining production</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1592328"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-867</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3A68F4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1,304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7D4214F"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-1,781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00ED793"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699</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470F040"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374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BBDBCE4"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110</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9043133"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89</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0E0381D"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71</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4D5680E"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2,648</w:t>
                            </w:r>
                          </w:p>
                        </w:tc>
                      </w:tr>
                      <w:tr w:rsidR="008A114D" w14:paraId="49ABE709" w14:textId="77777777" w:rsidTr="005573A6">
                        <w:trPr>
                          <w:trHeight w:val="555"/>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6C4DA053" w14:textId="240A3EC7" w:rsidR="008A114D" w:rsidRDefault="008A114D" w:rsidP="008A114D">
                            <w:pPr>
                              <w:rPr>
                                <w:rFonts w:ascii="Open Sans Light" w:hAnsi="Open Sans Light" w:cs="Open Sans Light"/>
                                <w:color w:val="000000"/>
                                <w:sz w:val="16"/>
                                <w:szCs w:val="16"/>
                              </w:rPr>
                            </w:pPr>
                            <w:r>
                              <w:rPr>
                                <w:rFonts w:ascii="Open Sans Light" w:hAnsi="Open Sans Light" w:cs="Open Sans Light"/>
                                <w:color w:val="000000"/>
                                <w:sz w:val="16"/>
                                <w:szCs w:val="16"/>
                              </w:rPr>
                              <w:t>Urban centre characteristics (census) (a)</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90C729B"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-222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D959838"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702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EFD9C8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-65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26B789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-265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FFEB2AA"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-167</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919143B"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229D833"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35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A580248"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-7</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D5C5169"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737</w:t>
                            </w:r>
                          </w:p>
                        </w:tc>
                      </w:tr>
                      <w:tr w:rsidR="008A114D" w14:paraId="32532E16" w14:textId="77777777" w:rsidTr="005573A6">
                        <w:trPr>
                          <w:trHeight w:val="315"/>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62CB1F75" w14:textId="68C663BE" w:rsidR="008A114D" w:rsidRDefault="008A114D" w:rsidP="008A114D">
                            <w:pPr>
                              <w:rPr>
                                <w:rFonts w:ascii="Open Sans Light" w:hAnsi="Open Sans Light" w:cs="Open Sans Light"/>
                                <w:color w:val="000000"/>
                                <w:sz w:val="16"/>
                                <w:szCs w:val="16"/>
                              </w:rPr>
                            </w:pPr>
                            <w:r>
                              <w:rPr>
                                <w:rFonts w:ascii="Open Sans Light" w:hAnsi="Open Sans Light" w:cs="Open Sans Light"/>
                                <w:color w:val="000000"/>
                                <w:sz w:val="16"/>
                                <w:szCs w:val="16"/>
                              </w:rPr>
                              <w:t>Property sales</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582A785"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222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0614EE4"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165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01C55C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-138</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A144C32"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-229</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7BC193F"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10</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6213BC2"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23</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3FE7251"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-50</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3747C8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6DAC8B9"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420</w:t>
                            </w:r>
                          </w:p>
                        </w:tc>
                      </w:tr>
                      <w:tr w:rsidR="008A114D" w14:paraId="53D04C32" w14:textId="77777777" w:rsidTr="005573A6">
                        <w:trPr>
                          <w:trHeight w:val="315"/>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3C1BC368" w14:textId="36D22B72" w:rsidR="008A114D" w:rsidRDefault="008A114D" w:rsidP="008A114D">
                            <w:pPr>
                              <w:rPr>
                                <w:rFonts w:ascii="Open Sans Light" w:hAnsi="Open Sans Light" w:cs="Open Sans Light"/>
                                <w:color w:val="000000"/>
                                <w:sz w:val="16"/>
                                <w:szCs w:val="16"/>
                              </w:rPr>
                            </w:pPr>
                            <w:r>
                              <w:rPr>
                                <w:rFonts w:ascii="Open Sans Light" w:hAnsi="Open Sans Light" w:cs="Open Sans Light"/>
                                <w:color w:val="000000"/>
                                <w:sz w:val="16"/>
                                <w:szCs w:val="16"/>
                              </w:rPr>
                              <w:t>Taxable land values</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0243637"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-412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8408FC1"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136</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FD7CCA9"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126</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4D3384C"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136</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623B1B2"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264DDB1"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299BBF2"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ECC1B49"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11</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73FC0B3" w14:textId="77777777" w:rsidR="008A114D" w:rsidRDefault="008A114D" w:rsidP="008A114D">
                            <w:pPr>
                              <w:jc w:val="right"/>
                              <w:rPr>
                                <w:rFonts w:ascii="Open Sans Light" w:hAnsi="Open Sans Light" w:cs="Open Sans Light"/>
                                <w:color w:val="000000"/>
                                <w:sz w:val="16"/>
                                <w:szCs w:val="16"/>
                              </w:rPr>
                            </w:pPr>
                            <w:r>
                              <w:rPr>
                                <w:rFonts w:ascii="Open Sans Light" w:hAnsi="Open Sans Light" w:cs="Open Sans Light"/>
                                <w:color w:val="000000"/>
                                <w:sz w:val="16"/>
                                <w:szCs w:val="16"/>
                              </w:rPr>
                              <w:t>417</w:t>
                            </w:r>
                          </w:p>
                        </w:tc>
                      </w:tr>
                      <w:tr w:rsidR="00080012" w14:paraId="602BE1EE" w14:textId="77777777" w:rsidTr="005573A6">
                        <w:trPr>
                          <w:trHeight w:val="570"/>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79080AB4" w14:textId="1CA727D6" w:rsidR="00080012" w:rsidRDefault="00080012" w:rsidP="00080012">
                            <w:pPr>
                              <w:rPr>
                                <w:rFonts w:ascii="Open Sans Light" w:hAnsi="Open Sans Light" w:cs="Open Sans Light"/>
                                <w:color w:val="000000"/>
                                <w:sz w:val="16"/>
                                <w:szCs w:val="16"/>
                              </w:rPr>
                            </w:pPr>
                            <w:r>
                              <w:rPr>
                                <w:rFonts w:ascii="Open Sans Light" w:hAnsi="Open Sans Light" w:cs="Open Sans Light"/>
                                <w:color w:val="000000"/>
                                <w:sz w:val="16"/>
                                <w:szCs w:val="16"/>
                              </w:rPr>
                              <w:t>Socio-demographic composition (census) (a)</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48F94D9"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-281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34E339B"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70</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A1E94ED"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125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2443D37"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61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EED16DD"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-106</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892D263"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49</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39DEFFC"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D0C9674"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71</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6F49604"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387</w:t>
                            </w:r>
                          </w:p>
                        </w:tc>
                      </w:tr>
                      <w:tr w:rsidR="00080012" w14:paraId="7F76A2D0" w14:textId="77777777" w:rsidTr="005573A6">
                        <w:trPr>
                          <w:trHeight w:val="555"/>
                        </w:trPr>
                        <w:tc>
                          <w:tcPr>
                            <w:tcW w:w="2920" w:type="dxa"/>
                            <w:tcBorders>
                              <w:top w:val="single" w:sz="4" w:space="0" w:color="ADD6EA"/>
                              <w:left w:val="nil"/>
                              <w:bottom w:val="nil"/>
                              <w:right w:val="nil"/>
                            </w:tcBorders>
                            <w:shd w:val="clear" w:color="auto" w:fill="auto"/>
                            <w:tcMar>
                              <w:top w:w="15" w:type="dxa"/>
                              <w:left w:w="540" w:type="dxa"/>
                              <w:bottom w:w="0" w:type="dxa"/>
                              <w:right w:w="15" w:type="dxa"/>
                            </w:tcMar>
                            <w:vAlign w:val="bottom"/>
                            <w:hideMark/>
                          </w:tcPr>
                          <w:p w14:paraId="0E87566F" w14:textId="240BF310" w:rsidR="00080012" w:rsidRDefault="00080012" w:rsidP="00080012">
                            <w:pPr>
                              <w:rPr>
                                <w:rFonts w:ascii="Open Sans Light" w:hAnsi="Open Sans Light" w:cs="Open Sans Light"/>
                                <w:color w:val="000000"/>
                                <w:sz w:val="16"/>
                                <w:szCs w:val="16"/>
                              </w:rPr>
                            </w:pPr>
                            <w:r>
                              <w:rPr>
                                <w:rFonts w:ascii="Open Sans Light" w:hAnsi="Open Sans Light" w:cs="Open Sans Light"/>
                                <w:color w:val="000000"/>
                                <w:sz w:val="16"/>
                                <w:szCs w:val="16"/>
                              </w:rPr>
                              <w:t>Urban centre characteristics (non-census)</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90B942C"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-171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C40507F"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-115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A5D035C"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147</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D56B77D"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53</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2CA12CC"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34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D3FF486"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26</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9949F67"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5B433BE"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11</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D31EDA4" w14:textId="77777777" w:rsidR="00080012" w:rsidRDefault="00080012" w:rsidP="00080012">
                            <w:pPr>
                              <w:jc w:val="right"/>
                              <w:rPr>
                                <w:rFonts w:ascii="Open Sans Light" w:hAnsi="Open Sans Light" w:cs="Open Sans Light"/>
                                <w:color w:val="000000"/>
                                <w:sz w:val="16"/>
                                <w:szCs w:val="16"/>
                              </w:rPr>
                            </w:pPr>
                            <w:r>
                              <w:rPr>
                                <w:rFonts w:ascii="Open Sans Light" w:hAnsi="Open Sans Light" w:cs="Open Sans Light"/>
                                <w:color w:val="000000"/>
                                <w:sz w:val="16"/>
                                <w:szCs w:val="16"/>
                              </w:rPr>
                              <w:t>286</w:t>
                            </w:r>
                          </w:p>
                        </w:tc>
                      </w:tr>
                      <w:tr w:rsidR="005573A6" w14:paraId="50F5C393" w14:textId="77777777" w:rsidTr="005573A6">
                        <w:trPr>
                          <w:trHeight w:val="315"/>
                        </w:trPr>
                        <w:tc>
                          <w:tcPr>
                            <w:tcW w:w="29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550F7AF"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Other revenue effects (b)</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E3A9A44"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-92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93CE430"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38</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00AFC33"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40</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07A069F"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45CD04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78</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07AF6826"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F3B354C"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D7886FD"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3DF84C8"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160</w:t>
                            </w:r>
                          </w:p>
                        </w:tc>
                      </w:tr>
                      <w:tr w:rsidR="005573A6" w14:paraId="33C7091C" w14:textId="77777777" w:rsidTr="005573A6">
                        <w:trPr>
                          <w:trHeight w:val="315"/>
                        </w:trPr>
                        <w:tc>
                          <w:tcPr>
                            <w:tcW w:w="29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F5CACD9"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Other expense effects (b)</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16007D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274</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C1A1C52"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331</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10BD65BC"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107</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4CF49F2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-238</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F8AB4C5"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-183</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6745D157"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-122</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C7CE665"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-65</w:t>
                            </w:r>
                          </w:p>
                        </w:tc>
                        <w:tc>
                          <w:tcPr>
                            <w:tcW w:w="64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5E9FB131"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-103</w:t>
                            </w:r>
                          </w:p>
                        </w:tc>
                        <w:tc>
                          <w:tcPr>
                            <w:tcW w:w="96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2F5D926C"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711</w:t>
                            </w:r>
                          </w:p>
                        </w:tc>
                      </w:tr>
                      <w:tr w:rsidR="005573A6" w14:paraId="66934EE6" w14:textId="77777777" w:rsidTr="005573A6">
                        <w:trPr>
                          <w:trHeight w:val="300"/>
                        </w:trPr>
                        <w:tc>
                          <w:tcPr>
                            <w:tcW w:w="2920" w:type="dxa"/>
                            <w:tcBorders>
                              <w:top w:val="single" w:sz="4" w:space="0" w:color="ADD6EA"/>
                              <w:left w:val="nil"/>
                              <w:bottom w:val="single" w:sz="4" w:space="0" w:color="ADD6EA"/>
                              <w:right w:val="nil"/>
                            </w:tcBorders>
                            <w:shd w:val="clear" w:color="000000" w:fill="D6E7F0"/>
                            <w:tcMar>
                              <w:top w:w="15" w:type="dxa"/>
                              <w:left w:w="15" w:type="dxa"/>
                              <w:bottom w:w="0" w:type="dxa"/>
                              <w:right w:w="15" w:type="dxa"/>
                            </w:tcMar>
                            <w:vAlign w:val="bottom"/>
                            <w:hideMark/>
                          </w:tcPr>
                          <w:p w14:paraId="75B542C6" w14:textId="77777777" w:rsidR="005573A6" w:rsidRDefault="005573A6" w:rsidP="005573A6">
                            <w:pPr>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change in fiscal capacities</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5CF8A55"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-1,551</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5FAC801"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2,633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40D7A222"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-1,442</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2B73CF0A"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178</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4DA8090"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D82C432"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67</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3CAD6843"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13</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385B1B9"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56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AFFE8D1"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2,992</w:t>
                            </w:r>
                          </w:p>
                        </w:tc>
                      </w:tr>
                      <w:tr w:rsidR="005573A6" w14:paraId="303B80F5" w14:textId="77777777" w:rsidTr="005573A6">
                        <w:trPr>
                          <w:trHeight w:val="315"/>
                        </w:trPr>
                        <w:tc>
                          <w:tcPr>
                            <w:tcW w:w="2920" w:type="dxa"/>
                            <w:tcBorders>
                              <w:top w:val="nil"/>
                              <w:left w:val="nil"/>
                              <w:bottom w:val="nil"/>
                              <w:right w:val="nil"/>
                            </w:tcBorders>
                            <w:shd w:val="clear" w:color="auto" w:fill="auto"/>
                            <w:tcMar>
                              <w:top w:w="15" w:type="dxa"/>
                              <w:left w:w="15" w:type="dxa"/>
                              <w:bottom w:w="0" w:type="dxa"/>
                              <w:right w:w="15" w:type="dxa"/>
                            </w:tcMar>
                            <w:vAlign w:val="bottom"/>
                            <w:hideMark/>
                          </w:tcPr>
                          <w:p w14:paraId="3C46B781"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Effect of GST floor and blended relativities</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7FFAA38E"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-99</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4D617AA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-85</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2FABC42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-65</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6B917B7D"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285</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473B4A65"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-21</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48A1D264"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-6</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03112E08"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-6</w:t>
                            </w:r>
                          </w:p>
                        </w:tc>
                        <w:tc>
                          <w:tcPr>
                            <w:tcW w:w="640" w:type="dxa"/>
                            <w:tcBorders>
                              <w:top w:val="nil"/>
                              <w:left w:val="nil"/>
                              <w:bottom w:val="nil"/>
                              <w:right w:val="nil"/>
                            </w:tcBorders>
                            <w:shd w:val="clear" w:color="auto" w:fill="auto"/>
                            <w:tcMar>
                              <w:top w:w="15" w:type="dxa"/>
                              <w:left w:w="15" w:type="dxa"/>
                              <w:bottom w:w="0" w:type="dxa"/>
                              <w:right w:w="15" w:type="dxa"/>
                            </w:tcMar>
                            <w:vAlign w:val="bottom"/>
                            <w:hideMark/>
                          </w:tcPr>
                          <w:p w14:paraId="451FAB5E"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w:t>
                            </w:r>
                          </w:p>
                        </w:tc>
                        <w:tc>
                          <w:tcPr>
                            <w:tcW w:w="960" w:type="dxa"/>
                            <w:tcBorders>
                              <w:top w:val="nil"/>
                              <w:left w:val="nil"/>
                              <w:bottom w:val="nil"/>
                              <w:right w:val="nil"/>
                            </w:tcBorders>
                            <w:shd w:val="clear" w:color="auto" w:fill="auto"/>
                            <w:tcMar>
                              <w:top w:w="15" w:type="dxa"/>
                              <w:left w:w="15" w:type="dxa"/>
                              <w:bottom w:w="0" w:type="dxa"/>
                              <w:right w:w="15" w:type="dxa"/>
                            </w:tcMar>
                            <w:vAlign w:val="bottom"/>
                            <w:hideMark/>
                          </w:tcPr>
                          <w:p w14:paraId="6AFE136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285</w:t>
                            </w:r>
                          </w:p>
                        </w:tc>
                      </w:tr>
                      <w:tr w:rsidR="005573A6" w14:paraId="67A80962" w14:textId="77777777" w:rsidTr="005573A6">
                        <w:trPr>
                          <w:trHeight w:val="315"/>
                        </w:trPr>
                        <w:tc>
                          <w:tcPr>
                            <w:tcW w:w="29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75CEFA5D"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Change in population</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067A6F1"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-44</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437C276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85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D0112BC"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D38681F"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12</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7FF6572"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-31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BE3ADBE"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-24</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88D1816"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7E1B11A"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1853F343"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122</w:t>
                            </w:r>
                          </w:p>
                        </w:tc>
                      </w:tr>
                      <w:tr w:rsidR="005573A6" w14:paraId="32EF9910" w14:textId="77777777" w:rsidTr="005573A6">
                        <w:trPr>
                          <w:trHeight w:val="315"/>
                        </w:trPr>
                        <w:tc>
                          <w:tcPr>
                            <w:tcW w:w="2920" w:type="dxa"/>
                            <w:tcBorders>
                              <w:top w:val="single" w:sz="4" w:space="0" w:color="ADD6EA"/>
                              <w:left w:val="nil"/>
                              <w:bottom w:val="nil"/>
                              <w:right w:val="nil"/>
                            </w:tcBorders>
                            <w:shd w:val="clear" w:color="auto" w:fill="auto"/>
                            <w:tcMar>
                              <w:top w:w="15" w:type="dxa"/>
                              <w:left w:w="15" w:type="dxa"/>
                              <w:bottom w:w="0" w:type="dxa"/>
                              <w:right w:w="15" w:type="dxa"/>
                            </w:tcMar>
                            <w:vAlign w:val="bottom"/>
                            <w:hideMark/>
                          </w:tcPr>
                          <w:p w14:paraId="347CEFB6" w14:textId="77777777" w:rsidR="005573A6" w:rsidRDefault="005573A6" w:rsidP="005573A6">
                            <w:pPr>
                              <w:rPr>
                                <w:rFonts w:ascii="Open Sans Light" w:hAnsi="Open Sans Light" w:cs="Open Sans Light"/>
                                <w:color w:val="000000"/>
                                <w:sz w:val="16"/>
                                <w:szCs w:val="16"/>
                              </w:rPr>
                            </w:pPr>
                            <w:r>
                              <w:rPr>
                                <w:rFonts w:ascii="Open Sans Light" w:hAnsi="Open Sans Light" w:cs="Open Sans Light"/>
                                <w:color w:val="000000"/>
                                <w:sz w:val="16"/>
                                <w:szCs w:val="16"/>
                              </w:rPr>
                              <w:t>Change in pool (c)</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3804DD4E"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1,384</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DAAB80D"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1,053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0963A5D7"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1,015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4EDDD7C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364</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FAC1A14"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463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87145DB"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183</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2C91E58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101</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41F7FB9"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225</w:t>
                            </w:r>
                          </w:p>
                        </w:tc>
                        <w:tc>
                          <w:tcPr>
                            <w:tcW w:w="0" w:type="auto"/>
                            <w:tcBorders>
                              <w:top w:val="single" w:sz="4" w:space="0" w:color="ADD6EA"/>
                              <w:left w:val="nil"/>
                              <w:bottom w:val="nil"/>
                              <w:right w:val="nil"/>
                            </w:tcBorders>
                            <w:shd w:val="clear" w:color="auto" w:fill="auto"/>
                            <w:noWrap/>
                            <w:tcMar>
                              <w:top w:w="15" w:type="dxa"/>
                              <w:left w:w="15" w:type="dxa"/>
                              <w:bottom w:w="0" w:type="dxa"/>
                              <w:right w:w="15" w:type="dxa"/>
                            </w:tcMar>
                            <w:vAlign w:val="bottom"/>
                            <w:hideMark/>
                          </w:tcPr>
                          <w:p w14:paraId="7773DCEE" w14:textId="77777777" w:rsidR="005573A6" w:rsidRDefault="005573A6" w:rsidP="005573A6">
                            <w:pPr>
                              <w:jc w:val="right"/>
                              <w:rPr>
                                <w:rFonts w:ascii="Open Sans Light" w:hAnsi="Open Sans Light" w:cs="Open Sans Light"/>
                                <w:color w:val="000000"/>
                                <w:sz w:val="16"/>
                                <w:szCs w:val="16"/>
                              </w:rPr>
                            </w:pPr>
                            <w:r>
                              <w:rPr>
                                <w:rFonts w:ascii="Open Sans Light" w:hAnsi="Open Sans Light" w:cs="Open Sans Light"/>
                                <w:color w:val="000000"/>
                                <w:sz w:val="16"/>
                                <w:szCs w:val="16"/>
                              </w:rPr>
                              <w:t>4,787</w:t>
                            </w:r>
                          </w:p>
                        </w:tc>
                      </w:tr>
                      <w:tr w:rsidR="005573A6" w14:paraId="16F06153" w14:textId="77777777" w:rsidTr="005573A6">
                        <w:trPr>
                          <w:trHeight w:val="300"/>
                        </w:trPr>
                        <w:tc>
                          <w:tcPr>
                            <w:tcW w:w="2920" w:type="dxa"/>
                            <w:tcBorders>
                              <w:top w:val="single" w:sz="4" w:space="0" w:color="ADD6EA"/>
                              <w:left w:val="nil"/>
                              <w:bottom w:val="single" w:sz="4" w:space="0" w:color="ADD6EA"/>
                              <w:right w:val="nil"/>
                            </w:tcBorders>
                            <w:shd w:val="clear" w:color="000000" w:fill="D6E7F0"/>
                            <w:tcMar>
                              <w:top w:w="15" w:type="dxa"/>
                              <w:left w:w="15" w:type="dxa"/>
                              <w:bottom w:w="0" w:type="dxa"/>
                              <w:right w:w="15" w:type="dxa"/>
                            </w:tcMar>
                            <w:vAlign w:val="bottom"/>
                            <w:hideMark/>
                          </w:tcPr>
                          <w:p w14:paraId="2CCFC55E" w14:textId="77777777" w:rsidR="005573A6" w:rsidRDefault="005573A6" w:rsidP="005573A6">
                            <w:pPr>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change in GST</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39D376B9"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-310</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007E6D4E"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3,686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0D33F180"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-469</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1CC47CC4"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838</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38F33233"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457</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4D99931"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219</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0AD6DA0D"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111</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F77D1C1"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256</w:t>
                            </w:r>
                          </w:p>
                        </w:tc>
                        <w:tc>
                          <w:tcPr>
                            <w:tcW w:w="0" w:type="auto"/>
                            <w:tcBorders>
                              <w:top w:val="single" w:sz="4" w:space="0" w:color="ADD6EA"/>
                              <w:left w:val="nil"/>
                              <w:bottom w:val="single" w:sz="4" w:space="0" w:color="ADD6EA"/>
                              <w:right w:val="nil"/>
                            </w:tcBorders>
                            <w:shd w:val="clear" w:color="000000" w:fill="D6E7F0"/>
                            <w:noWrap/>
                            <w:tcMar>
                              <w:top w:w="15" w:type="dxa"/>
                              <w:left w:w="15" w:type="dxa"/>
                              <w:bottom w:w="0" w:type="dxa"/>
                              <w:right w:w="15" w:type="dxa"/>
                            </w:tcMar>
                            <w:vAlign w:val="bottom"/>
                            <w:hideMark/>
                          </w:tcPr>
                          <w:p w14:paraId="62B6B952" w14:textId="77777777" w:rsidR="005573A6" w:rsidRDefault="005573A6" w:rsidP="005573A6">
                            <w:pPr>
                              <w:jc w:val="right"/>
                              <w:rPr>
                                <w:rFonts w:ascii="Open Sans Semibold" w:hAnsi="Open Sans Semibold" w:cs="Open Sans Semibold"/>
                                <w:color w:val="000000"/>
                                <w:sz w:val="16"/>
                                <w:szCs w:val="16"/>
                              </w:rPr>
                            </w:pPr>
                            <w:r>
                              <w:rPr>
                                <w:rFonts w:ascii="Open Sans Semibold" w:hAnsi="Open Sans Semibold" w:cs="Open Sans Semibold"/>
                                <w:color w:val="000000"/>
                                <w:sz w:val="16"/>
                                <w:szCs w:val="16"/>
                              </w:rPr>
                              <w:t>4,787</w:t>
                            </w:r>
                          </w:p>
                        </w:tc>
                      </w:tr>
                    </w:tbl>
                    <w:bookmarkEnd w:id="69"/>
                    <w:p w14:paraId="3E490248" w14:textId="0CF7C438" w:rsidR="00B73256" w:rsidRDefault="00B73256" w:rsidP="000F1B2D">
                      <w:pPr>
                        <w:pStyle w:val="Tablefootnote"/>
                      </w:pPr>
                      <w:r>
                        <w:t>(a)</w:t>
                      </w:r>
                      <w:r>
                        <w:tab/>
                      </w:r>
                      <w:r>
                        <w:tab/>
                        <w:t>Data revisions</w:t>
                      </w:r>
                      <w:r w:rsidR="00AA0F35">
                        <w:t>.</w:t>
                      </w:r>
                    </w:p>
                    <w:p w14:paraId="11E9469F" w14:textId="39D7FB55" w:rsidR="00B73256" w:rsidRDefault="00B73256" w:rsidP="000F1B2D">
                      <w:pPr>
                        <w:pStyle w:val="Tablefootnote"/>
                      </w:pPr>
                      <w:r w:rsidRPr="00B6556E">
                        <w:t>(</w:t>
                      </w:r>
                      <w:r>
                        <w:t>b</w:t>
                      </w:r>
                      <w:r w:rsidRPr="00B6556E">
                        <w:t xml:space="preserve">) </w:t>
                      </w:r>
                      <w:r w:rsidRPr="00B6556E">
                        <w:tab/>
                        <w:t>Includes other changes in state circumstances and revisions to data.</w:t>
                      </w:r>
                    </w:p>
                    <w:p w14:paraId="3D46F9A9" w14:textId="77777777" w:rsidR="00B73256" w:rsidRPr="00B6556E" w:rsidRDefault="00B73256" w:rsidP="000F1B2D">
                      <w:pPr>
                        <w:pStyle w:val="Tablefootnote"/>
                      </w:pPr>
                      <w:r w:rsidRPr="00B6556E">
                        <w:t>(</w:t>
                      </w:r>
                      <w:r>
                        <w:t>c</w:t>
                      </w:r>
                      <w:r w:rsidRPr="00B6556E">
                        <w:t xml:space="preserve">) </w:t>
                      </w:r>
                      <w:r w:rsidRPr="00B6556E">
                        <w:tab/>
                      </w:r>
                      <w:r w:rsidRPr="00B6556E">
                        <w:tab/>
                        <w:t>Total increase in GST pool including top-up payments.</w:t>
                      </w:r>
                    </w:p>
                    <w:p w14:paraId="66E48F33" w14:textId="77777777" w:rsidR="00B73256" w:rsidRPr="00B6556E" w:rsidRDefault="00B73256" w:rsidP="000F1B2D">
                      <w:pPr>
                        <w:pStyle w:val="Tablefootnote"/>
                      </w:pPr>
                      <w:r w:rsidRPr="00B6556E">
                        <w:t>Source:</w:t>
                      </w:r>
                      <w:r w:rsidRPr="00B6556E">
                        <w:tab/>
                        <w:t>Commission calculation</w:t>
                      </w:r>
                      <w:r>
                        <w:t>.</w:t>
                      </w:r>
                    </w:p>
                    <w:p w14:paraId="4782F808" w14:textId="0FB16F64" w:rsidR="00BA4C45" w:rsidRPr="0017514B" w:rsidRDefault="00BA4C45" w:rsidP="00BA4C45">
                      <w:r w:rsidRPr="0017514B">
                        <w:t>A significant increase in the value of coal production reduced the assessed GST needs of New South Wales and Queensland and increased those of other states, including Western</w:t>
                      </w:r>
                      <w:r w:rsidR="0096775C">
                        <w:t> </w:t>
                      </w:r>
                      <w:r w:rsidRPr="0017514B">
                        <w:t>Australia. Above-average growth in land tax capacity in New South Wales and Tasmania reduced their assessed GST needs. Above-average growth in property sales in Queensland, Western Australia and the ACT reduced their assessed GST needs.</w:t>
                      </w:r>
                    </w:p>
                    <w:p w14:paraId="4DEE8238" w14:textId="77777777" w:rsidR="00AB56A8" w:rsidRPr="00176917" w:rsidRDefault="00AB56A8" w:rsidP="00AB56A8"/>
                  </w:txbxContent>
                </v:textbox>
                <w10:wrap type="square" anchorx="margin"/>
              </v:shape>
            </w:pict>
          </mc:Fallback>
        </mc:AlternateContent>
      </w:r>
      <w:r>
        <w:br w:type="page"/>
      </w:r>
    </w:p>
    <w:p w14:paraId="275BAFB7" w14:textId="48140E5F" w:rsidR="00AB56A8" w:rsidRDefault="00B215B0">
      <w:pPr>
        <w:tabs>
          <w:tab w:val="clear" w:pos="567"/>
        </w:tabs>
        <w:spacing w:before="0" w:line="240" w:lineRule="auto"/>
        <w:rPr>
          <w:rFonts w:ascii="Open Sans Light" w:eastAsia="Times New Roman" w:hAnsi="Open Sans Light" w:cs="Times New Roman"/>
          <w:szCs w:val="20"/>
        </w:rPr>
      </w:pPr>
      <w:r>
        <w:rPr>
          <w:noProof/>
        </w:rPr>
        <w:lastRenderedPageBreak/>
        <mc:AlternateContent>
          <mc:Choice Requires="wps">
            <w:drawing>
              <wp:anchor distT="45720" distB="45720" distL="114300" distR="114300" simplePos="0" relativeHeight="251658246" behindDoc="0" locked="0" layoutInCell="1" allowOverlap="1" wp14:anchorId="3F92BF34" wp14:editId="6738D93D">
                <wp:simplePos x="0" y="0"/>
                <wp:positionH relativeFrom="margin">
                  <wp:align>left</wp:align>
                </wp:positionH>
                <wp:positionV relativeFrom="paragraph">
                  <wp:posOffset>216535</wp:posOffset>
                </wp:positionV>
                <wp:extent cx="5853430" cy="9000000"/>
                <wp:effectExtent l="0" t="0" r="13970" b="10795"/>
                <wp:wrapSquare wrapText="bothSides"/>
                <wp:docPr id="1109072898" name="Text Box 11090728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9000000"/>
                        </a:xfrm>
                        <a:prstGeom prst="rect">
                          <a:avLst/>
                        </a:prstGeom>
                        <a:solidFill>
                          <a:srgbClr val="E5F8FF"/>
                        </a:solidFill>
                        <a:ln w="9525">
                          <a:solidFill>
                            <a:schemeClr val="bg1"/>
                          </a:solidFill>
                          <a:miter lim="800000"/>
                          <a:headEnd/>
                          <a:tailEnd/>
                        </a:ln>
                      </wps:spPr>
                      <wps:txbx>
                        <w:txbxContent>
                          <w:p w14:paraId="49AE0F6E" w14:textId="4EA70867" w:rsidR="0088435C" w:rsidRPr="004B3CA7" w:rsidRDefault="0088435C" w:rsidP="0088435C">
                            <w:bookmarkStart w:id="70" w:name="_Hlk158801005"/>
                            <w:r w:rsidRPr="004B3CA7">
                              <w:t>A range of factors</w:t>
                            </w:r>
                            <w:r w:rsidR="000E2624" w:rsidRPr="004B3CA7">
                              <w:t>, sometimes offsetting,</w:t>
                            </w:r>
                            <w:r w:rsidRPr="004B3CA7">
                              <w:t xml:space="preserve"> affected states’</w:t>
                            </w:r>
                            <w:r w:rsidR="009A3F5E">
                              <w:t xml:space="preserve"> assessed</w:t>
                            </w:r>
                            <w:r w:rsidRPr="004B3CA7">
                              <w:t xml:space="preserve"> GST needs for urban transport expenditure. New data from the 2021 Census on urban centre characteristics increased the</w:t>
                            </w:r>
                            <w:r w:rsidR="00C654E8">
                              <w:t xml:space="preserve"> assessed</w:t>
                            </w:r>
                            <w:r w:rsidRPr="004B3CA7">
                              <w:t xml:space="preserve"> GST needs of Victoria and the ACT and reduced the</w:t>
                            </w:r>
                            <w:r w:rsidR="009A3F5E">
                              <w:t xml:space="preserve"> assessed</w:t>
                            </w:r>
                            <w:r w:rsidRPr="004B3CA7">
                              <w:t xml:space="preserve"> GST needs of other states. </w:t>
                            </w:r>
                            <w:r w:rsidR="000E2624" w:rsidRPr="004B3CA7">
                              <w:t>Under t</w:t>
                            </w:r>
                            <w:r w:rsidRPr="004B3CA7">
                              <w:t xml:space="preserve">he Commission’s </w:t>
                            </w:r>
                            <w:r w:rsidR="00494D4E" w:rsidRPr="004B3CA7">
                              <w:t xml:space="preserve">3-year rolling average </w:t>
                            </w:r>
                            <w:r w:rsidRPr="004B3CA7">
                              <w:t>assessments</w:t>
                            </w:r>
                            <w:r w:rsidR="00494D4E" w:rsidRPr="004B3CA7">
                              <w:t>,</w:t>
                            </w:r>
                            <w:r w:rsidRPr="004B3CA7">
                              <w:t xml:space="preserve"> 2019</w:t>
                            </w:r>
                            <w:r w:rsidR="003C0669">
                              <w:t>–</w:t>
                            </w:r>
                            <w:r w:rsidR="009D3999">
                              <w:rPr>
                                <w:rFonts w:ascii="Times New Roman" w:hAnsi="Times New Roman" w:cs="Times New Roman" w:hint="eastAsia"/>
                                <w:rtl/>
                              </w:rPr>
                              <w:t>‍</w:t>
                            </w:r>
                            <w:r w:rsidRPr="004B3CA7">
                              <w:t xml:space="preserve">20 data </w:t>
                            </w:r>
                            <w:r w:rsidR="001B6292" w:rsidRPr="004B3CA7">
                              <w:t>were</w:t>
                            </w:r>
                            <w:r w:rsidR="00494D4E" w:rsidRPr="004B3CA7">
                              <w:t xml:space="preserve"> replaced </w:t>
                            </w:r>
                            <w:r w:rsidRPr="004B3CA7">
                              <w:t>with 2022</w:t>
                            </w:r>
                            <w:r w:rsidR="00D71FF3">
                              <w:t>–</w:t>
                            </w:r>
                            <w:r w:rsidRPr="004B3CA7">
                              <w:t>23 data. Queensland’s population and population</w:t>
                            </w:r>
                            <w:r w:rsidR="00270FEF">
                              <w:noBreakHyphen/>
                            </w:r>
                            <w:r w:rsidRPr="004B3CA7">
                              <w:t>weighted density grew faster than the national average between these years, increasing its</w:t>
                            </w:r>
                            <w:r w:rsidR="0011178B">
                              <w:t xml:space="preserve"> assessed</w:t>
                            </w:r>
                            <w:r w:rsidRPr="004B3CA7">
                              <w:t xml:space="preserve"> GST needs. Relatively slow growth in urban transport recurrent expenditure reduced the assessed GST needs of New South Wales and Victoria. A large downward revision in investment for 2021</w:t>
                            </w:r>
                            <w:r w:rsidR="00D71FF3">
                              <w:t>–</w:t>
                            </w:r>
                            <w:r w:rsidRPr="004B3CA7">
                              <w:t>22 reduced the assessed</w:t>
                            </w:r>
                            <w:r w:rsidR="00445747">
                              <w:t xml:space="preserve"> GST</w:t>
                            </w:r>
                            <w:r w:rsidRPr="004B3CA7">
                              <w:t xml:space="preserve"> needs of New South Wales and Victoria</w:t>
                            </w:r>
                            <w:r w:rsidR="00BF1461">
                              <w:t>,</w:t>
                            </w:r>
                            <w:r w:rsidRPr="004B3CA7">
                              <w:t xml:space="preserve"> but this was partly offset by a large increase in investment between 2019</w:t>
                            </w:r>
                            <w:r w:rsidR="00BF1461">
                              <w:t>–</w:t>
                            </w:r>
                            <w:r w:rsidRPr="004B3CA7">
                              <w:t>20 and 2022</w:t>
                            </w:r>
                            <w:r w:rsidR="00BF1461">
                              <w:t>–</w:t>
                            </w:r>
                            <w:r w:rsidR="009A3F5E">
                              <w:rPr>
                                <w:rFonts w:ascii="Times New Roman" w:hAnsi="Times New Roman" w:cs="Times New Roman" w:hint="eastAsia"/>
                                <w:rtl/>
                              </w:rPr>
                              <w:t>‍</w:t>
                            </w:r>
                            <w:r w:rsidRPr="004B3CA7">
                              <w:t xml:space="preserve">23. </w:t>
                            </w:r>
                          </w:p>
                          <w:bookmarkEnd w:id="70"/>
                          <w:p w14:paraId="05040E04" w14:textId="3F7F5C8E" w:rsidR="00E9410C" w:rsidRPr="004B3CA7" w:rsidRDefault="00E9410C" w:rsidP="00E9410C">
                            <w:r w:rsidRPr="004B3CA7">
                              <w:t>Updated data from the 2021 Census also resulted in changes in the remoteness classification of some locations, an increase in the level of disadvantage in some states, and changes in</w:t>
                            </w:r>
                            <w:r w:rsidR="003F20F2">
                              <w:t xml:space="preserve"> the</w:t>
                            </w:r>
                            <w:r w:rsidRPr="004B3CA7">
                              <w:t xml:space="preserve"> </w:t>
                            </w:r>
                            <w:r w:rsidR="008D4379">
                              <w:t>proportion</w:t>
                            </w:r>
                            <w:r w:rsidRPr="004B3CA7">
                              <w:t xml:space="preserve"> of people who identify as First Nations</w:t>
                            </w:r>
                            <w:r w:rsidR="008D4379">
                              <w:t xml:space="preserve"> living in each state</w:t>
                            </w:r>
                            <w:r w:rsidRPr="004B3CA7">
                              <w:t>.</w:t>
                            </w:r>
                            <w:r w:rsidRPr="0068798B">
                              <w:t xml:space="preserve"> </w:t>
                            </w:r>
                          </w:p>
                          <w:p w14:paraId="079A63AF" w14:textId="0A5703A6" w:rsidR="00E9410C" w:rsidRPr="0068798B" w:rsidRDefault="00E9410C" w:rsidP="00E9410C">
                            <w:r w:rsidRPr="0068798B">
                              <w:t>2024</w:t>
                            </w:r>
                            <w:r w:rsidR="00FE71E1">
                              <w:t>–</w:t>
                            </w:r>
                            <w:r w:rsidRPr="0068798B">
                              <w:rPr>
                                <w:rFonts w:ascii="Times New Roman" w:hAnsi="Times New Roman" w:cs="Times New Roman"/>
                              </w:rPr>
                              <w:t>‍</w:t>
                            </w:r>
                            <w:r w:rsidRPr="0068798B">
                              <w:t>25 is the fourth year in a 6-year transition away from distributing the GST pool based solely on the Commission’s assessment of states’ relative fiscal capacities. At the end of these 6 years, the Commission’s assessment will be adjusted so that no state will have a GST relativity less than the lower of New South Wales or Victoria (referred to as the ‘standard state’). For 2024</w:t>
                            </w:r>
                            <w:r w:rsidR="00B85AF3">
                              <w:t>–</w:t>
                            </w:r>
                            <w:r w:rsidRPr="0017514B">
                              <w:t>25</w:t>
                            </w:r>
                            <w:r w:rsidRPr="0068798B">
                              <w:t>, blended relativities are calculated using two</w:t>
                            </w:r>
                            <w:r w:rsidR="002925B9">
                              <w:t>-</w:t>
                            </w:r>
                            <w:r w:rsidRPr="0068798B">
                              <w:t>thirds of the standard state approach and one</w:t>
                            </w:r>
                            <w:r w:rsidR="002925B9">
                              <w:t>-</w:t>
                            </w:r>
                            <w:r w:rsidRPr="0068798B">
                              <w:t xml:space="preserve">third of the previous approach. </w:t>
                            </w:r>
                          </w:p>
                          <w:p w14:paraId="48EED4D7" w14:textId="7EA087FF" w:rsidR="00E9410C" w:rsidRPr="0017514B" w:rsidRDefault="00E9410C" w:rsidP="00E9410C">
                            <w:r w:rsidRPr="0068798B">
                              <w:t>The 2018 legislated arrangements also ensure that from 2024</w:t>
                            </w:r>
                            <w:r w:rsidR="00DB6CDC">
                              <w:t>–</w:t>
                            </w:r>
                            <w:r w:rsidRPr="0068798B">
                              <w:t>25 no state’s GST relativity can fall below a GST relativity floor of 0.75. In 2024</w:t>
                            </w:r>
                            <w:r w:rsidR="00DB6CDC">
                              <w:t>–</w:t>
                            </w:r>
                            <w:r w:rsidRPr="0068798B">
                              <w:t xml:space="preserve">25, Western Australia’s blended relativity is well below the GST floor. Increasing Western Australia’s relativity to 0.75 significantly increases its GST distribution compared with the previous GST distribution arrangements, while lowering the GST share of the other states. Western Australia is estimated to receive </w:t>
                            </w:r>
                            <w:r w:rsidRPr="004B3CA7">
                              <w:t>$6.2 billion</w:t>
                            </w:r>
                            <w:r w:rsidRPr="0068798B">
                              <w:t xml:space="preserve"> in</w:t>
                            </w:r>
                            <w:r w:rsidRPr="0017514B">
                              <w:t xml:space="preserve"> additional GST payments in 2024</w:t>
                            </w:r>
                            <w:r w:rsidR="00D73EB0">
                              <w:t>–</w:t>
                            </w:r>
                            <w:r w:rsidRPr="0017514B">
                              <w:rPr>
                                <w:rFonts w:hint="cs"/>
                                <w:rtl/>
                              </w:rPr>
                              <w:t>‍‍</w:t>
                            </w:r>
                            <w:r w:rsidRPr="0017514B">
                              <w:rPr>
                                <w:rtl/>
                              </w:rPr>
                              <w:t>‍</w:t>
                            </w:r>
                            <w:r w:rsidRPr="0017514B">
                              <w:t xml:space="preserve">25 (and all other states less) than under the previous GST distribution arrangements. However, the Commonwealth Government’s no worse off guarantee will ameliorate the impact on the other states (see below). </w:t>
                            </w:r>
                          </w:p>
                          <w:p w14:paraId="42D675E7" w14:textId="77777777" w:rsidR="00DD20D4" w:rsidRPr="0017514B" w:rsidRDefault="00DD20D4" w:rsidP="00CA307B">
                            <w:pPr>
                              <w:pStyle w:val="Heading2"/>
                            </w:pPr>
                            <w:r w:rsidRPr="0017514B">
                              <w:t xml:space="preserve">Estimated total GST-related payments including no worse off </w:t>
                            </w:r>
                            <w:proofErr w:type="gramStart"/>
                            <w:r w:rsidRPr="0017514B">
                              <w:t>payments</w:t>
                            </w:r>
                            <w:proofErr w:type="gramEnd"/>
                          </w:p>
                          <w:p w14:paraId="387600C6" w14:textId="450FBBA3" w:rsidR="00DD20D4" w:rsidRPr="0017514B" w:rsidRDefault="00DD20D4" w:rsidP="00DD20D4">
                            <w:r w:rsidRPr="0017514B">
                              <w:t>A state that was worse off in 2024</w:t>
                            </w:r>
                            <w:r w:rsidR="002A16E0">
                              <w:t>–</w:t>
                            </w:r>
                            <w:r w:rsidRPr="0017514B">
                              <w:t xml:space="preserve">25 (compared </w:t>
                            </w:r>
                            <w:r w:rsidR="002A16E0">
                              <w:t>with</w:t>
                            </w:r>
                            <w:r w:rsidRPr="0017514B">
                              <w:t xml:space="preserve"> the arrangements prior to the 2018 legislated changes) could expect a no worse off payment from the Commonwealth </w:t>
                            </w:r>
                            <w:proofErr w:type="gramStart"/>
                            <w:r w:rsidRPr="0017514B">
                              <w:t>similar to</w:t>
                            </w:r>
                            <w:proofErr w:type="gramEnd"/>
                            <w:r w:rsidRPr="0017514B">
                              <w:t xml:space="preserve"> that shown in the table below. All states except Western Australia are estimated to receive a no worse off payment in 2024</w:t>
                            </w:r>
                            <w:r w:rsidR="002A16E0">
                              <w:t>–</w:t>
                            </w:r>
                            <w:r w:rsidRPr="0017514B">
                              <w:t>25.</w:t>
                            </w:r>
                          </w:p>
                          <w:p w14:paraId="22088E50" w14:textId="15BA6E9D" w:rsidR="00DD20D4" w:rsidRPr="0017514B" w:rsidRDefault="00DD20D4" w:rsidP="00DD20D4">
                            <w:r w:rsidRPr="0017514B">
                              <w:t>In determining whether a state is worse off under the 2018 legislated arrangements, allowance is made for the extent to which a state has gained from the Commonwealth top</w:t>
                            </w:r>
                            <w:r w:rsidRPr="0017514B">
                              <w:noBreakHyphen/>
                              <w:t>ups to the GST pool. In 2024</w:t>
                            </w:r>
                            <w:r w:rsidR="00234D50">
                              <w:t>–</w:t>
                            </w:r>
                            <w:r w:rsidRPr="0017514B">
                              <w:t>25, an additional top</w:t>
                            </w:r>
                            <w:r w:rsidR="00232608">
                              <w:t>-</w:t>
                            </w:r>
                            <w:r w:rsidRPr="0017514B">
                              <w:t>up of $250 million will be made to the GST pool.</w:t>
                            </w:r>
                          </w:p>
                          <w:p w14:paraId="7A705102" w14:textId="77777777" w:rsidR="00B215B0" w:rsidRPr="00176917" w:rsidRDefault="00B215B0" w:rsidP="00B215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92BF34" id="Text Box 1109072898" o:spid="_x0000_s1031" type="#_x0000_t202" style="position:absolute;margin-left:0;margin-top:17.05pt;width:460.9pt;height:708.65pt;z-index:25165824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" fillcolor="#e5f8ff" strokecolor="white [3212]">
                <v:textbox>
                  <w:txbxContent>
                    <w:p w14:paraId="49AE0F6E" w14:textId="4EA70867" w:rsidR="0088435C" w:rsidRPr="004B3CA7" w:rsidRDefault="0088435C" w:rsidP="0088435C">
                      <w:bookmarkStart w:id="74" w:name="_Hlk158801005"/>
                      <w:r w:rsidRPr="004B3CA7">
                        <w:t>A range of factors</w:t>
                      </w:r>
                      <w:r w:rsidR="000E2624" w:rsidRPr="004B3CA7">
                        <w:t>, sometimes offsetting,</w:t>
                      </w:r>
                      <w:r w:rsidRPr="004B3CA7">
                        <w:t xml:space="preserve"> affected states’</w:t>
                      </w:r>
                      <w:r w:rsidR="009A3F5E">
                        <w:t xml:space="preserve"> assessed</w:t>
                      </w:r>
                      <w:r w:rsidRPr="004B3CA7">
                        <w:t xml:space="preserve"> GST needs for urban transport expenditure. New data from the 2021 Census on urban centre characteristics increased the</w:t>
                      </w:r>
                      <w:r w:rsidR="00C654E8">
                        <w:t xml:space="preserve"> assessed</w:t>
                      </w:r>
                      <w:r w:rsidRPr="004B3CA7">
                        <w:t xml:space="preserve"> GST needs of Victoria and the ACT and reduced the</w:t>
                      </w:r>
                      <w:r w:rsidR="009A3F5E">
                        <w:t xml:space="preserve"> assessed</w:t>
                      </w:r>
                      <w:r w:rsidRPr="004B3CA7">
                        <w:t xml:space="preserve"> GST needs of other states. </w:t>
                      </w:r>
                      <w:r w:rsidR="000E2624" w:rsidRPr="004B3CA7">
                        <w:t>Under t</w:t>
                      </w:r>
                      <w:r w:rsidRPr="004B3CA7">
                        <w:t xml:space="preserve">he Commission’s </w:t>
                      </w:r>
                      <w:r w:rsidR="00494D4E" w:rsidRPr="004B3CA7">
                        <w:t xml:space="preserve">3-year rolling average </w:t>
                      </w:r>
                      <w:r w:rsidRPr="004B3CA7">
                        <w:t>assessments</w:t>
                      </w:r>
                      <w:r w:rsidR="00494D4E" w:rsidRPr="004B3CA7">
                        <w:t>,</w:t>
                      </w:r>
                      <w:r w:rsidRPr="004B3CA7">
                        <w:t xml:space="preserve"> 2019</w:t>
                      </w:r>
                      <w:r w:rsidR="003C0669">
                        <w:t>–</w:t>
                      </w:r>
                      <w:r w:rsidR="009D3999">
                        <w:rPr>
                          <w:rFonts w:ascii="Times New Roman" w:hAnsi="Times New Roman" w:cs="Times New Roman" w:hint="eastAsia"/>
                          <w:rtl/>
                        </w:rPr>
                        <w:t>‍</w:t>
                      </w:r>
                      <w:r w:rsidRPr="004B3CA7">
                        <w:t xml:space="preserve">20 data </w:t>
                      </w:r>
                      <w:r w:rsidR="001B6292" w:rsidRPr="004B3CA7">
                        <w:t>were</w:t>
                      </w:r>
                      <w:r w:rsidR="00494D4E" w:rsidRPr="004B3CA7">
                        <w:t xml:space="preserve"> replaced </w:t>
                      </w:r>
                      <w:r w:rsidRPr="004B3CA7">
                        <w:t>with 2022</w:t>
                      </w:r>
                      <w:r w:rsidR="00D71FF3">
                        <w:t>–</w:t>
                      </w:r>
                      <w:r w:rsidRPr="004B3CA7">
                        <w:t>23 data. Queensland’s population and population</w:t>
                      </w:r>
                      <w:r w:rsidR="00270FEF">
                        <w:noBreakHyphen/>
                      </w:r>
                      <w:r w:rsidRPr="004B3CA7">
                        <w:t>weighted density grew faster than the national average between these years, increasing its</w:t>
                      </w:r>
                      <w:r w:rsidR="0011178B">
                        <w:t xml:space="preserve"> assessed</w:t>
                      </w:r>
                      <w:r w:rsidRPr="004B3CA7">
                        <w:t xml:space="preserve"> GST needs. Relatively slow growth in urban transport recurrent expenditure reduced the assessed GST needs of New South Wales and Victoria. A large downward revision in investment for 2021</w:t>
                      </w:r>
                      <w:r w:rsidR="00D71FF3">
                        <w:t>–</w:t>
                      </w:r>
                      <w:r w:rsidRPr="004B3CA7">
                        <w:t>22 reduced the assessed</w:t>
                      </w:r>
                      <w:r w:rsidR="00445747">
                        <w:t xml:space="preserve"> GST</w:t>
                      </w:r>
                      <w:r w:rsidRPr="004B3CA7">
                        <w:t xml:space="preserve"> needs of New South Wales and Victoria</w:t>
                      </w:r>
                      <w:r w:rsidR="00BF1461">
                        <w:t>,</w:t>
                      </w:r>
                      <w:r w:rsidRPr="004B3CA7">
                        <w:t xml:space="preserve"> but this was partly offset by a large increase in investment between 2019</w:t>
                      </w:r>
                      <w:r w:rsidR="00BF1461">
                        <w:t>–</w:t>
                      </w:r>
                      <w:r w:rsidRPr="004B3CA7">
                        <w:t>20 and 2022</w:t>
                      </w:r>
                      <w:r w:rsidR="00BF1461">
                        <w:t>–</w:t>
                      </w:r>
                      <w:r w:rsidR="009A3F5E">
                        <w:rPr>
                          <w:rFonts w:ascii="Times New Roman" w:hAnsi="Times New Roman" w:cs="Times New Roman" w:hint="eastAsia"/>
                          <w:rtl/>
                        </w:rPr>
                        <w:t>‍</w:t>
                      </w:r>
                      <w:r w:rsidRPr="004B3CA7">
                        <w:t xml:space="preserve">23. </w:t>
                      </w:r>
                    </w:p>
                    <w:bookmarkEnd w:id="74"/>
                    <w:p w14:paraId="05040E04" w14:textId="3F7F5C8E" w:rsidR="00E9410C" w:rsidRPr="004B3CA7" w:rsidRDefault="00E9410C" w:rsidP="00E9410C">
                      <w:r w:rsidRPr="004B3CA7">
                        <w:t>Updated data from the 2021 Census also resulted in changes in the remoteness classification of some locations, an increase in the level of disadvantage in some states, and changes in</w:t>
                      </w:r>
                      <w:r w:rsidR="003F20F2">
                        <w:t xml:space="preserve"> the</w:t>
                      </w:r>
                      <w:r w:rsidRPr="004B3CA7">
                        <w:t xml:space="preserve"> </w:t>
                      </w:r>
                      <w:r w:rsidR="008D4379">
                        <w:t>proportion</w:t>
                      </w:r>
                      <w:r w:rsidRPr="004B3CA7">
                        <w:t xml:space="preserve"> of people who identify as First Nations</w:t>
                      </w:r>
                      <w:r w:rsidR="008D4379">
                        <w:t xml:space="preserve"> living in each state</w:t>
                      </w:r>
                      <w:r w:rsidRPr="004B3CA7">
                        <w:t>.</w:t>
                      </w:r>
                      <w:r w:rsidRPr="0068798B">
                        <w:t xml:space="preserve"> </w:t>
                      </w:r>
                    </w:p>
                    <w:p w14:paraId="079A63AF" w14:textId="0A5703A6" w:rsidR="00E9410C" w:rsidRPr="0068798B" w:rsidRDefault="00E9410C" w:rsidP="00E9410C">
                      <w:r w:rsidRPr="0068798B">
                        <w:t>2024</w:t>
                      </w:r>
                      <w:r w:rsidR="00FE71E1">
                        <w:t>–</w:t>
                      </w:r>
                      <w:r w:rsidRPr="0068798B">
                        <w:rPr>
                          <w:rFonts w:ascii="Times New Roman" w:hAnsi="Times New Roman" w:cs="Times New Roman"/>
                        </w:rPr>
                        <w:t>‍</w:t>
                      </w:r>
                      <w:r w:rsidRPr="0068798B">
                        <w:t>25 is the fourth year in a 6-year transition away from distributing the GST pool based solely on the Commission’s assessment of states’ relative fiscal capacities. At the end of these 6 years, the Commission’s assessment will be adjusted so that no state will have a GST relativity less than the lower of New South Wales or Victoria (referred to as the ‘standard state’). For 2024</w:t>
                      </w:r>
                      <w:r w:rsidR="00B85AF3">
                        <w:t>–</w:t>
                      </w:r>
                      <w:r w:rsidRPr="0017514B">
                        <w:t>25</w:t>
                      </w:r>
                      <w:r w:rsidRPr="0068798B">
                        <w:t>, blended relativities are calculated using two</w:t>
                      </w:r>
                      <w:r w:rsidR="002925B9">
                        <w:t>-</w:t>
                      </w:r>
                      <w:r w:rsidRPr="0068798B">
                        <w:t>thirds of the standard state approach and one</w:t>
                      </w:r>
                      <w:r w:rsidR="002925B9">
                        <w:t>-</w:t>
                      </w:r>
                      <w:r w:rsidRPr="0068798B">
                        <w:t xml:space="preserve">third of the previous approach. </w:t>
                      </w:r>
                    </w:p>
                    <w:p w14:paraId="48EED4D7" w14:textId="7EA087FF" w:rsidR="00E9410C" w:rsidRPr="0017514B" w:rsidRDefault="00E9410C" w:rsidP="00E9410C">
                      <w:r w:rsidRPr="0068798B">
                        <w:t>The 2018 legislated arrangements also ensure that from 2024</w:t>
                      </w:r>
                      <w:r w:rsidR="00DB6CDC">
                        <w:t>–</w:t>
                      </w:r>
                      <w:r w:rsidRPr="0068798B">
                        <w:t>25 no state’s GST relativity can fall below a GST relativity floor of 0.75. In 2024</w:t>
                      </w:r>
                      <w:r w:rsidR="00DB6CDC">
                        <w:t>–</w:t>
                      </w:r>
                      <w:r w:rsidRPr="0068798B">
                        <w:t xml:space="preserve">25, Western Australia’s blended relativity is well below the GST floor. Increasing Western Australia’s relativity to 0.75 significantly increases its GST distribution compared with the previous GST distribution arrangements, while lowering the GST share of the other states. Western Australia is estimated to receive </w:t>
                      </w:r>
                      <w:r w:rsidRPr="004B3CA7">
                        <w:t>$6.2 billion</w:t>
                      </w:r>
                      <w:r w:rsidRPr="0068798B">
                        <w:t xml:space="preserve"> in</w:t>
                      </w:r>
                      <w:r w:rsidRPr="0017514B">
                        <w:t xml:space="preserve"> additional GST payments in 2024</w:t>
                      </w:r>
                      <w:r w:rsidR="00D73EB0">
                        <w:t>–</w:t>
                      </w:r>
                      <w:r w:rsidRPr="0017514B">
                        <w:rPr>
                          <w:rFonts w:hint="cs"/>
                          <w:rtl/>
                        </w:rPr>
                        <w:t>‍‍</w:t>
                      </w:r>
                      <w:r w:rsidRPr="0017514B">
                        <w:rPr>
                          <w:rtl/>
                        </w:rPr>
                        <w:t>‍</w:t>
                      </w:r>
                      <w:r w:rsidRPr="0017514B">
                        <w:t xml:space="preserve">25 (and all other states less) than under the previous GST distribution arrangements. However, the Commonwealth Government’s no worse off guarantee will ameliorate the impact on the other states (see below). </w:t>
                      </w:r>
                    </w:p>
                    <w:p w14:paraId="42D675E7" w14:textId="77777777" w:rsidR="00DD20D4" w:rsidRPr="0017514B" w:rsidRDefault="00DD20D4" w:rsidP="00CA307B">
                      <w:pPr>
                        <w:pStyle w:val="Heading2"/>
                      </w:pPr>
                      <w:r w:rsidRPr="0017514B">
                        <w:t xml:space="preserve">Estimated total GST-related payments including no worse off </w:t>
                      </w:r>
                      <w:proofErr w:type="gramStart"/>
                      <w:r w:rsidRPr="0017514B">
                        <w:t>payments</w:t>
                      </w:r>
                      <w:proofErr w:type="gramEnd"/>
                    </w:p>
                    <w:p w14:paraId="387600C6" w14:textId="450FBBA3" w:rsidR="00DD20D4" w:rsidRPr="0017514B" w:rsidRDefault="00DD20D4" w:rsidP="00DD20D4">
                      <w:r w:rsidRPr="0017514B">
                        <w:t>A state that was worse off in 2024</w:t>
                      </w:r>
                      <w:r w:rsidR="002A16E0">
                        <w:t>–</w:t>
                      </w:r>
                      <w:r w:rsidRPr="0017514B">
                        <w:t xml:space="preserve">25 (compared </w:t>
                      </w:r>
                      <w:r w:rsidR="002A16E0">
                        <w:t>with</w:t>
                      </w:r>
                      <w:r w:rsidRPr="0017514B">
                        <w:t xml:space="preserve"> the arrangements prior to the 2018 legislated changes) could expect a no worse off payment from the Commonwealth </w:t>
                      </w:r>
                      <w:proofErr w:type="gramStart"/>
                      <w:r w:rsidRPr="0017514B">
                        <w:t>similar to</w:t>
                      </w:r>
                      <w:proofErr w:type="gramEnd"/>
                      <w:r w:rsidRPr="0017514B">
                        <w:t xml:space="preserve"> that shown in the table below. All states except Western Australia are estimated to receive a no worse off payment in 2024</w:t>
                      </w:r>
                      <w:r w:rsidR="002A16E0">
                        <w:t>–</w:t>
                      </w:r>
                      <w:r w:rsidRPr="0017514B">
                        <w:t>25.</w:t>
                      </w:r>
                    </w:p>
                    <w:p w14:paraId="22088E50" w14:textId="15BA6E9D" w:rsidR="00DD20D4" w:rsidRPr="0017514B" w:rsidRDefault="00DD20D4" w:rsidP="00DD20D4">
                      <w:r w:rsidRPr="0017514B">
                        <w:t>In determining whether a state is worse off under the 2018 legislated arrangements, allowance is made for the extent to which a state has gained from the Commonwealth top</w:t>
                      </w:r>
                      <w:r w:rsidRPr="0017514B">
                        <w:noBreakHyphen/>
                        <w:t>ups to the GST pool. In 2024</w:t>
                      </w:r>
                      <w:r w:rsidR="00234D50">
                        <w:t>–</w:t>
                      </w:r>
                      <w:r w:rsidRPr="0017514B">
                        <w:t>25, an additional top</w:t>
                      </w:r>
                      <w:r w:rsidR="00232608">
                        <w:t>-</w:t>
                      </w:r>
                      <w:r w:rsidRPr="0017514B">
                        <w:t>up of $250 million will be made to the GST pool.</w:t>
                      </w:r>
                    </w:p>
                    <w:p w14:paraId="7A705102" w14:textId="77777777" w:rsidR="00B215B0" w:rsidRPr="00176917" w:rsidRDefault="00B215B0" w:rsidP="00B215B0"/>
                  </w:txbxContent>
                </v:textbox>
                <w10:wrap type="square" anchorx="margin"/>
              </v:shape>
            </w:pict>
          </mc:Fallback>
        </mc:AlternateContent>
      </w:r>
    </w:p>
    <w:p w14:paraId="5168D40F" w14:textId="2A42CBDC" w:rsidR="00555119" w:rsidRDefault="00555119">
      <w:pPr>
        <w:tabs>
          <w:tab w:val="clear" w:pos="567"/>
        </w:tabs>
        <w:spacing w:before="0" w:line="240" w:lineRule="auto"/>
        <w:rPr>
          <w:rFonts w:ascii="Open Sans Light" w:eastAsia="Times New Roman" w:hAnsi="Open Sans Light" w:cs="Times New Roman"/>
          <w:szCs w:val="20"/>
        </w:rPr>
      </w:pPr>
      <w:r>
        <w:rPr>
          <w:noProof/>
        </w:rPr>
        <w:lastRenderedPageBreak/>
        <mc:AlternateContent>
          <mc:Choice Requires="wps">
            <w:drawing>
              <wp:anchor distT="45720" distB="45720" distL="114300" distR="114300" simplePos="0" relativeHeight="251658247" behindDoc="0" locked="0" layoutInCell="1" allowOverlap="1" wp14:anchorId="5F937064" wp14:editId="475BC713">
                <wp:simplePos x="0" y="0"/>
                <wp:positionH relativeFrom="margin">
                  <wp:align>left</wp:align>
                </wp:positionH>
                <wp:positionV relativeFrom="paragraph">
                  <wp:posOffset>213360</wp:posOffset>
                </wp:positionV>
                <wp:extent cx="5853430" cy="3781425"/>
                <wp:effectExtent l="0" t="0" r="13970" b="28575"/>
                <wp:wrapSquare wrapText="bothSides"/>
                <wp:docPr id="1030580337" name="Text Box 1030580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3781425"/>
                        </a:xfrm>
                        <a:prstGeom prst="rect">
                          <a:avLst/>
                        </a:prstGeom>
                        <a:solidFill>
                          <a:srgbClr val="E5F8FF"/>
                        </a:solidFill>
                        <a:ln w="9525">
                          <a:solidFill>
                            <a:schemeClr val="bg1"/>
                          </a:solidFill>
                          <a:miter lim="800000"/>
                          <a:headEnd/>
                          <a:tailEnd/>
                        </a:ln>
                      </wps:spPr>
                      <wps:txbx>
                        <w:txbxContent>
                          <w:p w14:paraId="2E42190C" w14:textId="77777777" w:rsidR="00555119" w:rsidRPr="0017514B" w:rsidRDefault="00555119" w:rsidP="00555119">
                            <w:pPr>
                              <w:pStyle w:val="Tableheading"/>
                            </w:pPr>
                            <w:r w:rsidRPr="0009659F">
                              <w:t xml:space="preserve">Estimated total payments to the states from GST distribution and no worse off </w:t>
                            </w:r>
                            <w:proofErr w:type="gramStart"/>
                            <w:r w:rsidRPr="0009659F">
                              <w:t>payments</w:t>
                            </w:r>
                            <w:proofErr w:type="gramEnd"/>
                          </w:p>
                          <w:tbl>
                            <w:tblPr>
                              <w:tblW w:w="8920" w:type="dxa"/>
                              <w:tblLook w:val="04A0" w:firstRow="1" w:lastRow="0" w:firstColumn="1" w:lastColumn="0" w:noHBand="0" w:noVBand="1"/>
                            </w:tblPr>
                            <w:tblGrid>
                              <w:gridCol w:w="2512"/>
                              <w:gridCol w:w="716"/>
                              <w:gridCol w:w="716"/>
                              <w:gridCol w:w="716"/>
                              <w:gridCol w:w="700"/>
                              <w:gridCol w:w="700"/>
                              <w:gridCol w:w="700"/>
                              <w:gridCol w:w="700"/>
                              <w:gridCol w:w="700"/>
                              <w:gridCol w:w="760"/>
                            </w:tblGrid>
                            <w:tr w:rsidR="0010699D" w:rsidRPr="0010699D" w14:paraId="12D06C4C" w14:textId="77777777" w:rsidTr="0010699D">
                              <w:trPr>
                                <w:trHeight w:val="379"/>
                              </w:trPr>
                              <w:tc>
                                <w:tcPr>
                                  <w:tcW w:w="2512" w:type="dxa"/>
                                  <w:tcBorders>
                                    <w:top w:val="nil"/>
                                    <w:left w:val="nil"/>
                                    <w:bottom w:val="nil"/>
                                    <w:right w:val="nil"/>
                                  </w:tcBorders>
                                  <w:shd w:val="clear" w:color="000000" w:fill="006991"/>
                                  <w:vAlign w:val="bottom"/>
                                  <w:hideMark/>
                                </w:tcPr>
                                <w:p w14:paraId="44687022" w14:textId="77777777" w:rsidR="0010699D" w:rsidRPr="0010699D" w:rsidRDefault="0010699D" w:rsidP="0010699D">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71" w:name="Estimated_total_payments"/>
                                  <w:r w:rsidRPr="0010699D">
                                    <w:rPr>
                                      <w:rFonts w:ascii="Open Sans Semibold" w:eastAsia="Times New Roman" w:hAnsi="Open Sans Semibold" w:cs="Open Sans Semibold"/>
                                      <w:color w:val="FFFFFF"/>
                                      <w:sz w:val="16"/>
                                      <w:szCs w:val="16"/>
                                      <w:lang w:eastAsia="en-AU"/>
                                    </w:rPr>
                                    <w:t> </w:t>
                                  </w:r>
                                  <w:bookmarkEnd w:id="71"/>
                                </w:p>
                              </w:tc>
                              <w:tc>
                                <w:tcPr>
                                  <w:tcW w:w="716" w:type="dxa"/>
                                  <w:tcBorders>
                                    <w:top w:val="nil"/>
                                    <w:left w:val="nil"/>
                                    <w:bottom w:val="nil"/>
                                    <w:right w:val="nil"/>
                                  </w:tcBorders>
                                  <w:shd w:val="clear" w:color="000000" w:fill="006991"/>
                                  <w:vAlign w:val="center"/>
                                  <w:hideMark/>
                                </w:tcPr>
                                <w:p w14:paraId="75A29FCA"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NSW</w:t>
                                  </w:r>
                                </w:p>
                              </w:tc>
                              <w:tc>
                                <w:tcPr>
                                  <w:tcW w:w="716" w:type="dxa"/>
                                  <w:tcBorders>
                                    <w:top w:val="nil"/>
                                    <w:left w:val="nil"/>
                                    <w:bottom w:val="nil"/>
                                    <w:right w:val="nil"/>
                                  </w:tcBorders>
                                  <w:shd w:val="clear" w:color="000000" w:fill="006991"/>
                                  <w:vAlign w:val="center"/>
                                  <w:hideMark/>
                                </w:tcPr>
                                <w:p w14:paraId="7AD9079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Vic</w:t>
                                  </w:r>
                                </w:p>
                              </w:tc>
                              <w:tc>
                                <w:tcPr>
                                  <w:tcW w:w="716" w:type="dxa"/>
                                  <w:tcBorders>
                                    <w:top w:val="nil"/>
                                    <w:left w:val="nil"/>
                                    <w:bottom w:val="nil"/>
                                    <w:right w:val="nil"/>
                                  </w:tcBorders>
                                  <w:shd w:val="clear" w:color="000000" w:fill="006991"/>
                                  <w:vAlign w:val="center"/>
                                  <w:hideMark/>
                                </w:tcPr>
                                <w:p w14:paraId="7305D5F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41EF67E3"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187137A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4A6FA587"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382E12E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5A98AA45"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2DC8FE4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Total</w:t>
                                  </w:r>
                                </w:p>
                              </w:tc>
                            </w:tr>
                            <w:tr w:rsidR="0010699D" w:rsidRPr="0010699D" w14:paraId="49ADC4F0" w14:textId="77777777" w:rsidTr="0010699D">
                              <w:trPr>
                                <w:trHeight w:val="259"/>
                              </w:trPr>
                              <w:tc>
                                <w:tcPr>
                                  <w:tcW w:w="2512" w:type="dxa"/>
                                  <w:tcBorders>
                                    <w:top w:val="single" w:sz="4" w:space="0" w:color="ADD6EA"/>
                                    <w:left w:val="nil"/>
                                    <w:bottom w:val="nil"/>
                                    <w:right w:val="nil"/>
                                  </w:tcBorders>
                                  <w:shd w:val="clear" w:color="000000" w:fill="B6D5E4"/>
                                  <w:vAlign w:val="bottom"/>
                                  <w:hideMark/>
                                </w:tcPr>
                                <w:p w14:paraId="60D76C69" w14:textId="77777777" w:rsidR="0010699D" w:rsidRPr="0010699D" w:rsidRDefault="0010699D" w:rsidP="0010699D">
                                  <w:pPr>
                                    <w:tabs>
                                      <w:tab w:val="clear" w:pos="567"/>
                                    </w:tabs>
                                    <w:spacing w:before="0" w:line="240" w:lineRule="auto"/>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 </w:t>
                                  </w:r>
                                </w:p>
                              </w:tc>
                              <w:tc>
                                <w:tcPr>
                                  <w:tcW w:w="716" w:type="dxa"/>
                                  <w:tcBorders>
                                    <w:top w:val="single" w:sz="4" w:space="0" w:color="ADD6EA"/>
                                    <w:left w:val="nil"/>
                                    <w:bottom w:val="nil"/>
                                    <w:right w:val="nil"/>
                                  </w:tcBorders>
                                  <w:shd w:val="clear" w:color="000000" w:fill="B6D5E4"/>
                                  <w:noWrap/>
                                  <w:vAlign w:val="bottom"/>
                                  <w:hideMark/>
                                </w:tcPr>
                                <w:p w14:paraId="4366D8F4"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16" w:type="dxa"/>
                                  <w:tcBorders>
                                    <w:top w:val="single" w:sz="4" w:space="0" w:color="ADD6EA"/>
                                    <w:left w:val="nil"/>
                                    <w:bottom w:val="nil"/>
                                    <w:right w:val="nil"/>
                                  </w:tcBorders>
                                  <w:shd w:val="clear" w:color="000000" w:fill="B6D5E4"/>
                                  <w:noWrap/>
                                  <w:vAlign w:val="bottom"/>
                                  <w:hideMark/>
                                </w:tcPr>
                                <w:p w14:paraId="5B9DD63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16" w:type="dxa"/>
                                  <w:tcBorders>
                                    <w:top w:val="single" w:sz="4" w:space="0" w:color="ADD6EA"/>
                                    <w:left w:val="nil"/>
                                    <w:bottom w:val="nil"/>
                                    <w:right w:val="nil"/>
                                  </w:tcBorders>
                                  <w:shd w:val="clear" w:color="000000" w:fill="B6D5E4"/>
                                  <w:noWrap/>
                                  <w:vAlign w:val="bottom"/>
                                  <w:hideMark/>
                                </w:tcPr>
                                <w:p w14:paraId="512EEF9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10A95862"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4BB05EC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482FB99A"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69F01838"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3ADDFCED"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nil"/>
                                    <w:right w:val="nil"/>
                                  </w:tcBorders>
                                  <w:shd w:val="clear" w:color="000000" w:fill="B6D5E4"/>
                                  <w:noWrap/>
                                  <w:vAlign w:val="bottom"/>
                                  <w:hideMark/>
                                </w:tcPr>
                                <w:p w14:paraId="713CEF1B"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r>
                            <w:tr w:rsidR="0010699D" w:rsidRPr="0010699D" w14:paraId="1C398C8D"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2A68F4D8" w14:textId="13533370" w:rsidR="0010699D" w:rsidRPr="0010699D" w:rsidRDefault="0010699D" w:rsidP="0010699D">
                                  <w:pPr>
                                    <w:tabs>
                                      <w:tab w:val="clear" w:pos="567"/>
                                    </w:tabs>
                                    <w:spacing w:before="0" w:line="240" w:lineRule="auto"/>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2023</w:t>
                                  </w:r>
                                  <w:r w:rsidR="00F74243">
                                    <w:rPr>
                                      <w:rFonts w:ascii="Open Sans Light" w:eastAsia="Times New Roman" w:hAnsi="Open Sans Light" w:cs="Open Sans Light"/>
                                      <w:color w:val="000000"/>
                                      <w:sz w:val="16"/>
                                      <w:szCs w:val="16"/>
                                      <w:lang w:eastAsia="en-AU"/>
                                    </w:rPr>
                                    <w:t>–</w:t>
                                  </w:r>
                                  <w:r w:rsidRPr="0010699D">
                                    <w:rPr>
                                      <w:rFonts w:ascii="Open Sans Light" w:eastAsia="Times New Roman" w:hAnsi="Open Sans Light" w:cs="Open Sans Light"/>
                                      <w:color w:val="000000"/>
                                      <w:sz w:val="16"/>
                                      <w:szCs w:val="16"/>
                                      <w:lang w:eastAsia="en-AU"/>
                                    </w:rPr>
                                    <w:t>24</w:t>
                                  </w:r>
                                </w:p>
                              </w:tc>
                              <w:tc>
                                <w:tcPr>
                                  <w:tcW w:w="716" w:type="dxa"/>
                                  <w:tcBorders>
                                    <w:top w:val="single" w:sz="4" w:space="0" w:color="ADD6EA"/>
                                    <w:left w:val="nil"/>
                                    <w:bottom w:val="nil"/>
                                    <w:right w:val="nil"/>
                                  </w:tcBorders>
                                  <w:shd w:val="clear" w:color="auto" w:fill="auto"/>
                                  <w:noWrap/>
                                  <w:vAlign w:val="bottom"/>
                                  <w:hideMark/>
                                </w:tcPr>
                                <w:p w14:paraId="1785CB27"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noWrap/>
                                  <w:vAlign w:val="bottom"/>
                                  <w:hideMark/>
                                </w:tcPr>
                                <w:p w14:paraId="02CF51FE"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noWrap/>
                                  <w:vAlign w:val="bottom"/>
                                  <w:hideMark/>
                                </w:tcPr>
                                <w:p w14:paraId="668920F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35C182B6"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5BC063B2"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7EBD8CDC"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48D1D506"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34E61FD2"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60" w:type="dxa"/>
                                  <w:tcBorders>
                                    <w:top w:val="single" w:sz="4" w:space="0" w:color="ADD6EA"/>
                                    <w:left w:val="nil"/>
                                    <w:bottom w:val="nil"/>
                                    <w:right w:val="nil"/>
                                  </w:tcBorders>
                                  <w:shd w:val="clear" w:color="auto" w:fill="auto"/>
                                  <w:noWrap/>
                                  <w:vAlign w:val="bottom"/>
                                  <w:hideMark/>
                                </w:tcPr>
                                <w:p w14:paraId="7B5F908E"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r>
                            <w:tr w:rsidR="0010699D" w:rsidRPr="0010699D" w14:paraId="7A92D544"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66D1C587"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Total GST distribution</w:t>
                                  </w:r>
                                </w:p>
                              </w:tc>
                              <w:tc>
                                <w:tcPr>
                                  <w:tcW w:w="716" w:type="dxa"/>
                                  <w:tcBorders>
                                    <w:top w:val="single" w:sz="4" w:space="0" w:color="ADD6EA"/>
                                    <w:left w:val="nil"/>
                                    <w:bottom w:val="nil"/>
                                    <w:right w:val="nil"/>
                                  </w:tcBorders>
                                  <w:shd w:val="clear" w:color="auto" w:fill="auto"/>
                                  <w:noWrap/>
                                  <w:vAlign w:val="bottom"/>
                                  <w:hideMark/>
                                </w:tcPr>
                                <w:p w14:paraId="1893B0C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24,535</w:t>
                                  </w:r>
                                </w:p>
                              </w:tc>
                              <w:tc>
                                <w:tcPr>
                                  <w:tcW w:w="716" w:type="dxa"/>
                                  <w:tcBorders>
                                    <w:top w:val="single" w:sz="4" w:space="0" w:color="ADD6EA"/>
                                    <w:left w:val="nil"/>
                                    <w:bottom w:val="nil"/>
                                    <w:right w:val="nil"/>
                                  </w:tcBorders>
                                  <w:shd w:val="clear" w:color="auto" w:fill="auto"/>
                                  <w:noWrap/>
                                  <w:vAlign w:val="bottom"/>
                                  <w:hideMark/>
                                </w:tcPr>
                                <w:p w14:paraId="74F06E0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18,541</w:t>
                                  </w:r>
                                </w:p>
                              </w:tc>
                              <w:tc>
                                <w:tcPr>
                                  <w:tcW w:w="716" w:type="dxa"/>
                                  <w:tcBorders>
                                    <w:top w:val="single" w:sz="4" w:space="0" w:color="ADD6EA"/>
                                    <w:left w:val="nil"/>
                                    <w:bottom w:val="nil"/>
                                    <w:right w:val="nil"/>
                                  </w:tcBorders>
                                  <w:shd w:val="clear" w:color="auto" w:fill="auto"/>
                                  <w:noWrap/>
                                  <w:vAlign w:val="bottom"/>
                                  <w:hideMark/>
                                </w:tcPr>
                                <w:p w14:paraId="46B99F77"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17,929</w:t>
                                  </w:r>
                                </w:p>
                              </w:tc>
                              <w:tc>
                                <w:tcPr>
                                  <w:tcW w:w="700" w:type="dxa"/>
                                  <w:tcBorders>
                                    <w:top w:val="single" w:sz="4" w:space="0" w:color="ADD6EA"/>
                                    <w:left w:val="nil"/>
                                    <w:bottom w:val="nil"/>
                                    <w:right w:val="nil"/>
                                  </w:tcBorders>
                                  <w:shd w:val="clear" w:color="auto" w:fill="auto"/>
                                  <w:noWrap/>
                                  <w:vAlign w:val="bottom"/>
                                  <w:hideMark/>
                                </w:tcPr>
                                <w:p w14:paraId="5A27769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6,419</w:t>
                                  </w:r>
                                </w:p>
                              </w:tc>
                              <w:tc>
                                <w:tcPr>
                                  <w:tcW w:w="700" w:type="dxa"/>
                                  <w:tcBorders>
                                    <w:top w:val="single" w:sz="4" w:space="0" w:color="ADD6EA"/>
                                    <w:left w:val="nil"/>
                                    <w:bottom w:val="nil"/>
                                    <w:right w:val="nil"/>
                                  </w:tcBorders>
                                  <w:shd w:val="clear" w:color="auto" w:fill="auto"/>
                                  <w:noWrap/>
                                  <w:vAlign w:val="bottom"/>
                                  <w:hideMark/>
                                </w:tcPr>
                                <w:p w14:paraId="36FC6674"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8,214</w:t>
                                  </w:r>
                                </w:p>
                              </w:tc>
                              <w:tc>
                                <w:tcPr>
                                  <w:tcW w:w="700" w:type="dxa"/>
                                  <w:tcBorders>
                                    <w:top w:val="single" w:sz="4" w:space="0" w:color="ADD6EA"/>
                                    <w:left w:val="nil"/>
                                    <w:bottom w:val="nil"/>
                                    <w:right w:val="nil"/>
                                  </w:tcBorders>
                                  <w:shd w:val="clear" w:color="auto" w:fill="auto"/>
                                  <w:noWrap/>
                                  <w:vAlign w:val="bottom"/>
                                  <w:hideMark/>
                                </w:tcPr>
                                <w:p w14:paraId="0BF3387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3,257</w:t>
                                  </w:r>
                                </w:p>
                              </w:tc>
                              <w:tc>
                                <w:tcPr>
                                  <w:tcW w:w="700" w:type="dxa"/>
                                  <w:tcBorders>
                                    <w:top w:val="single" w:sz="4" w:space="0" w:color="ADD6EA"/>
                                    <w:left w:val="nil"/>
                                    <w:bottom w:val="nil"/>
                                    <w:right w:val="nil"/>
                                  </w:tcBorders>
                                  <w:shd w:val="clear" w:color="auto" w:fill="auto"/>
                                  <w:noWrap/>
                                  <w:vAlign w:val="bottom"/>
                                  <w:hideMark/>
                                </w:tcPr>
                                <w:p w14:paraId="0CC9521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1,778</w:t>
                                  </w:r>
                                </w:p>
                              </w:tc>
                              <w:tc>
                                <w:tcPr>
                                  <w:tcW w:w="700" w:type="dxa"/>
                                  <w:tcBorders>
                                    <w:top w:val="single" w:sz="4" w:space="0" w:color="ADD6EA"/>
                                    <w:left w:val="nil"/>
                                    <w:bottom w:val="nil"/>
                                    <w:right w:val="nil"/>
                                  </w:tcBorders>
                                  <w:shd w:val="clear" w:color="auto" w:fill="auto"/>
                                  <w:noWrap/>
                                  <w:vAlign w:val="bottom"/>
                                  <w:hideMark/>
                                </w:tcPr>
                                <w:p w14:paraId="2260278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4,002</w:t>
                                  </w:r>
                                </w:p>
                              </w:tc>
                              <w:tc>
                                <w:tcPr>
                                  <w:tcW w:w="760" w:type="dxa"/>
                                  <w:tcBorders>
                                    <w:top w:val="single" w:sz="4" w:space="0" w:color="ADD6EA"/>
                                    <w:left w:val="nil"/>
                                    <w:bottom w:val="nil"/>
                                    <w:right w:val="nil"/>
                                  </w:tcBorders>
                                  <w:shd w:val="clear" w:color="auto" w:fill="auto"/>
                                  <w:noWrap/>
                                  <w:vAlign w:val="bottom"/>
                                  <w:hideMark/>
                                </w:tcPr>
                                <w:p w14:paraId="5DD9760E"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84,675</w:t>
                                  </w:r>
                                </w:p>
                              </w:tc>
                            </w:tr>
                            <w:tr w:rsidR="0010699D" w:rsidRPr="0010699D" w14:paraId="0AA40BE3"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6E0C9E44"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No worse off payments</w:t>
                                  </w:r>
                                </w:p>
                              </w:tc>
                              <w:tc>
                                <w:tcPr>
                                  <w:tcW w:w="716" w:type="dxa"/>
                                  <w:tcBorders>
                                    <w:top w:val="single" w:sz="4" w:space="0" w:color="ADD6EA"/>
                                    <w:left w:val="nil"/>
                                    <w:bottom w:val="nil"/>
                                    <w:right w:val="nil"/>
                                  </w:tcBorders>
                                  <w:shd w:val="clear" w:color="auto" w:fill="auto"/>
                                  <w:noWrap/>
                                  <w:vAlign w:val="bottom"/>
                                  <w:hideMark/>
                                </w:tcPr>
                                <w:p w14:paraId="75208D9D"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1,711</w:t>
                                  </w:r>
                                </w:p>
                              </w:tc>
                              <w:tc>
                                <w:tcPr>
                                  <w:tcW w:w="716" w:type="dxa"/>
                                  <w:tcBorders>
                                    <w:top w:val="single" w:sz="4" w:space="0" w:color="ADD6EA"/>
                                    <w:left w:val="nil"/>
                                    <w:bottom w:val="nil"/>
                                    <w:right w:val="nil"/>
                                  </w:tcBorders>
                                  <w:shd w:val="clear" w:color="auto" w:fill="auto"/>
                                  <w:noWrap/>
                                  <w:vAlign w:val="bottom"/>
                                  <w:hideMark/>
                                </w:tcPr>
                                <w:p w14:paraId="7CE5A41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1,417</w:t>
                                  </w:r>
                                </w:p>
                              </w:tc>
                              <w:tc>
                                <w:tcPr>
                                  <w:tcW w:w="716" w:type="dxa"/>
                                  <w:tcBorders>
                                    <w:top w:val="single" w:sz="4" w:space="0" w:color="ADD6EA"/>
                                    <w:left w:val="nil"/>
                                    <w:bottom w:val="nil"/>
                                    <w:right w:val="nil"/>
                                  </w:tcBorders>
                                  <w:shd w:val="clear" w:color="auto" w:fill="auto"/>
                                  <w:noWrap/>
                                  <w:vAlign w:val="bottom"/>
                                  <w:hideMark/>
                                </w:tcPr>
                                <w:p w14:paraId="10D3E68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1,108</w:t>
                                  </w:r>
                                </w:p>
                              </w:tc>
                              <w:tc>
                                <w:tcPr>
                                  <w:tcW w:w="700" w:type="dxa"/>
                                  <w:tcBorders>
                                    <w:top w:val="single" w:sz="4" w:space="0" w:color="ADD6EA"/>
                                    <w:left w:val="nil"/>
                                    <w:bottom w:val="nil"/>
                                    <w:right w:val="nil"/>
                                  </w:tcBorders>
                                  <w:shd w:val="clear" w:color="auto" w:fill="auto"/>
                                  <w:noWrap/>
                                  <w:vAlign w:val="bottom"/>
                                  <w:hideMark/>
                                </w:tcPr>
                                <w:p w14:paraId="2C3FDED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bottom"/>
                                  <w:hideMark/>
                                </w:tcPr>
                                <w:p w14:paraId="2954225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368</w:t>
                                  </w:r>
                                </w:p>
                              </w:tc>
                              <w:tc>
                                <w:tcPr>
                                  <w:tcW w:w="700" w:type="dxa"/>
                                  <w:tcBorders>
                                    <w:top w:val="single" w:sz="4" w:space="0" w:color="ADD6EA"/>
                                    <w:left w:val="nil"/>
                                    <w:bottom w:val="nil"/>
                                    <w:right w:val="nil"/>
                                  </w:tcBorders>
                                  <w:shd w:val="clear" w:color="auto" w:fill="auto"/>
                                  <w:noWrap/>
                                  <w:vAlign w:val="bottom"/>
                                  <w:hideMark/>
                                </w:tcPr>
                                <w:p w14:paraId="1BB532D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110</w:t>
                                  </w:r>
                                </w:p>
                              </w:tc>
                              <w:tc>
                                <w:tcPr>
                                  <w:tcW w:w="700" w:type="dxa"/>
                                  <w:tcBorders>
                                    <w:top w:val="single" w:sz="4" w:space="0" w:color="ADD6EA"/>
                                    <w:left w:val="nil"/>
                                    <w:bottom w:val="nil"/>
                                    <w:right w:val="nil"/>
                                  </w:tcBorders>
                                  <w:shd w:val="clear" w:color="auto" w:fill="auto"/>
                                  <w:noWrap/>
                                  <w:vAlign w:val="bottom"/>
                                  <w:hideMark/>
                                </w:tcPr>
                                <w:p w14:paraId="116C9C3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94</w:t>
                                  </w:r>
                                </w:p>
                              </w:tc>
                              <w:tc>
                                <w:tcPr>
                                  <w:tcW w:w="700" w:type="dxa"/>
                                  <w:tcBorders>
                                    <w:top w:val="single" w:sz="4" w:space="0" w:color="ADD6EA"/>
                                    <w:left w:val="nil"/>
                                    <w:bottom w:val="nil"/>
                                    <w:right w:val="nil"/>
                                  </w:tcBorders>
                                  <w:shd w:val="clear" w:color="auto" w:fill="auto"/>
                                  <w:noWrap/>
                                  <w:vAlign w:val="bottom"/>
                                  <w:hideMark/>
                                </w:tcPr>
                                <w:p w14:paraId="0EB23E68"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37</w:t>
                                  </w:r>
                                </w:p>
                              </w:tc>
                              <w:tc>
                                <w:tcPr>
                                  <w:tcW w:w="760" w:type="dxa"/>
                                  <w:tcBorders>
                                    <w:top w:val="single" w:sz="4" w:space="0" w:color="ADD6EA"/>
                                    <w:left w:val="nil"/>
                                    <w:bottom w:val="nil"/>
                                    <w:right w:val="nil"/>
                                  </w:tcBorders>
                                  <w:shd w:val="clear" w:color="auto" w:fill="auto"/>
                                  <w:noWrap/>
                                  <w:vAlign w:val="bottom"/>
                                  <w:hideMark/>
                                </w:tcPr>
                                <w:p w14:paraId="6710CD62"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4,844</w:t>
                                  </w:r>
                                </w:p>
                              </w:tc>
                            </w:tr>
                            <w:tr w:rsidR="0010699D" w:rsidRPr="0010699D" w14:paraId="62D606A8" w14:textId="77777777" w:rsidTr="0010699D">
                              <w:trPr>
                                <w:trHeight w:val="315"/>
                              </w:trPr>
                              <w:tc>
                                <w:tcPr>
                                  <w:tcW w:w="2512" w:type="dxa"/>
                                  <w:tcBorders>
                                    <w:top w:val="single" w:sz="4" w:space="0" w:color="ADD6EA"/>
                                    <w:left w:val="nil"/>
                                    <w:bottom w:val="nil"/>
                                    <w:right w:val="nil"/>
                                  </w:tcBorders>
                                  <w:shd w:val="clear" w:color="000000" w:fill="D6E7F0"/>
                                  <w:vAlign w:val="bottom"/>
                                  <w:hideMark/>
                                </w:tcPr>
                                <w:p w14:paraId="5268AA6D" w14:textId="19F5C395" w:rsidR="0010699D" w:rsidRPr="0010699D" w:rsidRDefault="004411A0" w:rsidP="004411A0">
                                  <w:pPr>
                                    <w:tabs>
                                      <w:tab w:val="clear" w:pos="567"/>
                                    </w:tabs>
                                    <w:spacing w:before="0" w:line="240" w:lineRule="auto"/>
                                    <w:ind w:firstLineChars="100" w:firstLine="16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w:t>
                                  </w:r>
                                </w:p>
                              </w:tc>
                              <w:tc>
                                <w:tcPr>
                                  <w:tcW w:w="716" w:type="dxa"/>
                                  <w:tcBorders>
                                    <w:top w:val="single" w:sz="4" w:space="0" w:color="ADD6EA"/>
                                    <w:left w:val="nil"/>
                                    <w:bottom w:val="nil"/>
                                    <w:right w:val="nil"/>
                                  </w:tcBorders>
                                  <w:shd w:val="clear" w:color="000000" w:fill="D6E7F0"/>
                                  <w:noWrap/>
                                  <w:vAlign w:val="bottom"/>
                                  <w:hideMark/>
                                </w:tcPr>
                                <w:p w14:paraId="145F02D3"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26,245</w:t>
                                  </w:r>
                                </w:p>
                              </w:tc>
                              <w:tc>
                                <w:tcPr>
                                  <w:tcW w:w="716" w:type="dxa"/>
                                  <w:tcBorders>
                                    <w:top w:val="single" w:sz="4" w:space="0" w:color="ADD6EA"/>
                                    <w:left w:val="nil"/>
                                    <w:bottom w:val="nil"/>
                                    <w:right w:val="nil"/>
                                  </w:tcBorders>
                                  <w:shd w:val="clear" w:color="000000" w:fill="D6E7F0"/>
                                  <w:noWrap/>
                                  <w:vAlign w:val="bottom"/>
                                  <w:hideMark/>
                                </w:tcPr>
                                <w:p w14:paraId="1BFC095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19,958</w:t>
                                  </w:r>
                                </w:p>
                              </w:tc>
                              <w:tc>
                                <w:tcPr>
                                  <w:tcW w:w="716" w:type="dxa"/>
                                  <w:tcBorders>
                                    <w:top w:val="single" w:sz="4" w:space="0" w:color="ADD6EA"/>
                                    <w:left w:val="nil"/>
                                    <w:bottom w:val="nil"/>
                                    <w:right w:val="nil"/>
                                  </w:tcBorders>
                                  <w:shd w:val="clear" w:color="000000" w:fill="D6E7F0"/>
                                  <w:noWrap/>
                                  <w:vAlign w:val="bottom"/>
                                  <w:hideMark/>
                                </w:tcPr>
                                <w:p w14:paraId="2EFFC472"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19,036</w:t>
                                  </w:r>
                                </w:p>
                              </w:tc>
                              <w:tc>
                                <w:tcPr>
                                  <w:tcW w:w="700" w:type="dxa"/>
                                  <w:tcBorders>
                                    <w:top w:val="single" w:sz="4" w:space="0" w:color="ADD6EA"/>
                                    <w:left w:val="nil"/>
                                    <w:bottom w:val="nil"/>
                                    <w:right w:val="nil"/>
                                  </w:tcBorders>
                                  <w:shd w:val="clear" w:color="000000" w:fill="D6E7F0"/>
                                  <w:noWrap/>
                                  <w:vAlign w:val="bottom"/>
                                  <w:hideMark/>
                                </w:tcPr>
                                <w:p w14:paraId="252021D5"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6,419</w:t>
                                  </w:r>
                                </w:p>
                              </w:tc>
                              <w:tc>
                                <w:tcPr>
                                  <w:tcW w:w="700" w:type="dxa"/>
                                  <w:tcBorders>
                                    <w:top w:val="single" w:sz="4" w:space="0" w:color="ADD6EA"/>
                                    <w:left w:val="nil"/>
                                    <w:bottom w:val="nil"/>
                                    <w:right w:val="nil"/>
                                  </w:tcBorders>
                                  <w:shd w:val="clear" w:color="000000" w:fill="D6E7F0"/>
                                  <w:noWrap/>
                                  <w:vAlign w:val="bottom"/>
                                  <w:hideMark/>
                                </w:tcPr>
                                <w:p w14:paraId="5CBEA8B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8,582</w:t>
                                  </w:r>
                                </w:p>
                              </w:tc>
                              <w:tc>
                                <w:tcPr>
                                  <w:tcW w:w="700" w:type="dxa"/>
                                  <w:tcBorders>
                                    <w:top w:val="single" w:sz="4" w:space="0" w:color="ADD6EA"/>
                                    <w:left w:val="nil"/>
                                    <w:bottom w:val="nil"/>
                                    <w:right w:val="nil"/>
                                  </w:tcBorders>
                                  <w:shd w:val="clear" w:color="000000" w:fill="D6E7F0"/>
                                  <w:noWrap/>
                                  <w:vAlign w:val="bottom"/>
                                  <w:hideMark/>
                                </w:tcPr>
                                <w:p w14:paraId="195C5BFD"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3,367</w:t>
                                  </w:r>
                                </w:p>
                              </w:tc>
                              <w:tc>
                                <w:tcPr>
                                  <w:tcW w:w="700" w:type="dxa"/>
                                  <w:tcBorders>
                                    <w:top w:val="single" w:sz="4" w:space="0" w:color="ADD6EA"/>
                                    <w:left w:val="nil"/>
                                    <w:bottom w:val="nil"/>
                                    <w:right w:val="nil"/>
                                  </w:tcBorders>
                                  <w:shd w:val="clear" w:color="000000" w:fill="D6E7F0"/>
                                  <w:noWrap/>
                                  <w:vAlign w:val="bottom"/>
                                  <w:hideMark/>
                                </w:tcPr>
                                <w:p w14:paraId="0741C005"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1,873</w:t>
                                  </w:r>
                                </w:p>
                              </w:tc>
                              <w:tc>
                                <w:tcPr>
                                  <w:tcW w:w="700" w:type="dxa"/>
                                  <w:tcBorders>
                                    <w:top w:val="single" w:sz="4" w:space="0" w:color="ADD6EA"/>
                                    <w:left w:val="nil"/>
                                    <w:bottom w:val="nil"/>
                                    <w:right w:val="nil"/>
                                  </w:tcBorders>
                                  <w:shd w:val="clear" w:color="000000" w:fill="D6E7F0"/>
                                  <w:noWrap/>
                                  <w:vAlign w:val="bottom"/>
                                  <w:hideMark/>
                                </w:tcPr>
                                <w:p w14:paraId="007041C2"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4,039</w:t>
                                  </w:r>
                                </w:p>
                              </w:tc>
                              <w:tc>
                                <w:tcPr>
                                  <w:tcW w:w="760" w:type="dxa"/>
                                  <w:tcBorders>
                                    <w:top w:val="single" w:sz="4" w:space="0" w:color="ADD6EA"/>
                                    <w:left w:val="nil"/>
                                    <w:bottom w:val="nil"/>
                                    <w:right w:val="nil"/>
                                  </w:tcBorders>
                                  <w:shd w:val="clear" w:color="000000" w:fill="D6E7F0"/>
                                  <w:noWrap/>
                                  <w:vAlign w:val="bottom"/>
                                  <w:hideMark/>
                                </w:tcPr>
                                <w:p w14:paraId="6D975CF5"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89,519</w:t>
                                  </w:r>
                                </w:p>
                              </w:tc>
                            </w:tr>
                            <w:tr w:rsidR="0010699D" w:rsidRPr="0010699D" w14:paraId="42D3CE14"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47CA56BD" w14:textId="1A2D1569" w:rsidR="0010699D" w:rsidRPr="0010699D" w:rsidRDefault="0010699D" w:rsidP="0010699D">
                                  <w:pPr>
                                    <w:tabs>
                                      <w:tab w:val="clear" w:pos="567"/>
                                    </w:tabs>
                                    <w:spacing w:before="0" w:line="240" w:lineRule="auto"/>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2024</w:t>
                                  </w:r>
                                  <w:r w:rsidR="00F74243">
                                    <w:rPr>
                                      <w:rFonts w:ascii="Open Sans Light" w:eastAsia="Times New Roman" w:hAnsi="Open Sans Light" w:cs="Open Sans Light"/>
                                      <w:color w:val="000000"/>
                                      <w:sz w:val="16"/>
                                      <w:szCs w:val="16"/>
                                      <w:lang w:eastAsia="en-AU"/>
                                    </w:rPr>
                                    <w:t>–</w:t>
                                  </w:r>
                                  <w:r w:rsidRPr="0010699D">
                                    <w:rPr>
                                      <w:rFonts w:ascii="Open Sans Light" w:eastAsia="Times New Roman" w:hAnsi="Open Sans Light" w:cs="Open Sans Light"/>
                                      <w:color w:val="000000"/>
                                      <w:sz w:val="16"/>
                                      <w:szCs w:val="16"/>
                                      <w:lang w:eastAsia="en-AU"/>
                                    </w:rPr>
                                    <w:t>25</w:t>
                                  </w:r>
                                </w:p>
                              </w:tc>
                              <w:tc>
                                <w:tcPr>
                                  <w:tcW w:w="716" w:type="dxa"/>
                                  <w:tcBorders>
                                    <w:top w:val="single" w:sz="4" w:space="0" w:color="ADD6EA"/>
                                    <w:left w:val="nil"/>
                                    <w:bottom w:val="nil"/>
                                    <w:right w:val="nil"/>
                                  </w:tcBorders>
                                  <w:shd w:val="clear" w:color="auto" w:fill="auto"/>
                                  <w:noWrap/>
                                  <w:vAlign w:val="bottom"/>
                                  <w:hideMark/>
                                </w:tcPr>
                                <w:p w14:paraId="386E663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noWrap/>
                                  <w:vAlign w:val="bottom"/>
                                  <w:hideMark/>
                                </w:tcPr>
                                <w:p w14:paraId="7E54A98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noWrap/>
                                  <w:vAlign w:val="bottom"/>
                                  <w:hideMark/>
                                </w:tcPr>
                                <w:p w14:paraId="10F9179C"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3F0B748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3582CD2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7605A7D6"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5204A5F1"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175EE94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60" w:type="dxa"/>
                                  <w:tcBorders>
                                    <w:top w:val="single" w:sz="4" w:space="0" w:color="ADD6EA"/>
                                    <w:left w:val="nil"/>
                                    <w:bottom w:val="nil"/>
                                    <w:right w:val="nil"/>
                                  </w:tcBorders>
                                  <w:shd w:val="clear" w:color="auto" w:fill="auto"/>
                                  <w:noWrap/>
                                  <w:vAlign w:val="bottom"/>
                                  <w:hideMark/>
                                </w:tcPr>
                                <w:p w14:paraId="2F28947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r>
                            <w:tr w:rsidR="0010699D" w:rsidRPr="0010699D" w14:paraId="054D767C"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5295A7FC"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Total GST distribution</w:t>
                                  </w:r>
                                </w:p>
                              </w:tc>
                              <w:tc>
                                <w:tcPr>
                                  <w:tcW w:w="716" w:type="dxa"/>
                                  <w:tcBorders>
                                    <w:top w:val="single" w:sz="4" w:space="0" w:color="ADD6EA"/>
                                    <w:left w:val="nil"/>
                                    <w:bottom w:val="nil"/>
                                    <w:right w:val="nil"/>
                                  </w:tcBorders>
                                  <w:shd w:val="clear" w:color="auto" w:fill="auto"/>
                                  <w:noWrap/>
                                  <w:vAlign w:val="bottom"/>
                                  <w:hideMark/>
                                </w:tcPr>
                                <w:p w14:paraId="525A5CC4"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24,224</w:t>
                                  </w:r>
                                </w:p>
                              </w:tc>
                              <w:tc>
                                <w:tcPr>
                                  <w:tcW w:w="716" w:type="dxa"/>
                                  <w:tcBorders>
                                    <w:top w:val="single" w:sz="4" w:space="0" w:color="ADD6EA"/>
                                    <w:left w:val="nil"/>
                                    <w:bottom w:val="nil"/>
                                    <w:right w:val="nil"/>
                                  </w:tcBorders>
                                  <w:shd w:val="clear" w:color="auto" w:fill="auto"/>
                                  <w:noWrap/>
                                  <w:vAlign w:val="bottom"/>
                                  <w:hideMark/>
                                </w:tcPr>
                                <w:p w14:paraId="6FA5AC7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22,227</w:t>
                                  </w:r>
                                </w:p>
                              </w:tc>
                              <w:tc>
                                <w:tcPr>
                                  <w:tcW w:w="716" w:type="dxa"/>
                                  <w:tcBorders>
                                    <w:top w:val="single" w:sz="4" w:space="0" w:color="ADD6EA"/>
                                    <w:left w:val="nil"/>
                                    <w:bottom w:val="nil"/>
                                    <w:right w:val="nil"/>
                                  </w:tcBorders>
                                  <w:shd w:val="clear" w:color="auto" w:fill="auto"/>
                                  <w:noWrap/>
                                  <w:vAlign w:val="bottom"/>
                                  <w:hideMark/>
                                </w:tcPr>
                                <w:p w14:paraId="41D5FBDD"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17,460</w:t>
                                  </w:r>
                                </w:p>
                              </w:tc>
                              <w:tc>
                                <w:tcPr>
                                  <w:tcW w:w="700" w:type="dxa"/>
                                  <w:tcBorders>
                                    <w:top w:val="single" w:sz="4" w:space="0" w:color="ADD6EA"/>
                                    <w:left w:val="nil"/>
                                    <w:bottom w:val="nil"/>
                                    <w:right w:val="nil"/>
                                  </w:tcBorders>
                                  <w:shd w:val="clear" w:color="auto" w:fill="auto"/>
                                  <w:noWrap/>
                                  <w:vAlign w:val="bottom"/>
                                  <w:hideMark/>
                                </w:tcPr>
                                <w:p w14:paraId="492C34C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7,257</w:t>
                                  </w:r>
                                </w:p>
                              </w:tc>
                              <w:tc>
                                <w:tcPr>
                                  <w:tcW w:w="700" w:type="dxa"/>
                                  <w:tcBorders>
                                    <w:top w:val="single" w:sz="4" w:space="0" w:color="ADD6EA"/>
                                    <w:left w:val="nil"/>
                                    <w:bottom w:val="nil"/>
                                    <w:right w:val="nil"/>
                                  </w:tcBorders>
                                  <w:shd w:val="clear" w:color="auto" w:fill="auto"/>
                                  <w:noWrap/>
                                  <w:vAlign w:val="bottom"/>
                                  <w:hideMark/>
                                </w:tcPr>
                                <w:p w14:paraId="3FF0F0C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8,671</w:t>
                                  </w:r>
                                </w:p>
                              </w:tc>
                              <w:tc>
                                <w:tcPr>
                                  <w:tcW w:w="700" w:type="dxa"/>
                                  <w:tcBorders>
                                    <w:top w:val="single" w:sz="4" w:space="0" w:color="ADD6EA"/>
                                    <w:left w:val="nil"/>
                                    <w:bottom w:val="nil"/>
                                    <w:right w:val="nil"/>
                                  </w:tcBorders>
                                  <w:shd w:val="clear" w:color="auto" w:fill="auto"/>
                                  <w:noWrap/>
                                  <w:vAlign w:val="bottom"/>
                                  <w:hideMark/>
                                </w:tcPr>
                                <w:p w14:paraId="19512D1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3,476</w:t>
                                  </w:r>
                                </w:p>
                              </w:tc>
                              <w:tc>
                                <w:tcPr>
                                  <w:tcW w:w="700" w:type="dxa"/>
                                  <w:tcBorders>
                                    <w:top w:val="single" w:sz="4" w:space="0" w:color="ADD6EA"/>
                                    <w:left w:val="nil"/>
                                    <w:bottom w:val="nil"/>
                                    <w:right w:val="nil"/>
                                  </w:tcBorders>
                                  <w:shd w:val="clear" w:color="auto" w:fill="auto"/>
                                  <w:noWrap/>
                                  <w:vAlign w:val="bottom"/>
                                  <w:hideMark/>
                                </w:tcPr>
                                <w:p w14:paraId="5A3C0421"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1,889</w:t>
                                  </w:r>
                                </w:p>
                              </w:tc>
                              <w:tc>
                                <w:tcPr>
                                  <w:tcW w:w="700" w:type="dxa"/>
                                  <w:tcBorders>
                                    <w:top w:val="single" w:sz="4" w:space="0" w:color="ADD6EA"/>
                                    <w:left w:val="nil"/>
                                    <w:bottom w:val="nil"/>
                                    <w:right w:val="nil"/>
                                  </w:tcBorders>
                                  <w:shd w:val="clear" w:color="auto" w:fill="auto"/>
                                  <w:noWrap/>
                                  <w:vAlign w:val="bottom"/>
                                  <w:hideMark/>
                                </w:tcPr>
                                <w:p w14:paraId="4B773CF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4,257</w:t>
                                  </w:r>
                                </w:p>
                              </w:tc>
                              <w:tc>
                                <w:tcPr>
                                  <w:tcW w:w="760" w:type="dxa"/>
                                  <w:tcBorders>
                                    <w:top w:val="single" w:sz="4" w:space="0" w:color="ADD6EA"/>
                                    <w:left w:val="nil"/>
                                    <w:bottom w:val="nil"/>
                                    <w:right w:val="nil"/>
                                  </w:tcBorders>
                                  <w:shd w:val="clear" w:color="auto" w:fill="auto"/>
                                  <w:noWrap/>
                                  <w:vAlign w:val="bottom"/>
                                  <w:hideMark/>
                                </w:tcPr>
                                <w:p w14:paraId="386B3E9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89,462</w:t>
                                  </w:r>
                                </w:p>
                              </w:tc>
                            </w:tr>
                            <w:tr w:rsidR="0010699D" w:rsidRPr="0010699D" w14:paraId="52F259D3"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07C7330A"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No worse off payments</w:t>
                                  </w:r>
                                </w:p>
                              </w:tc>
                              <w:tc>
                                <w:tcPr>
                                  <w:tcW w:w="716" w:type="dxa"/>
                                  <w:tcBorders>
                                    <w:top w:val="single" w:sz="4" w:space="0" w:color="ADD6EA"/>
                                    <w:left w:val="nil"/>
                                    <w:bottom w:val="nil"/>
                                    <w:right w:val="nil"/>
                                  </w:tcBorders>
                                  <w:shd w:val="clear" w:color="auto" w:fill="auto"/>
                                  <w:noWrap/>
                                  <w:vAlign w:val="bottom"/>
                                  <w:hideMark/>
                                </w:tcPr>
                                <w:p w14:paraId="7FFDBEC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1,833</w:t>
                                  </w:r>
                                </w:p>
                              </w:tc>
                              <w:tc>
                                <w:tcPr>
                                  <w:tcW w:w="716" w:type="dxa"/>
                                  <w:tcBorders>
                                    <w:top w:val="single" w:sz="4" w:space="0" w:color="ADD6EA"/>
                                    <w:left w:val="nil"/>
                                    <w:bottom w:val="nil"/>
                                    <w:right w:val="nil"/>
                                  </w:tcBorders>
                                  <w:shd w:val="clear" w:color="auto" w:fill="auto"/>
                                  <w:noWrap/>
                                  <w:vAlign w:val="bottom"/>
                                  <w:hideMark/>
                                </w:tcPr>
                                <w:p w14:paraId="448BCDD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1,513</w:t>
                                  </w:r>
                                </w:p>
                              </w:tc>
                              <w:tc>
                                <w:tcPr>
                                  <w:tcW w:w="716" w:type="dxa"/>
                                  <w:tcBorders>
                                    <w:top w:val="single" w:sz="4" w:space="0" w:color="ADD6EA"/>
                                    <w:left w:val="nil"/>
                                    <w:bottom w:val="nil"/>
                                    <w:right w:val="nil"/>
                                  </w:tcBorders>
                                  <w:shd w:val="clear" w:color="auto" w:fill="auto"/>
                                  <w:noWrap/>
                                  <w:vAlign w:val="bottom"/>
                                  <w:hideMark/>
                                </w:tcPr>
                                <w:p w14:paraId="4263FE14"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1,192</w:t>
                                  </w:r>
                                </w:p>
                              </w:tc>
                              <w:tc>
                                <w:tcPr>
                                  <w:tcW w:w="700" w:type="dxa"/>
                                  <w:tcBorders>
                                    <w:top w:val="single" w:sz="4" w:space="0" w:color="ADD6EA"/>
                                    <w:left w:val="nil"/>
                                    <w:bottom w:val="nil"/>
                                    <w:right w:val="nil"/>
                                  </w:tcBorders>
                                  <w:shd w:val="clear" w:color="auto" w:fill="auto"/>
                                  <w:noWrap/>
                                  <w:vAlign w:val="bottom"/>
                                  <w:hideMark/>
                                </w:tcPr>
                                <w:p w14:paraId="11172AB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bottom"/>
                                  <w:hideMark/>
                                </w:tcPr>
                                <w:p w14:paraId="40CEAC6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393</w:t>
                                  </w:r>
                                </w:p>
                              </w:tc>
                              <w:tc>
                                <w:tcPr>
                                  <w:tcW w:w="700" w:type="dxa"/>
                                  <w:tcBorders>
                                    <w:top w:val="single" w:sz="4" w:space="0" w:color="ADD6EA"/>
                                    <w:left w:val="nil"/>
                                    <w:bottom w:val="nil"/>
                                    <w:right w:val="nil"/>
                                  </w:tcBorders>
                                  <w:shd w:val="clear" w:color="auto" w:fill="auto"/>
                                  <w:noWrap/>
                                  <w:vAlign w:val="bottom"/>
                                  <w:hideMark/>
                                </w:tcPr>
                                <w:p w14:paraId="53BA052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117</w:t>
                                  </w:r>
                                </w:p>
                              </w:tc>
                              <w:tc>
                                <w:tcPr>
                                  <w:tcW w:w="700" w:type="dxa"/>
                                  <w:tcBorders>
                                    <w:top w:val="single" w:sz="4" w:space="0" w:color="ADD6EA"/>
                                    <w:left w:val="nil"/>
                                    <w:bottom w:val="nil"/>
                                    <w:right w:val="nil"/>
                                  </w:tcBorders>
                                  <w:shd w:val="clear" w:color="auto" w:fill="auto"/>
                                  <w:noWrap/>
                                  <w:vAlign w:val="bottom"/>
                                  <w:hideMark/>
                                </w:tcPr>
                                <w:p w14:paraId="22637E8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101</w:t>
                                  </w:r>
                                </w:p>
                              </w:tc>
                              <w:tc>
                                <w:tcPr>
                                  <w:tcW w:w="700" w:type="dxa"/>
                                  <w:tcBorders>
                                    <w:top w:val="single" w:sz="4" w:space="0" w:color="ADD6EA"/>
                                    <w:left w:val="nil"/>
                                    <w:bottom w:val="nil"/>
                                    <w:right w:val="nil"/>
                                  </w:tcBorders>
                                  <w:shd w:val="clear" w:color="auto" w:fill="auto"/>
                                  <w:noWrap/>
                                  <w:vAlign w:val="bottom"/>
                                  <w:hideMark/>
                                </w:tcPr>
                                <w:p w14:paraId="5DFAF6E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39</w:t>
                                  </w:r>
                                </w:p>
                              </w:tc>
                              <w:tc>
                                <w:tcPr>
                                  <w:tcW w:w="760" w:type="dxa"/>
                                  <w:tcBorders>
                                    <w:top w:val="single" w:sz="4" w:space="0" w:color="ADD6EA"/>
                                    <w:left w:val="nil"/>
                                    <w:bottom w:val="nil"/>
                                    <w:right w:val="nil"/>
                                  </w:tcBorders>
                                  <w:shd w:val="clear" w:color="auto" w:fill="auto"/>
                                  <w:noWrap/>
                                  <w:vAlign w:val="bottom"/>
                                  <w:hideMark/>
                                </w:tcPr>
                                <w:p w14:paraId="7FE0177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5,188</w:t>
                                  </w:r>
                                </w:p>
                              </w:tc>
                            </w:tr>
                            <w:tr w:rsidR="0010699D" w:rsidRPr="0010699D" w14:paraId="7E401CC7" w14:textId="77777777" w:rsidTr="0010699D">
                              <w:trPr>
                                <w:trHeight w:val="315"/>
                              </w:trPr>
                              <w:tc>
                                <w:tcPr>
                                  <w:tcW w:w="2512" w:type="dxa"/>
                                  <w:tcBorders>
                                    <w:top w:val="single" w:sz="4" w:space="0" w:color="ADD6EA"/>
                                    <w:left w:val="nil"/>
                                    <w:bottom w:val="nil"/>
                                    <w:right w:val="nil"/>
                                  </w:tcBorders>
                                  <w:shd w:val="clear" w:color="000000" w:fill="D6E7F0"/>
                                  <w:vAlign w:val="bottom"/>
                                  <w:hideMark/>
                                </w:tcPr>
                                <w:p w14:paraId="366CC2B4" w14:textId="3FD03BE3" w:rsidR="0010699D" w:rsidRPr="0010699D" w:rsidRDefault="004411A0" w:rsidP="004411A0">
                                  <w:pPr>
                                    <w:tabs>
                                      <w:tab w:val="clear" w:pos="567"/>
                                    </w:tabs>
                                    <w:spacing w:before="0" w:line="240" w:lineRule="auto"/>
                                    <w:ind w:firstLineChars="100" w:firstLine="16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w:t>
                                  </w:r>
                                </w:p>
                              </w:tc>
                              <w:tc>
                                <w:tcPr>
                                  <w:tcW w:w="716" w:type="dxa"/>
                                  <w:tcBorders>
                                    <w:top w:val="single" w:sz="4" w:space="0" w:color="ADD6EA"/>
                                    <w:left w:val="nil"/>
                                    <w:bottom w:val="nil"/>
                                    <w:right w:val="nil"/>
                                  </w:tcBorders>
                                  <w:shd w:val="clear" w:color="000000" w:fill="D6E7F0"/>
                                  <w:noWrap/>
                                  <w:vAlign w:val="bottom"/>
                                  <w:hideMark/>
                                </w:tcPr>
                                <w:p w14:paraId="05763F12"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26,058</w:t>
                                  </w:r>
                                </w:p>
                              </w:tc>
                              <w:tc>
                                <w:tcPr>
                                  <w:tcW w:w="716" w:type="dxa"/>
                                  <w:tcBorders>
                                    <w:top w:val="single" w:sz="4" w:space="0" w:color="ADD6EA"/>
                                    <w:left w:val="nil"/>
                                    <w:bottom w:val="nil"/>
                                    <w:right w:val="nil"/>
                                  </w:tcBorders>
                                  <w:shd w:val="clear" w:color="000000" w:fill="D6E7F0"/>
                                  <w:noWrap/>
                                  <w:vAlign w:val="bottom"/>
                                  <w:hideMark/>
                                </w:tcPr>
                                <w:p w14:paraId="245E5A8D"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23,740</w:t>
                                  </w:r>
                                </w:p>
                              </w:tc>
                              <w:tc>
                                <w:tcPr>
                                  <w:tcW w:w="716" w:type="dxa"/>
                                  <w:tcBorders>
                                    <w:top w:val="single" w:sz="4" w:space="0" w:color="ADD6EA"/>
                                    <w:left w:val="nil"/>
                                    <w:bottom w:val="nil"/>
                                    <w:right w:val="nil"/>
                                  </w:tcBorders>
                                  <w:shd w:val="clear" w:color="000000" w:fill="D6E7F0"/>
                                  <w:noWrap/>
                                  <w:vAlign w:val="bottom"/>
                                  <w:hideMark/>
                                </w:tcPr>
                                <w:p w14:paraId="52C491DD"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18,652</w:t>
                                  </w:r>
                                </w:p>
                              </w:tc>
                              <w:tc>
                                <w:tcPr>
                                  <w:tcW w:w="700" w:type="dxa"/>
                                  <w:tcBorders>
                                    <w:top w:val="single" w:sz="4" w:space="0" w:color="ADD6EA"/>
                                    <w:left w:val="nil"/>
                                    <w:bottom w:val="nil"/>
                                    <w:right w:val="nil"/>
                                  </w:tcBorders>
                                  <w:shd w:val="clear" w:color="000000" w:fill="D6E7F0"/>
                                  <w:noWrap/>
                                  <w:vAlign w:val="bottom"/>
                                  <w:hideMark/>
                                </w:tcPr>
                                <w:p w14:paraId="5A1C9F6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7,257</w:t>
                                  </w:r>
                                </w:p>
                              </w:tc>
                              <w:tc>
                                <w:tcPr>
                                  <w:tcW w:w="700" w:type="dxa"/>
                                  <w:tcBorders>
                                    <w:top w:val="single" w:sz="4" w:space="0" w:color="ADD6EA"/>
                                    <w:left w:val="nil"/>
                                    <w:bottom w:val="nil"/>
                                    <w:right w:val="nil"/>
                                  </w:tcBorders>
                                  <w:shd w:val="clear" w:color="000000" w:fill="D6E7F0"/>
                                  <w:noWrap/>
                                  <w:vAlign w:val="bottom"/>
                                  <w:hideMark/>
                                </w:tcPr>
                                <w:p w14:paraId="171D182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9,063</w:t>
                                  </w:r>
                                </w:p>
                              </w:tc>
                              <w:tc>
                                <w:tcPr>
                                  <w:tcW w:w="700" w:type="dxa"/>
                                  <w:tcBorders>
                                    <w:top w:val="single" w:sz="4" w:space="0" w:color="ADD6EA"/>
                                    <w:left w:val="nil"/>
                                    <w:bottom w:val="nil"/>
                                    <w:right w:val="nil"/>
                                  </w:tcBorders>
                                  <w:shd w:val="clear" w:color="000000" w:fill="D6E7F0"/>
                                  <w:noWrap/>
                                  <w:vAlign w:val="bottom"/>
                                  <w:hideMark/>
                                </w:tcPr>
                                <w:p w14:paraId="5233634F"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3,593</w:t>
                                  </w:r>
                                </w:p>
                              </w:tc>
                              <w:tc>
                                <w:tcPr>
                                  <w:tcW w:w="700" w:type="dxa"/>
                                  <w:tcBorders>
                                    <w:top w:val="single" w:sz="4" w:space="0" w:color="ADD6EA"/>
                                    <w:left w:val="nil"/>
                                    <w:bottom w:val="nil"/>
                                    <w:right w:val="nil"/>
                                  </w:tcBorders>
                                  <w:shd w:val="clear" w:color="000000" w:fill="D6E7F0"/>
                                  <w:noWrap/>
                                  <w:vAlign w:val="bottom"/>
                                  <w:hideMark/>
                                </w:tcPr>
                                <w:p w14:paraId="1875A5D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1,990</w:t>
                                  </w:r>
                                </w:p>
                              </w:tc>
                              <w:tc>
                                <w:tcPr>
                                  <w:tcW w:w="700" w:type="dxa"/>
                                  <w:tcBorders>
                                    <w:top w:val="single" w:sz="4" w:space="0" w:color="ADD6EA"/>
                                    <w:left w:val="nil"/>
                                    <w:bottom w:val="nil"/>
                                    <w:right w:val="nil"/>
                                  </w:tcBorders>
                                  <w:shd w:val="clear" w:color="000000" w:fill="D6E7F0"/>
                                  <w:noWrap/>
                                  <w:vAlign w:val="bottom"/>
                                  <w:hideMark/>
                                </w:tcPr>
                                <w:p w14:paraId="74670DC7"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4,296</w:t>
                                  </w:r>
                                </w:p>
                              </w:tc>
                              <w:tc>
                                <w:tcPr>
                                  <w:tcW w:w="760" w:type="dxa"/>
                                  <w:tcBorders>
                                    <w:top w:val="single" w:sz="4" w:space="0" w:color="ADD6EA"/>
                                    <w:left w:val="nil"/>
                                    <w:bottom w:val="nil"/>
                                    <w:right w:val="nil"/>
                                  </w:tcBorders>
                                  <w:shd w:val="clear" w:color="000000" w:fill="D6E7F0"/>
                                  <w:noWrap/>
                                  <w:vAlign w:val="bottom"/>
                                  <w:hideMark/>
                                </w:tcPr>
                                <w:p w14:paraId="308876B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94,649</w:t>
                                  </w:r>
                                </w:p>
                              </w:tc>
                            </w:tr>
                            <w:tr w:rsidR="0010699D" w:rsidRPr="0010699D" w14:paraId="2F21B7F6"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7C9D029D" w14:textId="77777777" w:rsidR="0010699D" w:rsidRPr="0010699D" w:rsidRDefault="0010699D" w:rsidP="0010699D">
                                  <w:pPr>
                                    <w:tabs>
                                      <w:tab w:val="clear" w:pos="567"/>
                                    </w:tabs>
                                    <w:spacing w:before="0" w:line="240" w:lineRule="auto"/>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xml:space="preserve">Difference </w:t>
                                  </w:r>
                                </w:p>
                              </w:tc>
                              <w:tc>
                                <w:tcPr>
                                  <w:tcW w:w="716" w:type="dxa"/>
                                  <w:tcBorders>
                                    <w:top w:val="single" w:sz="4" w:space="0" w:color="ADD6EA"/>
                                    <w:left w:val="nil"/>
                                    <w:bottom w:val="nil"/>
                                    <w:right w:val="nil"/>
                                  </w:tcBorders>
                                  <w:shd w:val="clear" w:color="auto" w:fill="auto"/>
                                  <w:vAlign w:val="bottom"/>
                                  <w:hideMark/>
                                </w:tcPr>
                                <w:p w14:paraId="2E7A38D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vAlign w:val="bottom"/>
                                  <w:hideMark/>
                                </w:tcPr>
                                <w:p w14:paraId="21E3A16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vAlign w:val="bottom"/>
                                  <w:hideMark/>
                                </w:tcPr>
                                <w:p w14:paraId="34B35AE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5FB27CF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5D71335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5ACCB85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7AC828CE"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6BD2732D"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60" w:type="dxa"/>
                                  <w:tcBorders>
                                    <w:top w:val="single" w:sz="4" w:space="0" w:color="ADD6EA"/>
                                    <w:left w:val="nil"/>
                                    <w:bottom w:val="nil"/>
                                    <w:right w:val="nil"/>
                                  </w:tcBorders>
                                  <w:shd w:val="clear" w:color="auto" w:fill="auto"/>
                                  <w:vAlign w:val="bottom"/>
                                  <w:hideMark/>
                                </w:tcPr>
                                <w:p w14:paraId="0399676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r>
                            <w:tr w:rsidR="0010699D" w:rsidRPr="0010699D" w14:paraId="1AD79AFF"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3B9B1968"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GST distribution</w:t>
                                  </w:r>
                                </w:p>
                              </w:tc>
                              <w:tc>
                                <w:tcPr>
                                  <w:tcW w:w="716" w:type="dxa"/>
                                  <w:tcBorders>
                                    <w:top w:val="single" w:sz="4" w:space="0" w:color="ADD6EA"/>
                                    <w:left w:val="nil"/>
                                    <w:bottom w:val="nil"/>
                                    <w:right w:val="nil"/>
                                  </w:tcBorders>
                                  <w:shd w:val="clear" w:color="auto" w:fill="auto"/>
                                  <w:noWrap/>
                                  <w:vAlign w:val="bottom"/>
                                  <w:hideMark/>
                                </w:tcPr>
                                <w:p w14:paraId="482A77BC"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-310</w:t>
                                  </w:r>
                                </w:p>
                              </w:tc>
                              <w:tc>
                                <w:tcPr>
                                  <w:tcW w:w="716" w:type="dxa"/>
                                  <w:tcBorders>
                                    <w:top w:val="single" w:sz="4" w:space="0" w:color="ADD6EA"/>
                                    <w:left w:val="nil"/>
                                    <w:bottom w:val="nil"/>
                                    <w:right w:val="nil"/>
                                  </w:tcBorders>
                                  <w:shd w:val="clear" w:color="auto" w:fill="auto"/>
                                  <w:noWrap/>
                                  <w:vAlign w:val="bottom"/>
                                  <w:hideMark/>
                                </w:tcPr>
                                <w:p w14:paraId="20402FAE"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3,686</w:t>
                                  </w:r>
                                </w:p>
                              </w:tc>
                              <w:tc>
                                <w:tcPr>
                                  <w:tcW w:w="716" w:type="dxa"/>
                                  <w:tcBorders>
                                    <w:top w:val="single" w:sz="4" w:space="0" w:color="ADD6EA"/>
                                    <w:left w:val="nil"/>
                                    <w:bottom w:val="nil"/>
                                    <w:right w:val="nil"/>
                                  </w:tcBorders>
                                  <w:shd w:val="clear" w:color="auto" w:fill="auto"/>
                                  <w:noWrap/>
                                  <w:vAlign w:val="bottom"/>
                                  <w:hideMark/>
                                </w:tcPr>
                                <w:p w14:paraId="5971EB8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-469</w:t>
                                  </w:r>
                                </w:p>
                              </w:tc>
                              <w:tc>
                                <w:tcPr>
                                  <w:tcW w:w="700" w:type="dxa"/>
                                  <w:tcBorders>
                                    <w:top w:val="single" w:sz="4" w:space="0" w:color="ADD6EA"/>
                                    <w:left w:val="nil"/>
                                    <w:bottom w:val="nil"/>
                                    <w:right w:val="nil"/>
                                  </w:tcBorders>
                                  <w:shd w:val="clear" w:color="auto" w:fill="auto"/>
                                  <w:noWrap/>
                                  <w:vAlign w:val="bottom"/>
                                  <w:hideMark/>
                                </w:tcPr>
                                <w:p w14:paraId="026527D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838</w:t>
                                  </w:r>
                                </w:p>
                              </w:tc>
                              <w:tc>
                                <w:tcPr>
                                  <w:tcW w:w="700" w:type="dxa"/>
                                  <w:tcBorders>
                                    <w:top w:val="single" w:sz="4" w:space="0" w:color="ADD6EA"/>
                                    <w:left w:val="nil"/>
                                    <w:bottom w:val="nil"/>
                                    <w:right w:val="nil"/>
                                  </w:tcBorders>
                                  <w:shd w:val="clear" w:color="auto" w:fill="auto"/>
                                  <w:noWrap/>
                                  <w:vAlign w:val="bottom"/>
                                  <w:hideMark/>
                                </w:tcPr>
                                <w:p w14:paraId="7DB5DA0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457</w:t>
                                  </w:r>
                                </w:p>
                              </w:tc>
                              <w:tc>
                                <w:tcPr>
                                  <w:tcW w:w="700" w:type="dxa"/>
                                  <w:tcBorders>
                                    <w:top w:val="single" w:sz="4" w:space="0" w:color="ADD6EA"/>
                                    <w:left w:val="nil"/>
                                    <w:bottom w:val="nil"/>
                                    <w:right w:val="nil"/>
                                  </w:tcBorders>
                                  <w:shd w:val="clear" w:color="auto" w:fill="auto"/>
                                  <w:noWrap/>
                                  <w:vAlign w:val="bottom"/>
                                  <w:hideMark/>
                                </w:tcPr>
                                <w:p w14:paraId="447A8C4C"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219</w:t>
                                  </w:r>
                                </w:p>
                              </w:tc>
                              <w:tc>
                                <w:tcPr>
                                  <w:tcW w:w="700" w:type="dxa"/>
                                  <w:tcBorders>
                                    <w:top w:val="single" w:sz="4" w:space="0" w:color="ADD6EA"/>
                                    <w:left w:val="nil"/>
                                    <w:bottom w:val="nil"/>
                                    <w:right w:val="nil"/>
                                  </w:tcBorders>
                                  <w:shd w:val="clear" w:color="auto" w:fill="auto"/>
                                  <w:noWrap/>
                                  <w:vAlign w:val="bottom"/>
                                  <w:hideMark/>
                                </w:tcPr>
                                <w:p w14:paraId="2C65284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111</w:t>
                                  </w:r>
                                </w:p>
                              </w:tc>
                              <w:tc>
                                <w:tcPr>
                                  <w:tcW w:w="700" w:type="dxa"/>
                                  <w:tcBorders>
                                    <w:top w:val="single" w:sz="4" w:space="0" w:color="ADD6EA"/>
                                    <w:left w:val="nil"/>
                                    <w:bottom w:val="nil"/>
                                    <w:right w:val="nil"/>
                                  </w:tcBorders>
                                  <w:shd w:val="clear" w:color="auto" w:fill="auto"/>
                                  <w:noWrap/>
                                  <w:vAlign w:val="bottom"/>
                                  <w:hideMark/>
                                </w:tcPr>
                                <w:p w14:paraId="3FC748D8"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256</w:t>
                                  </w:r>
                                </w:p>
                              </w:tc>
                              <w:tc>
                                <w:tcPr>
                                  <w:tcW w:w="760" w:type="dxa"/>
                                  <w:tcBorders>
                                    <w:top w:val="single" w:sz="4" w:space="0" w:color="ADD6EA"/>
                                    <w:left w:val="nil"/>
                                    <w:bottom w:val="nil"/>
                                    <w:right w:val="nil"/>
                                  </w:tcBorders>
                                  <w:shd w:val="clear" w:color="auto" w:fill="auto"/>
                                  <w:noWrap/>
                                  <w:vAlign w:val="bottom"/>
                                  <w:hideMark/>
                                </w:tcPr>
                                <w:p w14:paraId="5B425584"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4,787</w:t>
                                  </w:r>
                                </w:p>
                              </w:tc>
                            </w:tr>
                            <w:tr w:rsidR="0010699D" w:rsidRPr="0010699D" w14:paraId="65E05509"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5C61EDA5"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No worse off payments</w:t>
                                  </w:r>
                                </w:p>
                              </w:tc>
                              <w:tc>
                                <w:tcPr>
                                  <w:tcW w:w="716" w:type="dxa"/>
                                  <w:tcBorders>
                                    <w:top w:val="single" w:sz="4" w:space="0" w:color="ADD6EA"/>
                                    <w:left w:val="nil"/>
                                    <w:bottom w:val="nil"/>
                                    <w:right w:val="nil"/>
                                  </w:tcBorders>
                                  <w:shd w:val="clear" w:color="auto" w:fill="auto"/>
                                  <w:noWrap/>
                                  <w:vAlign w:val="bottom"/>
                                  <w:hideMark/>
                                </w:tcPr>
                                <w:p w14:paraId="33E6B7F2"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122</w:t>
                                  </w:r>
                                </w:p>
                              </w:tc>
                              <w:tc>
                                <w:tcPr>
                                  <w:tcW w:w="716" w:type="dxa"/>
                                  <w:tcBorders>
                                    <w:top w:val="single" w:sz="4" w:space="0" w:color="ADD6EA"/>
                                    <w:left w:val="nil"/>
                                    <w:bottom w:val="nil"/>
                                    <w:right w:val="nil"/>
                                  </w:tcBorders>
                                  <w:shd w:val="clear" w:color="auto" w:fill="auto"/>
                                  <w:noWrap/>
                                  <w:vAlign w:val="bottom"/>
                                  <w:hideMark/>
                                </w:tcPr>
                                <w:p w14:paraId="352B930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96</w:t>
                                  </w:r>
                                </w:p>
                              </w:tc>
                              <w:tc>
                                <w:tcPr>
                                  <w:tcW w:w="716" w:type="dxa"/>
                                  <w:tcBorders>
                                    <w:top w:val="single" w:sz="4" w:space="0" w:color="ADD6EA"/>
                                    <w:left w:val="nil"/>
                                    <w:bottom w:val="nil"/>
                                    <w:right w:val="nil"/>
                                  </w:tcBorders>
                                  <w:shd w:val="clear" w:color="auto" w:fill="auto"/>
                                  <w:noWrap/>
                                  <w:vAlign w:val="bottom"/>
                                  <w:hideMark/>
                                </w:tcPr>
                                <w:p w14:paraId="63B57F9D"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85</w:t>
                                  </w:r>
                                </w:p>
                              </w:tc>
                              <w:tc>
                                <w:tcPr>
                                  <w:tcW w:w="700" w:type="dxa"/>
                                  <w:tcBorders>
                                    <w:top w:val="single" w:sz="4" w:space="0" w:color="ADD6EA"/>
                                    <w:left w:val="nil"/>
                                    <w:bottom w:val="nil"/>
                                    <w:right w:val="nil"/>
                                  </w:tcBorders>
                                  <w:shd w:val="clear" w:color="auto" w:fill="auto"/>
                                  <w:noWrap/>
                                  <w:vAlign w:val="bottom"/>
                                  <w:hideMark/>
                                </w:tcPr>
                                <w:p w14:paraId="44ED89B8"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bottom"/>
                                  <w:hideMark/>
                                </w:tcPr>
                                <w:p w14:paraId="67C92FF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25</w:t>
                                  </w:r>
                                </w:p>
                              </w:tc>
                              <w:tc>
                                <w:tcPr>
                                  <w:tcW w:w="700" w:type="dxa"/>
                                  <w:tcBorders>
                                    <w:top w:val="single" w:sz="4" w:space="0" w:color="ADD6EA"/>
                                    <w:left w:val="nil"/>
                                    <w:bottom w:val="nil"/>
                                    <w:right w:val="nil"/>
                                  </w:tcBorders>
                                  <w:shd w:val="clear" w:color="auto" w:fill="auto"/>
                                  <w:noWrap/>
                                  <w:vAlign w:val="bottom"/>
                                  <w:hideMark/>
                                </w:tcPr>
                                <w:p w14:paraId="2C41BB3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7</w:t>
                                  </w:r>
                                </w:p>
                              </w:tc>
                              <w:tc>
                                <w:tcPr>
                                  <w:tcW w:w="700" w:type="dxa"/>
                                  <w:tcBorders>
                                    <w:top w:val="single" w:sz="4" w:space="0" w:color="ADD6EA"/>
                                    <w:left w:val="nil"/>
                                    <w:bottom w:val="nil"/>
                                    <w:right w:val="nil"/>
                                  </w:tcBorders>
                                  <w:shd w:val="clear" w:color="auto" w:fill="auto"/>
                                  <w:noWrap/>
                                  <w:vAlign w:val="bottom"/>
                                  <w:hideMark/>
                                </w:tcPr>
                                <w:p w14:paraId="70B83EC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7</w:t>
                                  </w:r>
                                </w:p>
                              </w:tc>
                              <w:tc>
                                <w:tcPr>
                                  <w:tcW w:w="700" w:type="dxa"/>
                                  <w:tcBorders>
                                    <w:top w:val="single" w:sz="4" w:space="0" w:color="ADD6EA"/>
                                    <w:left w:val="nil"/>
                                    <w:bottom w:val="nil"/>
                                    <w:right w:val="nil"/>
                                  </w:tcBorders>
                                  <w:shd w:val="clear" w:color="auto" w:fill="auto"/>
                                  <w:noWrap/>
                                  <w:vAlign w:val="bottom"/>
                                  <w:hideMark/>
                                </w:tcPr>
                                <w:p w14:paraId="674DB75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w:t>
                                  </w:r>
                                </w:p>
                              </w:tc>
                              <w:tc>
                                <w:tcPr>
                                  <w:tcW w:w="760" w:type="dxa"/>
                                  <w:tcBorders>
                                    <w:top w:val="single" w:sz="4" w:space="0" w:color="ADD6EA"/>
                                    <w:left w:val="nil"/>
                                    <w:bottom w:val="nil"/>
                                    <w:right w:val="nil"/>
                                  </w:tcBorders>
                                  <w:shd w:val="clear" w:color="auto" w:fill="auto"/>
                                  <w:noWrap/>
                                  <w:vAlign w:val="bottom"/>
                                  <w:hideMark/>
                                </w:tcPr>
                                <w:p w14:paraId="2B7FEE2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344</w:t>
                                  </w:r>
                                </w:p>
                              </w:tc>
                            </w:tr>
                            <w:tr w:rsidR="0010699D" w:rsidRPr="0010699D" w14:paraId="64B82BB5" w14:textId="77777777" w:rsidTr="0010699D">
                              <w:trPr>
                                <w:trHeight w:val="315"/>
                              </w:trPr>
                              <w:tc>
                                <w:tcPr>
                                  <w:tcW w:w="2512" w:type="dxa"/>
                                  <w:tcBorders>
                                    <w:top w:val="single" w:sz="4" w:space="0" w:color="ADD6EA"/>
                                    <w:left w:val="nil"/>
                                    <w:bottom w:val="single" w:sz="4" w:space="0" w:color="ADD6EA"/>
                                    <w:right w:val="nil"/>
                                  </w:tcBorders>
                                  <w:shd w:val="clear" w:color="000000" w:fill="D6E7F0"/>
                                  <w:vAlign w:val="bottom"/>
                                  <w:hideMark/>
                                </w:tcPr>
                                <w:p w14:paraId="6A2B38AC" w14:textId="083ADFA7" w:rsidR="0010699D" w:rsidRPr="0010699D" w:rsidRDefault="00612C23" w:rsidP="00612C23">
                                  <w:pPr>
                                    <w:tabs>
                                      <w:tab w:val="clear" w:pos="567"/>
                                    </w:tabs>
                                    <w:spacing w:before="0" w:line="240" w:lineRule="auto"/>
                                    <w:ind w:firstLineChars="100" w:firstLine="16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($m)</w:t>
                                  </w:r>
                                </w:p>
                              </w:tc>
                              <w:tc>
                                <w:tcPr>
                                  <w:tcW w:w="716" w:type="dxa"/>
                                  <w:tcBorders>
                                    <w:top w:val="single" w:sz="4" w:space="0" w:color="ADD6EA"/>
                                    <w:left w:val="nil"/>
                                    <w:bottom w:val="single" w:sz="4" w:space="0" w:color="ADD6EA"/>
                                    <w:right w:val="nil"/>
                                  </w:tcBorders>
                                  <w:shd w:val="clear" w:color="000000" w:fill="D6E7F0"/>
                                  <w:noWrap/>
                                  <w:vAlign w:val="bottom"/>
                                  <w:hideMark/>
                                </w:tcPr>
                                <w:p w14:paraId="172A08B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-188</w:t>
                                  </w:r>
                                </w:p>
                              </w:tc>
                              <w:tc>
                                <w:tcPr>
                                  <w:tcW w:w="716" w:type="dxa"/>
                                  <w:tcBorders>
                                    <w:top w:val="single" w:sz="4" w:space="0" w:color="ADD6EA"/>
                                    <w:left w:val="nil"/>
                                    <w:bottom w:val="single" w:sz="4" w:space="0" w:color="ADD6EA"/>
                                    <w:right w:val="nil"/>
                                  </w:tcBorders>
                                  <w:shd w:val="clear" w:color="000000" w:fill="D6E7F0"/>
                                  <w:noWrap/>
                                  <w:vAlign w:val="bottom"/>
                                  <w:hideMark/>
                                </w:tcPr>
                                <w:p w14:paraId="429DDD8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3,782</w:t>
                                  </w:r>
                                </w:p>
                              </w:tc>
                              <w:tc>
                                <w:tcPr>
                                  <w:tcW w:w="716" w:type="dxa"/>
                                  <w:tcBorders>
                                    <w:top w:val="single" w:sz="4" w:space="0" w:color="ADD6EA"/>
                                    <w:left w:val="nil"/>
                                    <w:bottom w:val="single" w:sz="4" w:space="0" w:color="ADD6EA"/>
                                    <w:right w:val="nil"/>
                                  </w:tcBorders>
                                  <w:shd w:val="clear" w:color="000000" w:fill="D6E7F0"/>
                                  <w:noWrap/>
                                  <w:vAlign w:val="bottom"/>
                                  <w:hideMark/>
                                </w:tcPr>
                                <w:p w14:paraId="3D476319"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-384</w:t>
                                  </w:r>
                                </w:p>
                              </w:tc>
                              <w:tc>
                                <w:tcPr>
                                  <w:tcW w:w="700" w:type="dxa"/>
                                  <w:tcBorders>
                                    <w:top w:val="single" w:sz="4" w:space="0" w:color="ADD6EA"/>
                                    <w:left w:val="nil"/>
                                    <w:bottom w:val="single" w:sz="4" w:space="0" w:color="ADD6EA"/>
                                    <w:right w:val="nil"/>
                                  </w:tcBorders>
                                  <w:shd w:val="clear" w:color="000000" w:fill="D6E7F0"/>
                                  <w:noWrap/>
                                  <w:vAlign w:val="bottom"/>
                                  <w:hideMark/>
                                </w:tcPr>
                                <w:p w14:paraId="76B189A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838</w:t>
                                  </w:r>
                                </w:p>
                              </w:tc>
                              <w:tc>
                                <w:tcPr>
                                  <w:tcW w:w="700" w:type="dxa"/>
                                  <w:tcBorders>
                                    <w:top w:val="single" w:sz="4" w:space="0" w:color="ADD6EA"/>
                                    <w:left w:val="nil"/>
                                    <w:bottom w:val="single" w:sz="4" w:space="0" w:color="ADD6EA"/>
                                    <w:right w:val="nil"/>
                                  </w:tcBorders>
                                  <w:shd w:val="clear" w:color="000000" w:fill="D6E7F0"/>
                                  <w:noWrap/>
                                  <w:vAlign w:val="bottom"/>
                                  <w:hideMark/>
                                </w:tcPr>
                                <w:p w14:paraId="13F9AD46"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481</w:t>
                                  </w:r>
                                </w:p>
                              </w:tc>
                              <w:tc>
                                <w:tcPr>
                                  <w:tcW w:w="700" w:type="dxa"/>
                                  <w:tcBorders>
                                    <w:top w:val="single" w:sz="4" w:space="0" w:color="ADD6EA"/>
                                    <w:left w:val="nil"/>
                                    <w:bottom w:val="single" w:sz="4" w:space="0" w:color="ADD6EA"/>
                                    <w:right w:val="nil"/>
                                  </w:tcBorders>
                                  <w:shd w:val="clear" w:color="000000" w:fill="D6E7F0"/>
                                  <w:noWrap/>
                                  <w:vAlign w:val="bottom"/>
                                  <w:hideMark/>
                                </w:tcPr>
                                <w:p w14:paraId="6C790A8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226</w:t>
                                  </w:r>
                                </w:p>
                              </w:tc>
                              <w:tc>
                                <w:tcPr>
                                  <w:tcW w:w="700" w:type="dxa"/>
                                  <w:tcBorders>
                                    <w:top w:val="single" w:sz="4" w:space="0" w:color="ADD6EA"/>
                                    <w:left w:val="nil"/>
                                    <w:bottom w:val="single" w:sz="4" w:space="0" w:color="ADD6EA"/>
                                    <w:right w:val="nil"/>
                                  </w:tcBorders>
                                  <w:shd w:val="clear" w:color="000000" w:fill="D6E7F0"/>
                                  <w:noWrap/>
                                  <w:vAlign w:val="bottom"/>
                                  <w:hideMark/>
                                </w:tcPr>
                                <w:p w14:paraId="7A94D9EA"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118</w:t>
                                  </w:r>
                                </w:p>
                              </w:tc>
                              <w:tc>
                                <w:tcPr>
                                  <w:tcW w:w="700" w:type="dxa"/>
                                  <w:tcBorders>
                                    <w:top w:val="single" w:sz="4" w:space="0" w:color="ADD6EA"/>
                                    <w:left w:val="nil"/>
                                    <w:bottom w:val="single" w:sz="4" w:space="0" w:color="ADD6EA"/>
                                    <w:right w:val="nil"/>
                                  </w:tcBorders>
                                  <w:shd w:val="clear" w:color="000000" w:fill="D6E7F0"/>
                                  <w:noWrap/>
                                  <w:vAlign w:val="bottom"/>
                                  <w:hideMark/>
                                </w:tcPr>
                                <w:p w14:paraId="3B78EB4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258</w:t>
                                  </w:r>
                                </w:p>
                              </w:tc>
                              <w:tc>
                                <w:tcPr>
                                  <w:tcW w:w="760" w:type="dxa"/>
                                  <w:tcBorders>
                                    <w:top w:val="single" w:sz="4" w:space="0" w:color="ADD6EA"/>
                                    <w:left w:val="nil"/>
                                    <w:bottom w:val="single" w:sz="4" w:space="0" w:color="ADD6EA"/>
                                    <w:right w:val="nil"/>
                                  </w:tcBorders>
                                  <w:shd w:val="clear" w:color="000000" w:fill="D6E7F0"/>
                                  <w:noWrap/>
                                  <w:vAlign w:val="bottom"/>
                                  <w:hideMark/>
                                </w:tcPr>
                                <w:p w14:paraId="28E7EE92"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5,131</w:t>
                                  </w:r>
                                </w:p>
                              </w:tc>
                            </w:tr>
                            <w:tr w:rsidR="0010699D" w:rsidRPr="0010699D" w14:paraId="51665BFA" w14:textId="77777777" w:rsidTr="0010699D">
                              <w:trPr>
                                <w:trHeight w:val="315"/>
                              </w:trPr>
                              <w:tc>
                                <w:tcPr>
                                  <w:tcW w:w="2512" w:type="dxa"/>
                                  <w:tcBorders>
                                    <w:top w:val="nil"/>
                                    <w:left w:val="nil"/>
                                    <w:bottom w:val="single" w:sz="4" w:space="0" w:color="ADD6EA"/>
                                    <w:right w:val="nil"/>
                                  </w:tcBorders>
                                  <w:shd w:val="clear" w:color="000000" w:fill="D6E7F0"/>
                                  <w:vAlign w:val="bottom"/>
                                  <w:hideMark/>
                                </w:tcPr>
                                <w:p w14:paraId="0871A256" w14:textId="7204D8AE" w:rsidR="0010699D" w:rsidRPr="0010699D" w:rsidRDefault="00191CBF" w:rsidP="00191CBF">
                                  <w:pPr>
                                    <w:tabs>
                                      <w:tab w:val="clear" w:pos="567"/>
                                    </w:tabs>
                                    <w:spacing w:before="0" w:line="240" w:lineRule="auto"/>
                                    <w:ind w:firstLineChars="100" w:firstLine="16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($pc)</w:t>
                                  </w:r>
                                </w:p>
                              </w:tc>
                              <w:tc>
                                <w:tcPr>
                                  <w:tcW w:w="716" w:type="dxa"/>
                                  <w:tcBorders>
                                    <w:top w:val="nil"/>
                                    <w:left w:val="nil"/>
                                    <w:bottom w:val="single" w:sz="4" w:space="0" w:color="ADD6EA"/>
                                    <w:right w:val="nil"/>
                                  </w:tcBorders>
                                  <w:shd w:val="clear" w:color="000000" w:fill="D6E7F0"/>
                                  <w:noWrap/>
                                  <w:vAlign w:val="bottom"/>
                                  <w:hideMark/>
                                </w:tcPr>
                                <w:p w14:paraId="0A6D8015"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-22</w:t>
                                  </w:r>
                                </w:p>
                              </w:tc>
                              <w:tc>
                                <w:tcPr>
                                  <w:tcW w:w="716" w:type="dxa"/>
                                  <w:tcBorders>
                                    <w:top w:val="nil"/>
                                    <w:left w:val="nil"/>
                                    <w:bottom w:val="single" w:sz="4" w:space="0" w:color="ADD6EA"/>
                                    <w:right w:val="nil"/>
                                  </w:tcBorders>
                                  <w:shd w:val="clear" w:color="000000" w:fill="D6E7F0"/>
                                  <w:noWrap/>
                                  <w:vAlign w:val="bottom"/>
                                  <w:hideMark/>
                                </w:tcPr>
                                <w:p w14:paraId="25D75A0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537</w:t>
                                  </w:r>
                                </w:p>
                              </w:tc>
                              <w:tc>
                                <w:tcPr>
                                  <w:tcW w:w="716" w:type="dxa"/>
                                  <w:tcBorders>
                                    <w:top w:val="nil"/>
                                    <w:left w:val="nil"/>
                                    <w:bottom w:val="single" w:sz="4" w:space="0" w:color="ADD6EA"/>
                                    <w:right w:val="nil"/>
                                  </w:tcBorders>
                                  <w:shd w:val="clear" w:color="000000" w:fill="D6E7F0"/>
                                  <w:noWrap/>
                                  <w:vAlign w:val="bottom"/>
                                  <w:hideMark/>
                                </w:tcPr>
                                <w:p w14:paraId="51A4B0E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-69</w:t>
                                  </w:r>
                                </w:p>
                              </w:tc>
                              <w:tc>
                                <w:tcPr>
                                  <w:tcW w:w="700" w:type="dxa"/>
                                  <w:tcBorders>
                                    <w:top w:val="nil"/>
                                    <w:left w:val="nil"/>
                                    <w:bottom w:val="single" w:sz="4" w:space="0" w:color="ADD6EA"/>
                                    <w:right w:val="nil"/>
                                  </w:tcBorders>
                                  <w:shd w:val="clear" w:color="000000" w:fill="D6E7F0"/>
                                  <w:noWrap/>
                                  <w:vAlign w:val="bottom"/>
                                  <w:hideMark/>
                                </w:tcPr>
                                <w:p w14:paraId="362468C3"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283</w:t>
                                  </w:r>
                                </w:p>
                              </w:tc>
                              <w:tc>
                                <w:tcPr>
                                  <w:tcW w:w="700" w:type="dxa"/>
                                  <w:tcBorders>
                                    <w:top w:val="nil"/>
                                    <w:left w:val="nil"/>
                                    <w:bottom w:val="single" w:sz="4" w:space="0" w:color="ADD6EA"/>
                                    <w:right w:val="nil"/>
                                  </w:tcBorders>
                                  <w:shd w:val="clear" w:color="000000" w:fill="D6E7F0"/>
                                  <w:noWrap/>
                                  <w:vAlign w:val="bottom"/>
                                  <w:hideMark/>
                                </w:tcPr>
                                <w:p w14:paraId="2DD3D39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255</w:t>
                                  </w:r>
                                </w:p>
                              </w:tc>
                              <w:tc>
                                <w:tcPr>
                                  <w:tcW w:w="700" w:type="dxa"/>
                                  <w:tcBorders>
                                    <w:top w:val="nil"/>
                                    <w:left w:val="nil"/>
                                    <w:bottom w:val="single" w:sz="4" w:space="0" w:color="ADD6EA"/>
                                    <w:right w:val="nil"/>
                                  </w:tcBorders>
                                  <w:shd w:val="clear" w:color="000000" w:fill="D6E7F0"/>
                                  <w:noWrap/>
                                  <w:vAlign w:val="bottom"/>
                                  <w:hideMark/>
                                </w:tcPr>
                                <w:p w14:paraId="3268032B"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389</w:t>
                                  </w:r>
                                </w:p>
                              </w:tc>
                              <w:tc>
                                <w:tcPr>
                                  <w:tcW w:w="700" w:type="dxa"/>
                                  <w:tcBorders>
                                    <w:top w:val="nil"/>
                                    <w:left w:val="nil"/>
                                    <w:bottom w:val="single" w:sz="4" w:space="0" w:color="ADD6EA"/>
                                    <w:right w:val="nil"/>
                                  </w:tcBorders>
                                  <w:shd w:val="clear" w:color="000000" w:fill="D6E7F0"/>
                                  <w:noWrap/>
                                  <w:vAlign w:val="bottom"/>
                                  <w:hideMark/>
                                </w:tcPr>
                                <w:p w14:paraId="5B4E69E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245</w:t>
                                  </w:r>
                                </w:p>
                              </w:tc>
                              <w:tc>
                                <w:tcPr>
                                  <w:tcW w:w="700" w:type="dxa"/>
                                  <w:tcBorders>
                                    <w:top w:val="nil"/>
                                    <w:left w:val="nil"/>
                                    <w:bottom w:val="single" w:sz="4" w:space="0" w:color="ADD6EA"/>
                                    <w:right w:val="nil"/>
                                  </w:tcBorders>
                                  <w:shd w:val="clear" w:color="000000" w:fill="D6E7F0"/>
                                  <w:noWrap/>
                                  <w:vAlign w:val="bottom"/>
                                  <w:hideMark/>
                                </w:tcPr>
                                <w:p w14:paraId="6A40ADB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1,003</w:t>
                                  </w:r>
                                </w:p>
                              </w:tc>
                              <w:tc>
                                <w:tcPr>
                                  <w:tcW w:w="760" w:type="dxa"/>
                                  <w:tcBorders>
                                    <w:top w:val="nil"/>
                                    <w:left w:val="nil"/>
                                    <w:bottom w:val="single" w:sz="4" w:space="0" w:color="ADD6EA"/>
                                    <w:right w:val="nil"/>
                                  </w:tcBorders>
                                  <w:shd w:val="clear" w:color="000000" w:fill="D6E7F0"/>
                                  <w:noWrap/>
                                  <w:vAlign w:val="bottom"/>
                                  <w:hideMark/>
                                </w:tcPr>
                                <w:p w14:paraId="4E55ECB3"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188</w:t>
                                  </w:r>
                                </w:p>
                              </w:tc>
                            </w:tr>
                          </w:tbl>
                          <w:p w14:paraId="603D5285" w14:textId="2BC0B48A" w:rsidR="00555119" w:rsidRPr="0017514B" w:rsidRDefault="00555119" w:rsidP="00555119">
                            <w:pPr>
                              <w:pStyle w:val="Tablefootnote"/>
                            </w:pPr>
                            <w:r w:rsidRPr="0017514B">
                              <w:t>Source: Commission calculation. Subject to changes in the GST pool and populations</w:t>
                            </w:r>
                            <w:r w:rsidR="0056710F">
                              <w:t>.</w:t>
                            </w:r>
                          </w:p>
                          <w:p w14:paraId="2B93942E" w14:textId="77777777" w:rsidR="00555119" w:rsidRPr="00176917" w:rsidRDefault="00555119" w:rsidP="005551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937064" id="Text Box 1030580337" o:spid="_x0000_s1032" type="#_x0000_t202" style="position:absolute;margin-left:0;margin-top:16.8pt;width:460.9pt;height:297.75pt;z-index:25165824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" fillcolor="#e5f8ff" strokecolor="white [3212]">
                <v:textbox>
                  <w:txbxContent>
                    <w:p w14:paraId="2E42190C" w14:textId="77777777" w:rsidR="00555119" w:rsidRPr="0017514B" w:rsidRDefault="00555119" w:rsidP="00555119">
                      <w:pPr>
                        <w:pStyle w:val="Tableheading"/>
                      </w:pPr>
                      <w:r w:rsidRPr="0009659F">
                        <w:t xml:space="preserve">Estimated total payments to the states from GST distribution and no worse off </w:t>
                      </w:r>
                      <w:proofErr w:type="gramStart"/>
                      <w:r w:rsidRPr="0009659F">
                        <w:t>payments</w:t>
                      </w:r>
                      <w:proofErr w:type="gramEnd"/>
                    </w:p>
                    <w:tbl>
                      <w:tblPr>
                        <w:tblW w:w="8920" w:type="dxa"/>
                        <w:tblLook w:val="04A0" w:firstRow="1" w:lastRow="0" w:firstColumn="1" w:lastColumn="0" w:noHBand="0" w:noVBand="1"/>
                      </w:tblPr>
                      <w:tblGrid>
                        <w:gridCol w:w="2512"/>
                        <w:gridCol w:w="716"/>
                        <w:gridCol w:w="716"/>
                        <w:gridCol w:w="716"/>
                        <w:gridCol w:w="700"/>
                        <w:gridCol w:w="700"/>
                        <w:gridCol w:w="700"/>
                        <w:gridCol w:w="700"/>
                        <w:gridCol w:w="700"/>
                        <w:gridCol w:w="760"/>
                      </w:tblGrid>
                      <w:tr w:rsidR="0010699D" w:rsidRPr="0010699D" w14:paraId="12D06C4C" w14:textId="77777777" w:rsidTr="0010699D">
                        <w:trPr>
                          <w:trHeight w:val="379"/>
                        </w:trPr>
                        <w:tc>
                          <w:tcPr>
                            <w:tcW w:w="2512" w:type="dxa"/>
                            <w:tcBorders>
                              <w:top w:val="nil"/>
                              <w:left w:val="nil"/>
                              <w:bottom w:val="nil"/>
                              <w:right w:val="nil"/>
                            </w:tcBorders>
                            <w:shd w:val="clear" w:color="000000" w:fill="006991"/>
                            <w:vAlign w:val="bottom"/>
                            <w:hideMark/>
                          </w:tcPr>
                          <w:p w14:paraId="44687022" w14:textId="77777777" w:rsidR="0010699D" w:rsidRPr="0010699D" w:rsidRDefault="0010699D" w:rsidP="0010699D">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72" w:name="Estimated_total_payments"/>
                            <w:r w:rsidRPr="0010699D">
                              <w:rPr>
                                <w:rFonts w:ascii="Open Sans Semibold" w:eastAsia="Times New Roman" w:hAnsi="Open Sans Semibold" w:cs="Open Sans Semibold"/>
                                <w:color w:val="FFFFFF"/>
                                <w:sz w:val="16"/>
                                <w:szCs w:val="16"/>
                                <w:lang w:eastAsia="en-AU"/>
                              </w:rPr>
                              <w:t> </w:t>
                            </w:r>
                            <w:bookmarkEnd w:id="72"/>
                          </w:p>
                        </w:tc>
                        <w:tc>
                          <w:tcPr>
                            <w:tcW w:w="716" w:type="dxa"/>
                            <w:tcBorders>
                              <w:top w:val="nil"/>
                              <w:left w:val="nil"/>
                              <w:bottom w:val="nil"/>
                              <w:right w:val="nil"/>
                            </w:tcBorders>
                            <w:shd w:val="clear" w:color="000000" w:fill="006991"/>
                            <w:vAlign w:val="center"/>
                            <w:hideMark/>
                          </w:tcPr>
                          <w:p w14:paraId="75A29FCA"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NSW</w:t>
                            </w:r>
                          </w:p>
                        </w:tc>
                        <w:tc>
                          <w:tcPr>
                            <w:tcW w:w="716" w:type="dxa"/>
                            <w:tcBorders>
                              <w:top w:val="nil"/>
                              <w:left w:val="nil"/>
                              <w:bottom w:val="nil"/>
                              <w:right w:val="nil"/>
                            </w:tcBorders>
                            <w:shd w:val="clear" w:color="000000" w:fill="006991"/>
                            <w:vAlign w:val="center"/>
                            <w:hideMark/>
                          </w:tcPr>
                          <w:p w14:paraId="7AD9079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Vic</w:t>
                            </w:r>
                          </w:p>
                        </w:tc>
                        <w:tc>
                          <w:tcPr>
                            <w:tcW w:w="716" w:type="dxa"/>
                            <w:tcBorders>
                              <w:top w:val="nil"/>
                              <w:left w:val="nil"/>
                              <w:bottom w:val="nil"/>
                              <w:right w:val="nil"/>
                            </w:tcBorders>
                            <w:shd w:val="clear" w:color="000000" w:fill="006991"/>
                            <w:vAlign w:val="center"/>
                            <w:hideMark/>
                          </w:tcPr>
                          <w:p w14:paraId="7305D5F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41EF67E3"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187137A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4A6FA587"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382E12E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5A98AA45"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2DC8FE4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0699D">
                              <w:rPr>
                                <w:rFonts w:ascii="Open Sans Semibold" w:eastAsia="Times New Roman" w:hAnsi="Open Sans Semibold" w:cs="Open Sans Semibold"/>
                                <w:color w:val="FFFFFF"/>
                                <w:sz w:val="16"/>
                                <w:szCs w:val="16"/>
                                <w:lang w:eastAsia="en-AU"/>
                              </w:rPr>
                              <w:t>Total</w:t>
                            </w:r>
                          </w:p>
                        </w:tc>
                      </w:tr>
                      <w:tr w:rsidR="0010699D" w:rsidRPr="0010699D" w14:paraId="49ADC4F0" w14:textId="77777777" w:rsidTr="0010699D">
                        <w:trPr>
                          <w:trHeight w:val="259"/>
                        </w:trPr>
                        <w:tc>
                          <w:tcPr>
                            <w:tcW w:w="2512" w:type="dxa"/>
                            <w:tcBorders>
                              <w:top w:val="single" w:sz="4" w:space="0" w:color="ADD6EA"/>
                              <w:left w:val="nil"/>
                              <w:bottom w:val="nil"/>
                              <w:right w:val="nil"/>
                            </w:tcBorders>
                            <w:shd w:val="clear" w:color="000000" w:fill="B6D5E4"/>
                            <w:vAlign w:val="bottom"/>
                            <w:hideMark/>
                          </w:tcPr>
                          <w:p w14:paraId="60D76C69" w14:textId="77777777" w:rsidR="0010699D" w:rsidRPr="0010699D" w:rsidRDefault="0010699D" w:rsidP="0010699D">
                            <w:pPr>
                              <w:tabs>
                                <w:tab w:val="clear" w:pos="567"/>
                              </w:tabs>
                              <w:spacing w:before="0" w:line="240" w:lineRule="auto"/>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 </w:t>
                            </w:r>
                          </w:p>
                        </w:tc>
                        <w:tc>
                          <w:tcPr>
                            <w:tcW w:w="716" w:type="dxa"/>
                            <w:tcBorders>
                              <w:top w:val="single" w:sz="4" w:space="0" w:color="ADD6EA"/>
                              <w:left w:val="nil"/>
                              <w:bottom w:val="nil"/>
                              <w:right w:val="nil"/>
                            </w:tcBorders>
                            <w:shd w:val="clear" w:color="000000" w:fill="B6D5E4"/>
                            <w:noWrap/>
                            <w:vAlign w:val="bottom"/>
                            <w:hideMark/>
                          </w:tcPr>
                          <w:p w14:paraId="4366D8F4"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16" w:type="dxa"/>
                            <w:tcBorders>
                              <w:top w:val="single" w:sz="4" w:space="0" w:color="ADD6EA"/>
                              <w:left w:val="nil"/>
                              <w:bottom w:val="nil"/>
                              <w:right w:val="nil"/>
                            </w:tcBorders>
                            <w:shd w:val="clear" w:color="000000" w:fill="B6D5E4"/>
                            <w:noWrap/>
                            <w:vAlign w:val="bottom"/>
                            <w:hideMark/>
                          </w:tcPr>
                          <w:p w14:paraId="5B9DD63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16" w:type="dxa"/>
                            <w:tcBorders>
                              <w:top w:val="single" w:sz="4" w:space="0" w:color="ADD6EA"/>
                              <w:left w:val="nil"/>
                              <w:bottom w:val="nil"/>
                              <w:right w:val="nil"/>
                            </w:tcBorders>
                            <w:shd w:val="clear" w:color="000000" w:fill="B6D5E4"/>
                            <w:noWrap/>
                            <w:vAlign w:val="bottom"/>
                            <w:hideMark/>
                          </w:tcPr>
                          <w:p w14:paraId="512EEF9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10A95862"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4BB05EC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482FB99A"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69F01838"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3ADDFCED"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nil"/>
                              <w:right w:val="nil"/>
                            </w:tcBorders>
                            <w:shd w:val="clear" w:color="000000" w:fill="B6D5E4"/>
                            <w:noWrap/>
                            <w:vAlign w:val="bottom"/>
                            <w:hideMark/>
                          </w:tcPr>
                          <w:p w14:paraId="713CEF1B"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$m</w:t>
                            </w:r>
                          </w:p>
                        </w:tc>
                      </w:tr>
                      <w:tr w:rsidR="0010699D" w:rsidRPr="0010699D" w14:paraId="1C398C8D"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2A68F4D8" w14:textId="13533370" w:rsidR="0010699D" w:rsidRPr="0010699D" w:rsidRDefault="0010699D" w:rsidP="0010699D">
                            <w:pPr>
                              <w:tabs>
                                <w:tab w:val="clear" w:pos="567"/>
                              </w:tabs>
                              <w:spacing w:before="0" w:line="240" w:lineRule="auto"/>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2023</w:t>
                            </w:r>
                            <w:r w:rsidR="00F74243">
                              <w:rPr>
                                <w:rFonts w:ascii="Open Sans Light" w:eastAsia="Times New Roman" w:hAnsi="Open Sans Light" w:cs="Open Sans Light"/>
                                <w:color w:val="000000"/>
                                <w:sz w:val="16"/>
                                <w:szCs w:val="16"/>
                                <w:lang w:eastAsia="en-AU"/>
                              </w:rPr>
                              <w:t>–</w:t>
                            </w:r>
                            <w:r w:rsidRPr="0010699D">
                              <w:rPr>
                                <w:rFonts w:ascii="Open Sans Light" w:eastAsia="Times New Roman" w:hAnsi="Open Sans Light" w:cs="Open Sans Light"/>
                                <w:color w:val="000000"/>
                                <w:sz w:val="16"/>
                                <w:szCs w:val="16"/>
                                <w:lang w:eastAsia="en-AU"/>
                              </w:rPr>
                              <w:t>24</w:t>
                            </w:r>
                          </w:p>
                        </w:tc>
                        <w:tc>
                          <w:tcPr>
                            <w:tcW w:w="716" w:type="dxa"/>
                            <w:tcBorders>
                              <w:top w:val="single" w:sz="4" w:space="0" w:color="ADD6EA"/>
                              <w:left w:val="nil"/>
                              <w:bottom w:val="nil"/>
                              <w:right w:val="nil"/>
                            </w:tcBorders>
                            <w:shd w:val="clear" w:color="auto" w:fill="auto"/>
                            <w:noWrap/>
                            <w:vAlign w:val="bottom"/>
                            <w:hideMark/>
                          </w:tcPr>
                          <w:p w14:paraId="1785CB27"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noWrap/>
                            <w:vAlign w:val="bottom"/>
                            <w:hideMark/>
                          </w:tcPr>
                          <w:p w14:paraId="02CF51FE"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noWrap/>
                            <w:vAlign w:val="bottom"/>
                            <w:hideMark/>
                          </w:tcPr>
                          <w:p w14:paraId="668920F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35C182B6"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5BC063B2"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7EBD8CDC"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48D1D506"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34E61FD2"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60" w:type="dxa"/>
                            <w:tcBorders>
                              <w:top w:val="single" w:sz="4" w:space="0" w:color="ADD6EA"/>
                              <w:left w:val="nil"/>
                              <w:bottom w:val="nil"/>
                              <w:right w:val="nil"/>
                            </w:tcBorders>
                            <w:shd w:val="clear" w:color="auto" w:fill="auto"/>
                            <w:noWrap/>
                            <w:vAlign w:val="bottom"/>
                            <w:hideMark/>
                          </w:tcPr>
                          <w:p w14:paraId="7B5F908E"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r>
                      <w:tr w:rsidR="0010699D" w:rsidRPr="0010699D" w14:paraId="7A92D544"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66D1C587"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Total GST distribution</w:t>
                            </w:r>
                          </w:p>
                        </w:tc>
                        <w:tc>
                          <w:tcPr>
                            <w:tcW w:w="716" w:type="dxa"/>
                            <w:tcBorders>
                              <w:top w:val="single" w:sz="4" w:space="0" w:color="ADD6EA"/>
                              <w:left w:val="nil"/>
                              <w:bottom w:val="nil"/>
                              <w:right w:val="nil"/>
                            </w:tcBorders>
                            <w:shd w:val="clear" w:color="auto" w:fill="auto"/>
                            <w:noWrap/>
                            <w:vAlign w:val="bottom"/>
                            <w:hideMark/>
                          </w:tcPr>
                          <w:p w14:paraId="1893B0C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24,535</w:t>
                            </w:r>
                          </w:p>
                        </w:tc>
                        <w:tc>
                          <w:tcPr>
                            <w:tcW w:w="716" w:type="dxa"/>
                            <w:tcBorders>
                              <w:top w:val="single" w:sz="4" w:space="0" w:color="ADD6EA"/>
                              <w:left w:val="nil"/>
                              <w:bottom w:val="nil"/>
                              <w:right w:val="nil"/>
                            </w:tcBorders>
                            <w:shd w:val="clear" w:color="auto" w:fill="auto"/>
                            <w:noWrap/>
                            <w:vAlign w:val="bottom"/>
                            <w:hideMark/>
                          </w:tcPr>
                          <w:p w14:paraId="74F06E0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18,541</w:t>
                            </w:r>
                          </w:p>
                        </w:tc>
                        <w:tc>
                          <w:tcPr>
                            <w:tcW w:w="716" w:type="dxa"/>
                            <w:tcBorders>
                              <w:top w:val="single" w:sz="4" w:space="0" w:color="ADD6EA"/>
                              <w:left w:val="nil"/>
                              <w:bottom w:val="nil"/>
                              <w:right w:val="nil"/>
                            </w:tcBorders>
                            <w:shd w:val="clear" w:color="auto" w:fill="auto"/>
                            <w:noWrap/>
                            <w:vAlign w:val="bottom"/>
                            <w:hideMark/>
                          </w:tcPr>
                          <w:p w14:paraId="46B99F77"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17,929</w:t>
                            </w:r>
                          </w:p>
                        </w:tc>
                        <w:tc>
                          <w:tcPr>
                            <w:tcW w:w="700" w:type="dxa"/>
                            <w:tcBorders>
                              <w:top w:val="single" w:sz="4" w:space="0" w:color="ADD6EA"/>
                              <w:left w:val="nil"/>
                              <w:bottom w:val="nil"/>
                              <w:right w:val="nil"/>
                            </w:tcBorders>
                            <w:shd w:val="clear" w:color="auto" w:fill="auto"/>
                            <w:noWrap/>
                            <w:vAlign w:val="bottom"/>
                            <w:hideMark/>
                          </w:tcPr>
                          <w:p w14:paraId="5A27769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6,419</w:t>
                            </w:r>
                          </w:p>
                        </w:tc>
                        <w:tc>
                          <w:tcPr>
                            <w:tcW w:w="700" w:type="dxa"/>
                            <w:tcBorders>
                              <w:top w:val="single" w:sz="4" w:space="0" w:color="ADD6EA"/>
                              <w:left w:val="nil"/>
                              <w:bottom w:val="nil"/>
                              <w:right w:val="nil"/>
                            </w:tcBorders>
                            <w:shd w:val="clear" w:color="auto" w:fill="auto"/>
                            <w:noWrap/>
                            <w:vAlign w:val="bottom"/>
                            <w:hideMark/>
                          </w:tcPr>
                          <w:p w14:paraId="36FC6674"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8,214</w:t>
                            </w:r>
                          </w:p>
                        </w:tc>
                        <w:tc>
                          <w:tcPr>
                            <w:tcW w:w="700" w:type="dxa"/>
                            <w:tcBorders>
                              <w:top w:val="single" w:sz="4" w:space="0" w:color="ADD6EA"/>
                              <w:left w:val="nil"/>
                              <w:bottom w:val="nil"/>
                              <w:right w:val="nil"/>
                            </w:tcBorders>
                            <w:shd w:val="clear" w:color="auto" w:fill="auto"/>
                            <w:noWrap/>
                            <w:vAlign w:val="bottom"/>
                            <w:hideMark/>
                          </w:tcPr>
                          <w:p w14:paraId="0BF3387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3,257</w:t>
                            </w:r>
                          </w:p>
                        </w:tc>
                        <w:tc>
                          <w:tcPr>
                            <w:tcW w:w="700" w:type="dxa"/>
                            <w:tcBorders>
                              <w:top w:val="single" w:sz="4" w:space="0" w:color="ADD6EA"/>
                              <w:left w:val="nil"/>
                              <w:bottom w:val="nil"/>
                              <w:right w:val="nil"/>
                            </w:tcBorders>
                            <w:shd w:val="clear" w:color="auto" w:fill="auto"/>
                            <w:noWrap/>
                            <w:vAlign w:val="bottom"/>
                            <w:hideMark/>
                          </w:tcPr>
                          <w:p w14:paraId="0CC9521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1,778</w:t>
                            </w:r>
                          </w:p>
                        </w:tc>
                        <w:tc>
                          <w:tcPr>
                            <w:tcW w:w="700" w:type="dxa"/>
                            <w:tcBorders>
                              <w:top w:val="single" w:sz="4" w:space="0" w:color="ADD6EA"/>
                              <w:left w:val="nil"/>
                              <w:bottom w:val="nil"/>
                              <w:right w:val="nil"/>
                            </w:tcBorders>
                            <w:shd w:val="clear" w:color="auto" w:fill="auto"/>
                            <w:noWrap/>
                            <w:vAlign w:val="bottom"/>
                            <w:hideMark/>
                          </w:tcPr>
                          <w:p w14:paraId="2260278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4,002</w:t>
                            </w:r>
                          </w:p>
                        </w:tc>
                        <w:tc>
                          <w:tcPr>
                            <w:tcW w:w="760" w:type="dxa"/>
                            <w:tcBorders>
                              <w:top w:val="single" w:sz="4" w:space="0" w:color="ADD6EA"/>
                              <w:left w:val="nil"/>
                              <w:bottom w:val="nil"/>
                              <w:right w:val="nil"/>
                            </w:tcBorders>
                            <w:shd w:val="clear" w:color="auto" w:fill="auto"/>
                            <w:noWrap/>
                            <w:vAlign w:val="bottom"/>
                            <w:hideMark/>
                          </w:tcPr>
                          <w:p w14:paraId="5DD9760E"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84,675</w:t>
                            </w:r>
                          </w:p>
                        </w:tc>
                      </w:tr>
                      <w:tr w:rsidR="0010699D" w:rsidRPr="0010699D" w14:paraId="0AA40BE3"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6E0C9E44"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No worse off payments</w:t>
                            </w:r>
                          </w:p>
                        </w:tc>
                        <w:tc>
                          <w:tcPr>
                            <w:tcW w:w="716" w:type="dxa"/>
                            <w:tcBorders>
                              <w:top w:val="single" w:sz="4" w:space="0" w:color="ADD6EA"/>
                              <w:left w:val="nil"/>
                              <w:bottom w:val="nil"/>
                              <w:right w:val="nil"/>
                            </w:tcBorders>
                            <w:shd w:val="clear" w:color="auto" w:fill="auto"/>
                            <w:noWrap/>
                            <w:vAlign w:val="bottom"/>
                            <w:hideMark/>
                          </w:tcPr>
                          <w:p w14:paraId="75208D9D"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1,711</w:t>
                            </w:r>
                          </w:p>
                        </w:tc>
                        <w:tc>
                          <w:tcPr>
                            <w:tcW w:w="716" w:type="dxa"/>
                            <w:tcBorders>
                              <w:top w:val="single" w:sz="4" w:space="0" w:color="ADD6EA"/>
                              <w:left w:val="nil"/>
                              <w:bottom w:val="nil"/>
                              <w:right w:val="nil"/>
                            </w:tcBorders>
                            <w:shd w:val="clear" w:color="auto" w:fill="auto"/>
                            <w:noWrap/>
                            <w:vAlign w:val="bottom"/>
                            <w:hideMark/>
                          </w:tcPr>
                          <w:p w14:paraId="7CE5A41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1,417</w:t>
                            </w:r>
                          </w:p>
                        </w:tc>
                        <w:tc>
                          <w:tcPr>
                            <w:tcW w:w="716" w:type="dxa"/>
                            <w:tcBorders>
                              <w:top w:val="single" w:sz="4" w:space="0" w:color="ADD6EA"/>
                              <w:left w:val="nil"/>
                              <w:bottom w:val="nil"/>
                              <w:right w:val="nil"/>
                            </w:tcBorders>
                            <w:shd w:val="clear" w:color="auto" w:fill="auto"/>
                            <w:noWrap/>
                            <w:vAlign w:val="bottom"/>
                            <w:hideMark/>
                          </w:tcPr>
                          <w:p w14:paraId="10D3E68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1,108</w:t>
                            </w:r>
                          </w:p>
                        </w:tc>
                        <w:tc>
                          <w:tcPr>
                            <w:tcW w:w="700" w:type="dxa"/>
                            <w:tcBorders>
                              <w:top w:val="single" w:sz="4" w:space="0" w:color="ADD6EA"/>
                              <w:left w:val="nil"/>
                              <w:bottom w:val="nil"/>
                              <w:right w:val="nil"/>
                            </w:tcBorders>
                            <w:shd w:val="clear" w:color="auto" w:fill="auto"/>
                            <w:noWrap/>
                            <w:vAlign w:val="bottom"/>
                            <w:hideMark/>
                          </w:tcPr>
                          <w:p w14:paraId="2C3FDED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bottom"/>
                            <w:hideMark/>
                          </w:tcPr>
                          <w:p w14:paraId="2954225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368</w:t>
                            </w:r>
                          </w:p>
                        </w:tc>
                        <w:tc>
                          <w:tcPr>
                            <w:tcW w:w="700" w:type="dxa"/>
                            <w:tcBorders>
                              <w:top w:val="single" w:sz="4" w:space="0" w:color="ADD6EA"/>
                              <w:left w:val="nil"/>
                              <w:bottom w:val="nil"/>
                              <w:right w:val="nil"/>
                            </w:tcBorders>
                            <w:shd w:val="clear" w:color="auto" w:fill="auto"/>
                            <w:noWrap/>
                            <w:vAlign w:val="bottom"/>
                            <w:hideMark/>
                          </w:tcPr>
                          <w:p w14:paraId="1BB532D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110</w:t>
                            </w:r>
                          </w:p>
                        </w:tc>
                        <w:tc>
                          <w:tcPr>
                            <w:tcW w:w="700" w:type="dxa"/>
                            <w:tcBorders>
                              <w:top w:val="single" w:sz="4" w:space="0" w:color="ADD6EA"/>
                              <w:left w:val="nil"/>
                              <w:bottom w:val="nil"/>
                              <w:right w:val="nil"/>
                            </w:tcBorders>
                            <w:shd w:val="clear" w:color="auto" w:fill="auto"/>
                            <w:noWrap/>
                            <w:vAlign w:val="bottom"/>
                            <w:hideMark/>
                          </w:tcPr>
                          <w:p w14:paraId="116C9C3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94</w:t>
                            </w:r>
                          </w:p>
                        </w:tc>
                        <w:tc>
                          <w:tcPr>
                            <w:tcW w:w="700" w:type="dxa"/>
                            <w:tcBorders>
                              <w:top w:val="single" w:sz="4" w:space="0" w:color="ADD6EA"/>
                              <w:left w:val="nil"/>
                              <w:bottom w:val="nil"/>
                              <w:right w:val="nil"/>
                            </w:tcBorders>
                            <w:shd w:val="clear" w:color="auto" w:fill="auto"/>
                            <w:noWrap/>
                            <w:vAlign w:val="bottom"/>
                            <w:hideMark/>
                          </w:tcPr>
                          <w:p w14:paraId="0EB23E68"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37</w:t>
                            </w:r>
                          </w:p>
                        </w:tc>
                        <w:tc>
                          <w:tcPr>
                            <w:tcW w:w="760" w:type="dxa"/>
                            <w:tcBorders>
                              <w:top w:val="single" w:sz="4" w:space="0" w:color="ADD6EA"/>
                              <w:left w:val="nil"/>
                              <w:bottom w:val="nil"/>
                              <w:right w:val="nil"/>
                            </w:tcBorders>
                            <w:shd w:val="clear" w:color="auto" w:fill="auto"/>
                            <w:noWrap/>
                            <w:vAlign w:val="bottom"/>
                            <w:hideMark/>
                          </w:tcPr>
                          <w:p w14:paraId="6710CD62"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4,844</w:t>
                            </w:r>
                          </w:p>
                        </w:tc>
                      </w:tr>
                      <w:tr w:rsidR="0010699D" w:rsidRPr="0010699D" w14:paraId="62D606A8" w14:textId="77777777" w:rsidTr="0010699D">
                        <w:trPr>
                          <w:trHeight w:val="315"/>
                        </w:trPr>
                        <w:tc>
                          <w:tcPr>
                            <w:tcW w:w="2512" w:type="dxa"/>
                            <w:tcBorders>
                              <w:top w:val="single" w:sz="4" w:space="0" w:color="ADD6EA"/>
                              <w:left w:val="nil"/>
                              <w:bottom w:val="nil"/>
                              <w:right w:val="nil"/>
                            </w:tcBorders>
                            <w:shd w:val="clear" w:color="000000" w:fill="D6E7F0"/>
                            <w:vAlign w:val="bottom"/>
                            <w:hideMark/>
                          </w:tcPr>
                          <w:p w14:paraId="5268AA6D" w14:textId="19F5C395" w:rsidR="0010699D" w:rsidRPr="0010699D" w:rsidRDefault="004411A0" w:rsidP="004411A0">
                            <w:pPr>
                              <w:tabs>
                                <w:tab w:val="clear" w:pos="567"/>
                              </w:tabs>
                              <w:spacing w:before="0" w:line="240" w:lineRule="auto"/>
                              <w:ind w:firstLineChars="100" w:firstLine="16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w:t>
                            </w:r>
                          </w:p>
                        </w:tc>
                        <w:tc>
                          <w:tcPr>
                            <w:tcW w:w="716" w:type="dxa"/>
                            <w:tcBorders>
                              <w:top w:val="single" w:sz="4" w:space="0" w:color="ADD6EA"/>
                              <w:left w:val="nil"/>
                              <w:bottom w:val="nil"/>
                              <w:right w:val="nil"/>
                            </w:tcBorders>
                            <w:shd w:val="clear" w:color="000000" w:fill="D6E7F0"/>
                            <w:noWrap/>
                            <w:vAlign w:val="bottom"/>
                            <w:hideMark/>
                          </w:tcPr>
                          <w:p w14:paraId="145F02D3"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26,245</w:t>
                            </w:r>
                          </w:p>
                        </w:tc>
                        <w:tc>
                          <w:tcPr>
                            <w:tcW w:w="716" w:type="dxa"/>
                            <w:tcBorders>
                              <w:top w:val="single" w:sz="4" w:space="0" w:color="ADD6EA"/>
                              <w:left w:val="nil"/>
                              <w:bottom w:val="nil"/>
                              <w:right w:val="nil"/>
                            </w:tcBorders>
                            <w:shd w:val="clear" w:color="000000" w:fill="D6E7F0"/>
                            <w:noWrap/>
                            <w:vAlign w:val="bottom"/>
                            <w:hideMark/>
                          </w:tcPr>
                          <w:p w14:paraId="1BFC095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19,958</w:t>
                            </w:r>
                          </w:p>
                        </w:tc>
                        <w:tc>
                          <w:tcPr>
                            <w:tcW w:w="716" w:type="dxa"/>
                            <w:tcBorders>
                              <w:top w:val="single" w:sz="4" w:space="0" w:color="ADD6EA"/>
                              <w:left w:val="nil"/>
                              <w:bottom w:val="nil"/>
                              <w:right w:val="nil"/>
                            </w:tcBorders>
                            <w:shd w:val="clear" w:color="000000" w:fill="D6E7F0"/>
                            <w:noWrap/>
                            <w:vAlign w:val="bottom"/>
                            <w:hideMark/>
                          </w:tcPr>
                          <w:p w14:paraId="2EFFC472"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19,036</w:t>
                            </w:r>
                          </w:p>
                        </w:tc>
                        <w:tc>
                          <w:tcPr>
                            <w:tcW w:w="700" w:type="dxa"/>
                            <w:tcBorders>
                              <w:top w:val="single" w:sz="4" w:space="0" w:color="ADD6EA"/>
                              <w:left w:val="nil"/>
                              <w:bottom w:val="nil"/>
                              <w:right w:val="nil"/>
                            </w:tcBorders>
                            <w:shd w:val="clear" w:color="000000" w:fill="D6E7F0"/>
                            <w:noWrap/>
                            <w:vAlign w:val="bottom"/>
                            <w:hideMark/>
                          </w:tcPr>
                          <w:p w14:paraId="252021D5"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6,419</w:t>
                            </w:r>
                          </w:p>
                        </w:tc>
                        <w:tc>
                          <w:tcPr>
                            <w:tcW w:w="700" w:type="dxa"/>
                            <w:tcBorders>
                              <w:top w:val="single" w:sz="4" w:space="0" w:color="ADD6EA"/>
                              <w:left w:val="nil"/>
                              <w:bottom w:val="nil"/>
                              <w:right w:val="nil"/>
                            </w:tcBorders>
                            <w:shd w:val="clear" w:color="000000" w:fill="D6E7F0"/>
                            <w:noWrap/>
                            <w:vAlign w:val="bottom"/>
                            <w:hideMark/>
                          </w:tcPr>
                          <w:p w14:paraId="5CBEA8B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8,582</w:t>
                            </w:r>
                          </w:p>
                        </w:tc>
                        <w:tc>
                          <w:tcPr>
                            <w:tcW w:w="700" w:type="dxa"/>
                            <w:tcBorders>
                              <w:top w:val="single" w:sz="4" w:space="0" w:color="ADD6EA"/>
                              <w:left w:val="nil"/>
                              <w:bottom w:val="nil"/>
                              <w:right w:val="nil"/>
                            </w:tcBorders>
                            <w:shd w:val="clear" w:color="000000" w:fill="D6E7F0"/>
                            <w:noWrap/>
                            <w:vAlign w:val="bottom"/>
                            <w:hideMark/>
                          </w:tcPr>
                          <w:p w14:paraId="195C5BFD"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3,367</w:t>
                            </w:r>
                          </w:p>
                        </w:tc>
                        <w:tc>
                          <w:tcPr>
                            <w:tcW w:w="700" w:type="dxa"/>
                            <w:tcBorders>
                              <w:top w:val="single" w:sz="4" w:space="0" w:color="ADD6EA"/>
                              <w:left w:val="nil"/>
                              <w:bottom w:val="nil"/>
                              <w:right w:val="nil"/>
                            </w:tcBorders>
                            <w:shd w:val="clear" w:color="000000" w:fill="D6E7F0"/>
                            <w:noWrap/>
                            <w:vAlign w:val="bottom"/>
                            <w:hideMark/>
                          </w:tcPr>
                          <w:p w14:paraId="0741C005"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1,873</w:t>
                            </w:r>
                          </w:p>
                        </w:tc>
                        <w:tc>
                          <w:tcPr>
                            <w:tcW w:w="700" w:type="dxa"/>
                            <w:tcBorders>
                              <w:top w:val="single" w:sz="4" w:space="0" w:color="ADD6EA"/>
                              <w:left w:val="nil"/>
                              <w:bottom w:val="nil"/>
                              <w:right w:val="nil"/>
                            </w:tcBorders>
                            <w:shd w:val="clear" w:color="000000" w:fill="D6E7F0"/>
                            <w:noWrap/>
                            <w:vAlign w:val="bottom"/>
                            <w:hideMark/>
                          </w:tcPr>
                          <w:p w14:paraId="007041C2"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4,039</w:t>
                            </w:r>
                          </w:p>
                        </w:tc>
                        <w:tc>
                          <w:tcPr>
                            <w:tcW w:w="760" w:type="dxa"/>
                            <w:tcBorders>
                              <w:top w:val="single" w:sz="4" w:space="0" w:color="ADD6EA"/>
                              <w:left w:val="nil"/>
                              <w:bottom w:val="nil"/>
                              <w:right w:val="nil"/>
                            </w:tcBorders>
                            <w:shd w:val="clear" w:color="000000" w:fill="D6E7F0"/>
                            <w:noWrap/>
                            <w:vAlign w:val="bottom"/>
                            <w:hideMark/>
                          </w:tcPr>
                          <w:p w14:paraId="6D975CF5"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89,519</w:t>
                            </w:r>
                          </w:p>
                        </w:tc>
                      </w:tr>
                      <w:tr w:rsidR="0010699D" w:rsidRPr="0010699D" w14:paraId="42D3CE14"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47CA56BD" w14:textId="1A2D1569" w:rsidR="0010699D" w:rsidRPr="0010699D" w:rsidRDefault="0010699D" w:rsidP="0010699D">
                            <w:pPr>
                              <w:tabs>
                                <w:tab w:val="clear" w:pos="567"/>
                              </w:tabs>
                              <w:spacing w:before="0" w:line="240" w:lineRule="auto"/>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2024</w:t>
                            </w:r>
                            <w:r w:rsidR="00F74243">
                              <w:rPr>
                                <w:rFonts w:ascii="Open Sans Light" w:eastAsia="Times New Roman" w:hAnsi="Open Sans Light" w:cs="Open Sans Light"/>
                                <w:color w:val="000000"/>
                                <w:sz w:val="16"/>
                                <w:szCs w:val="16"/>
                                <w:lang w:eastAsia="en-AU"/>
                              </w:rPr>
                              <w:t>–</w:t>
                            </w:r>
                            <w:r w:rsidRPr="0010699D">
                              <w:rPr>
                                <w:rFonts w:ascii="Open Sans Light" w:eastAsia="Times New Roman" w:hAnsi="Open Sans Light" w:cs="Open Sans Light"/>
                                <w:color w:val="000000"/>
                                <w:sz w:val="16"/>
                                <w:szCs w:val="16"/>
                                <w:lang w:eastAsia="en-AU"/>
                              </w:rPr>
                              <w:t>25</w:t>
                            </w:r>
                          </w:p>
                        </w:tc>
                        <w:tc>
                          <w:tcPr>
                            <w:tcW w:w="716" w:type="dxa"/>
                            <w:tcBorders>
                              <w:top w:val="single" w:sz="4" w:space="0" w:color="ADD6EA"/>
                              <w:left w:val="nil"/>
                              <w:bottom w:val="nil"/>
                              <w:right w:val="nil"/>
                            </w:tcBorders>
                            <w:shd w:val="clear" w:color="auto" w:fill="auto"/>
                            <w:noWrap/>
                            <w:vAlign w:val="bottom"/>
                            <w:hideMark/>
                          </w:tcPr>
                          <w:p w14:paraId="386E663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noWrap/>
                            <w:vAlign w:val="bottom"/>
                            <w:hideMark/>
                          </w:tcPr>
                          <w:p w14:paraId="7E54A98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noWrap/>
                            <w:vAlign w:val="bottom"/>
                            <w:hideMark/>
                          </w:tcPr>
                          <w:p w14:paraId="10F9179C"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3F0B748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3582CD2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7605A7D6"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5204A5F1"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175EE94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60" w:type="dxa"/>
                            <w:tcBorders>
                              <w:top w:val="single" w:sz="4" w:space="0" w:color="ADD6EA"/>
                              <w:left w:val="nil"/>
                              <w:bottom w:val="nil"/>
                              <w:right w:val="nil"/>
                            </w:tcBorders>
                            <w:shd w:val="clear" w:color="auto" w:fill="auto"/>
                            <w:noWrap/>
                            <w:vAlign w:val="bottom"/>
                            <w:hideMark/>
                          </w:tcPr>
                          <w:p w14:paraId="2F28947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r>
                      <w:tr w:rsidR="0010699D" w:rsidRPr="0010699D" w14:paraId="054D767C"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5295A7FC"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Total GST distribution</w:t>
                            </w:r>
                          </w:p>
                        </w:tc>
                        <w:tc>
                          <w:tcPr>
                            <w:tcW w:w="716" w:type="dxa"/>
                            <w:tcBorders>
                              <w:top w:val="single" w:sz="4" w:space="0" w:color="ADD6EA"/>
                              <w:left w:val="nil"/>
                              <w:bottom w:val="nil"/>
                              <w:right w:val="nil"/>
                            </w:tcBorders>
                            <w:shd w:val="clear" w:color="auto" w:fill="auto"/>
                            <w:noWrap/>
                            <w:vAlign w:val="bottom"/>
                            <w:hideMark/>
                          </w:tcPr>
                          <w:p w14:paraId="525A5CC4"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24,224</w:t>
                            </w:r>
                          </w:p>
                        </w:tc>
                        <w:tc>
                          <w:tcPr>
                            <w:tcW w:w="716" w:type="dxa"/>
                            <w:tcBorders>
                              <w:top w:val="single" w:sz="4" w:space="0" w:color="ADD6EA"/>
                              <w:left w:val="nil"/>
                              <w:bottom w:val="nil"/>
                              <w:right w:val="nil"/>
                            </w:tcBorders>
                            <w:shd w:val="clear" w:color="auto" w:fill="auto"/>
                            <w:noWrap/>
                            <w:vAlign w:val="bottom"/>
                            <w:hideMark/>
                          </w:tcPr>
                          <w:p w14:paraId="6FA5AC7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22,227</w:t>
                            </w:r>
                          </w:p>
                        </w:tc>
                        <w:tc>
                          <w:tcPr>
                            <w:tcW w:w="716" w:type="dxa"/>
                            <w:tcBorders>
                              <w:top w:val="single" w:sz="4" w:space="0" w:color="ADD6EA"/>
                              <w:left w:val="nil"/>
                              <w:bottom w:val="nil"/>
                              <w:right w:val="nil"/>
                            </w:tcBorders>
                            <w:shd w:val="clear" w:color="auto" w:fill="auto"/>
                            <w:noWrap/>
                            <w:vAlign w:val="bottom"/>
                            <w:hideMark/>
                          </w:tcPr>
                          <w:p w14:paraId="41D5FBDD"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17,460</w:t>
                            </w:r>
                          </w:p>
                        </w:tc>
                        <w:tc>
                          <w:tcPr>
                            <w:tcW w:w="700" w:type="dxa"/>
                            <w:tcBorders>
                              <w:top w:val="single" w:sz="4" w:space="0" w:color="ADD6EA"/>
                              <w:left w:val="nil"/>
                              <w:bottom w:val="nil"/>
                              <w:right w:val="nil"/>
                            </w:tcBorders>
                            <w:shd w:val="clear" w:color="auto" w:fill="auto"/>
                            <w:noWrap/>
                            <w:vAlign w:val="bottom"/>
                            <w:hideMark/>
                          </w:tcPr>
                          <w:p w14:paraId="492C34C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7,257</w:t>
                            </w:r>
                          </w:p>
                        </w:tc>
                        <w:tc>
                          <w:tcPr>
                            <w:tcW w:w="700" w:type="dxa"/>
                            <w:tcBorders>
                              <w:top w:val="single" w:sz="4" w:space="0" w:color="ADD6EA"/>
                              <w:left w:val="nil"/>
                              <w:bottom w:val="nil"/>
                              <w:right w:val="nil"/>
                            </w:tcBorders>
                            <w:shd w:val="clear" w:color="auto" w:fill="auto"/>
                            <w:noWrap/>
                            <w:vAlign w:val="bottom"/>
                            <w:hideMark/>
                          </w:tcPr>
                          <w:p w14:paraId="3FF0F0C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8,671</w:t>
                            </w:r>
                          </w:p>
                        </w:tc>
                        <w:tc>
                          <w:tcPr>
                            <w:tcW w:w="700" w:type="dxa"/>
                            <w:tcBorders>
                              <w:top w:val="single" w:sz="4" w:space="0" w:color="ADD6EA"/>
                              <w:left w:val="nil"/>
                              <w:bottom w:val="nil"/>
                              <w:right w:val="nil"/>
                            </w:tcBorders>
                            <w:shd w:val="clear" w:color="auto" w:fill="auto"/>
                            <w:noWrap/>
                            <w:vAlign w:val="bottom"/>
                            <w:hideMark/>
                          </w:tcPr>
                          <w:p w14:paraId="19512D1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3,476</w:t>
                            </w:r>
                          </w:p>
                        </w:tc>
                        <w:tc>
                          <w:tcPr>
                            <w:tcW w:w="700" w:type="dxa"/>
                            <w:tcBorders>
                              <w:top w:val="single" w:sz="4" w:space="0" w:color="ADD6EA"/>
                              <w:left w:val="nil"/>
                              <w:bottom w:val="nil"/>
                              <w:right w:val="nil"/>
                            </w:tcBorders>
                            <w:shd w:val="clear" w:color="auto" w:fill="auto"/>
                            <w:noWrap/>
                            <w:vAlign w:val="bottom"/>
                            <w:hideMark/>
                          </w:tcPr>
                          <w:p w14:paraId="5A3C0421"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1,889</w:t>
                            </w:r>
                          </w:p>
                        </w:tc>
                        <w:tc>
                          <w:tcPr>
                            <w:tcW w:w="700" w:type="dxa"/>
                            <w:tcBorders>
                              <w:top w:val="single" w:sz="4" w:space="0" w:color="ADD6EA"/>
                              <w:left w:val="nil"/>
                              <w:bottom w:val="nil"/>
                              <w:right w:val="nil"/>
                            </w:tcBorders>
                            <w:shd w:val="clear" w:color="auto" w:fill="auto"/>
                            <w:noWrap/>
                            <w:vAlign w:val="bottom"/>
                            <w:hideMark/>
                          </w:tcPr>
                          <w:p w14:paraId="4B773CFB"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4,257</w:t>
                            </w:r>
                          </w:p>
                        </w:tc>
                        <w:tc>
                          <w:tcPr>
                            <w:tcW w:w="760" w:type="dxa"/>
                            <w:tcBorders>
                              <w:top w:val="single" w:sz="4" w:space="0" w:color="ADD6EA"/>
                              <w:left w:val="nil"/>
                              <w:bottom w:val="nil"/>
                              <w:right w:val="nil"/>
                            </w:tcBorders>
                            <w:shd w:val="clear" w:color="auto" w:fill="auto"/>
                            <w:noWrap/>
                            <w:vAlign w:val="bottom"/>
                            <w:hideMark/>
                          </w:tcPr>
                          <w:p w14:paraId="386B3E9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89,462</w:t>
                            </w:r>
                          </w:p>
                        </w:tc>
                      </w:tr>
                      <w:tr w:rsidR="0010699D" w:rsidRPr="0010699D" w14:paraId="52F259D3"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07C7330A"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No worse off payments</w:t>
                            </w:r>
                          </w:p>
                        </w:tc>
                        <w:tc>
                          <w:tcPr>
                            <w:tcW w:w="716" w:type="dxa"/>
                            <w:tcBorders>
                              <w:top w:val="single" w:sz="4" w:space="0" w:color="ADD6EA"/>
                              <w:left w:val="nil"/>
                              <w:bottom w:val="nil"/>
                              <w:right w:val="nil"/>
                            </w:tcBorders>
                            <w:shd w:val="clear" w:color="auto" w:fill="auto"/>
                            <w:noWrap/>
                            <w:vAlign w:val="bottom"/>
                            <w:hideMark/>
                          </w:tcPr>
                          <w:p w14:paraId="7FFDBEC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1,833</w:t>
                            </w:r>
                          </w:p>
                        </w:tc>
                        <w:tc>
                          <w:tcPr>
                            <w:tcW w:w="716" w:type="dxa"/>
                            <w:tcBorders>
                              <w:top w:val="single" w:sz="4" w:space="0" w:color="ADD6EA"/>
                              <w:left w:val="nil"/>
                              <w:bottom w:val="nil"/>
                              <w:right w:val="nil"/>
                            </w:tcBorders>
                            <w:shd w:val="clear" w:color="auto" w:fill="auto"/>
                            <w:noWrap/>
                            <w:vAlign w:val="bottom"/>
                            <w:hideMark/>
                          </w:tcPr>
                          <w:p w14:paraId="448BCDD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1,513</w:t>
                            </w:r>
                          </w:p>
                        </w:tc>
                        <w:tc>
                          <w:tcPr>
                            <w:tcW w:w="716" w:type="dxa"/>
                            <w:tcBorders>
                              <w:top w:val="single" w:sz="4" w:space="0" w:color="ADD6EA"/>
                              <w:left w:val="nil"/>
                              <w:bottom w:val="nil"/>
                              <w:right w:val="nil"/>
                            </w:tcBorders>
                            <w:shd w:val="clear" w:color="auto" w:fill="auto"/>
                            <w:noWrap/>
                            <w:vAlign w:val="bottom"/>
                            <w:hideMark/>
                          </w:tcPr>
                          <w:p w14:paraId="4263FE14"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1,192</w:t>
                            </w:r>
                          </w:p>
                        </w:tc>
                        <w:tc>
                          <w:tcPr>
                            <w:tcW w:w="700" w:type="dxa"/>
                            <w:tcBorders>
                              <w:top w:val="single" w:sz="4" w:space="0" w:color="ADD6EA"/>
                              <w:left w:val="nil"/>
                              <w:bottom w:val="nil"/>
                              <w:right w:val="nil"/>
                            </w:tcBorders>
                            <w:shd w:val="clear" w:color="auto" w:fill="auto"/>
                            <w:noWrap/>
                            <w:vAlign w:val="bottom"/>
                            <w:hideMark/>
                          </w:tcPr>
                          <w:p w14:paraId="11172AB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bottom"/>
                            <w:hideMark/>
                          </w:tcPr>
                          <w:p w14:paraId="40CEAC6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393</w:t>
                            </w:r>
                          </w:p>
                        </w:tc>
                        <w:tc>
                          <w:tcPr>
                            <w:tcW w:w="700" w:type="dxa"/>
                            <w:tcBorders>
                              <w:top w:val="single" w:sz="4" w:space="0" w:color="ADD6EA"/>
                              <w:left w:val="nil"/>
                              <w:bottom w:val="nil"/>
                              <w:right w:val="nil"/>
                            </w:tcBorders>
                            <w:shd w:val="clear" w:color="auto" w:fill="auto"/>
                            <w:noWrap/>
                            <w:vAlign w:val="bottom"/>
                            <w:hideMark/>
                          </w:tcPr>
                          <w:p w14:paraId="53BA0520"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117</w:t>
                            </w:r>
                          </w:p>
                        </w:tc>
                        <w:tc>
                          <w:tcPr>
                            <w:tcW w:w="700" w:type="dxa"/>
                            <w:tcBorders>
                              <w:top w:val="single" w:sz="4" w:space="0" w:color="ADD6EA"/>
                              <w:left w:val="nil"/>
                              <w:bottom w:val="nil"/>
                              <w:right w:val="nil"/>
                            </w:tcBorders>
                            <w:shd w:val="clear" w:color="auto" w:fill="auto"/>
                            <w:noWrap/>
                            <w:vAlign w:val="bottom"/>
                            <w:hideMark/>
                          </w:tcPr>
                          <w:p w14:paraId="22637E8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101</w:t>
                            </w:r>
                          </w:p>
                        </w:tc>
                        <w:tc>
                          <w:tcPr>
                            <w:tcW w:w="700" w:type="dxa"/>
                            <w:tcBorders>
                              <w:top w:val="single" w:sz="4" w:space="0" w:color="ADD6EA"/>
                              <w:left w:val="nil"/>
                              <w:bottom w:val="nil"/>
                              <w:right w:val="nil"/>
                            </w:tcBorders>
                            <w:shd w:val="clear" w:color="auto" w:fill="auto"/>
                            <w:noWrap/>
                            <w:vAlign w:val="bottom"/>
                            <w:hideMark/>
                          </w:tcPr>
                          <w:p w14:paraId="5DFAF6E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39</w:t>
                            </w:r>
                          </w:p>
                        </w:tc>
                        <w:tc>
                          <w:tcPr>
                            <w:tcW w:w="760" w:type="dxa"/>
                            <w:tcBorders>
                              <w:top w:val="single" w:sz="4" w:space="0" w:color="ADD6EA"/>
                              <w:left w:val="nil"/>
                              <w:bottom w:val="nil"/>
                              <w:right w:val="nil"/>
                            </w:tcBorders>
                            <w:shd w:val="clear" w:color="auto" w:fill="auto"/>
                            <w:noWrap/>
                            <w:vAlign w:val="bottom"/>
                            <w:hideMark/>
                          </w:tcPr>
                          <w:p w14:paraId="7FE0177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5,188</w:t>
                            </w:r>
                          </w:p>
                        </w:tc>
                      </w:tr>
                      <w:tr w:rsidR="0010699D" w:rsidRPr="0010699D" w14:paraId="7E401CC7" w14:textId="77777777" w:rsidTr="0010699D">
                        <w:trPr>
                          <w:trHeight w:val="315"/>
                        </w:trPr>
                        <w:tc>
                          <w:tcPr>
                            <w:tcW w:w="2512" w:type="dxa"/>
                            <w:tcBorders>
                              <w:top w:val="single" w:sz="4" w:space="0" w:color="ADD6EA"/>
                              <w:left w:val="nil"/>
                              <w:bottom w:val="nil"/>
                              <w:right w:val="nil"/>
                            </w:tcBorders>
                            <w:shd w:val="clear" w:color="000000" w:fill="D6E7F0"/>
                            <w:vAlign w:val="bottom"/>
                            <w:hideMark/>
                          </w:tcPr>
                          <w:p w14:paraId="366CC2B4" w14:textId="3FD03BE3" w:rsidR="0010699D" w:rsidRPr="0010699D" w:rsidRDefault="004411A0" w:rsidP="004411A0">
                            <w:pPr>
                              <w:tabs>
                                <w:tab w:val="clear" w:pos="567"/>
                              </w:tabs>
                              <w:spacing w:before="0" w:line="240" w:lineRule="auto"/>
                              <w:ind w:firstLineChars="100" w:firstLine="16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w:t>
                            </w:r>
                          </w:p>
                        </w:tc>
                        <w:tc>
                          <w:tcPr>
                            <w:tcW w:w="716" w:type="dxa"/>
                            <w:tcBorders>
                              <w:top w:val="single" w:sz="4" w:space="0" w:color="ADD6EA"/>
                              <w:left w:val="nil"/>
                              <w:bottom w:val="nil"/>
                              <w:right w:val="nil"/>
                            </w:tcBorders>
                            <w:shd w:val="clear" w:color="000000" w:fill="D6E7F0"/>
                            <w:noWrap/>
                            <w:vAlign w:val="bottom"/>
                            <w:hideMark/>
                          </w:tcPr>
                          <w:p w14:paraId="05763F12"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26,058</w:t>
                            </w:r>
                          </w:p>
                        </w:tc>
                        <w:tc>
                          <w:tcPr>
                            <w:tcW w:w="716" w:type="dxa"/>
                            <w:tcBorders>
                              <w:top w:val="single" w:sz="4" w:space="0" w:color="ADD6EA"/>
                              <w:left w:val="nil"/>
                              <w:bottom w:val="nil"/>
                              <w:right w:val="nil"/>
                            </w:tcBorders>
                            <w:shd w:val="clear" w:color="000000" w:fill="D6E7F0"/>
                            <w:noWrap/>
                            <w:vAlign w:val="bottom"/>
                            <w:hideMark/>
                          </w:tcPr>
                          <w:p w14:paraId="245E5A8D"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23,740</w:t>
                            </w:r>
                          </w:p>
                        </w:tc>
                        <w:tc>
                          <w:tcPr>
                            <w:tcW w:w="716" w:type="dxa"/>
                            <w:tcBorders>
                              <w:top w:val="single" w:sz="4" w:space="0" w:color="ADD6EA"/>
                              <w:left w:val="nil"/>
                              <w:bottom w:val="nil"/>
                              <w:right w:val="nil"/>
                            </w:tcBorders>
                            <w:shd w:val="clear" w:color="000000" w:fill="D6E7F0"/>
                            <w:noWrap/>
                            <w:vAlign w:val="bottom"/>
                            <w:hideMark/>
                          </w:tcPr>
                          <w:p w14:paraId="52C491DD"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18,652</w:t>
                            </w:r>
                          </w:p>
                        </w:tc>
                        <w:tc>
                          <w:tcPr>
                            <w:tcW w:w="700" w:type="dxa"/>
                            <w:tcBorders>
                              <w:top w:val="single" w:sz="4" w:space="0" w:color="ADD6EA"/>
                              <w:left w:val="nil"/>
                              <w:bottom w:val="nil"/>
                              <w:right w:val="nil"/>
                            </w:tcBorders>
                            <w:shd w:val="clear" w:color="000000" w:fill="D6E7F0"/>
                            <w:noWrap/>
                            <w:vAlign w:val="bottom"/>
                            <w:hideMark/>
                          </w:tcPr>
                          <w:p w14:paraId="5A1C9F6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7,257</w:t>
                            </w:r>
                          </w:p>
                        </w:tc>
                        <w:tc>
                          <w:tcPr>
                            <w:tcW w:w="700" w:type="dxa"/>
                            <w:tcBorders>
                              <w:top w:val="single" w:sz="4" w:space="0" w:color="ADD6EA"/>
                              <w:left w:val="nil"/>
                              <w:bottom w:val="nil"/>
                              <w:right w:val="nil"/>
                            </w:tcBorders>
                            <w:shd w:val="clear" w:color="000000" w:fill="D6E7F0"/>
                            <w:noWrap/>
                            <w:vAlign w:val="bottom"/>
                            <w:hideMark/>
                          </w:tcPr>
                          <w:p w14:paraId="171D182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9,063</w:t>
                            </w:r>
                          </w:p>
                        </w:tc>
                        <w:tc>
                          <w:tcPr>
                            <w:tcW w:w="700" w:type="dxa"/>
                            <w:tcBorders>
                              <w:top w:val="single" w:sz="4" w:space="0" w:color="ADD6EA"/>
                              <w:left w:val="nil"/>
                              <w:bottom w:val="nil"/>
                              <w:right w:val="nil"/>
                            </w:tcBorders>
                            <w:shd w:val="clear" w:color="000000" w:fill="D6E7F0"/>
                            <w:noWrap/>
                            <w:vAlign w:val="bottom"/>
                            <w:hideMark/>
                          </w:tcPr>
                          <w:p w14:paraId="5233634F"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3,593</w:t>
                            </w:r>
                          </w:p>
                        </w:tc>
                        <w:tc>
                          <w:tcPr>
                            <w:tcW w:w="700" w:type="dxa"/>
                            <w:tcBorders>
                              <w:top w:val="single" w:sz="4" w:space="0" w:color="ADD6EA"/>
                              <w:left w:val="nil"/>
                              <w:bottom w:val="nil"/>
                              <w:right w:val="nil"/>
                            </w:tcBorders>
                            <w:shd w:val="clear" w:color="000000" w:fill="D6E7F0"/>
                            <w:noWrap/>
                            <w:vAlign w:val="bottom"/>
                            <w:hideMark/>
                          </w:tcPr>
                          <w:p w14:paraId="1875A5D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1,990</w:t>
                            </w:r>
                          </w:p>
                        </w:tc>
                        <w:tc>
                          <w:tcPr>
                            <w:tcW w:w="700" w:type="dxa"/>
                            <w:tcBorders>
                              <w:top w:val="single" w:sz="4" w:space="0" w:color="ADD6EA"/>
                              <w:left w:val="nil"/>
                              <w:bottom w:val="nil"/>
                              <w:right w:val="nil"/>
                            </w:tcBorders>
                            <w:shd w:val="clear" w:color="000000" w:fill="D6E7F0"/>
                            <w:noWrap/>
                            <w:vAlign w:val="bottom"/>
                            <w:hideMark/>
                          </w:tcPr>
                          <w:p w14:paraId="74670DC7"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4,296</w:t>
                            </w:r>
                          </w:p>
                        </w:tc>
                        <w:tc>
                          <w:tcPr>
                            <w:tcW w:w="760" w:type="dxa"/>
                            <w:tcBorders>
                              <w:top w:val="single" w:sz="4" w:space="0" w:color="ADD6EA"/>
                              <w:left w:val="nil"/>
                              <w:bottom w:val="nil"/>
                              <w:right w:val="nil"/>
                            </w:tcBorders>
                            <w:shd w:val="clear" w:color="000000" w:fill="D6E7F0"/>
                            <w:noWrap/>
                            <w:vAlign w:val="bottom"/>
                            <w:hideMark/>
                          </w:tcPr>
                          <w:p w14:paraId="308876B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94,649</w:t>
                            </w:r>
                          </w:p>
                        </w:tc>
                      </w:tr>
                      <w:tr w:rsidR="0010699D" w:rsidRPr="0010699D" w14:paraId="2F21B7F6"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7C9D029D" w14:textId="77777777" w:rsidR="0010699D" w:rsidRPr="0010699D" w:rsidRDefault="0010699D" w:rsidP="0010699D">
                            <w:pPr>
                              <w:tabs>
                                <w:tab w:val="clear" w:pos="567"/>
                              </w:tabs>
                              <w:spacing w:before="0" w:line="240" w:lineRule="auto"/>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xml:space="preserve">Difference </w:t>
                            </w:r>
                          </w:p>
                        </w:tc>
                        <w:tc>
                          <w:tcPr>
                            <w:tcW w:w="716" w:type="dxa"/>
                            <w:tcBorders>
                              <w:top w:val="single" w:sz="4" w:space="0" w:color="ADD6EA"/>
                              <w:left w:val="nil"/>
                              <w:bottom w:val="nil"/>
                              <w:right w:val="nil"/>
                            </w:tcBorders>
                            <w:shd w:val="clear" w:color="auto" w:fill="auto"/>
                            <w:vAlign w:val="bottom"/>
                            <w:hideMark/>
                          </w:tcPr>
                          <w:p w14:paraId="2E7A38D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vAlign w:val="bottom"/>
                            <w:hideMark/>
                          </w:tcPr>
                          <w:p w14:paraId="21E3A16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16" w:type="dxa"/>
                            <w:tcBorders>
                              <w:top w:val="single" w:sz="4" w:space="0" w:color="ADD6EA"/>
                              <w:left w:val="nil"/>
                              <w:bottom w:val="nil"/>
                              <w:right w:val="nil"/>
                            </w:tcBorders>
                            <w:shd w:val="clear" w:color="auto" w:fill="auto"/>
                            <w:vAlign w:val="bottom"/>
                            <w:hideMark/>
                          </w:tcPr>
                          <w:p w14:paraId="34B35AE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5FB27CF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5D71335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5ACCB853"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7AC828CE"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6BD2732D"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c>
                          <w:tcPr>
                            <w:tcW w:w="760" w:type="dxa"/>
                            <w:tcBorders>
                              <w:top w:val="single" w:sz="4" w:space="0" w:color="ADD6EA"/>
                              <w:left w:val="nil"/>
                              <w:bottom w:val="nil"/>
                              <w:right w:val="nil"/>
                            </w:tcBorders>
                            <w:shd w:val="clear" w:color="auto" w:fill="auto"/>
                            <w:vAlign w:val="bottom"/>
                            <w:hideMark/>
                          </w:tcPr>
                          <w:p w14:paraId="0399676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 </w:t>
                            </w:r>
                          </w:p>
                        </w:tc>
                      </w:tr>
                      <w:tr w:rsidR="0010699D" w:rsidRPr="0010699D" w14:paraId="1AD79AFF"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3B9B1968"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GST distribution</w:t>
                            </w:r>
                          </w:p>
                        </w:tc>
                        <w:tc>
                          <w:tcPr>
                            <w:tcW w:w="716" w:type="dxa"/>
                            <w:tcBorders>
                              <w:top w:val="single" w:sz="4" w:space="0" w:color="ADD6EA"/>
                              <w:left w:val="nil"/>
                              <w:bottom w:val="nil"/>
                              <w:right w:val="nil"/>
                            </w:tcBorders>
                            <w:shd w:val="clear" w:color="auto" w:fill="auto"/>
                            <w:noWrap/>
                            <w:vAlign w:val="bottom"/>
                            <w:hideMark/>
                          </w:tcPr>
                          <w:p w14:paraId="482A77BC"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-310</w:t>
                            </w:r>
                          </w:p>
                        </w:tc>
                        <w:tc>
                          <w:tcPr>
                            <w:tcW w:w="716" w:type="dxa"/>
                            <w:tcBorders>
                              <w:top w:val="single" w:sz="4" w:space="0" w:color="ADD6EA"/>
                              <w:left w:val="nil"/>
                              <w:bottom w:val="nil"/>
                              <w:right w:val="nil"/>
                            </w:tcBorders>
                            <w:shd w:val="clear" w:color="auto" w:fill="auto"/>
                            <w:noWrap/>
                            <w:vAlign w:val="bottom"/>
                            <w:hideMark/>
                          </w:tcPr>
                          <w:p w14:paraId="20402FAE"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3,686</w:t>
                            </w:r>
                          </w:p>
                        </w:tc>
                        <w:tc>
                          <w:tcPr>
                            <w:tcW w:w="716" w:type="dxa"/>
                            <w:tcBorders>
                              <w:top w:val="single" w:sz="4" w:space="0" w:color="ADD6EA"/>
                              <w:left w:val="nil"/>
                              <w:bottom w:val="nil"/>
                              <w:right w:val="nil"/>
                            </w:tcBorders>
                            <w:shd w:val="clear" w:color="auto" w:fill="auto"/>
                            <w:noWrap/>
                            <w:vAlign w:val="bottom"/>
                            <w:hideMark/>
                          </w:tcPr>
                          <w:p w14:paraId="5971EB8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-469</w:t>
                            </w:r>
                          </w:p>
                        </w:tc>
                        <w:tc>
                          <w:tcPr>
                            <w:tcW w:w="700" w:type="dxa"/>
                            <w:tcBorders>
                              <w:top w:val="single" w:sz="4" w:space="0" w:color="ADD6EA"/>
                              <w:left w:val="nil"/>
                              <w:bottom w:val="nil"/>
                              <w:right w:val="nil"/>
                            </w:tcBorders>
                            <w:shd w:val="clear" w:color="auto" w:fill="auto"/>
                            <w:noWrap/>
                            <w:vAlign w:val="bottom"/>
                            <w:hideMark/>
                          </w:tcPr>
                          <w:p w14:paraId="026527D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838</w:t>
                            </w:r>
                          </w:p>
                        </w:tc>
                        <w:tc>
                          <w:tcPr>
                            <w:tcW w:w="700" w:type="dxa"/>
                            <w:tcBorders>
                              <w:top w:val="single" w:sz="4" w:space="0" w:color="ADD6EA"/>
                              <w:left w:val="nil"/>
                              <w:bottom w:val="nil"/>
                              <w:right w:val="nil"/>
                            </w:tcBorders>
                            <w:shd w:val="clear" w:color="auto" w:fill="auto"/>
                            <w:noWrap/>
                            <w:vAlign w:val="bottom"/>
                            <w:hideMark/>
                          </w:tcPr>
                          <w:p w14:paraId="7DB5DA0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457</w:t>
                            </w:r>
                          </w:p>
                        </w:tc>
                        <w:tc>
                          <w:tcPr>
                            <w:tcW w:w="700" w:type="dxa"/>
                            <w:tcBorders>
                              <w:top w:val="single" w:sz="4" w:space="0" w:color="ADD6EA"/>
                              <w:left w:val="nil"/>
                              <w:bottom w:val="nil"/>
                              <w:right w:val="nil"/>
                            </w:tcBorders>
                            <w:shd w:val="clear" w:color="auto" w:fill="auto"/>
                            <w:noWrap/>
                            <w:vAlign w:val="bottom"/>
                            <w:hideMark/>
                          </w:tcPr>
                          <w:p w14:paraId="447A8C4C"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219</w:t>
                            </w:r>
                          </w:p>
                        </w:tc>
                        <w:tc>
                          <w:tcPr>
                            <w:tcW w:w="700" w:type="dxa"/>
                            <w:tcBorders>
                              <w:top w:val="single" w:sz="4" w:space="0" w:color="ADD6EA"/>
                              <w:left w:val="nil"/>
                              <w:bottom w:val="nil"/>
                              <w:right w:val="nil"/>
                            </w:tcBorders>
                            <w:shd w:val="clear" w:color="auto" w:fill="auto"/>
                            <w:noWrap/>
                            <w:vAlign w:val="bottom"/>
                            <w:hideMark/>
                          </w:tcPr>
                          <w:p w14:paraId="2C65284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111</w:t>
                            </w:r>
                          </w:p>
                        </w:tc>
                        <w:tc>
                          <w:tcPr>
                            <w:tcW w:w="700" w:type="dxa"/>
                            <w:tcBorders>
                              <w:top w:val="single" w:sz="4" w:space="0" w:color="ADD6EA"/>
                              <w:left w:val="nil"/>
                              <w:bottom w:val="nil"/>
                              <w:right w:val="nil"/>
                            </w:tcBorders>
                            <w:shd w:val="clear" w:color="auto" w:fill="auto"/>
                            <w:noWrap/>
                            <w:vAlign w:val="bottom"/>
                            <w:hideMark/>
                          </w:tcPr>
                          <w:p w14:paraId="3FC748D8"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256</w:t>
                            </w:r>
                          </w:p>
                        </w:tc>
                        <w:tc>
                          <w:tcPr>
                            <w:tcW w:w="760" w:type="dxa"/>
                            <w:tcBorders>
                              <w:top w:val="single" w:sz="4" w:space="0" w:color="ADD6EA"/>
                              <w:left w:val="nil"/>
                              <w:bottom w:val="nil"/>
                              <w:right w:val="nil"/>
                            </w:tcBorders>
                            <w:shd w:val="clear" w:color="auto" w:fill="auto"/>
                            <w:noWrap/>
                            <w:vAlign w:val="bottom"/>
                            <w:hideMark/>
                          </w:tcPr>
                          <w:p w14:paraId="5B425584"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4,787</w:t>
                            </w:r>
                          </w:p>
                        </w:tc>
                      </w:tr>
                      <w:tr w:rsidR="0010699D" w:rsidRPr="0010699D" w14:paraId="65E05509" w14:textId="77777777" w:rsidTr="0010699D">
                        <w:trPr>
                          <w:trHeight w:val="315"/>
                        </w:trPr>
                        <w:tc>
                          <w:tcPr>
                            <w:tcW w:w="2512" w:type="dxa"/>
                            <w:tcBorders>
                              <w:top w:val="single" w:sz="4" w:space="0" w:color="ADD6EA"/>
                              <w:left w:val="nil"/>
                              <w:bottom w:val="nil"/>
                              <w:right w:val="nil"/>
                            </w:tcBorders>
                            <w:shd w:val="clear" w:color="auto" w:fill="auto"/>
                            <w:vAlign w:val="bottom"/>
                            <w:hideMark/>
                          </w:tcPr>
                          <w:p w14:paraId="5C61EDA5" w14:textId="77777777" w:rsidR="0010699D" w:rsidRPr="0010699D" w:rsidRDefault="0010699D" w:rsidP="0010699D">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No worse off payments</w:t>
                            </w:r>
                          </w:p>
                        </w:tc>
                        <w:tc>
                          <w:tcPr>
                            <w:tcW w:w="716" w:type="dxa"/>
                            <w:tcBorders>
                              <w:top w:val="single" w:sz="4" w:space="0" w:color="ADD6EA"/>
                              <w:left w:val="nil"/>
                              <w:bottom w:val="nil"/>
                              <w:right w:val="nil"/>
                            </w:tcBorders>
                            <w:shd w:val="clear" w:color="auto" w:fill="auto"/>
                            <w:noWrap/>
                            <w:vAlign w:val="bottom"/>
                            <w:hideMark/>
                          </w:tcPr>
                          <w:p w14:paraId="33E6B7F2"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122</w:t>
                            </w:r>
                          </w:p>
                        </w:tc>
                        <w:tc>
                          <w:tcPr>
                            <w:tcW w:w="716" w:type="dxa"/>
                            <w:tcBorders>
                              <w:top w:val="single" w:sz="4" w:space="0" w:color="ADD6EA"/>
                              <w:left w:val="nil"/>
                              <w:bottom w:val="nil"/>
                              <w:right w:val="nil"/>
                            </w:tcBorders>
                            <w:shd w:val="clear" w:color="auto" w:fill="auto"/>
                            <w:noWrap/>
                            <w:vAlign w:val="bottom"/>
                            <w:hideMark/>
                          </w:tcPr>
                          <w:p w14:paraId="352B930F"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96</w:t>
                            </w:r>
                          </w:p>
                        </w:tc>
                        <w:tc>
                          <w:tcPr>
                            <w:tcW w:w="716" w:type="dxa"/>
                            <w:tcBorders>
                              <w:top w:val="single" w:sz="4" w:space="0" w:color="ADD6EA"/>
                              <w:left w:val="nil"/>
                              <w:bottom w:val="nil"/>
                              <w:right w:val="nil"/>
                            </w:tcBorders>
                            <w:shd w:val="clear" w:color="auto" w:fill="auto"/>
                            <w:noWrap/>
                            <w:vAlign w:val="bottom"/>
                            <w:hideMark/>
                          </w:tcPr>
                          <w:p w14:paraId="63B57F9D"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85</w:t>
                            </w:r>
                          </w:p>
                        </w:tc>
                        <w:tc>
                          <w:tcPr>
                            <w:tcW w:w="700" w:type="dxa"/>
                            <w:tcBorders>
                              <w:top w:val="single" w:sz="4" w:space="0" w:color="ADD6EA"/>
                              <w:left w:val="nil"/>
                              <w:bottom w:val="nil"/>
                              <w:right w:val="nil"/>
                            </w:tcBorders>
                            <w:shd w:val="clear" w:color="auto" w:fill="auto"/>
                            <w:noWrap/>
                            <w:vAlign w:val="bottom"/>
                            <w:hideMark/>
                          </w:tcPr>
                          <w:p w14:paraId="44ED89B8"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bottom"/>
                            <w:hideMark/>
                          </w:tcPr>
                          <w:p w14:paraId="67C92FF5"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25</w:t>
                            </w:r>
                          </w:p>
                        </w:tc>
                        <w:tc>
                          <w:tcPr>
                            <w:tcW w:w="700" w:type="dxa"/>
                            <w:tcBorders>
                              <w:top w:val="single" w:sz="4" w:space="0" w:color="ADD6EA"/>
                              <w:left w:val="nil"/>
                              <w:bottom w:val="nil"/>
                              <w:right w:val="nil"/>
                            </w:tcBorders>
                            <w:shd w:val="clear" w:color="auto" w:fill="auto"/>
                            <w:noWrap/>
                            <w:vAlign w:val="bottom"/>
                            <w:hideMark/>
                          </w:tcPr>
                          <w:p w14:paraId="2C41BB3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7</w:t>
                            </w:r>
                          </w:p>
                        </w:tc>
                        <w:tc>
                          <w:tcPr>
                            <w:tcW w:w="700" w:type="dxa"/>
                            <w:tcBorders>
                              <w:top w:val="single" w:sz="4" w:space="0" w:color="ADD6EA"/>
                              <w:left w:val="nil"/>
                              <w:bottom w:val="nil"/>
                              <w:right w:val="nil"/>
                            </w:tcBorders>
                            <w:shd w:val="clear" w:color="auto" w:fill="auto"/>
                            <w:noWrap/>
                            <w:vAlign w:val="bottom"/>
                            <w:hideMark/>
                          </w:tcPr>
                          <w:p w14:paraId="70B83EC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7</w:t>
                            </w:r>
                          </w:p>
                        </w:tc>
                        <w:tc>
                          <w:tcPr>
                            <w:tcW w:w="700" w:type="dxa"/>
                            <w:tcBorders>
                              <w:top w:val="single" w:sz="4" w:space="0" w:color="ADD6EA"/>
                              <w:left w:val="nil"/>
                              <w:bottom w:val="nil"/>
                              <w:right w:val="nil"/>
                            </w:tcBorders>
                            <w:shd w:val="clear" w:color="auto" w:fill="auto"/>
                            <w:noWrap/>
                            <w:vAlign w:val="bottom"/>
                            <w:hideMark/>
                          </w:tcPr>
                          <w:p w14:paraId="674DB75A"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2</w:t>
                            </w:r>
                          </w:p>
                        </w:tc>
                        <w:tc>
                          <w:tcPr>
                            <w:tcW w:w="760" w:type="dxa"/>
                            <w:tcBorders>
                              <w:top w:val="single" w:sz="4" w:space="0" w:color="ADD6EA"/>
                              <w:left w:val="nil"/>
                              <w:bottom w:val="nil"/>
                              <w:right w:val="nil"/>
                            </w:tcBorders>
                            <w:shd w:val="clear" w:color="auto" w:fill="auto"/>
                            <w:noWrap/>
                            <w:vAlign w:val="bottom"/>
                            <w:hideMark/>
                          </w:tcPr>
                          <w:p w14:paraId="2B7FEE29" w14:textId="77777777" w:rsidR="0010699D" w:rsidRPr="0010699D" w:rsidRDefault="0010699D" w:rsidP="0010699D">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0699D">
                              <w:rPr>
                                <w:rFonts w:ascii="Open Sans Light" w:eastAsia="Times New Roman" w:hAnsi="Open Sans Light" w:cs="Open Sans Light"/>
                                <w:color w:val="000000"/>
                                <w:sz w:val="16"/>
                                <w:szCs w:val="16"/>
                                <w:lang w:eastAsia="en-AU"/>
                              </w:rPr>
                              <w:t>344</w:t>
                            </w:r>
                          </w:p>
                        </w:tc>
                      </w:tr>
                      <w:tr w:rsidR="0010699D" w:rsidRPr="0010699D" w14:paraId="64B82BB5" w14:textId="77777777" w:rsidTr="0010699D">
                        <w:trPr>
                          <w:trHeight w:val="315"/>
                        </w:trPr>
                        <w:tc>
                          <w:tcPr>
                            <w:tcW w:w="2512" w:type="dxa"/>
                            <w:tcBorders>
                              <w:top w:val="single" w:sz="4" w:space="0" w:color="ADD6EA"/>
                              <w:left w:val="nil"/>
                              <w:bottom w:val="single" w:sz="4" w:space="0" w:color="ADD6EA"/>
                              <w:right w:val="nil"/>
                            </w:tcBorders>
                            <w:shd w:val="clear" w:color="000000" w:fill="D6E7F0"/>
                            <w:vAlign w:val="bottom"/>
                            <w:hideMark/>
                          </w:tcPr>
                          <w:p w14:paraId="6A2B38AC" w14:textId="083ADFA7" w:rsidR="0010699D" w:rsidRPr="0010699D" w:rsidRDefault="00612C23" w:rsidP="00612C23">
                            <w:pPr>
                              <w:tabs>
                                <w:tab w:val="clear" w:pos="567"/>
                              </w:tabs>
                              <w:spacing w:before="0" w:line="240" w:lineRule="auto"/>
                              <w:ind w:firstLineChars="100" w:firstLine="16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($m)</w:t>
                            </w:r>
                          </w:p>
                        </w:tc>
                        <w:tc>
                          <w:tcPr>
                            <w:tcW w:w="716" w:type="dxa"/>
                            <w:tcBorders>
                              <w:top w:val="single" w:sz="4" w:space="0" w:color="ADD6EA"/>
                              <w:left w:val="nil"/>
                              <w:bottom w:val="single" w:sz="4" w:space="0" w:color="ADD6EA"/>
                              <w:right w:val="nil"/>
                            </w:tcBorders>
                            <w:shd w:val="clear" w:color="000000" w:fill="D6E7F0"/>
                            <w:noWrap/>
                            <w:vAlign w:val="bottom"/>
                            <w:hideMark/>
                          </w:tcPr>
                          <w:p w14:paraId="172A08B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-188</w:t>
                            </w:r>
                          </w:p>
                        </w:tc>
                        <w:tc>
                          <w:tcPr>
                            <w:tcW w:w="716" w:type="dxa"/>
                            <w:tcBorders>
                              <w:top w:val="single" w:sz="4" w:space="0" w:color="ADD6EA"/>
                              <w:left w:val="nil"/>
                              <w:bottom w:val="single" w:sz="4" w:space="0" w:color="ADD6EA"/>
                              <w:right w:val="nil"/>
                            </w:tcBorders>
                            <w:shd w:val="clear" w:color="000000" w:fill="D6E7F0"/>
                            <w:noWrap/>
                            <w:vAlign w:val="bottom"/>
                            <w:hideMark/>
                          </w:tcPr>
                          <w:p w14:paraId="429DDD8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3,782</w:t>
                            </w:r>
                          </w:p>
                        </w:tc>
                        <w:tc>
                          <w:tcPr>
                            <w:tcW w:w="716" w:type="dxa"/>
                            <w:tcBorders>
                              <w:top w:val="single" w:sz="4" w:space="0" w:color="ADD6EA"/>
                              <w:left w:val="nil"/>
                              <w:bottom w:val="single" w:sz="4" w:space="0" w:color="ADD6EA"/>
                              <w:right w:val="nil"/>
                            </w:tcBorders>
                            <w:shd w:val="clear" w:color="000000" w:fill="D6E7F0"/>
                            <w:noWrap/>
                            <w:vAlign w:val="bottom"/>
                            <w:hideMark/>
                          </w:tcPr>
                          <w:p w14:paraId="3D476319"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-384</w:t>
                            </w:r>
                          </w:p>
                        </w:tc>
                        <w:tc>
                          <w:tcPr>
                            <w:tcW w:w="700" w:type="dxa"/>
                            <w:tcBorders>
                              <w:top w:val="single" w:sz="4" w:space="0" w:color="ADD6EA"/>
                              <w:left w:val="nil"/>
                              <w:bottom w:val="single" w:sz="4" w:space="0" w:color="ADD6EA"/>
                              <w:right w:val="nil"/>
                            </w:tcBorders>
                            <w:shd w:val="clear" w:color="000000" w:fill="D6E7F0"/>
                            <w:noWrap/>
                            <w:vAlign w:val="bottom"/>
                            <w:hideMark/>
                          </w:tcPr>
                          <w:p w14:paraId="76B189A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838</w:t>
                            </w:r>
                          </w:p>
                        </w:tc>
                        <w:tc>
                          <w:tcPr>
                            <w:tcW w:w="700" w:type="dxa"/>
                            <w:tcBorders>
                              <w:top w:val="single" w:sz="4" w:space="0" w:color="ADD6EA"/>
                              <w:left w:val="nil"/>
                              <w:bottom w:val="single" w:sz="4" w:space="0" w:color="ADD6EA"/>
                              <w:right w:val="nil"/>
                            </w:tcBorders>
                            <w:shd w:val="clear" w:color="000000" w:fill="D6E7F0"/>
                            <w:noWrap/>
                            <w:vAlign w:val="bottom"/>
                            <w:hideMark/>
                          </w:tcPr>
                          <w:p w14:paraId="13F9AD46"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481</w:t>
                            </w:r>
                          </w:p>
                        </w:tc>
                        <w:tc>
                          <w:tcPr>
                            <w:tcW w:w="700" w:type="dxa"/>
                            <w:tcBorders>
                              <w:top w:val="single" w:sz="4" w:space="0" w:color="ADD6EA"/>
                              <w:left w:val="nil"/>
                              <w:bottom w:val="single" w:sz="4" w:space="0" w:color="ADD6EA"/>
                              <w:right w:val="nil"/>
                            </w:tcBorders>
                            <w:shd w:val="clear" w:color="000000" w:fill="D6E7F0"/>
                            <w:noWrap/>
                            <w:vAlign w:val="bottom"/>
                            <w:hideMark/>
                          </w:tcPr>
                          <w:p w14:paraId="6C790A8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226</w:t>
                            </w:r>
                          </w:p>
                        </w:tc>
                        <w:tc>
                          <w:tcPr>
                            <w:tcW w:w="700" w:type="dxa"/>
                            <w:tcBorders>
                              <w:top w:val="single" w:sz="4" w:space="0" w:color="ADD6EA"/>
                              <w:left w:val="nil"/>
                              <w:bottom w:val="single" w:sz="4" w:space="0" w:color="ADD6EA"/>
                              <w:right w:val="nil"/>
                            </w:tcBorders>
                            <w:shd w:val="clear" w:color="000000" w:fill="D6E7F0"/>
                            <w:noWrap/>
                            <w:vAlign w:val="bottom"/>
                            <w:hideMark/>
                          </w:tcPr>
                          <w:p w14:paraId="7A94D9EA"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118</w:t>
                            </w:r>
                          </w:p>
                        </w:tc>
                        <w:tc>
                          <w:tcPr>
                            <w:tcW w:w="700" w:type="dxa"/>
                            <w:tcBorders>
                              <w:top w:val="single" w:sz="4" w:space="0" w:color="ADD6EA"/>
                              <w:left w:val="nil"/>
                              <w:bottom w:val="single" w:sz="4" w:space="0" w:color="ADD6EA"/>
                              <w:right w:val="nil"/>
                            </w:tcBorders>
                            <w:shd w:val="clear" w:color="000000" w:fill="D6E7F0"/>
                            <w:noWrap/>
                            <w:vAlign w:val="bottom"/>
                            <w:hideMark/>
                          </w:tcPr>
                          <w:p w14:paraId="3B78EB4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258</w:t>
                            </w:r>
                          </w:p>
                        </w:tc>
                        <w:tc>
                          <w:tcPr>
                            <w:tcW w:w="760" w:type="dxa"/>
                            <w:tcBorders>
                              <w:top w:val="single" w:sz="4" w:space="0" w:color="ADD6EA"/>
                              <w:left w:val="nil"/>
                              <w:bottom w:val="single" w:sz="4" w:space="0" w:color="ADD6EA"/>
                              <w:right w:val="nil"/>
                            </w:tcBorders>
                            <w:shd w:val="clear" w:color="000000" w:fill="D6E7F0"/>
                            <w:noWrap/>
                            <w:vAlign w:val="bottom"/>
                            <w:hideMark/>
                          </w:tcPr>
                          <w:p w14:paraId="28E7EE92"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5,131</w:t>
                            </w:r>
                          </w:p>
                        </w:tc>
                      </w:tr>
                      <w:tr w:rsidR="0010699D" w:rsidRPr="0010699D" w14:paraId="51665BFA" w14:textId="77777777" w:rsidTr="0010699D">
                        <w:trPr>
                          <w:trHeight w:val="315"/>
                        </w:trPr>
                        <w:tc>
                          <w:tcPr>
                            <w:tcW w:w="2512" w:type="dxa"/>
                            <w:tcBorders>
                              <w:top w:val="nil"/>
                              <w:left w:val="nil"/>
                              <w:bottom w:val="single" w:sz="4" w:space="0" w:color="ADD6EA"/>
                              <w:right w:val="nil"/>
                            </w:tcBorders>
                            <w:shd w:val="clear" w:color="000000" w:fill="D6E7F0"/>
                            <w:vAlign w:val="bottom"/>
                            <w:hideMark/>
                          </w:tcPr>
                          <w:p w14:paraId="0871A256" w14:textId="7204D8AE" w:rsidR="0010699D" w:rsidRPr="0010699D" w:rsidRDefault="00191CBF" w:rsidP="00191CBF">
                            <w:pPr>
                              <w:tabs>
                                <w:tab w:val="clear" w:pos="567"/>
                              </w:tabs>
                              <w:spacing w:before="0" w:line="240" w:lineRule="auto"/>
                              <w:ind w:firstLineChars="100" w:firstLine="160"/>
                              <w:rPr>
                                <w:rFonts w:ascii="Open Sans Semibold" w:hAnsi="Open Sans Semibold" w:cs="Open Sans Semibold"/>
                                <w:color w:val="000000"/>
                                <w:sz w:val="16"/>
                                <w:szCs w:val="16"/>
                              </w:rPr>
                            </w:pPr>
                            <w:r>
                              <w:rPr>
                                <w:rFonts w:ascii="Open Sans Semibold" w:hAnsi="Open Sans Semibold" w:cs="Open Sans Semibold"/>
                                <w:color w:val="000000"/>
                                <w:sz w:val="16"/>
                                <w:szCs w:val="16"/>
                              </w:rPr>
                              <w:t>Total ($pc)</w:t>
                            </w:r>
                          </w:p>
                        </w:tc>
                        <w:tc>
                          <w:tcPr>
                            <w:tcW w:w="716" w:type="dxa"/>
                            <w:tcBorders>
                              <w:top w:val="nil"/>
                              <w:left w:val="nil"/>
                              <w:bottom w:val="single" w:sz="4" w:space="0" w:color="ADD6EA"/>
                              <w:right w:val="nil"/>
                            </w:tcBorders>
                            <w:shd w:val="clear" w:color="000000" w:fill="D6E7F0"/>
                            <w:noWrap/>
                            <w:vAlign w:val="bottom"/>
                            <w:hideMark/>
                          </w:tcPr>
                          <w:p w14:paraId="0A6D8015"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-22</w:t>
                            </w:r>
                          </w:p>
                        </w:tc>
                        <w:tc>
                          <w:tcPr>
                            <w:tcW w:w="716" w:type="dxa"/>
                            <w:tcBorders>
                              <w:top w:val="nil"/>
                              <w:left w:val="nil"/>
                              <w:bottom w:val="single" w:sz="4" w:space="0" w:color="ADD6EA"/>
                              <w:right w:val="nil"/>
                            </w:tcBorders>
                            <w:shd w:val="clear" w:color="000000" w:fill="D6E7F0"/>
                            <w:noWrap/>
                            <w:vAlign w:val="bottom"/>
                            <w:hideMark/>
                          </w:tcPr>
                          <w:p w14:paraId="25D75A01"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537</w:t>
                            </w:r>
                          </w:p>
                        </w:tc>
                        <w:tc>
                          <w:tcPr>
                            <w:tcW w:w="716" w:type="dxa"/>
                            <w:tcBorders>
                              <w:top w:val="nil"/>
                              <w:left w:val="nil"/>
                              <w:bottom w:val="single" w:sz="4" w:space="0" w:color="ADD6EA"/>
                              <w:right w:val="nil"/>
                            </w:tcBorders>
                            <w:shd w:val="clear" w:color="000000" w:fill="D6E7F0"/>
                            <w:noWrap/>
                            <w:vAlign w:val="bottom"/>
                            <w:hideMark/>
                          </w:tcPr>
                          <w:p w14:paraId="51A4B0EE"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-69</w:t>
                            </w:r>
                          </w:p>
                        </w:tc>
                        <w:tc>
                          <w:tcPr>
                            <w:tcW w:w="700" w:type="dxa"/>
                            <w:tcBorders>
                              <w:top w:val="nil"/>
                              <w:left w:val="nil"/>
                              <w:bottom w:val="single" w:sz="4" w:space="0" w:color="ADD6EA"/>
                              <w:right w:val="nil"/>
                            </w:tcBorders>
                            <w:shd w:val="clear" w:color="000000" w:fill="D6E7F0"/>
                            <w:noWrap/>
                            <w:vAlign w:val="bottom"/>
                            <w:hideMark/>
                          </w:tcPr>
                          <w:p w14:paraId="362468C3"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283</w:t>
                            </w:r>
                          </w:p>
                        </w:tc>
                        <w:tc>
                          <w:tcPr>
                            <w:tcW w:w="700" w:type="dxa"/>
                            <w:tcBorders>
                              <w:top w:val="nil"/>
                              <w:left w:val="nil"/>
                              <w:bottom w:val="single" w:sz="4" w:space="0" w:color="ADD6EA"/>
                              <w:right w:val="nil"/>
                            </w:tcBorders>
                            <w:shd w:val="clear" w:color="000000" w:fill="D6E7F0"/>
                            <w:noWrap/>
                            <w:vAlign w:val="bottom"/>
                            <w:hideMark/>
                          </w:tcPr>
                          <w:p w14:paraId="2DD3D39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255</w:t>
                            </w:r>
                          </w:p>
                        </w:tc>
                        <w:tc>
                          <w:tcPr>
                            <w:tcW w:w="700" w:type="dxa"/>
                            <w:tcBorders>
                              <w:top w:val="nil"/>
                              <w:left w:val="nil"/>
                              <w:bottom w:val="single" w:sz="4" w:space="0" w:color="ADD6EA"/>
                              <w:right w:val="nil"/>
                            </w:tcBorders>
                            <w:shd w:val="clear" w:color="000000" w:fill="D6E7F0"/>
                            <w:noWrap/>
                            <w:vAlign w:val="bottom"/>
                            <w:hideMark/>
                          </w:tcPr>
                          <w:p w14:paraId="3268032B"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389</w:t>
                            </w:r>
                          </w:p>
                        </w:tc>
                        <w:tc>
                          <w:tcPr>
                            <w:tcW w:w="700" w:type="dxa"/>
                            <w:tcBorders>
                              <w:top w:val="nil"/>
                              <w:left w:val="nil"/>
                              <w:bottom w:val="single" w:sz="4" w:space="0" w:color="ADD6EA"/>
                              <w:right w:val="nil"/>
                            </w:tcBorders>
                            <w:shd w:val="clear" w:color="000000" w:fill="D6E7F0"/>
                            <w:noWrap/>
                            <w:vAlign w:val="bottom"/>
                            <w:hideMark/>
                          </w:tcPr>
                          <w:p w14:paraId="5B4E69E0"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245</w:t>
                            </w:r>
                          </w:p>
                        </w:tc>
                        <w:tc>
                          <w:tcPr>
                            <w:tcW w:w="700" w:type="dxa"/>
                            <w:tcBorders>
                              <w:top w:val="nil"/>
                              <w:left w:val="nil"/>
                              <w:bottom w:val="single" w:sz="4" w:space="0" w:color="ADD6EA"/>
                              <w:right w:val="nil"/>
                            </w:tcBorders>
                            <w:shd w:val="clear" w:color="000000" w:fill="D6E7F0"/>
                            <w:noWrap/>
                            <w:vAlign w:val="bottom"/>
                            <w:hideMark/>
                          </w:tcPr>
                          <w:p w14:paraId="6A40ADBC"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1,003</w:t>
                            </w:r>
                          </w:p>
                        </w:tc>
                        <w:tc>
                          <w:tcPr>
                            <w:tcW w:w="760" w:type="dxa"/>
                            <w:tcBorders>
                              <w:top w:val="nil"/>
                              <w:left w:val="nil"/>
                              <w:bottom w:val="single" w:sz="4" w:space="0" w:color="ADD6EA"/>
                              <w:right w:val="nil"/>
                            </w:tcBorders>
                            <w:shd w:val="clear" w:color="000000" w:fill="D6E7F0"/>
                            <w:noWrap/>
                            <w:vAlign w:val="bottom"/>
                            <w:hideMark/>
                          </w:tcPr>
                          <w:p w14:paraId="4E55ECB3" w14:textId="77777777" w:rsidR="0010699D" w:rsidRPr="0010699D" w:rsidRDefault="0010699D" w:rsidP="001069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10699D">
                              <w:rPr>
                                <w:rFonts w:ascii="Open Sans Semibold" w:eastAsia="Times New Roman" w:hAnsi="Open Sans Semibold" w:cs="Open Sans Semibold"/>
                                <w:color w:val="000000"/>
                                <w:sz w:val="16"/>
                                <w:szCs w:val="16"/>
                                <w:lang w:eastAsia="en-AU"/>
                              </w:rPr>
                              <w:t>188</w:t>
                            </w:r>
                          </w:p>
                        </w:tc>
                      </w:tr>
                    </w:tbl>
                    <w:p w14:paraId="603D5285" w14:textId="2BC0B48A" w:rsidR="00555119" w:rsidRPr="0017514B" w:rsidRDefault="00555119" w:rsidP="00555119">
                      <w:pPr>
                        <w:pStyle w:val="Tablefootnote"/>
                      </w:pPr>
                      <w:r w:rsidRPr="0017514B">
                        <w:t>Source: Commission calculation. Subject to changes in the GST pool and populations</w:t>
                      </w:r>
                      <w:r w:rsidR="0056710F">
                        <w:t>.</w:t>
                      </w:r>
                    </w:p>
                    <w:p w14:paraId="2B93942E" w14:textId="77777777" w:rsidR="00555119" w:rsidRPr="00176917" w:rsidRDefault="00555119" w:rsidP="00555119"/>
                  </w:txbxContent>
                </v:textbox>
                <w10:wrap type="square" anchorx="margin"/>
              </v:shape>
            </w:pict>
          </mc:Fallback>
        </mc:AlternateContent>
      </w:r>
      <w:r>
        <w:rPr>
          <w:rFonts w:ascii="Open Sans Light" w:eastAsia="Times New Roman" w:hAnsi="Open Sans Light" w:cs="Times New Roman"/>
          <w:szCs w:val="20"/>
        </w:rPr>
        <w:br w:type="page"/>
      </w:r>
    </w:p>
    <w:p w14:paraId="1B03894C" w14:textId="77777777" w:rsidR="009D088E" w:rsidRPr="0017514B" w:rsidRDefault="009D088E" w:rsidP="00577948">
      <w:pPr>
        <w:pStyle w:val="Heading1"/>
        <w:numPr>
          <w:ilvl w:val="0"/>
          <w:numId w:val="0"/>
        </w:numPr>
      </w:pPr>
      <w:bookmarkStart w:id="73" w:name="_Toc159676104"/>
      <w:r w:rsidRPr="0017514B">
        <w:lastRenderedPageBreak/>
        <w:t>Introduction</w:t>
      </w:r>
      <w:bookmarkEnd w:id="73"/>
    </w:p>
    <w:p w14:paraId="71B6ED77" w14:textId="26682F2E" w:rsidR="009D088E" w:rsidRPr="0017514B" w:rsidRDefault="009D088E" w:rsidP="009D088E">
      <w:r w:rsidRPr="0017514B">
        <w:t>The Commonwealth Treasurer has issued terms of reference asking the Commission to advise how the Goods and Services Tax (GST) revenue pool should be distributed among the states in 2024</w:t>
      </w:r>
      <w:r w:rsidR="00013CBF">
        <w:t>–</w:t>
      </w:r>
      <w:r w:rsidRPr="0017514B">
        <w:t>25.</w:t>
      </w:r>
    </w:p>
    <w:p w14:paraId="11C0EBAA" w14:textId="77777777" w:rsidR="009D088E" w:rsidRPr="00917C36" w:rsidRDefault="009D088E" w:rsidP="009D088E">
      <w:r w:rsidRPr="0017514B">
        <w:t xml:space="preserve">The Commission’s first step in determining the GST distribution is to estimate differences in the fiscal capacities of states. In doing this, the Commission takes account of states’ different abilities to raise revenue </w:t>
      </w:r>
      <w:r w:rsidRPr="00917C36">
        <w:t xml:space="preserve">and their different costs in providing services. </w:t>
      </w:r>
    </w:p>
    <w:p w14:paraId="311D8EEF" w14:textId="72F368A3" w:rsidR="009D088E" w:rsidRPr="0017514B" w:rsidRDefault="009D088E" w:rsidP="009D088E">
      <w:r w:rsidRPr="00917C36">
        <w:t>Drivers of differences in states’ revenue</w:t>
      </w:r>
      <w:r w:rsidR="00B02B97" w:rsidRPr="00917C36">
        <w:t xml:space="preserve"> </w:t>
      </w:r>
      <w:r w:rsidRPr="00917C36">
        <w:t>raising capacities</w:t>
      </w:r>
      <w:r w:rsidRPr="0017514B">
        <w:t xml:space="preserve"> include the value of mining production, land values, the value of property transactions, and taxable payrolls. States also receive different levels of funding through payments from </w:t>
      </w:r>
      <w:r w:rsidRPr="000A32EC">
        <w:t>the Commonwealth. The costs of providing services can vary by state for a range of reasons, including the socio</w:t>
      </w:r>
      <w:r w:rsidR="00B33E8D">
        <w:noBreakHyphen/>
      </w:r>
      <w:r w:rsidRPr="000A32EC">
        <w:t>demographic characteristics of their populations, wage costs, population</w:t>
      </w:r>
      <w:r w:rsidRPr="0017514B">
        <w:t xml:space="preserve"> dispersion, population density and rates of population growth.</w:t>
      </w:r>
    </w:p>
    <w:p w14:paraId="560126D0" w14:textId="3E6EBDBC" w:rsidR="009D088E" w:rsidRPr="0017514B" w:rsidRDefault="009D088E" w:rsidP="009D088E">
      <w:r w:rsidRPr="0017514B">
        <w:t xml:space="preserve">Changes in states’ relative fiscal capacities from year to year can be driven by changes in their circumstances. For example, a state could experience an increased value of property transfers, growth in its share of Commonwealth payments or an increased share of national population growth. Changes can also be driven by data revisions, such as updated data on the value of taxable payrolls. </w:t>
      </w:r>
    </w:p>
    <w:p w14:paraId="053AD80D" w14:textId="22D12BD3" w:rsidR="009D088E" w:rsidRPr="0017514B" w:rsidRDefault="009D088E" w:rsidP="009D088E">
      <w:r w:rsidRPr="0017514B">
        <w:t>Under the 2018 legislated GST distribution arrangements, 2024</w:t>
      </w:r>
      <w:r w:rsidR="00A75C3D">
        <w:t>–</w:t>
      </w:r>
      <w:r w:rsidRPr="0017514B">
        <w:t>25 is the fourth year in a 6</w:t>
      </w:r>
      <w:r w:rsidRPr="0017514B">
        <w:noBreakHyphen/>
        <w:t>year transition away from distributing the GST pool based solely on the Commission’s assessment of states’ relative fiscal capacities. At the end of these 6 years (in 2026</w:t>
      </w:r>
      <w:r w:rsidR="00A75C3D">
        <w:t>–</w:t>
      </w:r>
      <w:r w:rsidRPr="0017514B">
        <w:t>27), the Commission’s assessment will be adjusted so that no state will have a GST relativity less than the lower of New South Wales or Victoria (referred to as the ‘standard state’). In the 2024 Update, Victoria is the standard state for the first assessment year (2020</w:t>
      </w:r>
      <w:r w:rsidR="005B0CA7">
        <w:t>–</w:t>
      </w:r>
      <w:r w:rsidRPr="0017514B">
        <w:t>21) and New South Wales is the standard state for the last 2 assessment years (2021</w:t>
      </w:r>
      <w:r w:rsidR="005B0CA7">
        <w:t>–</w:t>
      </w:r>
      <w:r w:rsidRPr="0017514B">
        <w:t>22 and 2022</w:t>
      </w:r>
      <w:r w:rsidR="005B0CA7">
        <w:t>–</w:t>
      </w:r>
      <w:r w:rsidRPr="0017514B">
        <w:t>23). For 2024</w:t>
      </w:r>
      <w:r w:rsidR="005B0CA7">
        <w:t>–</w:t>
      </w:r>
      <w:r w:rsidRPr="0017514B">
        <w:t>25, blended relativities are calculated using two</w:t>
      </w:r>
      <w:r w:rsidR="002925B9">
        <w:t>-</w:t>
      </w:r>
      <w:r w:rsidRPr="0017514B">
        <w:t>thirds of the standard state approach and one</w:t>
      </w:r>
      <w:r w:rsidR="002925B9">
        <w:t>-</w:t>
      </w:r>
      <w:r w:rsidRPr="0017514B">
        <w:t xml:space="preserve">third of the previous approach (see </w:t>
      </w:r>
      <w:hyperlink w:anchor="_Box_1-1_Calculation" w:history="1">
        <w:r w:rsidR="00FD5AB3">
          <w:rPr>
            <w:rStyle w:val="Hyperlink"/>
            <w:color w:val="auto"/>
            <w:u w:val="none"/>
          </w:rPr>
          <w:fldChar w:fldCharType="begin"/>
        </w:r>
        <w:r w:rsidR="00FD5AB3">
          <w:instrText xml:space="preserve"> REF Box_1_1 \h </w:instrText>
        </w:r>
        <w:r w:rsidR="00FD5AB3">
          <w:rPr>
            <w:rStyle w:val="Hyperlink"/>
            <w:color w:val="auto"/>
            <w:u w:val="none"/>
          </w:rPr>
        </w:r>
        <w:r w:rsidR="00FD5AB3">
          <w:rPr>
            <w:rStyle w:val="Hyperlink"/>
            <w:color w:val="auto"/>
            <w:u w:val="none"/>
          </w:rPr>
          <w:fldChar w:fldCharType="separate"/>
        </w:r>
        <w:r w:rsidR="00047120" w:rsidRPr="00C95B56">
          <w:t>Box 1-1</w:t>
        </w:r>
        <w:r w:rsidR="00FD5AB3">
          <w:rPr>
            <w:rStyle w:val="Hyperlink"/>
            <w:color w:val="auto"/>
            <w:u w:val="none"/>
          </w:rPr>
          <w:fldChar w:fldCharType="end"/>
        </w:r>
      </w:hyperlink>
      <w:r w:rsidRPr="0017514B">
        <w:t xml:space="preserve">). </w:t>
      </w:r>
    </w:p>
    <w:p w14:paraId="3D7F2012" w14:textId="215DAEFF" w:rsidR="009D088E" w:rsidRPr="0017514B" w:rsidRDefault="009D088E" w:rsidP="009D088E">
      <w:r w:rsidRPr="0017514B">
        <w:t>The 2018 legislated arrangements also provided for a GST relativity floor. In 2024</w:t>
      </w:r>
      <w:r w:rsidR="00846D99">
        <w:t>–</w:t>
      </w:r>
      <w:r w:rsidRPr="0017514B">
        <w:t>25, the floor is 0.75, compared with 0.7</w:t>
      </w:r>
      <w:r w:rsidR="00761FAE">
        <w:t>0</w:t>
      </w:r>
      <w:r w:rsidRPr="0017514B">
        <w:t xml:space="preserve"> in 2023</w:t>
      </w:r>
      <w:r w:rsidR="00846D99">
        <w:t>–</w:t>
      </w:r>
      <w:r w:rsidRPr="0017514B">
        <w:t>24. Since 2022</w:t>
      </w:r>
      <w:r w:rsidR="00846D99" w:rsidRPr="009B2AEF">
        <w:rPr>
          <w:rFonts w:cs="Times New Roman"/>
        </w:rPr>
        <w:t>–</w:t>
      </w:r>
      <w:r w:rsidRPr="0017514B">
        <w:t>23, any additional GST distributed to a state due to the operation of the floor has been drawn from the GST pool. This means that when a state’s relativity is raised to the floor, the GST relativities (and GST distributions) of the other states are commensurately reduced on a population share basis. For 2024</w:t>
      </w:r>
      <w:r w:rsidR="0095223E">
        <w:t>–</w:t>
      </w:r>
      <w:r w:rsidRPr="0017514B">
        <w:t>25, the GST relativities reflect the application of blended relativities and the GST relativity floor.</w:t>
      </w:r>
    </w:p>
    <w:p w14:paraId="50FE38F7" w14:textId="3D286AAE" w:rsidR="009D088E" w:rsidRPr="0017514B" w:rsidRDefault="009D088E" w:rsidP="009D088E">
      <w:r w:rsidRPr="00917C36">
        <w:t>The 2018 legislat</w:t>
      </w:r>
      <w:r w:rsidR="00B66200" w:rsidRPr="00917C36">
        <w:t>ed arrangements</w:t>
      </w:r>
      <w:r w:rsidRPr="00917C36">
        <w:t xml:space="preserve"> include a guarantee that no state will be worse off under the new arrangements – that is, without GST pool top-up payments, a GST relativity </w:t>
      </w:r>
      <w:proofErr w:type="gramStart"/>
      <w:r w:rsidRPr="00917C36">
        <w:t>floor</w:t>
      </w:r>
      <w:proofErr w:type="gramEnd"/>
      <w:r w:rsidRPr="00917C36">
        <w:t xml:space="preserve"> or the phasing in of the</w:t>
      </w:r>
      <w:r w:rsidRPr="0017514B">
        <w:t xml:space="preserve"> new standard state benchmark. The legislated no worse off guarantee operates from 2021</w:t>
      </w:r>
      <w:r w:rsidR="00193032">
        <w:t>–</w:t>
      </w:r>
      <w:r w:rsidRPr="0017514B">
        <w:t>22 until 2026</w:t>
      </w:r>
      <w:r w:rsidR="00193032">
        <w:t>–</w:t>
      </w:r>
      <w:r w:rsidRPr="0017514B">
        <w:t>27, with no worse off payments calculated and provided by the Commonwealth in accordance with the legislation. Under a new agreement between the Commonwealth and the states, no worse off payments will continue until 2029</w:t>
      </w:r>
      <w:r w:rsidR="004748F1">
        <w:t>–</w:t>
      </w:r>
      <w:r w:rsidRPr="0017514B">
        <w:t>30.</w:t>
      </w:r>
      <w:r w:rsidRPr="005F4141">
        <w:rPr>
          <w:vertAlign w:val="superscript"/>
        </w:rPr>
        <w:footnoteReference w:id="2"/>
      </w:r>
    </w:p>
    <w:p w14:paraId="43DC412F" w14:textId="34D05413" w:rsidR="009D088E" w:rsidRPr="0017514B" w:rsidRDefault="00000000" w:rsidP="009D088E">
      <w:hyperlink w:anchor="_Recommended_GST_relativities" w:history="1">
        <w:r w:rsidR="009D088E" w:rsidRPr="00023993">
          <w:rPr>
            <w:rStyle w:val="Hyperlink"/>
            <w:color w:val="auto"/>
            <w:u w:val="none"/>
          </w:rPr>
          <w:t>Chapter 1</w:t>
        </w:r>
      </w:hyperlink>
      <w:r w:rsidR="009D088E" w:rsidRPr="0017514B">
        <w:t xml:space="preserve"> sets out the Commission’s recommended GST revenue distribution for 2024</w:t>
      </w:r>
      <w:r w:rsidR="00032C7D">
        <w:t>–</w:t>
      </w:r>
      <w:r w:rsidR="009D088E" w:rsidRPr="0017514B">
        <w:t xml:space="preserve">25. It also provides relativities for the Commonwealth Treasurer to use in calculating payments under the no worse off guarantee and explains how these are calculated. </w:t>
      </w:r>
      <w:hyperlink w:anchor="_Drivers_of_GST" w:history="1">
        <w:r w:rsidR="00EB5FE1" w:rsidRPr="00905373">
          <w:rPr>
            <w:rStyle w:val="Hyperlink"/>
            <w:color w:val="auto"/>
            <w:u w:val="none"/>
          </w:rPr>
          <w:t>Chapter 2</w:t>
        </w:r>
      </w:hyperlink>
      <w:r w:rsidR="009D088E" w:rsidRPr="0017514B">
        <w:t xml:space="preserve"> explains how the Commission’s assessment of each state’s assessed GST needs has changed since the 2023 Update.</w:t>
      </w:r>
      <w:r w:rsidR="00905373">
        <w:t xml:space="preserve"> </w:t>
      </w:r>
      <w:hyperlink w:anchor="_3._State_by" w:history="1">
        <w:r w:rsidR="00905373" w:rsidRPr="00905373">
          <w:rPr>
            <w:rStyle w:val="Hyperlink"/>
            <w:color w:val="auto"/>
            <w:u w:val="none"/>
          </w:rPr>
          <w:t>Chapter 3</w:t>
        </w:r>
      </w:hyperlink>
      <w:r w:rsidR="00905373">
        <w:t xml:space="preserve"> </w:t>
      </w:r>
      <w:r w:rsidR="009D088E" w:rsidRPr="0017514B">
        <w:t>provides a snapshot of the factors impacting each state’s recommended GST distribution for 2024</w:t>
      </w:r>
      <w:r w:rsidR="00032C7D">
        <w:t>–</w:t>
      </w:r>
      <w:r w:rsidR="009D088E" w:rsidRPr="0017514B">
        <w:t xml:space="preserve">25. </w:t>
      </w:r>
      <w:r w:rsidR="00855C18">
        <w:fldChar w:fldCharType="begin"/>
      </w:r>
      <w:r w:rsidR="00855C18">
        <w:instrText xml:space="preserve"> REF Attachment_A \h </w:instrText>
      </w:r>
      <w:r w:rsidR="00855C18">
        <w:fldChar w:fldCharType="separate"/>
      </w:r>
      <w:r w:rsidR="00047120" w:rsidRPr="00994C2F">
        <w:t>Attachment A</w:t>
      </w:r>
      <w:r w:rsidR="00855C18">
        <w:fldChar w:fldCharType="end"/>
      </w:r>
      <w:r w:rsidR="009D088E" w:rsidRPr="0017514B">
        <w:t xml:space="preserve"> provides information on states’ GST shares since 2000</w:t>
      </w:r>
      <w:r w:rsidR="00032C7D">
        <w:t>–</w:t>
      </w:r>
      <w:r w:rsidR="009D088E" w:rsidRPr="0017514B">
        <w:t xml:space="preserve">01. </w:t>
      </w:r>
      <w:r w:rsidR="00855C18">
        <w:fldChar w:fldCharType="begin"/>
      </w:r>
      <w:r w:rsidR="00855C18">
        <w:instrText xml:space="preserve"> REF Attachment_B \h </w:instrText>
      </w:r>
      <w:r w:rsidR="00855C18">
        <w:fldChar w:fldCharType="separate"/>
      </w:r>
      <w:r w:rsidR="00047120" w:rsidRPr="00597D30">
        <w:t>Attachment B</w:t>
      </w:r>
      <w:r w:rsidR="00855C18">
        <w:fldChar w:fldCharType="end"/>
      </w:r>
      <w:r w:rsidR="009D088E" w:rsidRPr="0017514B">
        <w:t xml:space="preserve"> explains the Commission’s quality assurance process. The Commission consulted with states on new issues arising in this update. State views and Commission responses are outlined in </w:t>
      </w:r>
      <w:hyperlink r:id="rId25" w:history="1">
        <w:r w:rsidR="009D088E" w:rsidRPr="007F346B">
          <w:rPr>
            <w:rStyle w:val="Hyperlink"/>
            <w:i/>
          </w:rPr>
          <w:t>New Issues in the 2024</w:t>
        </w:r>
        <w:r w:rsidR="005F4141" w:rsidRPr="007F346B">
          <w:rPr>
            <w:rStyle w:val="Hyperlink"/>
            <w:i/>
          </w:rPr>
          <w:t> </w:t>
        </w:r>
        <w:r w:rsidR="009D088E" w:rsidRPr="007F346B">
          <w:rPr>
            <w:rStyle w:val="Hyperlink"/>
            <w:i/>
          </w:rPr>
          <w:t>Update</w:t>
        </w:r>
      </w:hyperlink>
      <w:r w:rsidR="009D088E" w:rsidRPr="0017514B">
        <w:t>.</w:t>
      </w:r>
    </w:p>
    <w:bookmarkStart w:id="74" w:name="_Recommended_GST_relativities"/>
    <w:bookmarkStart w:id="75" w:name="Chapter_1"/>
    <w:bookmarkStart w:id="76" w:name="_Toc159676105"/>
    <w:bookmarkEnd w:id="74"/>
    <w:p w14:paraId="0E397773" w14:textId="711A740A" w:rsidR="00987D45" w:rsidRPr="00987D45" w:rsidRDefault="00A71350" w:rsidP="009957EF">
      <w:pPr>
        <w:pStyle w:val="Heading1"/>
        <w:numPr>
          <w:ilvl w:val="0"/>
          <w:numId w:val="30"/>
        </w:numPr>
        <w:ind w:hanging="720"/>
      </w:pPr>
      <w:r>
        <w:rPr>
          <w:noProof/>
        </w:rPr>
        <w:lastRenderedPageBreak/>
        <mc:AlternateContent>
          <mc:Choice Requires="wps">
            <w:drawing>
              <wp:anchor distT="45720" distB="45720" distL="114300" distR="114300" simplePos="0" relativeHeight="251658248" behindDoc="0" locked="0" layoutInCell="1" allowOverlap="1" wp14:anchorId="76ECA23C" wp14:editId="0CD7ED4A">
                <wp:simplePos x="0" y="0"/>
                <wp:positionH relativeFrom="margin">
                  <wp:align>left</wp:align>
                </wp:positionH>
                <wp:positionV relativeFrom="paragraph">
                  <wp:posOffset>452120</wp:posOffset>
                </wp:positionV>
                <wp:extent cx="5853430" cy="5071110"/>
                <wp:effectExtent l="0" t="0" r="13970" b="15240"/>
                <wp:wrapSquare wrapText="bothSides"/>
                <wp:docPr id="146869991" name="Text Box 1468699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5071621"/>
                        </a:xfrm>
                        <a:prstGeom prst="rect">
                          <a:avLst/>
                        </a:prstGeom>
                        <a:solidFill>
                          <a:srgbClr val="E5F8FF"/>
                        </a:solidFill>
                        <a:ln w="9525">
                          <a:solidFill>
                            <a:schemeClr val="bg1"/>
                          </a:solidFill>
                          <a:miter lim="800000"/>
                          <a:headEnd/>
                          <a:tailEnd/>
                        </a:ln>
                      </wps:spPr>
                      <wps:txbx>
                        <w:txbxContent>
                          <w:p w14:paraId="07A4041F" w14:textId="77777777" w:rsidR="00A71350" w:rsidRPr="00607566" w:rsidRDefault="00A71350" w:rsidP="0058299E">
                            <w:pPr>
                              <w:pStyle w:val="Heading2"/>
                            </w:pPr>
                            <w:r w:rsidRPr="00607566">
                              <w:t>Key points</w:t>
                            </w:r>
                          </w:p>
                          <w:p w14:paraId="3A3EDBE0" w14:textId="09BE29A7" w:rsidR="00A71350" w:rsidRPr="00607566" w:rsidRDefault="00A71350" w:rsidP="0058299E">
                            <w:pPr>
                              <w:pStyle w:val="BulletPoints"/>
                            </w:pPr>
                            <w:r w:rsidRPr="00607566">
                              <w:t>2024</w:t>
                            </w:r>
                            <w:r w:rsidR="0088116E">
                              <w:t>–</w:t>
                            </w:r>
                            <w:r w:rsidRPr="00607566">
                              <w:t>25 is the fourth year in the 6</w:t>
                            </w:r>
                            <w:r w:rsidR="005F4141">
                              <w:noBreakHyphen/>
                            </w:r>
                            <w:r w:rsidRPr="00607566">
                              <w:t>year transition period under the 2018 legislated GST arrangements. The blending of relativities from the previous and current GST arrangements, together with the GST relativity floor of 0.75, has a significant impact on the estimated GST distribution outcomes for 2024</w:t>
                            </w:r>
                            <w:r w:rsidR="0088116E">
                              <w:t>–</w:t>
                            </w:r>
                            <w:r w:rsidRPr="00607566">
                              <w:t>25.</w:t>
                            </w:r>
                          </w:p>
                          <w:p w14:paraId="1885E636" w14:textId="469143C5" w:rsidR="00A71350" w:rsidRPr="0068798B" w:rsidRDefault="00A71350" w:rsidP="0058299E">
                            <w:pPr>
                              <w:pStyle w:val="BulletPoints"/>
                            </w:pPr>
                            <w:r w:rsidRPr="00607566">
                              <w:t xml:space="preserve">Based on the Commission’s recommended GST relativities, Victoria would receive a significant increase in its distribution from the GST </w:t>
                            </w:r>
                            <w:r w:rsidRPr="0068798B">
                              <w:t xml:space="preserve">pool </w:t>
                            </w:r>
                            <w:r w:rsidRPr="004B3CA7">
                              <w:t>($3.7</w:t>
                            </w:r>
                            <w:r w:rsidRPr="0068798B">
                              <w:t xml:space="preserve"> billion). This is largely driven by its reduced capacity to raise mining revenue relative to other states as well as data revisions from the 2021 Census which increased its urban population and urban density. The Northern Territory is estimated to receive the largest increase in per capita terms </w:t>
                            </w:r>
                            <w:r w:rsidRPr="004B3CA7">
                              <w:t>($995</w:t>
                            </w:r>
                            <w:r w:rsidRPr="0068798B">
                              <w:t> per capita). New South Wales and Queensland are both estimated to receive a decrease in GST distribution</w:t>
                            </w:r>
                            <w:r w:rsidR="001D2A6B" w:rsidRPr="0068798B">
                              <w:t>,</w:t>
                            </w:r>
                            <w:r w:rsidRPr="0068798B">
                              <w:t xml:space="preserve"> </w:t>
                            </w:r>
                            <w:r w:rsidRPr="004B3CA7">
                              <w:t>largely due to an increase in their relative revenue</w:t>
                            </w:r>
                            <w:r w:rsidR="00F229E9" w:rsidRPr="004B3CA7">
                              <w:t xml:space="preserve"> </w:t>
                            </w:r>
                            <w:r w:rsidRPr="004B3CA7">
                              <w:t>raising capacities.</w:t>
                            </w:r>
                          </w:p>
                          <w:p w14:paraId="63DD642E" w14:textId="60BEA540" w:rsidR="00A71350" w:rsidRPr="0068798B" w:rsidRDefault="00A71350" w:rsidP="0058299E">
                            <w:pPr>
                              <w:pStyle w:val="BulletPoints"/>
                            </w:pPr>
                            <w:r w:rsidRPr="0068798B">
                              <w:t>Western Australia’s fiscal capacity remains relatively strong due to its capacity to raise revenue from iron ore royalties. However, relative to other states, Western</w:t>
                            </w:r>
                            <w:r w:rsidR="002C0B2C">
                              <w:t> </w:t>
                            </w:r>
                            <w:r w:rsidRPr="0068798B">
                              <w:t xml:space="preserve">Australia’s fiscal capacity is estimated to be lower than in the 2023 Update. This is partly due to strong growth in coal royalties raising the fiscal capacity in other states, </w:t>
                            </w:r>
                            <w:r w:rsidRPr="004B3CA7">
                              <w:t>and partly due to slower growth in iron ore royalties</w:t>
                            </w:r>
                            <w:r w:rsidRPr="0068798B">
                              <w:t>.</w:t>
                            </w:r>
                          </w:p>
                          <w:p w14:paraId="3F592C40" w14:textId="49C81091" w:rsidR="00A71350" w:rsidRPr="0068798B" w:rsidRDefault="00A71350" w:rsidP="0058299E">
                            <w:pPr>
                              <w:pStyle w:val="BulletPoints"/>
                            </w:pPr>
                            <w:r w:rsidRPr="0068798B">
                              <w:t>All states are expected to benefit from the estimated increase in the GST pool from around $85 billion in 2023</w:t>
                            </w:r>
                            <w:r w:rsidR="0013725A">
                              <w:t>–</w:t>
                            </w:r>
                            <w:r w:rsidRPr="00607566">
                              <w:t>24</w:t>
                            </w:r>
                            <w:r w:rsidRPr="0068798B">
                              <w:t xml:space="preserve"> to around $89 billion in 2024</w:t>
                            </w:r>
                            <w:r w:rsidR="0013725A">
                              <w:t>–</w:t>
                            </w:r>
                            <w:r w:rsidRPr="0068798B">
                              <w:t>25.</w:t>
                            </w:r>
                          </w:p>
                          <w:p w14:paraId="5B037089" w14:textId="5808B5D9" w:rsidR="00A71350" w:rsidRPr="004B3CA7" w:rsidRDefault="00A71350" w:rsidP="0058299E">
                            <w:pPr>
                              <w:pStyle w:val="BulletPoints"/>
                            </w:pPr>
                            <w:r w:rsidRPr="0068798B">
                              <w:t xml:space="preserve">The overall payments to the states will include the no worse off guarantee payments. The Commonwealth is responsible for calculating no worse off payments informed by the no worse off relativities calculated by the Commission. </w:t>
                            </w:r>
                            <w:r w:rsidRPr="004B3CA7">
                              <w:t>All states, other than New South Wales and Queensland, are estimated to receive more in total GST and no worse off payments than they received in 2023</w:t>
                            </w:r>
                            <w:r w:rsidR="00B0424A">
                              <w:t>–</w:t>
                            </w:r>
                            <w:r w:rsidRPr="004B3CA7">
                              <w:t>24.</w:t>
                            </w:r>
                          </w:p>
                          <w:p w14:paraId="29955C8C" w14:textId="77777777" w:rsidR="00B73D72" w:rsidRPr="00176917" w:rsidRDefault="00B73D72" w:rsidP="00B73D7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ECA23C" id="Text Box 146869991" o:spid="_x0000_s1033" type="#_x0000_t202" style="position:absolute;left:0;text-align:left;margin-left:0;margin-top:35.6pt;width:460.9pt;height:399.3pt;z-index:2516582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" fillcolor="#e5f8ff" strokecolor="white [3212]">
                <v:textbox>
                  <w:txbxContent>
                    <w:p w14:paraId="07A4041F" w14:textId="77777777" w:rsidR="00A71350" w:rsidRPr="00607566" w:rsidRDefault="00A71350" w:rsidP="0058299E">
                      <w:pPr>
                        <w:pStyle w:val="Heading2"/>
                      </w:pPr>
                      <w:r w:rsidRPr="00607566">
                        <w:t>Key points</w:t>
                      </w:r>
                    </w:p>
                    <w:p w14:paraId="3A3EDBE0" w14:textId="09BE29A7" w:rsidR="00A71350" w:rsidRPr="00607566" w:rsidRDefault="00A71350" w:rsidP="0058299E">
                      <w:pPr>
                        <w:pStyle w:val="BulletPoints"/>
                      </w:pPr>
                      <w:r w:rsidRPr="00607566">
                        <w:t>2024</w:t>
                      </w:r>
                      <w:r w:rsidR="0088116E">
                        <w:t>–</w:t>
                      </w:r>
                      <w:r w:rsidRPr="00607566">
                        <w:t>25 is the fourth year in the 6</w:t>
                      </w:r>
                      <w:r w:rsidR="005F4141">
                        <w:noBreakHyphen/>
                      </w:r>
                      <w:r w:rsidRPr="00607566">
                        <w:t>year transition period under the 2018 legislated GST arrangements. The blending of relativities from the previous and current GST arrangements, together with the GST relativity floor of 0.75, has a significant impact on the estimated GST distribution outcomes for 2024</w:t>
                      </w:r>
                      <w:r w:rsidR="0088116E">
                        <w:t>–</w:t>
                      </w:r>
                      <w:r w:rsidRPr="00607566">
                        <w:t>25.</w:t>
                      </w:r>
                    </w:p>
                    <w:p w14:paraId="1885E636" w14:textId="469143C5" w:rsidR="00A71350" w:rsidRPr="0068798B" w:rsidRDefault="00A71350" w:rsidP="0058299E">
                      <w:pPr>
                        <w:pStyle w:val="BulletPoints"/>
                      </w:pPr>
                      <w:r w:rsidRPr="00607566">
                        <w:t xml:space="preserve">Based on the Commission’s recommended GST relativities, Victoria would receive a significant increase in its distribution from the GST </w:t>
                      </w:r>
                      <w:r w:rsidRPr="0068798B">
                        <w:t xml:space="preserve">pool </w:t>
                      </w:r>
                      <w:r w:rsidRPr="004B3CA7">
                        <w:t>($3.7</w:t>
                      </w:r>
                      <w:r w:rsidRPr="0068798B">
                        <w:t xml:space="preserve"> billion). This is largely driven by its reduced capacity to raise mining revenue relative to other states as well as data revisions from the 2021 Census which increased its urban population and urban density. The Northern Territory is estimated to receive the largest increase in per capita terms </w:t>
                      </w:r>
                      <w:r w:rsidRPr="004B3CA7">
                        <w:t>($995</w:t>
                      </w:r>
                      <w:r w:rsidRPr="0068798B">
                        <w:t> per capita). New South Wales and Queensland are both estimated to receive a decrease in GST distribution</w:t>
                      </w:r>
                      <w:r w:rsidR="001D2A6B" w:rsidRPr="0068798B">
                        <w:t>,</w:t>
                      </w:r>
                      <w:r w:rsidRPr="0068798B">
                        <w:t xml:space="preserve"> </w:t>
                      </w:r>
                      <w:r w:rsidRPr="004B3CA7">
                        <w:t>largely due to an increase in their relative revenue</w:t>
                      </w:r>
                      <w:r w:rsidR="00F229E9" w:rsidRPr="004B3CA7">
                        <w:t xml:space="preserve"> </w:t>
                      </w:r>
                      <w:r w:rsidRPr="004B3CA7">
                        <w:t>raising capacities.</w:t>
                      </w:r>
                    </w:p>
                    <w:p w14:paraId="63DD642E" w14:textId="60BEA540" w:rsidR="00A71350" w:rsidRPr="0068798B" w:rsidRDefault="00A71350" w:rsidP="0058299E">
                      <w:pPr>
                        <w:pStyle w:val="BulletPoints"/>
                      </w:pPr>
                      <w:r w:rsidRPr="0068798B">
                        <w:t>Western Australia’s fiscal capacity remains relatively strong due to its capacity to raise revenue from iron ore royalties. However, relative to other states, Western</w:t>
                      </w:r>
                      <w:r w:rsidR="002C0B2C">
                        <w:t> </w:t>
                      </w:r>
                      <w:r w:rsidRPr="0068798B">
                        <w:t xml:space="preserve">Australia’s fiscal capacity is estimated to be lower than in the 2023 Update. This is partly due to strong growth in coal royalties raising the fiscal capacity in other states, </w:t>
                      </w:r>
                      <w:r w:rsidRPr="004B3CA7">
                        <w:t>and partly due to slower growth in iron ore royalties</w:t>
                      </w:r>
                      <w:r w:rsidRPr="0068798B">
                        <w:t>.</w:t>
                      </w:r>
                    </w:p>
                    <w:p w14:paraId="3F592C40" w14:textId="49C81091" w:rsidR="00A71350" w:rsidRPr="0068798B" w:rsidRDefault="00A71350" w:rsidP="0058299E">
                      <w:pPr>
                        <w:pStyle w:val="BulletPoints"/>
                      </w:pPr>
                      <w:r w:rsidRPr="0068798B">
                        <w:t>All states are expected to benefit from the estimated increase in the GST pool from around $85 billion in 2023</w:t>
                      </w:r>
                      <w:r w:rsidR="0013725A">
                        <w:t>–</w:t>
                      </w:r>
                      <w:r w:rsidRPr="00607566">
                        <w:t>24</w:t>
                      </w:r>
                      <w:r w:rsidRPr="0068798B">
                        <w:t xml:space="preserve"> to around $89 billion in 2024</w:t>
                      </w:r>
                      <w:r w:rsidR="0013725A">
                        <w:t>–</w:t>
                      </w:r>
                      <w:r w:rsidRPr="0068798B">
                        <w:t>25.</w:t>
                      </w:r>
                    </w:p>
                    <w:p w14:paraId="5B037089" w14:textId="5808B5D9" w:rsidR="00A71350" w:rsidRPr="004B3CA7" w:rsidRDefault="00A71350" w:rsidP="0058299E">
                      <w:pPr>
                        <w:pStyle w:val="BulletPoints"/>
                      </w:pPr>
                      <w:r w:rsidRPr="0068798B">
                        <w:t xml:space="preserve">The overall payments to the states will include the no worse off guarantee payments. The Commonwealth is responsible for calculating no worse off payments informed by the no worse off relativities calculated by the Commission. </w:t>
                      </w:r>
                      <w:r w:rsidRPr="004B3CA7">
                        <w:t>All states, other than New South Wales and Queensland, are estimated to receive more in total GST and no worse off payments than they received in 2023</w:t>
                      </w:r>
                      <w:r w:rsidR="00B0424A">
                        <w:t>–</w:t>
                      </w:r>
                      <w:r w:rsidRPr="004B3CA7">
                        <w:t>24.</w:t>
                      </w:r>
                    </w:p>
                    <w:p w14:paraId="29955C8C" w14:textId="77777777" w:rsidR="00B73D72" w:rsidRPr="00176917" w:rsidRDefault="00B73D72" w:rsidP="00B73D72"/>
                  </w:txbxContent>
                </v:textbox>
                <w10:wrap type="square" anchorx="margin"/>
              </v:shape>
            </w:pict>
          </mc:Fallback>
        </mc:AlternateContent>
      </w:r>
      <w:r w:rsidR="00987D45">
        <w:t>Recommended GST relativities</w:t>
      </w:r>
      <w:bookmarkEnd w:id="75"/>
      <w:bookmarkEnd w:id="76"/>
      <w:r w:rsidR="00987D45">
        <w:t xml:space="preserve"> </w:t>
      </w:r>
    </w:p>
    <w:p w14:paraId="45EE625B" w14:textId="477173F8" w:rsidR="00987D45" w:rsidRDefault="00987D45">
      <w:pPr>
        <w:tabs>
          <w:tab w:val="clear" w:pos="567"/>
        </w:tabs>
        <w:spacing w:before="0" w:line="240" w:lineRule="auto"/>
        <w:rPr>
          <w:rFonts w:ascii="Open Sans Light" w:eastAsia="Times New Roman" w:hAnsi="Open Sans Light" w:cs="Times New Roman"/>
          <w:szCs w:val="20"/>
        </w:rPr>
      </w:pPr>
    </w:p>
    <w:p w14:paraId="67B27C1A" w14:textId="026A24E6" w:rsidR="00987D45" w:rsidRDefault="00987D45">
      <w:pPr>
        <w:tabs>
          <w:tab w:val="clear" w:pos="567"/>
        </w:tabs>
        <w:spacing w:before="0" w:line="240" w:lineRule="auto"/>
        <w:rPr>
          <w:rFonts w:ascii="Open Sans Light" w:eastAsia="Times New Roman" w:hAnsi="Open Sans Light" w:cs="Times New Roman"/>
          <w:szCs w:val="20"/>
        </w:rPr>
      </w:pPr>
    </w:p>
    <w:p w14:paraId="29B7AA93" w14:textId="0EE4DECF" w:rsidR="00555119" w:rsidRDefault="00555119">
      <w:pPr>
        <w:tabs>
          <w:tab w:val="clear" w:pos="567"/>
        </w:tabs>
        <w:spacing w:before="0" w:line="240" w:lineRule="auto"/>
        <w:rPr>
          <w:rFonts w:ascii="Open Sans Light" w:eastAsia="Times New Roman" w:hAnsi="Open Sans Light" w:cs="Times New Roman"/>
          <w:szCs w:val="20"/>
        </w:rPr>
      </w:pPr>
    </w:p>
    <w:p w14:paraId="4F3288FF" w14:textId="60BE6C09" w:rsidR="00555119" w:rsidRDefault="00555119">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52DCF1D0" w14:textId="77777777" w:rsidR="00960636" w:rsidRPr="00607566" w:rsidRDefault="00960636" w:rsidP="009A7288">
      <w:pPr>
        <w:pStyle w:val="Heading2"/>
      </w:pPr>
      <w:r w:rsidRPr="00607566">
        <w:lastRenderedPageBreak/>
        <w:t>Recommended GST relativities and estimated GST pool distribution</w:t>
      </w:r>
    </w:p>
    <w:p w14:paraId="01359554" w14:textId="3CA8C7F5" w:rsidR="00960636" w:rsidRPr="00607566" w:rsidRDefault="00960636" w:rsidP="00960636">
      <w:r w:rsidRPr="00607566">
        <w:t>The Commission’s recommended GST relativities for 2024</w:t>
      </w:r>
      <w:r w:rsidR="00B0424A">
        <w:t>–</w:t>
      </w:r>
      <w:r w:rsidRPr="00607566">
        <w:t xml:space="preserve">25 </w:t>
      </w:r>
      <w:proofErr w:type="gramStart"/>
      <w:r w:rsidRPr="00607566">
        <w:t>are</w:t>
      </w:r>
      <w:proofErr w:type="gramEnd"/>
      <w:r w:rsidRPr="00607566">
        <w:t xml:space="preserve"> presented in </w:t>
      </w:r>
      <w:r w:rsidR="00855C18">
        <w:fldChar w:fldCharType="begin"/>
      </w:r>
      <w:r w:rsidR="00855C18">
        <w:instrText xml:space="preserve"> REF Table_1_1 \h </w:instrText>
      </w:r>
      <w:r w:rsidR="00855C18">
        <w:fldChar w:fldCharType="separate"/>
      </w:r>
      <w:r w:rsidR="00047120" w:rsidRPr="00607566">
        <w:t>Table 1-1</w:t>
      </w:r>
      <w:r w:rsidR="00855C18">
        <w:fldChar w:fldCharType="end"/>
      </w:r>
      <w:r w:rsidRPr="00607566">
        <w:t>. This table also includes the states’ shares of the GST pool and the estimated GST pool distribution, as well as comparisons with 2023</w:t>
      </w:r>
      <w:r w:rsidR="00B0424A">
        <w:t>–</w:t>
      </w:r>
      <w:r w:rsidRPr="00607566">
        <w:t>24. The table does not include no worse off payments.</w:t>
      </w:r>
    </w:p>
    <w:p w14:paraId="5E613953" w14:textId="7B9C5D12" w:rsidR="001B4A8E" w:rsidRDefault="001B4A8E" w:rsidP="00B1091D">
      <w:pPr>
        <w:pStyle w:val="CGCTableHead"/>
        <w:ind w:left="1440" w:hanging="1440"/>
      </w:pPr>
      <w:bookmarkStart w:id="77" w:name="_Ref158837742"/>
      <w:bookmarkStart w:id="78" w:name="Table_1_1"/>
      <w:r w:rsidRPr="00607566">
        <w:t>Ta</w:t>
      </w:r>
      <w:bookmarkEnd w:id="77"/>
      <w:r w:rsidRPr="00607566">
        <w:t>ble 1-1</w:t>
      </w:r>
      <w:bookmarkEnd w:id="78"/>
      <w:r w:rsidRPr="00607566">
        <w:tab/>
        <w:t>GST relativities, shares and estimated GST distribution, 2023</w:t>
      </w:r>
      <w:r w:rsidR="00870DEF">
        <w:t>–</w:t>
      </w:r>
      <w:r w:rsidRPr="00607566">
        <w:t>24 and 2024</w:t>
      </w:r>
      <w:r w:rsidR="00870DEF">
        <w:t>–</w:t>
      </w:r>
      <w:r w:rsidR="00E2054C">
        <w:rPr>
          <w:rFonts w:ascii="Times New Roman" w:hAnsi="Times New Roman" w:cs="Times New Roman" w:hint="cs"/>
          <w:rtl/>
        </w:rPr>
        <w:t>‍</w:t>
      </w:r>
      <w:r w:rsidRPr="00607566">
        <w:t>25 (excludes no worse off payments)</w:t>
      </w:r>
    </w:p>
    <w:tbl>
      <w:tblPr>
        <w:tblW w:w="8900" w:type="dxa"/>
        <w:tblLook w:val="04A0" w:firstRow="1" w:lastRow="0" w:firstColumn="1" w:lastColumn="0" w:noHBand="0" w:noVBand="1"/>
      </w:tblPr>
      <w:tblGrid>
        <w:gridCol w:w="2599"/>
        <w:gridCol w:w="880"/>
        <w:gridCol w:w="880"/>
        <w:gridCol w:w="880"/>
        <w:gridCol w:w="880"/>
        <w:gridCol w:w="880"/>
        <w:gridCol w:w="880"/>
        <w:gridCol w:w="1021"/>
      </w:tblGrid>
      <w:tr w:rsidR="00FE5B85" w:rsidRPr="00FE5B85" w14:paraId="3BF4AC52" w14:textId="77777777" w:rsidTr="00FE5B85">
        <w:trPr>
          <w:trHeight w:val="379"/>
        </w:trPr>
        <w:tc>
          <w:tcPr>
            <w:tcW w:w="2620" w:type="dxa"/>
            <w:tcBorders>
              <w:top w:val="nil"/>
              <w:left w:val="nil"/>
              <w:bottom w:val="single" w:sz="4" w:space="0" w:color="ADD6EA"/>
              <w:right w:val="nil"/>
            </w:tcBorders>
            <w:shd w:val="clear" w:color="000000" w:fill="006991"/>
            <w:vAlign w:val="bottom"/>
            <w:hideMark/>
          </w:tcPr>
          <w:p w14:paraId="4F3E6F82" w14:textId="77777777" w:rsidR="00FE5B85" w:rsidRPr="00FE5B85" w:rsidRDefault="00FE5B85" w:rsidP="00FE5B85">
            <w:pPr>
              <w:tabs>
                <w:tab w:val="clear" w:pos="567"/>
              </w:tabs>
              <w:spacing w:before="0" w:line="240" w:lineRule="auto"/>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 </w:t>
            </w:r>
          </w:p>
        </w:tc>
        <w:tc>
          <w:tcPr>
            <w:tcW w:w="1760" w:type="dxa"/>
            <w:gridSpan w:val="2"/>
            <w:tcBorders>
              <w:top w:val="nil"/>
              <w:left w:val="nil"/>
              <w:bottom w:val="single" w:sz="4" w:space="0" w:color="ADD6EA"/>
              <w:right w:val="nil"/>
            </w:tcBorders>
            <w:shd w:val="clear" w:color="000000" w:fill="006991"/>
            <w:vAlign w:val="center"/>
            <w:hideMark/>
          </w:tcPr>
          <w:p w14:paraId="2948A24C" w14:textId="77777777" w:rsidR="00FE5B85" w:rsidRPr="00FE5B85" w:rsidRDefault="00FE5B85" w:rsidP="00FE5B85">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GST relativities</w:t>
            </w:r>
          </w:p>
        </w:tc>
        <w:tc>
          <w:tcPr>
            <w:tcW w:w="1760" w:type="dxa"/>
            <w:gridSpan w:val="2"/>
            <w:tcBorders>
              <w:top w:val="nil"/>
              <w:left w:val="nil"/>
              <w:bottom w:val="single" w:sz="4" w:space="0" w:color="ADD6EA"/>
              <w:right w:val="nil"/>
            </w:tcBorders>
            <w:shd w:val="clear" w:color="000000" w:fill="006991"/>
            <w:vAlign w:val="center"/>
            <w:hideMark/>
          </w:tcPr>
          <w:p w14:paraId="62870FCE" w14:textId="77777777" w:rsidR="00FE5B85" w:rsidRPr="00FE5B85" w:rsidRDefault="00FE5B85" w:rsidP="00FE5B85">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GST shares</w:t>
            </w:r>
          </w:p>
        </w:tc>
        <w:tc>
          <w:tcPr>
            <w:tcW w:w="2760" w:type="dxa"/>
            <w:gridSpan w:val="3"/>
            <w:tcBorders>
              <w:top w:val="nil"/>
              <w:left w:val="nil"/>
              <w:bottom w:val="single" w:sz="4" w:space="0" w:color="ADD6EA"/>
              <w:right w:val="nil"/>
            </w:tcBorders>
            <w:shd w:val="clear" w:color="000000" w:fill="006991"/>
            <w:vAlign w:val="center"/>
            <w:hideMark/>
          </w:tcPr>
          <w:p w14:paraId="727635A3" w14:textId="77777777" w:rsidR="00FE5B85" w:rsidRPr="00FE5B85" w:rsidRDefault="00FE5B85" w:rsidP="00FE5B85">
            <w:pPr>
              <w:tabs>
                <w:tab w:val="clear" w:pos="567"/>
              </w:tabs>
              <w:spacing w:before="0" w:line="240" w:lineRule="auto"/>
              <w:jc w:val="center"/>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GST distribution</w:t>
            </w:r>
          </w:p>
        </w:tc>
      </w:tr>
      <w:tr w:rsidR="00FE5B85" w:rsidRPr="00FE5B85" w14:paraId="7ED6BDA7" w14:textId="77777777" w:rsidTr="00FE5B85">
        <w:trPr>
          <w:trHeight w:val="315"/>
        </w:trPr>
        <w:tc>
          <w:tcPr>
            <w:tcW w:w="2620" w:type="dxa"/>
            <w:tcBorders>
              <w:top w:val="nil"/>
              <w:left w:val="nil"/>
              <w:bottom w:val="nil"/>
              <w:right w:val="nil"/>
            </w:tcBorders>
            <w:shd w:val="clear" w:color="000000" w:fill="006991"/>
            <w:vAlign w:val="bottom"/>
            <w:hideMark/>
          </w:tcPr>
          <w:p w14:paraId="3483943D" w14:textId="77777777" w:rsidR="00FE5B85" w:rsidRPr="00FE5B85" w:rsidRDefault="00FE5B85" w:rsidP="00FE5B85">
            <w:pPr>
              <w:tabs>
                <w:tab w:val="clear" w:pos="567"/>
              </w:tabs>
              <w:spacing w:before="0" w:line="240" w:lineRule="auto"/>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 </w:t>
            </w:r>
          </w:p>
        </w:tc>
        <w:tc>
          <w:tcPr>
            <w:tcW w:w="880" w:type="dxa"/>
            <w:tcBorders>
              <w:top w:val="nil"/>
              <w:left w:val="nil"/>
              <w:bottom w:val="nil"/>
              <w:right w:val="nil"/>
            </w:tcBorders>
            <w:shd w:val="clear" w:color="000000" w:fill="006991"/>
            <w:vAlign w:val="center"/>
            <w:hideMark/>
          </w:tcPr>
          <w:p w14:paraId="36DAC8D2" w14:textId="5DFE3A58"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2023</w:t>
            </w:r>
            <w:r>
              <w:rPr>
                <w:rFonts w:ascii="Open Sans Semibold" w:eastAsia="Times New Roman" w:hAnsi="Open Sans Semibold" w:cs="Open Sans Semibold"/>
                <w:color w:val="FFFFFF"/>
                <w:sz w:val="16"/>
                <w:szCs w:val="16"/>
                <w:lang w:eastAsia="en-AU"/>
              </w:rPr>
              <w:t>–</w:t>
            </w:r>
            <w:r w:rsidRPr="00FE5B85">
              <w:rPr>
                <w:rFonts w:ascii="Open Sans Semibold" w:eastAsia="Times New Roman" w:hAnsi="Open Sans Semibold" w:cs="Open Sans Semibold"/>
                <w:color w:val="FFFFFF"/>
                <w:sz w:val="16"/>
                <w:szCs w:val="16"/>
                <w:lang w:eastAsia="en-AU"/>
              </w:rPr>
              <w:t>24</w:t>
            </w:r>
          </w:p>
        </w:tc>
        <w:tc>
          <w:tcPr>
            <w:tcW w:w="880" w:type="dxa"/>
            <w:tcBorders>
              <w:top w:val="nil"/>
              <w:left w:val="nil"/>
              <w:bottom w:val="nil"/>
              <w:right w:val="nil"/>
            </w:tcBorders>
            <w:shd w:val="clear" w:color="000000" w:fill="006991"/>
            <w:vAlign w:val="center"/>
            <w:hideMark/>
          </w:tcPr>
          <w:p w14:paraId="0256DFE8" w14:textId="183E9984"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2024</w:t>
            </w:r>
            <w:r>
              <w:rPr>
                <w:rFonts w:ascii="Open Sans Semibold" w:eastAsia="Times New Roman" w:hAnsi="Open Sans Semibold" w:cs="Open Sans Semibold"/>
                <w:color w:val="FFFFFF"/>
                <w:sz w:val="16"/>
                <w:szCs w:val="16"/>
                <w:lang w:eastAsia="en-AU"/>
              </w:rPr>
              <w:t>–</w:t>
            </w:r>
            <w:r w:rsidRPr="00FE5B85">
              <w:rPr>
                <w:rFonts w:ascii="Open Sans Semibold" w:eastAsia="Times New Roman" w:hAnsi="Open Sans Semibold" w:cs="Open Sans Semibold"/>
                <w:color w:val="FFFFFF"/>
                <w:sz w:val="16"/>
                <w:szCs w:val="16"/>
                <w:lang w:eastAsia="en-AU"/>
              </w:rPr>
              <w:t>25</w:t>
            </w:r>
          </w:p>
        </w:tc>
        <w:tc>
          <w:tcPr>
            <w:tcW w:w="880" w:type="dxa"/>
            <w:tcBorders>
              <w:top w:val="nil"/>
              <w:left w:val="nil"/>
              <w:bottom w:val="nil"/>
              <w:right w:val="nil"/>
            </w:tcBorders>
            <w:shd w:val="clear" w:color="000000" w:fill="006991"/>
            <w:vAlign w:val="center"/>
            <w:hideMark/>
          </w:tcPr>
          <w:p w14:paraId="59D882EC" w14:textId="301BD410"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2023</w:t>
            </w:r>
            <w:r>
              <w:rPr>
                <w:rFonts w:ascii="Open Sans Semibold" w:eastAsia="Times New Roman" w:hAnsi="Open Sans Semibold" w:cs="Open Sans Semibold"/>
                <w:color w:val="FFFFFF"/>
                <w:sz w:val="16"/>
                <w:szCs w:val="16"/>
                <w:lang w:eastAsia="en-AU"/>
              </w:rPr>
              <w:t>–</w:t>
            </w:r>
            <w:r w:rsidRPr="00FE5B85">
              <w:rPr>
                <w:rFonts w:ascii="Open Sans Semibold" w:eastAsia="Times New Roman" w:hAnsi="Open Sans Semibold" w:cs="Open Sans Semibold"/>
                <w:color w:val="FFFFFF"/>
                <w:sz w:val="16"/>
                <w:szCs w:val="16"/>
                <w:lang w:eastAsia="en-AU"/>
              </w:rPr>
              <w:t>24</w:t>
            </w:r>
          </w:p>
        </w:tc>
        <w:tc>
          <w:tcPr>
            <w:tcW w:w="880" w:type="dxa"/>
            <w:tcBorders>
              <w:top w:val="nil"/>
              <w:left w:val="nil"/>
              <w:bottom w:val="nil"/>
              <w:right w:val="nil"/>
            </w:tcBorders>
            <w:shd w:val="clear" w:color="000000" w:fill="006991"/>
            <w:vAlign w:val="center"/>
            <w:hideMark/>
          </w:tcPr>
          <w:p w14:paraId="6223880D" w14:textId="30A0ACC1"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2024</w:t>
            </w:r>
            <w:r>
              <w:rPr>
                <w:rFonts w:ascii="Open Sans Semibold" w:eastAsia="Times New Roman" w:hAnsi="Open Sans Semibold" w:cs="Open Sans Semibold"/>
                <w:color w:val="FFFFFF"/>
                <w:sz w:val="16"/>
                <w:szCs w:val="16"/>
                <w:lang w:eastAsia="en-AU"/>
              </w:rPr>
              <w:t>–</w:t>
            </w:r>
            <w:r w:rsidRPr="00FE5B85">
              <w:rPr>
                <w:rFonts w:ascii="Open Sans Semibold" w:eastAsia="Times New Roman" w:hAnsi="Open Sans Semibold" w:cs="Open Sans Semibold"/>
                <w:color w:val="FFFFFF"/>
                <w:sz w:val="16"/>
                <w:szCs w:val="16"/>
                <w:lang w:eastAsia="en-AU"/>
              </w:rPr>
              <w:t>25</w:t>
            </w:r>
          </w:p>
        </w:tc>
        <w:tc>
          <w:tcPr>
            <w:tcW w:w="880" w:type="dxa"/>
            <w:tcBorders>
              <w:top w:val="nil"/>
              <w:left w:val="nil"/>
              <w:bottom w:val="nil"/>
              <w:right w:val="nil"/>
            </w:tcBorders>
            <w:shd w:val="clear" w:color="000000" w:fill="006991"/>
            <w:vAlign w:val="center"/>
            <w:hideMark/>
          </w:tcPr>
          <w:p w14:paraId="08275648" w14:textId="4CD349EB"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2023</w:t>
            </w:r>
            <w:r>
              <w:rPr>
                <w:rFonts w:ascii="Open Sans Semibold" w:eastAsia="Times New Roman" w:hAnsi="Open Sans Semibold" w:cs="Open Sans Semibold"/>
                <w:color w:val="FFFFFF"/>
                <w:sz w:val="16"/>
                <w:szCs w:val="16"/>
                <w:lang w:eastAsia="en-AU"/>
              </w:rPr>
              <w:t>–</w:t>
            </w:r>
            <w:r w:rsidRPr="00FE5B85">
              <w:rPr>
                <w:rFonts w:ascii="Open Sans Semibold" w:eastAsia="Times New Roman" w:hAnsi="Open Sans Semibold" w:cs="Open Sans Semibold"/>
                <w:color w:val="FFFFFF"/>
                <w:sz w:val="16"/>
                <w:szCs w:val="16"/>
                <w:lang w:eastAsia="en-AU"/>
              </w:rPr>
              <w:t>24</w:t>
            </w:r>
          </w:p>
        </w:tc>
        <w:tc>
          <w:tcPr>
            <w:tcW w:w="880" w:type="dxa"/>
            <w:tcBorders>
              <w:top w:val="nil"/>
              <w:left w:val="nil"/>
              <w:bottom w:val="nil"/>
              <w:right w:val="nil"/>
            </w:tcBorders>
            <w:shd w:val="clear" w:color="000000" w:fill="006991"/>
            <w:vAlign w:val="center"/>
            <w:hideMark/>
          </w:tcPr>
          <w:p w14:paraId="6825CFC9" w14:textId="62AF74BD"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2024</w:t>
            </w:r>
            <w:r>
              <w:rPr>
                <w:rFonts w:ascii="Open Sans Semibold" w:eastAsia="Times New Roman" w:hAnsi="Open Sans Semibold" w:cs="Open Sans Semibold"/>
                <w:color w:val="FFFFFF"/>
                <w:sz w:val="16"/>
                <w:szCs w:val="16"/>
                <w:lang w:eastAsia="en-AU"/>
              </w:rPr>
              <w:t>–</w:t>
            </w:r>
            <w:r w:rsidRPr="00FE5B85">
              <w:rPr>
                <w:rFonts w:ascii="Open Sans Semibold" w:eastAsia="Times New Roman" w:hAnsi="Open Sans Semibold" w:cs="Open Sans Semibold"/>
                <w:color w:val="FFFFFF"/>
                <w:sz w:val="16"/>
                <w:szCs w:val="16"/>
                <w:lang w:eastAsia="en-AU"/>
              </w:rPr>
              <w:t>25</w:t>
            </w:r>
          </w:p>
        </w:tc>
        <w:tc>
          <w:tcPr>
            <w:tcW w:w="1000" w:type="dxa"/>
            <w:tcBorders>
              <w:top w:val="nil"/>
              <w:left w:val="nil"/>
              <w:bottom w:val="nil"/>
              <w:right w:val="nil"/>
            </w:tcBorders>
            <w:shd w:val="clear" w:color="000000" w:fill="006991"/>
            <w:vAlign w:val="center"/>
            <w:hideMark/>
          </w:tcPr>
          <w:p w14:paraId="0DA144BD" w14:textId="77777777"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5B85">
              <w:rPr>
                <w:rFonts w:ascii="Open Sans Semibold" w:eastAsia="Times New Roman" w:hAnsi="Open Sans Semibold" w:cs="Open Sans Semibold"/>
                <w:color w:val="FFFFFF"/>
                <w:sz w:val="16"/>
                <w:szCs w:val="16"/>
                <w:lang w:eastAsia="en-AU"/>
              </w:rPr>
              <w:t>Difference</w:t>
            </w:r>
          </w:p>
        </w:tc>
      </w:tr>
      <w:tr w:rsidR="00FE5B85" w:rsidRPr="00FE5B85" w14:paraId="60A73708" w14:textId="77777777" w:rsidTr="00FE5B85">
        <w:trPr>
          <w:trHeight w:val="259"/>
        </w:trPr>
        <w:tc>
          <w:tcPr>
            <w:tcW w:w="2620" w:type="dxa"/>
            <w:tcBorders>
              <w:top w:val="single" w:sz="4" w:space="0" w:color="ADD6EA"/>
              <w:left w:val="nil"/>
              <w:bottom w:val="single" w:sz="4" w:space="0" w:color="ADD6EA"/>
              <w:right w:val="nil"/>
            </w:tcBorders>
            <w:shd w:val="clear" w:color="000000" w:fill="B6D5E4"/>
            <w:vAlign w:val="bottom"/>
            <w:hideMark/>
          </w:tcPr>
          <w:p w14:paraId="0F36BC50" w14:textId="77777777" w:rsidR="00FE5B85" w:rsidRPr="00FE5B85" w:rsidRDefault="00FE5B85" w:rsidP="00FE5B85">
            <w:pPr>
              <w:tabs>
                <w:tab w:val="clear" w:pos="567"/>
              </w:tabs>
              <w:spacing w:before="0" w:line="240" w:lineRule="auto"/>
              <w:rPr>
                <w:rFonts w:ascii="Open Sans Semibold" w:eastAsia="Times New Roman" w:hAnsi="Open Sans Semibold" w:cs="Open Sans Semibold"/>
                <w:color w:val="000000"/>
                <w:sz w:val="16"/>
                <w:szCs w:val="16"/>
                <w:lang w:eastAsia="en-AU"/>
              </w:rPr>
            </w:pPr>
            <w:r w:rsidRPr="00FE5B85">
              <w:rPr>
                <w:rFonts w:ascii="Open Sans Semibold" w:eastAsia="Times New Roman" w:hAnsi="Open Sans Semibold" w:cs="Open Sans Semibold"/>
                <w:color w:val="000000"/>
                <w:sz w:val="16"/>
                <w:szCs w:val="16"/>
                <w:lang w:eastAsia="en-AU"/>
              </w:rPr>
              <w:t> </w:t>
            </w:r>
          </w:p>
        </w:tc>
        <w:tc>
          <w:tcPr>
            <w:tcW w:w="880" w:type="dxa"/>
            <w:tcBorders>
              <w:top w:val="single" w:sz="4" w:space="0" w:color="ADD6EA"/>
              <w:left w:val="nil"/>
              <w:bottom w:val="single" w:sz="4" w:space="0" w:color="ADD6EA"/>
              <w:right w:val="nil"/>
            </w:tcBorders>
            <w:shd w:val="clear" w:color="000000" w:fill="B6D5E4"/>
            <w:noWrap/>
            <w:vAlign w:val="bottom"/>
            <w:hideMark/>
          </w:tcPr>
          <w:p w14:paraId="41E2FA4A" w14:textId="77777777"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B85">
              <w:rPr>
                <w:rFonts w:ascii="Open Sans Semibold" w:eastAsia="Times New Roman" w:hAnsi="Open Sans Semibold" w:cs="Open Sans Semibold"/>
                <w:color w:val="000000"/>
                <w:sz w:val="16"/>
                <w:szCs w:val="16"/>
                <w:lang w:eastAsia="en-AU"/>
              </w:rPr>
              <w:t> </w:t>
            </w:r>
          </w:p>
        </w:tc>
        <w:tc>
          <w:tcPr>
            <w:tcW w:w="880" w:type="dxa"/>
            <w:tcBorders>
              <w:top w:val="single" w:sz="4" w:space="0" w:color="ADD6EA"/>
              <w:left w:val="nil"/>
              <w:bottom w:val="single" w:sz="4" w:space="0" w:color="ADD6EA"/>
              <w:right w:val="nil"/>
            </w:tcBorders>
            <w:shd w:val="clear" w:color="000000" w:fill="B6D5E4"/>
            <w:noWrap/>
            <w:vAlign w:val="bottom"/>
            <w:hideMark/>
          </w:tcPr>
          <w:p w14:paraId="3BA8CFAF" w14:textId="77777777"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B85">
              <w:rPr>
                <w:rFonts w:ascii="Open Sans Semibold" w:eastAsia="Times New Roman" w:hAnsi="Open Sans Semibold" w:cs="Open Sans Semibold"/>
                <w:color w:val="000000"/>
                <w:sz w:val="16"/>
                <w:szCs w:val="16"/>
                <w:lang w:eastAsia="en-AU"/>
              </w:rPr>
              <w:t> </w:t>
            </w:r>
          </w:p>
        </w:tc>
        <w:tc>
          <w:tcPr>
            <w:tcW w:w="880" w:type="dxa"/>
            <w:tcBorders>
              <w:top w:val="single" w:sz="4" w:space="0" w:color="ADD6EA"/>
              <w:left w:val="nil"/>
              <w:bottom w:val="single" w:sz="4" w:space="0" w:color="ADD6EA"/>
              <w:right w:val="nil"/>
            </w:tcBorders>
            <w:shd w:val="clear" w:color="000000" w:fill="B6D5E4"/>
            <w:noWrap/>
            <w:vAlign w:val="bottom"/>
            <w:hideMark/>
          </w:tcPr>
          <w:p w14:paraId="56344E81" w14:textId="77777777"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B85">
              <w:rPr>
                <w:rFonts w:ascii="Open Sans Semibold" w:eastAsia="Times New Roman" w:hAnsi="Open Sans Semibold" w:cs="Open Sans Semibold"/>
                <w:color w:val="000000"/>
                <w:sz w:val="16"/>
                <w:szCs w:val="16"/>
                <w:lang w:eastAsia="en-AU"/>
              </w:rPr>
              <w:t>%</w:t>
            </w:r>
          </w:p>
        </w:tc>
        <w:tc>
          <w:tcPr>
            <w:tcW w:w="880" w:type="dxa"/>
            <w:tcBorders>
              <w:top w:val="single" w:sz="4" w:space="0" w:color="ADD6EA"/>
              <w:left w:val="nil"/>
              <w:bottom w:val="single" w:sz="4" w:space="0" w:color="ADD6EA"/>
              <w:right w:val="nil"/>
            </w:tcBorders>
            <w:shd w:val="clear" w:color="000000" w:fill="B6D5E4"/>
            <w:noWrap/>
            <w:vAlign w:val="bottom"/>
            <w:hideMark/>
          </w:tcPr>
          <w:p w14:paraId="2FB49437" w14:textId="77777777"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B85">
              <w:rPr>
                <w:rFonts w:ascii="Open Sans Semibold" w:eastAsia="Times New Roman" w:hAnsi="Open Sans Semibold" w:cs="Open Sans Semibold"/>
                <w:color w:val="000000"/>
                <w:sz w:val="16"/>
                <w:szCs w:val="16"/>
                <w:lang w:eastAsia="en-AU"/>
              </w:rPr>
              <w:t>%</w:t>
            </w:r>
          </w:p>
        </w:tc>
        <w:tc>
          <w:tcPr>
            <w:tcW w:w="880" w:type="dxa"/>
            <w:tcBorders>
              <w:top w:val="single" w:sz="4" w:space="0" w:color="ADD6EA"/>
              <w:left w:val="nil"/>
              <w:bottom w:val="single" w:sz="4" w:space="0" w:color="ADD6EA"/>
              <w:right w:val="nil"/>
            </w:tcBorders>
            <w:shd w:val="clear" w:color="000000" w:fill="B6D5E4"/>
            <w:noWrap/>
            <w:vAlign w:val="bottom"/>
            <w:hideMark/>
          </w:tcPr>
          <w:p w14:paraId="3DA6C44B" w14:textId="77777777"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B85">
              <w:rPr>
                <w:rFonts w:ascii="Open Sans Semibold" w:eastAsia="Times New Roman" w:hAnsi="Open Sans Semibold" w:cs="Open Sans Semibold"/>
                <w:color w:val="000000"/>
                <w:sz w:val="16"/>
                <w:szCs w:val="16"/>
                <w:lang w:eastAsia="en-AU"/>
              </w:rPr>
              <w:t>$m</w:t>
            </w:r>
          </w:p>
        </w:tc>
        <w:tc>
          <w:tcPr>
            <w:tcW w:w="880" w:type="dxa"/>
            <w:tcBorders>
              <w:top w:val="single" w:sz="4" w:space="0" w:color="ADD6EA"/>
              <w:left w:val="nil"/>
              <w:bottom w:val="single" w:sz="4" w:space="0" w:color="ADD6EA"/>
              <w:right w:val="nil"/>
            </w:tcBorders>
            <w:shd w:val="clear" w:color="000000" w:fill="B6D5E4"/>
            <w:noWrap/>
            <w:vAlign w:val="bottom"/>
            <w:hideMark/>
          </w:tcPr>
          <w:p w14:paraId="41C54192" w14:textId="77777777"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B85">
              <w:rPr>
                <w:rFonts w:ascii="Open Sans Semibold" w:eastAsia="Times New Roman" w:hAnsi="Open Sans Semibold" w:cs="Open Sans Semibold"/>
                <w:color w:val="000000"/>
                <w:sz w:val="16"/>
                <w:szCs w:val="16"/>
                <w:lang w:eastAsia="en-AU"/>
              </w:rPr>
              <w:t>$m</w:t>
            </w:r>
          </w:p>
        </w:tc>
        <w:tc>
          <w:tcPr>
            <w:tcW w:w="1000" w:type="dxa"/>
            <w:tcBorders>
              <w:top w:val="single" w:sz="4" w:space="0" w:color="ADD6EA"/>
              <w:left w:val="nil"/>
              <w:bottom w:val="single" w:sz="4" w:space="0" w:color="ADD6EA"/>
              <w:right w:val="nil"/>
            </w:tcBorders>
            <w:shd w:val="clear" w:color="000000" w:fill="B6D5E4"/>
            <w:noWrap/>
            <w:vAlign w:val="bottom"/>
            <w:hideMark/>
          </w:tcPr>
          <w:p w14:paraId="47714D17" w14:textId="77777777" w:rsidR="00FE5B85" w:rsidRPr="00FE5B8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5B85">
              <w:rPr>
                <w:rFonts w:ascii="Open Sans Semibold" w:eastAsia="Times New Roman" w:hAnsi="Open Sans Semibold" w:cs="Open Sans Semibold"/>
                <w:color w:val="000000"/>
                <w:sz w:val="16"/>
                <w:szCs w:val="16"/>
                <w:lang w:eastAsia="en-AU"/>
              </w:rPr>
              <w:t>$m</w:t>
            </w:r>
          </w:p>
        </w:tc>
      </w:tr>
      <w:tr w:rsidR="00FE5B85" w:rsidRPr="00FE5B85" w14:paraId="3843B81C" w14:textId="77777777" w:rsidTr="00FE5B85">
        <w:trPr>
          <w:trHeight w:val="315"/>
        </w:trPr>
        <w:tc>
          <w:tcPr>
            <w:tcW w:w="2620" w:type="dxa"/>
            <w:tcBorders>
              <w:top w:val="nil"/>
              <w:left w:val="nil"/>
              <w:bottom w:val="nil"/>
              <w:right w:val="nil"/>
            </w:tcBorders>
            <w:shd w:val="clear" w:color="auto" w:fill="auto"/>
            <w:vAlign w:val="center"/>
            <w:hideMark/>
          </w:tcPr>
          <w:p w14:paraId="09F71948" w14:textId="77777777" w:rsidR="00FE5B85" w:rsidRPr="003D17C6" w:rsidRDefault="00FE5B85" w:rsidP="00FE5B85">
            <w:pPr>
              <w:tabs>
                <w:tab w:val="clear" w:pos="567"/>
              </w:tabs>
              <w:spacing w:before="0" w:line="240" w:lineRule="auto"/>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New South Wales</w:t>
            </w:r>
          </w:p>
        </w:tc>
        <w:tc>
          <w:tcPr>
            <w:tcW w:w="880" w:type="dxa"/>
            <w:tcBorders>
              <w:top w:val="nil"/>
              <w:left w:val="nil"/>
              <w:bottom w:val="single" w:sz="4" w:space="0" w:color="ADD6EA"/>
              <w:right w:val="nil"/>
            </w:tcBorders>
            <w:shd w:val="clear" w:color="000000" w:fill="D6E7F0"/>
            <w:noWrap/>
            <w:vAlign w:val="center"/>
            <w:hideMark/>
          </w:tcPr>
          <w:p w14:paraId="67919DCB"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0.92350</w:t>
            </w:r>
          </w:p>
        </w:tc>
        <w:tc>
          <w:tcPr>
            <w:tcW w:w="880" w:type="dxa"/>
            <w:tcBorders>
              <w:top w:val="nil"/>
              <w:left w:val="nil"/>
              <w:bottom w:val="nil"/>
              <w:right w:val="nil"/>
            </w:tcBorders>
            <w:shd w:val="clear" w:color="auto" w:fill="auto"/>
            <w:noWrap/>
            <w:vAlign w:val="center"/>
            <w:hideMark/>
          </w:tcPr>
          <w:p w14:paraId="585F6F41"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0.86736</w:t>
            </w:r>
          </w:p>
        </w:tc>
        <w:tc>
          <w:tcPr>
            <w:tcW w:w="880" w:type="dxa"/>
            <w:tcBorders>
              <w:top w:val="nil"/>
              <w:left w:val="nil"/>
              <w:bottom w:val="single" w:sz="4" w:space="0" w:color="ADD6EA"/>
              <w:right w:val="nil"/>
            </w:tcBorders>
            <w:shd w:val="clear" w:color="000000" w:fill="D6E7F0"/>
            <w:noWrap/>
            <w:vAlign w:val="center"/>
            <w:hideMark/>
          </w:tcPr>
          <w:p w14:paraId="603BE9C7"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29.0</w:t>
            </w:r>
          </w:p>
        </w:tc>
        <w:tc>
          <w:tcPr>
            <w:tcW w:w="880" w:type="dxa"/>
            <w:tcBorders>
              <w:top w:val="nil"/>
              <w:left w:val="nil"/>
              <w:bottom w:val="nil"/>
              <w:right w:val="nil"/>
            </w:tcBorders>
            <w:shd w:val="clear" w:color="auto" w:fill="auto"/>
            <w:noWrap/>
            <w:vAlign w:val="center"/>
            <w:hideMark/>
          </w:tcPr>
          <w:p w14:paraId="758456F9"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27.1</w:t>
            </w:r>
          </w:p>
        </w:tc>
        <w:tc>
          <w:tcPr>
            <w:tcW w:w="880" w:type="dxa"/>
            <w:tcBorders>
              <w:top w:val="nil"/>
              <w:left w:val="nil"/>
              <w:bottom w:val="single" w:sz="4" w:space="0" w:color="ADD6EA"/>
              <w:right w:val="nil"/>
            </w:tcBorders>
            <w:shd w:val="clear" w:color="000000" w:fill="D6E7F0"/>
            <w:noWrap/>
            <w:vAlign w:val="center"/>
            <w:hideMark/>
          </w:tcPr>
          <w:p w14:paraId="71098CEF"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24,535</w:t>
            </w:r>
          </w:p>
        </w:tc>
        <w:tc>
          <w:tcPr>
            <w:tcW w:w="880" w:type="dxa"/>
            <w:tcBorders>
              <w:top w:val="nil"/>
              <w:left w:val="nil"/>
              <w:bottom w:val="nil"/>
              <w:right w:val="nil"/>
            </w:tcBorders>
            <w:shd w:val="clear" w:color="auto" w:fill="auto"/>
            <w:noWrap/>
            <w:vAlign w:val="center"/>
            <w:hideMark/>
          </w:tcPr>
          <w:p w14:paraId="16709E0B"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24,224</w:t>
            </w:r>
          </w:p>
        </w:tc>
        <w:tc>
          <w:tcPr>
            <w:tcW w:w="1000" w:type="dxa"/>
            <w:tcBorders>
              <w:top w:val="nil"/>
              <w:left w:val="nil"/>
              <w:bottom w:val="single" w:sz="4" w:space="0" w:color="ADD6EA"/>
              <w:right w:val="nil"/>
            </w:tcBorders>
            <w:shd w:val="clear" w:color="000000" w:fill="D6E7F0"/>
            <w:noWrap/>
            <w:vAlign w:val="center"/>
            <w:hideMark/>
          </w:tcPr>
          <w:p w14:paraId="796BD127"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-310</w:t>
            </w:r>
          </w:p>
        </w:tc>
      </w:tr>
      <w:tr w:rsidR="00FE5B85" w:rsidRPr="00FE5B85" w14:paraId="500C3B29" w14:textId="77777777" w:rsidTr="00FE5B85">
        <w:trPr>
          <w:trHeight w:val="315"/>
        </w:trPr>
        <w:tc>
          <w:tcPr>
            <w:tcW w:w="2620" w:type="dxa"/>
            <w:tcBorders>
              <w:top w:val="single" w:sz="4" w:space="0" w:color="ADD6EA"/>
              <w:left w:val="nil"/>
              <w:bottom w:val="nil"/>
              <w:right w:val="nil"/>
            </w:tcBorders>
            <w:shd w:val="clear" w:color="auto" w:fill="auto"/>
            <w:vAlign w:val="center"/>
            <w:hideMark/>
          </w:tcPr>
          <w:p w14:paraId="18FAD63A" w14:textId="77777777" w:rsidR="00FE5B85" w:rsidRPr="003D17C6" w:rsidRDefault="00FE5B85" w:rsidP="00FE5B85">
            <w:pPr>
              <w:tabs>
                <w:tab w:val="clear" w:pos="567"/>
              </w:tabs>
              <w:spacing w:before="0" w:line="240" w:lineRule="auto"/>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Victoria</w:t>
            </w:r>
          </w:p>
        </w:tc>
        <w:tc>
          <w:tcPr>
            <w:tcW w:w="880" w:type="dxa"/>
            <w:tcBorders>
              <w:top w:val="nil"/>
              <w:left w:val="nil"/>
              <w:bottom w:val="single" w:sz="4" w:space="0" w:color="ADD6EA"/>
              <w:right w:val="nil"/>
            </w:tcBorders>
            <w:shd w:val="clear" w:color="000000" w:fill="D6E7F0"/>
            <w:noWrap/>
            <w:vAlign w:val="center"/>
            <w:hideMark/>
          </w:tcPr>
          <w:p w14:paraId="69F9308E"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0.85169</w:t>
            </w:r>
          </w:p>
        </w:tc>
        <w:tc>
          <w:tcPr>
            <w:tcW w:w="880" w:type="dxa"/>
            <w:tcBorders>
              <w:top w:val="single" w:sz="4" w:space="0" w:color="ADD6EA"/>
              <w:left w:val="nil"/>
              <w:bottom w:val="nil"/>
              <w:right w:val="nil"/>
            </w:tcBorders>
            <w:shd w:val="clear" w:color="auto" w:fill="auto"/>
            <w:noWrap/>
            <w:vAlign w:val="center"/>
            <w:hideMark/>
          </w:tcPr>
          <w:p w14:paraId="17C8AE5A"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0.96502</w:t>
            </w:r>
          </w:p>
        </w:tc>
        <w:tc>
          <w:tcPr>
            <w:tcW w:w="880" w:type="dxa"/>
            <w:tcBorders>
              <w:top w:val="nil"/>
              <w:left w:val="nil"/>
              <w:bottom w:val="single" w:sz="4" w:space="0" w:color="ADD6EA"/>
              <w:right w:val="nil"/>
            </w:tcBorders>
            <w:shd w:val="clear" w:color="000000" w:fill="D6E7F0"/>
            <w:noWrap/>
            <w:vAlign w:val="center"/>
            <w:hideMark/>
          </w:tcPr>
          <w:p w14:paraId="08D5625A"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21.9</w:t>
            </w:r>
          </w:p>
        </w:tc>
        <w:tc>
          <w:tcPr>
            <w:tcW w:w="880" w:type="dxa"/>
            <w:tcBorders>
              <w:top w:val="single" w:sz="4" w:space="0" w:color="ADD6EA"/>
              <w:left w:val="nil"/>
              <w:bottom w:val="nil"/>
              <w:right w:val="nil"/>
            </w:tcBorders>
            <w:shd w:val="clear" w:color="auto" w:fill="auto"/>
            <w:noWrap/>
            <w:vAlign w:val="center"/>
            <w:hideMark/>
          </w:tcPr>
          <w:p w14:paraId="7D2ADE40"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24.8</w:t>
            </w:r>
          </w:p>
        </w:tc>
        <w:tc>
          <w:tcPr>
            <w:tcW w:w="880" w:type="dxa"/>
            <w:tcBorders>
              <w:top w:val="nil"/>
              <w:left w:val="nil"/>
              <w:bottom w:val="single" w:sz="4" w:space="0" w:color="ADD6EA"/>
              <w:right w:val="nil"/>
            </w:tcBorders>
            <w:shd w:val="clear" w:color="000000" w:fill="D6E7F0"/>
            <w:noWrap/>
            <w:vAlign w:val="center"/>
            <w:hideMark/>
          </w:tcPr>
          <w:p w14:paraId="709D28FF"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18,541</w:t>
            </w:r>
          </w:p>
        </w:tc>
        <w:tc>
          <w:tcPr>
            <w:tcW w:w="880" w:type="dxa"/>
            <w:tcBorders>
              <w:top w:val="single" w:sz="4" w:space="0" w:color="ADD6EA"/>
              <w:left w:val="nil"/>
              <w:bottom w:val="nil"/>
              <w:right w:val="nil"/>
            </w:tcBorders>
            <w:shd w:val="clear" w:color="auto" w:fill="auto"/>
            <w:noWrap/>
            <w:vAlign w:val="center"/>
            <w:hideMark/>
          </w:tcPr>
          <w:p w14:paraId="583AA044"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22,227</w:t>
            </w:r>
          </w:p>
        </w:tc>
        <w:tc>
          <w:tcPr>
            <w:tcW w:w="1000" w:type="dxa"/>
            <w:tcBorders>
              <w:top w:val="nil"/>
              <w:left w:val="nil"/>
              <w:bottom w:val="single" w:sz="4" w:space="0" w:color="ADD6EA"/>
              <w:right w:val="nil"/>
            </w:tcBorders>
            <w:shd w:val="clear" w:color="000000" w:fill="D6E7F0"/>
            <w:noWrap/>
            <w:vAlign w:val="center"/>
            <w:hideMark/>
          </w:tcPr>
          <w:p w14:paraId="5C23449E"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3,686</w:t>
            </w:r>
          </w:p>
        </w:tc>
      </w:tr>
      <w:tr w:rsidR="00FE5B85" w:rsidRPr="00FE5B85" w14:paraId="3E78DB06" w14:textId="77777777" w:rsidTr="00FE5B85">
        <w:trPr>
          <w:trHeight w:val="315"/>
        </w:trPr>
        <w:tc>
          <w:tcPr>
            <w:tcW w:w="2620" w:type="dxa"/>
            <w:tcBorders>
              <w:top w:val="single" w:sz="4" w:space="0" w:color="ADD6EA"/>
              <w:left w:val="nil"/>
              <w:bottom w:val="nil"/>
              <w:right w:val="nil"/>
            </w:tcBorders>
            <w:shd w:val="clear" w:color="auto" w:fill="auto"/>
            <w:vAlign w:val="center"/>
            <w:hideMark/>
          </w:tcPr>
          <w:p w14:paraId="004684F7" w14:textId="77777777" w:rsidR="00FE5B85" w:rsidRPr="003D17C6" w:rsidRDefault="00FE5B85" w:rsidP="00FE5B85">
            <w:pPr>
              <w:tabs>
                <w:tab w:val="clear" w:pos="567"/>
              </w:tabs>
              <w:spacing w:before="0" w:line="240" w:lineRule="auto"/>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Queensland</w:t>
            </w:r>
          </w:p>
        </w:tc>
        <w:tc>
          <w:tcPr>
            <w:tcW w:w="880" w:type="dxa"/>
            <w:tcBorders>
              <w:top w:val="nil"/>
              <w:left w:val="nil"/>
              <w:bottom w:val="single" w:sz="4" w:space="0" w:color="ADD6EA"/>
              <w:right w:val="nil"/>
            </w:tcBorders>
            <w:shd w:val="clear" w:color="000000" w:fill="D6E7F0"/>
            <w:noWrap/>
            <w:vAlign w:val="center"/>
            <w:hideMark/>
          </w:tcPr>
          <w:p w14:paraId="2C67AEE1"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1.03118</w:t>
            </w:r>
          </w:p>
        </w:tc>
        <w:tc>
          <w:tcPr>
            <w:tcW w:w="880" w:type="dxa"/>
            <w:tcBorders>
              <w:top w:val="single" w:sz="4" w:space="0" w:color="ADD6EA"/>
              <w:left w:val="nil"/>
              <w:bottom w:val="nil"/>
              <w:right w:val="nil"/>
            </w:tcBorders>
            <w:shd w:val="clear" w:color="auto" w:fill="auto"/>
            <w:noWrap/>
            <w:vAlign w:val="center"/>
            <w:hideMark/>
          </w:tcPr>
          <w:p w14:paraId="20ACBB98"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0.95232</w:t>
            </w:r>
          </w:p>
        </w:tc>
        <w:tc>
          <w:tcPr>
            <w:tcW w:w="880" w:type="dxa"/>
            <w:tcBorders>
              <w:top w:val="nil"/>
              <w:left w:val="nil"/>
              <w:bottom w:val="single" w:sz="4" w:space="0" w:color="ADD6EA"/>
              <w:right w:val="nil"/>
            </w:tcBorders>
            <w:shd w:val="clear" w:color="000000" w:fill="D6E7F0"/>
            <w:noWrap/>
            <w:vAlign w:val="center"/>
            <w:hideMark/>
          </w:tcPr>
          <w:p w14:paraId="1DA56D85"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21.2</w:t>
            </w:r>
          </w:p>
        </w:tc>
        <w:tc>
          <w:tcPr>
            <w:tcW w:w="880" w:type="dxa"/>
            <w:tcBorders>
              <w:top w:val="single" w:sz="4" w:space="0" w:color="ADD6EA"/>
              <w:left w:val="nil"/>
              <w:bottom w:val="nil"/>
              <w:right w:val="nil"/>
            </w:tcBorders>
            <w:shd w:val="clear" w:color="auto" w:fill="auto"/>
            <w:noWrap/>
            <w:vAlign w:val="center"/>
            <w:hideMark/>
          </w:tcPr>
          <w:p w14:paraId="6E673CBD"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19.5</w:t>
            </w:r>
          </w:p>
        </w:tc>
        <w:tc>
          <w:tcPr>
            <w:tcW w:w="880" w:type="dxa"/>
            <w:tcBorders>
              <w:top w:val="nil"/>
              <w:left w:val="nil"/>
              <w:bottom w:val="single" w:sz="4" w:space="0" w:color="ADD6EA"/>
              <w:right w:val="nil"/>
            </w:tcBorders>
            <w:shd w:val="clear" w:color="000000" w:fill="D6E7F0"/>
            <w:noWrap/>
            <w:vAlign w:val="center"/>
            <w:hideMark/>
          </w:tcPr>
          <w:p w14:paraId="09920C0F"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17,929</w:t>
            </w:r>
          </w:p>
        </w:tc>
        <w:tc>
          <w:tcPr>
            <w:tcW w:w="880" w:type="dxa"/>
            <w:tcBorders>
              <w:top w:val="single" w:sz="4" w:space="0" w:color="ADD6EA"/>
              <w:left w:val="nil"/>
              <w:bottom w:val="nil"/>
              <w:right w:val="nil"/>
            </w:tcBorders>
            <w:shd w:val="clear" w:color="auto" w:fill="auto"/>
            <w:noWrap/>
            <w:vAlign w:val="center"/>
            <w:hideMark/>
          </w:tcPr>
          <w:p w14:paraId="42E5566B"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17,460</w:t>
            </w:r>
          </w:p>
        </w:tc>
        <w:tc>
          <w:tcPr>
            <w:tcW w:w="1000" w:type="dxa"/>
            <w:tcBorders>
              <w:top w:val="nil"/>
              <w:left w:val="nil"/>
              <w:bottom w:val="single" w:sz="4" w:space="0" w:color="ADD6EA"/>
              <w:right w:val="nil"/>
            </w:tcBorders>
            <w:shd w:val="clear" w:color="000000" w:fill="D6E7F0"/>
            <w:noWrap/>
            <w:vAlign w:val="center"/>
            <w:hideMark/>
          </w:tcPr>
          <w:p w14:paraId="73311ED6"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-469</w:t>
            </w:r>
          </w:p>
        </w:tc>
      </w:tr>
      <w:tr w:rsidR="00FE5B85" w:rsidRPr="00FE5B85" w14:paraId="0B8BFC56" w14:textId="77777777" w:rsidTr="00FE5B85">
        <w:trPr>
          <w:trHeight w:val="315"/>
        </w:trPr>
        <w:tc>
          <w:tcPr>
            <w:tcW w:w="2620" w:type="dxa"/>
            <w:tcBorders>
              <w:top w:val="single" w:sz="4" w:space="0" w:color="ADD6EA"/>
              <w:left w:val="nil"/>
              <w:bottom w:val="nil"/>
              <w:right w:val="nil"/>
            </w:tcBorders>
            <w:shd w:val="clear" w:color="auto" w:fill="auto"/>
            <w:vAlign w:val="center"/>
            <w:hideMark/>
          </w:tcPr>
          <w:p w14:paraId="3D774295" w14:textId="77777777" w:rsidR="00FE5B85" w:rsidRPr="003D17C6" w:rsidRDefault="00FE5B85" w:rsidP="00FE5B85">
            <w:pPr>
              <w:tabs>
                <w:tab w:val="clear" w:pos="567"/>
              </w:tabs>
              <w:spacing w:before="0" w:line="240" w:lineRule="auto"/>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Western Australia</w:t>
            </w:r>
          </w:p>
        </w:tc>
        <w:tc>
          <w:tcPr>
            <w:tcW w:w="880" w:type="dxa"/>
            <w:tcBorders>
              <w:top w:val="nil"/>
              <w:left w:val="nil"/>
              <w:bottom w:val="single" w:sz="4" w:space="0" w:color="ADD6EA"/>
              <w:right w:val="nil"/>
            </w:tcBorders>
            <w:shd w:val="clear" w:color="000000" w:fill="D6E7F0"/>
            <w:noWrap/>
            <w:vAlign w:val="center"/>
            <w:hideMark/>
          </w:tcPr>
          <w:p w14:paraId="234219F5"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0.70000</w:t>
            </w:r>
          </w:p>
        </w:tc>
        <w:tc>
          <w:tcPr>
            <w:tcW w:w="880" w:type="dxa"/>
            <w:tcBorders>
              <w:top w:val="single" w:sz="4" w:space="0" w:color="ADD6EA"/>
              <w:left w:val="nil"/>
              <w:bottom w:val="nil"/>
              <w:right w:val="nil"/>
            </w:tcBorders>
            <w:shd w:val="clear" w:color="auto" w:fill="auto"/>
            <w:noWrap/>
            <w:vAlign w:val="center"/>
            <w:hideMark/>
          </w:tcPr>
          <w:p w14:paraId="39EA9EF3"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0.75000</w:t>
            </w:r>
          </w:p>
        </w:tc>
        <w:tc>
          <w:tcPr>
            <w:tcW w:w="880" w:type="dxa"/>
            <w:tcBorders>
              <w:top w:val="nil"/>
              <w:left w:val="nil"/>
              <w:bottom w:val="single" w:sz="4" w:space="0" w:color="ADD6EA"/>
              <w:right w:val="nil"/>
            </w:tcBorders>
            <w:shd w:val="clear" w:color="000000" w:fill="D6E7F0"/>
            <w:noWrap/>
            <w:vAlign w:val="center"/>
            <w:hideMark/>
          </w:tcPr>
          <w:p w14:paraId="78E0AD09"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7.6</w:t>
            </w:r>
          </w:p>
        </w:tc>
        <w:tc>
          <w:tcPr>
            <w:tcW w:w="880" w:type="dxa"/>
            <w:tcBorders>
              <w:top w:val="single" w:sz="4" w:space="0" w:color="ADD6EA"/>
              <w:left w:val="nil"/>
              <w:bottom w:val="nil"/>
              <w:right w:val="nil"/>
            </w:tcBorders>
            <w:shd w:val="clear" w:color="auto" w:fill="auto"/>
            <w:noWrap/>
            <w:vAlign w:val="center"/>
            <w:hideMark/>
          </w:tcPr>
          <w:p w14:paraId="5E5B2D86"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8.1</w:t>
            </w:r>
          </w:p>
        </w:tc>
        <w:tc>
          <w:tcPr>
            <w:tcW w:w="880" w:type="dxa"/>
            <w:tcBorders>
              <w:top w:val="nil"/>
              <w:left w:val="nil"/>
              <w:bottom w:val="single" w:sz="4" w:space="0" w:color="ADD6EA"/>
              <w:right w:val="nil"/>
            </w:tcBorders>
            <w:shd w:val="clear" w:color="000000" w:fill="D6E7F0"/>
            <w:noWrap/>
            <w:vAlign w:val="center"/>
            <w:hideMark/>
          </w:tcPr>
          <w:p w14:paraId="6AEE663D"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6,419</w:t>
            </w:r>
          </w:p>
        </w:tc>
        <w:tc>
          <w:tcPr>
            <w:tcW w:w="880" w:type="dxa"/>
            <w:tcBorders>
              <w:top w:val="single" w:sz="4" w:space="0" w:color="ADD6EA"/>
              <w:left w:val="nil"/>
              <w:bottom w:val="nil"/>
              <w:right w:val="nil"/>
            </w:tcBorders>
            <w:shd w:val="clear" w:color="auto" w:fill="auto"/>
            <w:noWrap/>
            <w:vAlign w:val="center"/>
            <w:hideMark/>
          </w:tcPr>
          <w:p w14:paraId="56D515F7"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7,257</w:t>
            </w:r>
          </w:p>
        </w:tc>
        <w:tc>
          <w:tcPr>
            <w:tcW w:w="1000" w:type="dxa"/>
            <w:tcBorders>
              <w:top w:val="nil"/>
              <w:left w:val="nil"/>
              <w:bottom w:val="single" w:sz="4" w:space="0" w:color="ADD6EA"/>
              <w:right w:val="nil"/>
            </w:tcBorders>
            <w:shd w:val="clear" w:color="000000" w:fill="D6E7F0"/>
            <w:noWrap/>
            <w:vAlign w:val="center"/>
            <w:hideMark/>
          </w:tcPr>
          <w:p w14:paraId="47B87C79"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838</w:t>
            </w:r>
          </w:p>
        </w:tc>
      </w:tr>
      <w:tr w:rsidR="00FE5B85" w:rsidRPr="00FE5B85" w14:paraId="33140D7D" w14:textId="77777777" w:rsidTr="00FE5B85">
        <w:trPr>
          <w:trHeight w:val="315"/>
        </w:trPr>
        <w:tc>
          <w:tcPr>
            <w:tcW w:w="2620" w:type="dxa"/>
            <w:tcBorders>
              <w:top w:val="single" w:sz="4" w:space="0" w:color="ADD6EA"/>
              <w:left w:val="nil"/>
              <w:bottom w:val="nil"/>
              <w:right w:val="nil"/>
            </w:tcBorders>
            <w:shd w:val="clear" w:color="auto" w:fill="auto"/>
            <w:vAlign w:val="center"/>
            <w:hideMark/>
          </w:tcPr>
          <w:p w14:paraId="145C2292" w14:textId="77777777" w:rsidR="00FE5B85" w:rsidRPr="003D17C6" w:rsidRDefault="00FE5B85" w:rsidP="00FE5B85">
            <w:pPr>
              <w:tabs>
                <w:tab w:val="clear" w:pos="567"/>
              </w:tabs>
              <w:spacing w:before="0" w:line="240" w:lineRule="auto"/>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South Australia</w:t>
            </w:r>
          </w:p>
        </w:tc>
        <w:tc>
          <w:tcPr>
            <w:tcW w:w="880" w:type="dxa"/>
            <w:tcBorders>
              <w:top w:val="nil"/>
              <w:left w:val="nil"/>
              <w:bottom w:val="single" w:sz="4" w:space="0" w:color="ADD6EA"/>
              <w:right w:val="nil"/>
            </w:tcBorders>
            <w:shd w:val="clear" w:color="000000" w:fill="D6E7F0"/>
            <w:noWrap/>
            <w:vAlign w:val="center"/>
            <w:hideMark/>
          </w:tcPr>
          <w:p w14:paraId="2DA6FEC7"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1.39463</w:t>
            </w:r>
          </w:p>
        </w:tc>
        <w:tc>
          <w:tcPr>
            <w:tcW w:w="880" w:type="dxa"/>
            <w:tcBorders>
              <w:top w:val="single" w:sz="4" w:space="0" w:color="ADD6EA"/>
              <w:left w:val="nil"/>
              <w:bottom w:val="nil"/>
              <w:right w:val="nil"/>
            </w:tcBorders>
            <w:shd w:val="clear" w:color="auto" w:fill="auto"/>
            <w:noWrap/>
            <w:vAlign w:val="center"/>
            <w:hideMark/>
          </w:tcPr>
          <w:p w14:paraId="7A88D38F"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1.40312</w:t>
            </w:r>
          </w:p>
        </w:tc>
        <w:tc>
          <w:tcPr>
            <w:tcW w:w="880" w:type="dxa"/>
            <w:tcBorders>
              <w:top w:val="nil"/>
              <w:left w:val="nil"/>
              <w:bottom w:val="single" w:sz="4" w:space="0" w:color="ADD6EA"/>
              <w:right w:val="nil"/>
            </w:tcBorders>
            <w:shd w:val="clear" w:color="000000" w:fill="D6E7F0"/>
            <w:noWrap/>
            <w:vAlign w:val="center"/>
            <w:hideMark/>
          </w:tcPr>
          <w:p w14:paraId="6E2908C9"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9.7</w:t>
            </w:r>
          </w:p>
        </w:tc>
        <w:tc>
          <w:tcPr>
            <w:tcW w:w="880" w:type="dxa"/>
            <w:tcBorders>
              <w:top w:val="single" w:sz="4" w:space="0" w:color="ADD6EA"/>
              <w:left w:val="nil"/>
              <w:bottom w:val="nil"/>
              <w:right w:val="nil"/>
            </w:tcBorders>
            <w:shd w:val="clear" w:color="auto" w:fill="auto"/>
            <w:noWrap/>
            <w:vAlign w:val="center"/>
            <w:hideMark/>
          </w:tcPr>
          <w:p w14:paraId="37430054"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9.7</w:t>
            </w:r>
          </w:p>
        </w:tc>
        <w:tc>
          <w:tcPr>
            <w:tcW w:w="880" w:type="dxa"/>
            <w:tcBorders>
              <w:top w:val="nil"/>
              <w:left w:val="nil"/>
              <w:bottom w:val="single" w:sz="4" w:space="0" w:color="ADD6EA"/>
              <w:right w:val="nil"/>
            </w:tcBorders>
            <w:shd w:val="clear" w:color="000000" w:fill="D6E7F0"/>
            <w:noWrap/>
            <w:vAlign w:val="center"/>
            <w:hideMark/>
          </w:tcPr>
          <w:p w14:paraId="2070735B"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8,214</w:t>
            </w:r>
          </w:p>
        </w:tc>
        <w:tc>
          <w:tcPr>
            <w:tcW w:w="880" w:type="dxa"/>
            <w:tcBorders>
              <w:top w:val="single" w:sz="4" w:space="0" w:color="ADD6EA"/>
              <w:left w:val="nil"/>
              <w:bottom w:val="nil"/>
              <w:right w:val="nil"/>
            </w:tcBorders>
            <w:shd w:val="clear" w:color="auto" w:fill="auto"/>
            <w:noWrap/>
            <w:vAlign w:val="center"/>
            <w:hideMark/>
          </w:tcPr>
          <w:p w14:paraId="15061F8F"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8,671</w:t>
            </w:r>
          </w:p>
        </w:tc>
        <w:tc>
          <w:tcPr>
            <w:tcW w:w="1000" w:type="dxa"/>
            <w:tcBorders>
              <w:top w:val="nil"/>
              <w:left w:val="nil"/>
              <w:bottom w:val="single" w:sz="4" w:space="0" w:color="ADD6EA"/>
              <w:right w:val="nil"/>
            </w:tcBorders>
            <w:shd w:val="clear" w:color="000000" w:fill="D6E7F0"/>
            <w:noWrap/>
            <w:vAlign w:val="center"/>
            <w:hideMark/>
          </w:tcPr>
          <w:p w14:paraId="26F57EF4"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457</w:t>
            </w:r>
          </w:p>
        </w:tc>
      </w:tr>
      <w:tr w:rsidR="00FE5B85" w:rsidRPr="00FE5B85" w14:paraId="065606B9" w14:textId="77777777" w:rsidTr="00FE5B85">
        <w:trPr>
          <w:trHeight w:val="315"/>
        </w:trPr>
        <w:tc>
          <w:tcPr>
            <w:tcW w:w="2620" w:type="dxa"/>
            <w:tcBorders>
              <w:top w:val="single" w:sz="4" w:space="0" w:color="ADD6EA"/>
              <w:left w:val="nil"/>
              <w:bottom w:val="nil"/>
              <w:right w:val="nil"/>
            </w:tcBorders>
            <w:shd w:val="clear" w:color="auto" w:fill="auto"/>
            <w:vAlign w:val="center"/>
            <w:hideMark/>
          </w:tcPr>
          <w:p w14:paraId="23564CC1" w14:textId="77777777" w:rsidR="00FE5B85" w:rsidRPr="003D17C6" w:rsidRDefault="00FE5B85" w:rsidP="00FE5B85">
            <w:pPr>
              <w:tabs>
                <w:tab w:val="clear" w:pos="567"/>
              </w:tabs>
              <w:spacing w:before="0" w:line="240" w:lineRule="auto"/>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Tasmania</w:t>
            </w:r>
          </w:p>
        </w:tc>
        <w:tc>
          <w:tcPr>
            <w:tcW w:w="880" w:type="dxa"/>
            <w:tcBorders>
              <w:top w:val="nil"/>
              <w:left w:val="nil"/>
              <w:bottom w:val="single" w:sz="4" w:space="0" w:color="ADD6EA"/>
              <w:right w:val="nil"/>
            </w:tcBorders>
            <w:shd w:val="clear" w:color="000000" w:fill="D6E7F0"/>
            <w:noWrap/>
            <w:vAlign w:val="center"/>
            <w:hideMark/>
          </w:tcPr>
          <w:p w14:paraId="40CB4182"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1.79080</w:t>
            </w:r>
          </w:p>
        </w:tc>
        <w:tc>
          <w:tcPr>
            <w:tcW w:w="880" w:type="dxa"/>
            <w:tcBorders>
              <w:top w:val="single" w:sz="4" w:space="0" w:color="ADD6EA"/>
              <w:left w:val="nil"/>
              <w:bottom w:val="nil"/>
              <w:right w:val="nil"/>
            </w:tcBorders>
            <w:shd w:val="clear" w:color="auto" w:fill="auto"/>
            <w:noWrap/>
            <w:vAlign w:val="center"/>
            <w:hideMark/>
          </w:tcPr>
          <w:p w14:paraId="509CF74F"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1.82832</w:t>
            </w:r>
          </w:p>
        </w:tc>
        <w:tc>
          <w:tcPr>
            <w:tcW w:w="880" w:type="dxa"/>
            <w:tcBorders>
              <w:top w:val="nil"/>
              <w:left w:val="nil"/>
              <w:bottom w:val="single" w:sz="4" w:space="0" w:color="ADD6EA"/>
              <w:right w:val="nil"/>
            </w:tcBorders>
            <w:shd w:val="clear" w:color="000000" w:fill="D6E7F0"/>
            <w:noWrap/>
            <w:vAlign w:val="center"/>
            <w:hideMark/>
          </w:tcPr>
          <w:p w14:paraId="30C87ECC"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3.8</w:t>
            </w:r>
          </w:p>
        </w:tc>
        <w:tc>
          <w:tcPr>
            <w:tcW w:w="880" w:type="dxa"/>
            <w:tcBorders>
              <w:top w:val="single" w:sz="4" w:space="0" w:color="ADD6EA"/>
              <w:left w:val="nil"/>
              <w:bottom w:val="nil"/>
              <w:right w:val="nil"/>
            </w:tcBorders>
            <w:shd w:val="clear" w:color="auto" w:fill="auto"/>
            <w:noWrap/>
            <w:vAlign w:val="center"/>
            <w:hideMark/>
          </w:tcPr>
          <w:p w14:paraId="16B51D92"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3.9</w:t>
            </w:r>
          </w:p>
        </w:tc>
        <w:tc>
          <w:tcPr>
            <w:tcW w:w="880" w:type="dxa"/>
            <w:tcBorders>
              <w:top w:val="nil"/>
              <w:left w:val="nil"/>
              <w:bottom w:val="single" w:sz="4" w:space="0" w:color="ADD6EA"/>
              <w:right w:val="nil"/>
            </w:tcBorders>
            <w:shd w:val="clear" w:color="000000" w:fill="D6E7F0"/>
            <w:noWrap/>
            <w:vAlign w:val="center"/>
            <w:hideMark/>
          </w:tcPr>
          <w:p w14:paraId="3D3C2C20"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3,257</w:t>
            </w:r>
          </w:p>
        </w:tc>
        <w:tc>
          <w:tcPr>
            <w:tcW w:w="880" w:type="dxa"/>
            <w:tcBorders>
              <w:top w:val="single" w:sz="4" w:space="0" w:color="ADD6EA"/>
              <w:left w:val="nil"/>
              <w:bottom w:val="nil"/>
              <w:right w:val="nil"/>
            </w:tcBorders>
            <w:shd w:val="clear" w:color="auto" w:fill="auto"/>
            <w:noWrap/>
            <w:vAlign w:val="center"/>
            <w:hideMark/>
          </w:tcPr>
          <w:p w14:paraId="4875A968"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3,476</w:t>
            </w:r>
          </w:p>
        </w:tc>
        <w:tc>
          <w:tcPr>
            <w:tcW w:w="1000" w:type="dxa"/>
            <w:tcBorders>
              <w:top w:val="nil"/>
              <w:left w:val="nil"/>
              <w:bottom w:val="single" w:sz="4" w:space="0" w:color="ADD6EA"/>
              <w:right w:val="nil"/>
            </w:tcBorders>
            <w:shd w:val="clear" w:color="000000" w:fill="D6E7F0"/>
            <w:noWrap/>
            <w:vAlign w:val="center"/>
            <w:hideMark/>
          </w:tcPr>
          <w:p w14:paraId="64F0D631"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219</w:t>
            </w:r>
          </w:p>
        </w:tc>
      </w:tr>
      <w:tr w:rsidR="00FE5B85" w:rsidRPr="00FE5B85" w14:paraId="70BAC479" w14:textId="77777777" w:rsidTr="00FE5B85">
        <w:trPr>
          <w:trHeight w:val="315"/>
        </w:trPr>
        <w:tc>
          <w:tcPr>
            <w:tcW w:w="2620" w:type="dxa"/>
            <w:tcBorders>
              <w:top w:val="single" w:sz="4" w:space="0" w:color="ADD6EA"/>
              <w:left w:val="nil"/>
              <w:bottom w:val="nil"/>
              <w:right w:val="nil"/>
            </w:tcBorders>
            <w:shd w:val="clear" w:color="auto" w:fill="auto"/>
            <w:vAlign w:val="center"/>
            <w:hideMark/>
          </w:tcPr>
          <w:p w14:paraId="2D4C906B" w14:textId="77777777" w:rsidR="00FE5B85" w:rsidRPr="003D17C6" w:rsidRDefault="00FE5B85" w:rsidP="00FE5B85">
            <w:pPr>
              <w:tabs>
                <w:tab w:val="clear" w:pos="567"/>
              </w:tabs>
              <w:spacing w:before="0" w:line="240" w:lineRule="auto"/>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Australian Capital Territory</w:t>
            </w:r>
          </w:p>
        </w:tc>
        <w:tc>
          <w:tcPr>
            <w:tcW w:w="880" w:type="dxa"/>
            <w:tcBorders>
              <w:top w:val="nil"/>
              <w:left w:val="nil"/>
              <w:bottom w:val="single" w:sz="4" w:space="0" w:color="ADD6EA"/>
              <w:right w:val="nil"/>
            </w:tcBorders>
            <w:shd w:val="clear" w:color="000000" w:fill="D6E7F0"/>
            <w:noWrap/>
            <w:vAlign w:val="center"/>
            <w:hideMark/>
          </w:tcPr>
          <w:p w14:paraId="6D4D2EF6"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1.19540</w:t>
            </w:r>
          </w:p>
        </w:tc>
        <w:tc>
          <w:tcPr>
            <w:tcW w:w="880" w:type="dxa"/>
            <w:tcBorders>
              <w:top w:val="single" w:sz="4" w:space="0" w:color="ADD6EA"/>
              <w:left w:val="nil"/>
              <w:bottom w:val="nil"/>
              <w:right w:val="nil"/>
            </w:tcBorders>
            <w:shd w:val="clear" w:color="auto" w:fill="auto"/>
            <w:vAlign w:val="center"/>
            <w:hideMark/>
          </w:tcPr>
          <w:p w14:paraId="450F8841"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1.20419</w:t>
            </w:r>
          </w:p>
        </w:tc>
        <w:tc>
          <w:tcPr>
            <w:tcW w:w="880" w:type="dxa"/>
            <w:tcBorders>
              <w:top w:val="nil"/>
              <w:left w:val="nil"/>
              <w:bottom w:val="single" w:sz="4" w:space="0" w:color="ADD6EA"/>
              <w:right w:val="nil"/>
            </w:tcBorders>
            <w:shd w:val="clear" w:color="000000" w:fill="D6E7F0"/>
            <w:noWrap/>
            <w:vAlign w:val="center"/>
            <w:hideMark/>
          </w:tcPr>
          <w:p w14:paraId="7FEB0D3C"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2.1</w:t>
            </w:r>
          </w:p>
        </w:tc>
        <w:tc>
          <w:tcPr>
            <w:tcW w:w="880" w:type="dxa"/>
            <w:tcBorders>
              <w:top w:val="single" w:sz="4" w:space="0" w:color="ADD6EA"/>
              <w:left w:val="nil"/>
              <w:bottom w:val="nil"/>
              <w:right w:val="nil"/>
            </w:tcBorders>
            <w:shd w:val="clear" w:color="auto" w:fill="auto"/>
            <w:vAlign w:val="center"/>
            <w:hideMark/>
          </w:tcPr>
          <w:p w14:paraId="7767BF03"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2.1</w:t>
            </w:r>
          </w:p>
        </w:tc>
        <w:tc>
          <w:tcPr>
            <w:tcW w:w="880" w:type="dxa"/>
            <w:tcBorders>
              <w:top w:val="nil"/>
              <w:left w:val="nil"/>
              <w:bottom w:val="single" w:sz="4" w:space="0" w:color="ADD6EA"/>
              <w:right w:val="nil"/>
            </w:tcBorders>
            <w:shd w:val="clear" w:color="000000" w:fill="D6E7F0"/>
            <w:noWrap/>
            <w:vAlign w:val="center"/>
            <w:hideMark/>
          </w:tcPr>
          <w:p w14:paraId="6217DEFB"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1,778</w:t>
            </w:r>
          </w:p>
        </w:tc>
        <w:tc>
          <w:tcPr>
            <w:tcW w:w="880" w:type="dxa"/>
            <w:tcBorders>
              <w:top w:val="single" w:sz="4" w:space="0" w:color="ADD6EA"/>
              <w:left w:val="nil"/>
              <w:bottom w:val="nil"/>
              <w:right w:val="nil"/>
            </w:tcBorders>
            <w:shd w:val="clear" w:color="auto" w:fill="auto"/>
            <w:vAlign w:val="center"/>
            <w:hideMark/>
          </w:tcPr>
          <w:p w14:paraId="48D23DFE"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1,889</w:t>
            </w:r>
          </w:p>
        </w:tc>
        <w:tc>
          <w:tcPr>
            <w:tcW w:w="1000" w:type="dxa"/>
            <w:tcBorders>
              <w:top w:val="nil"/>
              <w:left w:val="nil"/>
              <w:bottom w:val="single" w:sz="4" w:space="0" w:color="ADD6EA"/>
              <w:right w:val="nil"/>
            </w:tcBorders>
            <w:shd w:val="clear" w:color="000000" w:fill="D6E7F0"/>
            <w:noWrap/>
            <w:vAlign w:val="center"/>
            <w:hideMark/>
          </w:tcPr>
          <w:p w14:paraId="44A107F3"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111</w:t>
            </w:r>
          </w:p>
        </w:tc>
      </w:tr>
      <w:tr w:rsidR="00FE5B85" w:rsidRPr="00FE5B85" w14:paraId="2B2DDAE4" w14:textId="77777777" w:rsidTr="00FE5B85">
        <w:trPr>
          <w:trHeight w:val="315"/>
        </w:trPr>
        <w:tc>
          <w:tcPr>
            <w:tcW w:w="2620" w:type="dxa"/>
            <w:tcBorders>
              <w:top w:val="single" w:sz="4" w:space="0" w:color="ADD6EA"/>
              <w:left w:val="nil"/>
              <w:bottom w:val="nil"/>
              <w:right w:val="nil"/>
            </w:tcBorders>
            <w:shd w:val="clear" w:color="auto" w:fill="auto"/>
            <w:vAlign w:val="center"/>
            <w:hideMark/>
          </w:tcPr>
          <w:p w14:paraId="481055EF" w14:textId="77777777" w:rsidR="00FE5B85" w:rsidRPr="003D17C6" w:rsidRDefault="00FE5B85" w:rsidP="00FE5B85">
            <w:pPr>
              <w:tabs>
                <w:tab w:val="clear" w:pos="567"/>
              </w:tabs>
              <w:spacing w:before="0" w:line="240" w:lineRule="auto"/>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Northern Territory</w:t>
            </w:r>
          </w:p>
        </w:tc>
        <w:tc>
          <w:tcPr>
            <w:tcW w:w="880" w:type="dxa"/>
            <w:tcBorders>
              <w:top w:val="nil"/>
              <w:left w:val="nil"/>
              <w:bottom w:val="single" w:sz="4" w:space="0" w:color="ADD6EA"/>
              <w:right w:val="nil"/>
            </w:tcBorders>
            <w:shd w:val="clear" w:color="000000" w:fill="D6E7F0"/>
            <w:noWrap/>
            <w:vAlign w:val="center"/>
            <w:hideMark/>
          </w:tcPr>
          <w:p w14:paraId="35BD94F5"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4.98725</w:t>
            </w:r>
          </w:p>
        </w:tc>
        <w:tc>
          <w:tcPr>
            <w:tcW w:w="880" w:type="dxa"/>
            <w:tcBorders>
              <w:top w:val="single" w:sz="4" w:space="0" w:color="ADD6EA"/>
              <w:left w:val="nil"/>
              <w:bottom w:val="nil"/>
              <w:right w:val="nil"/>
            </w:tcBorders>
            <w:shd w:val="clear" w:color="auto" w:fill="auto"/>
            <w:noWrap/>
            <w:vAlign w:val="center"/>
            <w:hideMark/>
          </w:tcPr>
          <w:p w14:paraId="45083A65"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5.06681</w:t>
            </w:r>
          </w:p>
        </w:tc>
        <w:tc>
          <w:tcPr>
            <w:tcW w:w="880" w:type="dxa"/>
            <w:tcBorders>
              <w:top w:val="nil"/>
              <w:left w:val="nil"/>
              <w:bottom w:val="single" w:sz="4" w:space="0" w:color="ADD6EA"/>
              <w:right w:val="nil"/>
            </w:tcBorders>
            <w:shd w:val="clear" w:color="000000" w:fill="D6E7F0"/>
            <w:noWrap/>
            <w:vAlign w:val="center"/>
            <w:hideMark/>
          </w:tcPr>
          <w:p w14:paraId="67B501CA"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4.7</w:t>
            </w:r>
          </w:p>
        </w:tc>
        <w:tc>
          <w:tcPr>
            <w:tcW w:w="880" w:type="dxa"/>
            <w:tcBorders>
              <w:top w:val="single" w:sz="4" w:space="0" w:color="ADD6EA"/>
              <w:left w:val="nil"/>
              <w:bottom w:val="nil"/>
              <w:right w:val="nil"/>
            </w:tcBorders>
            <w:shd w:val="clear" w:color="auto" w:fill="auto"/>
            <w:noWrap/>
            <w:vAlign w:val="center"/>
            <w:hideMark/>
          </w:tcPr>
          <w:p w14:paraId="26129F11"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4.8</w:t>
            </w:r>
          </w:p>
        </w:tc>
        <w:tc>
          <w:tcPr>
            <w:tcW w:w="880" w:type="dxa"/>
            <w:tcBorders>
              <w:top w:val="nil"/>
              <w:left w:val="nil"/>
              <w:bottom w:val="single" w:sz="4" w:space="0" w:color="ADD6EA"/>
              <w:right w:val="nil"/>
            </w:tcBorders>
            <w:shd w:val="clear" w:color="000000" w:fill="D6E7F0"/>
            <w:noWrap/>
            <w:vAlign w:val="center"/>
            <w:hideMark/>
          </w:tcPr>
          <w:p w14:paraId="336D0C3E"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4,002</w:t>
            </w:r>
          </w:p>
        </w:tc>
        <w:tc>
          <w:tcPr>
            <w:tcW w:w="880" w:type="dxa"/>
            <w:tcBorders>
              <w:top w:val="single" w:sz="4" w:space="0" w:color="ADD6EA"/>
              <w:left w:val="nil"/>
              <w:bottom w:val="nil"/>
              <w:right w:val="nil"/>
            </w:tcBorders>
            <w:shd w:val="clear" w:color="auto" w:fill="auto"/>
            <w:noWrap/>
            <w:vAlign w:val="center"/>
            <w:hideMark/>
          </w:tcPr>
          <w:p w14:paraId="797B81C8"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4,257</w:t>
            </w:r>
          </w:p>
        </w:tc>
        <w:tc>
          <w:tcPr>
            <w:tcW w:w="1000" w:type="dxa"/>
            <w:tcBorders>
              <w:top w:val="nil"/>
              <w:left w:val="nil"/>
              <w:bottom w:val="single" w:sz="4" w:space="0" w:color="ADD6EA"/>
              <w:right w:val="nil"/>
            </w:tcBorders>
            <w:shd w:val="clear" w:color="000000" w:fill="D6E7F0"/>
            <w:noWrap/>
            <w:vAlign w:val="center"/>
            <w:hideMark/>
          </w:tcPr>
          <w:p w14:paraId="122EDF01" w14:textId="77777777" w:rsidR="00FE5B85" w:rsidRPr="003D17C6" w:rsidRDefault="00FE5B85" w:rsidP="00FE5B85">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D17C6">
              <w:rPr>
                <w:rFonts w:ascii="Open Sans Light" w:eastAsia="Times New Roman" w:hAnsi="Open Sans Light" w:cs="Open Sans Light"/>
                <w:color w:val="000000"/>
                <w:sz w:val="16"/>
                <w:szCs w:val="16"/>
                <w:lang w:eastAsia="en-AU"/>
              </w:rPr>
              <w:t>256</w:t>
            </w:r>
          </w:p>
        </w:tc>
      </w:tr>
      <w:tr w:rsidR="00FE5B85" w:rsidRPr="00FE5B85" w14:paraId="57CD0D4B" w14:textId="77777777" w:rsidTr="00FE5B85">
        <w:trPr>
          <w:trHeight w:val="315"/>
        </w:trPr>
        <w:tc>
          <w:tcPr>
            <w:tcW w:w="2620" w:type="dxa"/>
            <w:tcBorders>
              <w:top w:val="single" w:sz="4" w:space="0" w:color="ADD6EA"/>
              <w:left w:val="nil"/>
              <w:bottom w:val="single" w:sz="4" w:space="0" w:color="ADD6EA"/>
              <w:right w:val="nil"/>
            </w:tcBorders>
            <w:shd w:val="clear" w:color="auto" w:fill="auto"/>
            <w:vAlign w:val="center"/>
            <w:hideMark/>
          </w:tcPr>
          <w:p w14:paraId="19333924" w14:textId="77777777" w:rsidR="00FE5B85" w:rsidRPr="00B437C5" w:rsidRDefault="00FE5B85" w:rsidP="00FE5B85">
            <w:pPr>
              <w:tabs>
                <w:tab w:val="clear" w:pos="567"/>
              </w:tabs>
              <w:spacing w:before="0" w:line="240" w:lineRule="auto"/>
              <w:rPr>
                <w:rFonts w:ascii="Open Sans Semibold" w:eastAsia="Times New Roman" w:hAnsi="Open Sans Semibold" w:cs="Open Sans Semibold"/>
                <w:color w:val="000000"/>
                <w:sz w:val="16"/>
                <w:szCs w:val="16"/>
                <w:lang w:eastAsia="en-AU"/>
              </w:rPr>
            </w:pPr>
            <w:r w:rsidRPr="00B437C5">
              <w:rPr>
                <w:rFonts w:ascii="Open Sans Semibold" w:eastAsia="Times New Roman" w:hAnsi="Open Sans Semibold" w:cs="Open Sans Semibold"/>
                <w:color w:val="000000"/>
                <w:sz w:val="16"/>
                <w:szCs w:val="16"/>
                <w:lang w:eastAsia="en-AU"/>
              </w:rPr>
              <w:t>Total</w:t>
            </w:r>
          </w:p>
        </w:tc>
        <w:tc>
          <w:tcPr>
            <w:tcW w:w="880" w:type="dxa"/>
            <w:tcBorders>
              <w:top w:val="nil"/>
              <w:left w:val="nil"/>
              <w:bottom w:val="single" w:sz="4" w:space="0" w:color="ADD6EA"/>
              <w:right w:val="nil"/>
            </w:tcBorders>
            <w:shd w:val="clear" w:color="000000" w:fill="D6E7F0"/>
            <w:noWrap/>
            <w:vAlign w:val="center"/>
            <w:hideMark/>
          </w:tcPr>
          <w:p w14:paraId="5D23EB86" w14:textId="77777777" w:rsidR="00FE5B85" w:rsidRPr="00B437C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37C5">
              <w:rPr>
                <w:rFonts w:ascii="Open Sans Semibold" w:eastAsia="Times New Roman" w:hAnsi="Open Sans Semibold" w:cs="Open Sans Semibold"/>
                <w:color w:val="000000"/>
                <w:sz w:val="16"/>
                <w:szCs w:val="16"/>
                <w:lang w:eastAsia="en-AU"/>
              </w:rPr>
              <w:t>1.00000</w:t>
            </w:r>
          </w:p>
        </w:tc>
        <w:tc>
          <w:tcPr>
            <w:tcW w:w="880" w:type="dxa"/>
            <w:tcBorders>
              <w:top w:val="single" w:sz="4" w:space="0" w:color="ADD6EA"/>
              <w:left w:val="nil"/>
              <w:bottom w:val="single" w:sz="4" w:space="0" w:color="ADD6EA"/>
              <w:right w:val="nil"/>
            </w:tcBorders>
            <w:shd w:val="clear" w:color="auto" w:fill="auto"/>
            <w:noWrap/>
            <w:vAlign w:val="center"/>
            <w:hideMark/>
          </w:tcPr>
          <w:p w14:paraId="460F5E87" w14:textId="77777777" w:rsidR="00FE5B85" w:rsidRPr="00B437C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37C5">
              <w:rPr>
                <w:rFonts w:ascii="Open Sans Semibold" w:eastAsia="Times New Roman" w:hAnsi="Open Sans Semibold" w:cs="Open Sans Semibold"/>
                <w:color w:val="000000"/>
                <w:sz w:val="16"/>
                <w:szCs w:val="16"/>
                <w:lang w:eastAsia="en-AU"/>
              </w:rPr>
              <w:t>1.00000</w:t>
            </w:r>
          </w:p>
        </w:tc>
        <w:tc>
          <w:tcPr>
            <w:tcW w:w="880" w:type="dxa"/>
            <w:tcBorders>
              <w:top w:val="nil"/>
              <w:left w:val="nil"/>
              <w:bottom w:val="single" w:sz="4" w:space="0" w:color="ADD6EA"/>
              <w:right w:val="nil"/>
            </w:tcBorders>
            <w:shd w:val="clear" w:color="000000" w:fill="D6E7F0"/>
            <w:noWrap/>
            <w:vAlign w:val="center"/>
            <w:hideMark/>
          </w:tcPr>
          <w:p w14:paraId="56AA3BA1" w14:textId="77777777" w:rsidR="00FE5B85" w:rsidRPr="00B437C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37C5">
              <w:rPr>
                <w:rFonts w:ascii="Open Sans Semibold" w:eastAsia="Times New Roman" w:hAnsi="Open Sans Semibold" w:cs="Open Sans Semibold"/>
                <w:color w:val="000000"/>
                <w:sz w:val="16"/>
                <w:szCs w:val="16"/>
                <w:lang w:eastAsia="en-AU"/>
              </w:rPr>
              <w:t>100.0</w:t>
            </w:r>
          </w:p>
        </w:tc>
        <w:tc>
          <w:tcPr>
            <w:tcW w:w="880" w:type="dxa"/>
            <w:tcBorders>
              <w:top w:val="single" w:sz="4" w:space="0" w:color="ADD6EA"/>
              <w:left w:val="nil"/>
              <w:bottom w:val="single" w:sz="4" w:space="0" w:color="ADD6EA"/>
              <w:right w:val="nil"/>
            </w:tcBorders>
            <w:shd w:val="clear" w:color="auto" w:fill="auto"/>
            <w:noWrap/>
            <w:vAlign w:val="center"/>
            <w:hideMark/>
          </w:tcPr>
          <w:p w14:paraId="5BBE807B" w14:textId="77777777" w:rsidR="00FE5B85" w:rsidRPr="00B437C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37C5">
              <w:rPr>
                <w:rFonts w:ascii="Open Sans Semibold" w:eastAsia="Times New Roman" w:hAnsi="Open Sans Semibold" w:cs="Open Sans Semibold"/>
                <w:color w:val="000000"/>
                <w:sz w:val="16"/>
                <w:szCs w:val="16"/>
                <w:lang w:eastAsia="en-AU"/>
              </w:rPr>
              <w:t>100.0</w:t>
            </w:r>
          </w:p>
        </w:tc>
        <w:tc>
          <w:tcPr>
            <w:tcW w:w="880" w:type="dxa"/>
            <w:tcBorders>
              <w:top w:val="nil"/>
              <w:left w:val="nil"/>
              <w:bottom w:val="single" w:sz="4" w:space="0" w:color="ADD6EA"/>
              <w:right w:val="nil"/>
            </w:tcBorders>
            <w:shd w:val="clear" w:color="000000" w:fill="D6E7F0"/>
            <w:noWrap/>
            <w:vAlign w:val="center"/>
            <w:hideMark/>
          </w:tcPr>
          <w:p w14:paraId="3653C53A" w14:textId="77777777" w:rsidR="00FE5B85" w:rsidRPr="00B437C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37C5">
              <w:rPr>
                <w:rFonts w:ascii="Open Sans Semibold" w:eastAsia="Times New Roman" w:hAnsi="Open Sans Semibold" w:cs="Open Sans Semibold"/>
                <w:color w:val="000000"/>
                <w:sz w:val="16"/>
                <w:szCs w:val="16"/>
                <w:lang w:eastAsia="en-AU"/>
              </w:rPr>
              <w:t>84,675</w:t>
            </w:r>
          </w:p>
        </w:tc>
        <w:tc>
          <w:tcPr>
            <w:tcW w:w="880" w:type="dxa"/>
            <w:tcBorders>
              <w:top w:val="single" w:sz="4" w:space="0" w:color="ADD6EA"/>
              <w:left w:val="nil"/>
              <w:bottom w:val="single" w:sz="4" w:space="0" w:color="ADD6EA"/>
              <w:right w:val="nil"/>
            </w:tcBorders>
            <w:shd w:val="clear" w:color="auto" w:fill="auto"/>
            <w:noWrap/>
            <w:vAlign w:val="center"/>
            <w:hideMark/>
          </w:tcPr>
          <w:p w14:paraId="46C2140B" w14:textId="77777777" w:rsidR="00FE5B85" w:rsidRPr="00B437C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37C5">
              <w:rPr>
                <w:rFonts w:ascii="Open Sans Semibold" w:eastAsia="Times New Roman" w:hAnsi="Open Sans Semibold" w:cs="Open Sans Semibold"/>
                <w:color w:val="000000"/>
                <w:sz w:val="16"/>
                <w:szCs w:val="16"/>
                <w:lang w:eastAsia="en-AU"/>
              </w:rPr>
              <w:t>89,462</w:t>
            </w:r>
          </w:p>
        </w:tc>
        <w:tc>
          <w:tcPr>
            <w:tcW w:w="1000" w:type="dxa"/>
            <w:tcBorders>
              <w:top w:val="nil"/>
              <w:left w:val="nil"/>
              <w:bottom w:val="single" w:sz="4" w:space="0" w:color="ADD6EA"/>
              <w:right w:val="nil"/>
            </w:tcBorders>
            <w:shd w:val="clear" w:color="000000" w:fill="D6E7F0"/>
            <w:noWrap/>
            <w:vAlign w:val="center"/>
            <w:hideMark/>
          </w:tcPr>
          <w:p w14:paraId="1E87B8E6" w14:textId="77777777" w:rsidR="00FE5B85" w:rsidRPr="00B437C5" w:rsidRDefault="00FE5B85" w:rsidP="00FE5B85">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437C5">
              <w:rPr>
                <w:rFonts w:ascii="Open Sans Semibold" w:eastAsia="Times New Roman" w:hAnsi="Open Sans Semibold" w:cs="Open Sans Semibold"/>
                <w:color w:val="000000"/>
                <w:sz w:val="16"/>
                <w:szCs w:val="16"/>
                <w:lang w:eastAsia="en-AU"/>
              </w:rPr>
              <w:t>4,787</w:t>
            </w:r>
          </w:p>
        </w:tc>
      </w:tr>
    </w:tbl>
    <w:p w14:paraId="26D3E812" w14:textId="120F8F36" w:rsidR="001B4A8E" w:rsidRPr="00607566" w:rsidRDefault="001B4A8E" w:rsidP="001B4A8E">
      <w:pPr>
        <w:pStyle w:val="Tablefootnote"/>
        <w:ind w:left="567" w:hanging="454"/>
      </w:pPr>
      <w:r w:rsidRPr="00607566">
        <w:t xml:space="preserve">Note: </w:t>
      </w:r>
      <w:r w:rsidRPr="00607566">
        <w:tab/>
        <w:t>The estimated GST pool distribution for 2024</w:t>
      </w:r>
      <w:r w:rsidR="00E2054C">
        <w:t>–</w:t>
      </w:r>
      <w:r w:rsidRPr="00607566">
        <w:t xml:space="preserve">25 was calculated by applying 2024 Update relativities to estimated state populations (as of December 2023) and the estimated GST pool for </w:t>
      </w:r>
      <w:r w:rsidR="001F2D96">
        <w:t>2024–25.</w:t>
      </w:r>
    </w:p>
    <w:p w14:paraId="2A7AD4E7" w14:textId="77777777" w:rsidR="001B4A8E" w:rsidRPr="00607566" w:rsidRDefault="001B4A8E" w:rsidP="001B4A8E">
      <w:pPr>
        <w:pStyle w:val="Tablefootnote"/>
        <w:rPr>
          <w:highlight w:val="yellow"/>
        </w:rPr>
      </w:pPr>
      <w:r w:rsidRPr="00607566">
        <w:t>Source: Commission calculation.</w:t>
      </w:r>
    </w:p>
    <w:p w14:paraId="2DBFA986" w14:textId="2AE9FC49" w:rsidR="00FC112C" w:rsidRPr="0068798B" w:rsidRDefault="00FC112C" w:rsidP="00FC112C">
      <w:r w:rsidRPr="005A755A">
        <w:t>Victoria is estimated to receive a significant increase in GST distribution ($3.7</w:t>
      </w:r>
      <w:r w:rsidR="00BB2212" w:rsidRPr="005A755A">
        <w:t> </w:t>
      </w:r>
      <w:r w:rsidRPr="005A755A">
        <w:t>billion) in 2024</w:t>
      </w:r>
      <w:r w:rsidR="00AC0B47">
        <w:t>–</w:t>
      </w:r>
      <w:r w:rsidRPr="005A755A">
        <w:t>25. The Northern Territory would receive the largest increase in per capita terms ($995</w:t>
      </w:r>
      <w:r w:rsidR="00BB2212" w:rsidRPr="005A755A">
        <w:t> </w:t>
      </w:r>
      <w:r w:rsidRPr="005A755A">
        <w:t>per</w:t>
      </w:r>
      <w:r w:rsidR="00BB2212" w:rsidRPr="005A755A">
        <w:t> </w:t>
      </w:r>
      <w:r w:rsidRPr="005A755A">
        <w:t>capita). New South Wales and Queensland are both estimated to receive a decrease in GST distribution, compared with 2023</w:t>
      </w:r>
      <w:r w:rsidR="00AC0B47">
        <w:t>–</w:t>
      </w:r>
      <w:r w:rsidRPr="005A755A">
        <w:t>24.</w:t>
      </w:r>
    </w:p>
    <w:p w14:paraId="2CD755C5" w14:textId="6B94F3A2" w:rsidR="00FC112C" w:rsidRPr="0068798B" w:rsidRDefault="00FC112C" w:rsidP="00FC112C">
      <w:r w:rsidRPr="0068798B">
        <w:t xml:space="preserve">In the </w:t>
      </w:r>
      <w:hyperlink r:id="rId26" w:history="1">
        <w:r w:rsidRPr="0068798B">
          <w:rPr>
            <w:rStyle w:val="Hyperlink"/>
            <w:i/>
            <w:color w:val="auto"/>
            <w:u w:val="none"/>
          </w:rPr>
          <w:t>Mid-Year Economic and Fiscal Outlook 2023</w:t>
        </w:r>
        <w:r w:rsidR="00D64C7E" w:rsidRPr="0068798B">
          <w:rPr>
            <w:rStyle w:val="Hyperlink"/>
            <w:i/>
            <w:color w:val="auto"/>
            <w:u w:val="none"/>
          </w:rPr>
          <w:t>–</w:t>
        </w:r>
        <w:r w:rsidRPr="0068798B">
          <w:rPr>
            <w:rStyle w:val="Hyperlink"/>
            <w:i/>
            <w:color w:val="auto"/>
            <w:u w:val="none"/>
          </w:rPr>
          <w:t>24</w:t>
        </w:r>
      </w:hyperlink>
      <w:r w:rsidRPr="0068798B">
        <w:t xml:space="preserve"> the Commonwealth Government anticipated an increase in the GST pool from around $85 billion in 2023</w:t>
      </w:r>
      <w:r w:rsidR="00003E69">
        <w:t>–</w:t>
      </w:r>
      <w:r w:rsidRPr="00607566">
        <w:t>24</w:t>
      </w:r>
      <w:r w:rsidRPr="0068798B">
        <w:t xml:space="preserve"> to around $89 billion in 2024</w:t>
      </w:r>
      <w:r w:rsidR="00003E69">
        <w:t>–</w:t>
      </w:r>
      <w:r w:rsidRPr="0068798B">
        <w:t>25.</w:t>
      </w:r>
      <w:r w:rsidRPr="0068798B">
        <w:rPr>
          <w:vertAlign w:val="superscript"/>
        </w:rPr>
        <w:footnoteReference w:id="3"/>
      </w:r>
    </w:p>
    <w:p w14:paraId="5C02231B" w14:textId="5E1394E0" w:rsidR="00FC112C" w:rsidRPr="00607566" w:rsidRDefault="00FC112C" w:rsidP="00FC112C">
      <w:r w:rsidRPr="0068798B">
        <w:t xml:space="preserve">Since 2021–22, the Commonwealth has topped up the pool of GST revenue available for distribution to the states. </w:t>
      </w:r>
      <w:r w:rsidRPr="005A755A">
        <w:t>Under the 2018 legislated arrangements, top-up payments are indexed annually.</w:t>
      </w:r>
      <w:r w:rsidRPr="0068798B">
        <w:t xml:space="preserve"> The top-up payment was $600 million in 2021</w:t>
      </w:r>
      <w:r w:rsidR="00003E69">
        <w:t>–</w:t>
      </w:r>
      <w:r w:rsidRPr="0068798B">
        <w:t>22, $663 million in 2022</w:t>
      </w:r>
      <w:r w:rsidR="00003E69">
        <w:t>–</w:t>
      </w:r>
      <w:r w:rsidR="00003E69">
        <w:rPr>
          <w:rFonts w:ascii="Times New Roman" w:hAnsi="Times New Roman" w:cs="Times New Roman" w:hint="eastAsia"/>
          <w:rtl/>
        </w:rPr>
        <w:t>‍</w:t>
      </w:r>
      <w:r w:rsidRPr="0068798B">
        <w:t>23, and $685 million in 2023</w:t>
      </w:r>
      <w:r w:rsidR="00003E69">
        <w:t>–</w:t>
      </w:r>
      <w:r w:rsidRPr="0068798B">
        <w:t>24. It is estimated to be $</w:t>
      </w:r>
      <w:r w:rsidRPr="005A755A">
        <w:t>972</w:t>
      </w:r>
      <w:r w:rsidRPr="0068798B">
        <w:t> million</w:t>
      </w:r>
      <w:r w:rsidRPr="00607566">
        <w:t xml:space="preserve"> in 2024</w:t>
      </w:r>
      <w:r w:rsidR="00003E69">
        <w:t>–</w:t>
      </w:r>
      <w:r w:rsidRPr="00607566">
        <w:t>25, including an additional $250</w:t>
      </w:r>
      <w:r w:rsidR="00BB2212">
        <w:t> </w:t>
      </w:r>
      <w:r w:rsidRPr="00607566">
        <w:t>million provided under the 2018</w:t>
      </w:r>
      <w:r w:rsidR="00BB2212">
        <w:t> </w:t>
      </w:r>
      <w:r w:rsidRPr="00607566">
        <w:t>legislat</w:t>
      </w:r>
      <w:r w:rsidR="00661124">
        <w:t>ed arra</w:t>
      </w:r>
      <w:r w:rsidR="00AE22F0">
        <w:t>ngements</w:t>
      </w:r>
      <w:r w:rsidRPr="00607566">
        <w:t>.</w:t>
      </w:r>
    </w:p>
    <w:p w14:paraId="5909BA05" w14:textId="4D578B37" w:rsidR="00FC112C" w:rsidRPr="00607566" w:rsidRDefault="00FC112C" w:rsidP="00FC112C">
      <w:r w:rsidRPr="00607566">
        <w:t>The Commonwealth has provided a no worse off guarantee to ensure that, from 2021</w:t>
      </w:r>
      <w:r w:rsidR="009278F4">
        <w:t>–</w:t>
      </w:r>
      <w:r w:rsidRPr="00607566">
        <w:t>22 to the end of 2029</w:t>
      </w:r>
      <w:r w:rsidR="009278F4">
        <w:t>–</w:t>
      </w:r>
      <w:r w:rsidRPr="00607566">
        <w:t>30, no state receives a lower cumulative amount of financial assistance under the GST arrangements than it would have received prior to the 2018 legislated arrangements.</w:t>
      </w:r>
      <w:r w:rsidRPr="00AD0636">
        <w:rPr>
          <w:vertAlign w:val="superscript"/>
        </w:rPr>
        <w:footnoteReference w:id="4"/>
      </w:r>
      <w:r w:rsidRPr="00607566">
        <w:t xml:space="preserve"> Details on how the no worse off payments are calculated are provided later in this chapter.</w:t>
      </w:r>
    </w:p>
    <w:p w14:paraId="65322B47" w14:textId="77777777" w:rsidR="00FC112C" w:rsidRPr="00607566" w:rsidRDefault="00FC112C" w:rsidP="00FC03D5">
      <w:pPr>
        <w:pStyle w:val="Heading3"/>
      </w:pPr>
      <w:r w:rsidRPr="00607566">
        <w:t xml:space="preserve">Assessed state </w:t>
      </w:r>
      <w:proofErr w:type="gramStart"/>
      <w:r w:rsidRPr="00607566">
        <w:t>budgets</w:t>
      </w:r>
      <w:proofErr w:type="gramEnd"/>
    </w:p>
    <w:p w14:paraId="50B33E59" w14:textId="49DE79EB" w:rsidR="00FC112C" w:rsidRPr="00607566" w:rsidRDefault="00FC112C" w:rsidP="00FC112C">
      <w:r w:rsidRPr="00607566">
        <w:t>This section illustrates the assessed state budgets per capita for 202</w:t>
      </w:r>
      <w:r w:rsidR="00F519AD">
        <w:t>4</w:t>
      </w:r>
      <w:r w:rsidR="00710FCF">
        <w:t>–</w:t>
      </w:r>
      <w:r w:rsidRPr="00607566">
        <w:t>2</w:t>
      </w:r>
      <w:r w:rsidR="00F519AD">
        <w:t>5</w:t>
      </w:r>
      <w:r w:rsidRPr="00607566">
        <w:t xml:space="preserve">. The blue bar on the left in </w:t>
      </w:r>
      <w:r w:rsidR="00855C18">
        <w:fldChar w:fldCharType="begin"/>
      </w:r>
      <w:r w:rsidR="00855C18">
        <w:instrText xml:space="preserve"> REF Figure_1_1 \h </w:instrText>
      </w:r>
      <w:r w:rsidR="00855C18">
        <w:fldChar w:fldCharType="separate"/>
      </w:r>
      <w:r w:rsidR="00047120" w:rsidRPr="00607566">
        <w:t xml:space="preserve">Figure </w:t>
      </w:r>
      <w:r w:rsidR="00047120">
        <w:rPr>
          <w:noProof/>
        </w:rPr>
        <w:t>1</w:t>
      </w:r>
      <w:r w:rsidR="00047120">
        <w:noBreakHyphen/>
      </w:r>
      <w:r w:rsidR="00047120">
        <w:rPr>
          <w:noProof/>
        </w:rPr>
        <w:t>1</w:t>
      </w:r>
      <w:r w:rsidR="00855C18">
        <w:fldChar w:fldCharType="end"/>
      </w:r>
      <w:r w:rsidRPr="00607566">
        <w:t xml:space="preserve"> shows the total assessed expenditure for each state. The bar on the right shows the sum of assessed revenue, assessed net borrowing, Commonwealth payments and revenue from the GST pool.</w:t>
      </w:r>
      <w:r w:rsidRPr="00AD0636">
        <w:rPr>
          <w:vertAlign w:val="superscript"/>
        </w:rPr>
        <w:footnoteReference w:id="5"/>
      </w:r>
    </w:p>
    <w:p w14:paraId="04438777" w14:textId="6435FF65" w:rsidR="00555119" w:rsidRDefault="00555119">
      <w:pPr>
        <w:tabs>
          <w:tab w:val="clear" w:pos="567"/>
        </w:tabs>
        <w:spacing w:before="0" w:line="240" w:lineRule="auto"/>
        <w:rPr>
          <w:rFonts w:ascii="Open Sans Light" w:eastAsia="Times New Roman" w:hAnsi="Open Sans Light" w:cs="Times New Roman"/>
          <w:szCs w:val="20"/>
        </w:rPr>
      </w:pPr>
    </w:p>
    <w:p w14:paraId="5A0D6D26" w14:textId="1F526AE5" w:rsidR="0089253E" w:rsidRPr="00607566" w:rsidRDefault="0089253E" w:rsidP="00B50985">
      <w:pPr>
        <w:pStyle w:val="CGCTableHead"/>
      </w:pPr>
      <w:bookmarkStart w:id="79" w:name="_Ref158837807"/>
      <w:bookmarkStart w:id="80" w:name="Figure_1_1"/>
      <w:r w:rsidRPr="00607566">
        <w:lastRenderedPageBreak/>
        <w:t xml:space="preserve">Figure </w:t>
      </w:r>
      <w:fldSimple w:instr=" STYLEREF 1 \s ">
        <w:r w:rsidR="00047120">
          <w:rPr>
            <w:noProof/>
          </w:rPr>
          <w:t>1</w:t>
        </w:r>
      </w:fldSimple>
      <w:r w:rsidR="00B50985">
        <w:noBreakHyphen/>
      </w:r>
      <w:fldSimple w:instr=" SEQ Figure \* ARABIC \s 1 ">
        <w:r w:rsidR="00047120">
          <w:rPr>
            <w:noProof/>
          </w:rPr>
          <w:t>1</w:t>
        </w:r>
      </w:fldSimple>
      <w:bookmarkEnd w:id="79"/>
      <w:bookmarkEnd w:id="80"/>
      <w:r w:rsidRPr="00607566">
        <w:tab/>
        <w:t>Assessed budgets per capita (excludes no worse off payments) 202</w:t>
      </w:r>
      <w:r w:rsidR="00F519AD">
        <w:t>4</w:t>
      </w:r>
      <w:r w:rsidR="00494B4A">
        <w:t>–</w:t>
      </w:r>
      <w:proofErr w:type="gramStart"/>
      <w:r w:rsidRPr="00607566">
        <w:t>2</w:t>
      </w:r>
      <w:r w:rsidR="00F519AD">
        <w:t>5</w:t>
      </w:r>
      <w:proofErr w:type="gramEnd"/>
    </w:p>
    <w:p w14:paraId="50211ECC" w14:textId="6FC6F757" w:rsidR="0089253E" w:rsidRPr="009E4504" w:rsidRDefault="00C73327" w:rsidP="0089253E">
      <w:pPr>
        <w:pStyle w:val="CGCTableHead"/>
        <w:keepNext/>
        <w:keepLines/>
        <w:tabs>
          <w:tab w:val="left" w:pos="1418"/>
        </w:tabs>
      </w:pPr>
      <w:r w:rsidRPr="00C73327">
        <w:rPr>
          <w:noProof/>
        </w:rPr>
        <w:drawing>
          <wp:inline distT="0" distB="0" distL="0" distR="0" wp14:anchorId="41400535" wp14:editId="0C901051">
            <wp:extent cx="5667375" cy="3571875"/>
            <wp:effectExtent l="0" t="0" r="9525" b="9525"/>
            <wp:docPr id="1859332696" name="Picture 1859332696" descr="A column chart comparing states' assessed expenditure and revenue on a population basis explained in tex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32696" name="Picture 1" descr="A column chart comparing states' assessed expenditure and revenue on a population basis explained in text. "/>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67375" cy="3571875"/>
                    </a:xfrm>
                    <a:prstGeom prst="rect">
                      <a:avLst/>
                    </a:prstGeom>
                    <a:noFill/>
                    <a:ln>
                      <a:noFill/>
                    </a:ln>
                  </pic:spPr>
                </pic:pic>
              </a:graphicData>
            </a:graphic>
          </wp:inline>
        </w:drawing>
      </w:r>
    </w:p>
    <w:p w14:paraId="21A769B4" w14:textId="7DD77F50" w:rsidR="0089253E" w:rsidRPr="00607566" w:rsidRDefault="0089253E" w:rsidP="000C5950">
      <w:pPr>
        <w:pStyle w:val="Tablefootnote"/>
        <w:numPr>
          <w:ilvl w:val="0"/>
          <w:numId w:val="20"/>
        </w:numPr>
      </w:pPr>
      <w:r w:rsidRPr="00607566">
        <w:t>Includes expenses and investment.</w:t>
      </w:r>
    </w:p>
    <w:p w14:paraId="2E8EDFF4" w14:textId="77777777" w:rsidR="0089253E" w:rsidRPr="00607566" w:rsidRDefault="0089253E" w:rsidP="0089253E">
      <w:pPr>
        <w:pStyle w:val="Tablefootnote"/>
      </w:pPr>
      <w:r w:rsidRPr="00607566">
        <w:t>Source: Commission calculation.</w:t>
      </w:r>
    </w:p>
    <w:p w14:paraId="246FF1CF" w14:textId="77777777" w:rsidR="00094E8B" w:rsidRPr="00C95B56" w:rsidRDefault="00094E8B" w:rsidP="00094E8B">
      <w:r w:rsidRPr="00C95B56">
        <w:t>Under the previous GST distribution arrangements, each state’s GST share was calculated so that its assessed revenue (including its recommended GST distribution) equalled its assessed expenditure.</w:t>
      </w:r>
    </w:p>
    <w:p w14:paraId="759C49B8" w14:textId="7D0A869F" w:rsidR="00094E8B" w:rsidRPr="00C95B56" w:rsidRDefault="00094E8B" w:rsidP="00094E8B">
      <w:r w:rsidRPr="00C95B56">
        <w:t xml:space="preserve">After blending assessed and standard state relativities and applying the GST relativity floor of 0.75, Western Australia’s GST distribution combined with its assessed revenues will exceed its assessed expenditure. </w:t>
      </w:r>
      <w:r w:rsidRPr="005A755A">
        <w:t>For other states, no worse off payments</w:t>
      </w:r>
      <w:r w:rsidRPr="005A755A" w:rsidDel="00A550DA">
        <w:t xml:space="preserve"> </w:t>
      </w:r>
      <w:r w:rsidRPr="005A755A">
        <w:t>will partly offset the difference between their assessed expenditure and the combination of their GST distribution and assessed revenues</w:t>
      </w:r>
      <w:r w:rsidRPr="0068798B">
        <w:t>.</w:t>
      </w:r>
    </w:p>
    <w:p w14:paraId="07C5088A" w14:textId="77777777" w:rsidR="00094E8B" w:rsidRPr="00C95B56" w:rsidRDefault="00094E8B" w:rsidP="001307EE">
      <w:pPr>
        <w:pStyle w:val="Heading3"/>
      </w:pPr>
      <w:bookmarkStart w:id="81" w:name="_Toc127802157"/>
      <w:bookmarkStart w:id="82" w:name="_Toc127804780"/>
      <w:r w:rsidRPr="00C95B56">
        <w:t xml:space="preserve">Assessed, standard state, blended and GST </w:t>
      </w:r>
      <w:proofErr w:type="gramStart"/>
      <w:r w:rsidRPr="00C95B56">
        <w:t>relativities</w:t>
      </w:r>
      <w:bookmarkEnd w:id="81"/>
      <w:bookmarkEnd w:id="82"/>
      <w:proofErr w:type="gramEnd"/>
    </w:p>
    <w:p w14:paraId="2CE550CE" w14:textId="138BE7C4" w:rsidR="00094E8B" w:rsidRPr="00C95B56" w:rsidRDefault="00094E8B" w:rsidP="00094E8B">
      <w:r w:rsidRPr="00C95B56">
        <w:t>This section shows how GST relativities were derived from assessed relativities (</w:t>
      </w:r>
      <w:r w:rsidR="001C0B75">
        <w:t>Table 1-2</w:t>
      </w:r>
      <w:r w:rsidRPr="00C95B56">
        <w:t>). It also shows how each stage of the process affects the estimated GST distribution (</w:t>
      </w:r>
      <w:r w:rsidR="00B50985">
        <w:fldChar w:fldCharType="begin"/>
      </w:r>
      <w:r w:rsidR="00B50985">
        <w:instrText xml:space="preserve"> REF _Ref158837875 \h </w:instrText>
      </w:r>
      <w:r w:rsidR="00B50985">
        <w:fldChar w:fldCharType="separate"/>
      </w:r>
      <w:r w:rsidR="00047120" w:rsidRPr="00C95B56">
        <w:t>Table</w:t>
      </w:r>
      <w:r w:rsidR="00047120">
        <w:t> </w:t>
      </w:r>
      <w:r w:rsidR="00047120" w:rsidRPr="00C95B56">
        <w:t>1</w:t>
      </w:r>
      <w:r w:rsidR="00047120">
        <w:noBreakHyphen/>
      </w:r>
      <w:r w:rsidR="00B50985">
        <w:fldChar w:fldCharType="end"/>
      </w:r>
      <w:r w:rsidR="00E35D31">
        <w:t>3</w:t>
      </w:r>
      <w:r w:rsidRPr="00C95B56">
        <w:t>).</w:t>
      </w:r>
      <w:r w:rsidRPr="001307EE">
        <w:rPr>
          <w:vertAlign w:val="superscript"/>
        </w:rPr>
        <w:footnoteReference w:id="6"/>
      </w:r>
    </w:p>
    <w:p w14:paraId="7459AAED" w14:textId="1E776129" w:rsidR="00094E8B" w:rsidRPr="00C95B56" w:rsidRDefault="00094E8B" w:rsidP="00094E8B">
      <w:r w:rsidRPr="00C95B56">
        <w:t xml:space="preserve">As outlined in </w:t>
      </w:r>
      <w:r w:rsidR="00FF7CA0">
        <w:fldChar w:fldCharType="begin"/>
      </w:r>
      <w:r w:rsidR="00FF7CA0">
        <w:instrText xml:space="preserve"> REF Table_1_2 \h </w:instrText>
      </w:r>
      <w:r w:rsidR="00FF7CA0">
        <w:fldChar w:fldCharType="separate"/>
      </w:r>
      <w:r w:rsidR="00047120" w:rsidRPr="00C95B56">
        <w:t>Table 1-2</w:t>
      </w:r>
      <w:r w:rsidR="00FF7CA0">
        <w:fldChar w:fldCharType="end"/>
      </w:r>
      <w:r w:rsidRPr="00C95B56">
        <w:t xml:space="preserve"> the assessed relativities of New South Wales and Queensland have </w:t>
      </w:r>
      <w:r w:rsidR="00336B10">
        <w:t xml:space="preserve">declined </w:t>
      </w:r>
      <w:r w:rsidRPr="00C95B56">
        <w:t>over the assessment period as their relative fiscal capacities have strengthened.</w:t>
      </w:r>
    </w:p>
    <w:p w14:paraId="6F7418E4" w14:textId="77777777" w:rsidR="00D06DB5" w:rsidRDefault="00D06DB5">
      <w:pPr>
        <w:tabs>
          <w:tab w:val="clear" w:pos="567"/>
        </w:tabs>
        <w:spacing w:before="0" w:line="240" w:lineRule="auto"/>
        <w:rPr>
          <w:rFonts w:ascii="Work Sans SemiBold" w:eastAsia="Times New Roman" w:hAnsi="Work Sans SemiBold" w:cs="Times New Roman"/>
          <w:szCs w:val="20"/>
          <w:lang w:eastAsia="en-AU"/>
        </w:rPr>
      </w:pPr>
      <w:r>
        <w:br w:type="page"/>
      </w:r>
    </w:p>
    <w:p w14:paraId="6A9555EE" w14:textId="7D35EF0E" w:rsidR="004B2F4E" w:rsidRDefault="004B2F4E" w:rsidP="00B50985">
      <w:pPr>
        <w:pStyle w:val="CGCTableHead"/>
      </w:pPr>
      <w:bookmarkStart w:id="83" w:name="_Ref158837867"/>
      <w:bookmarkStart w:id="84" w:name="Table_1_2"/>
      <w:r w:rsidRPr="00C95B56">
        <w:lastRenderedPageBreak/>
        <w:t>Table</w:t>
      </w:r>
      <w:bookmarkEnd w:id="83"/>
      <w:r w:rsidRPr="00C95B56">
        <w:t xml:space="preserve"> 1-2</w:t>
      </w:r>
      <w:bookmarkEnd w:id="84"/>
      <w:r w:rsidRPr="00C95B56">
        <w:tab/>
        <w:t>Assessed relativities to GST relativities, 2024</w:t>
      </w:r>
      <w:r w:rsidR="00791CE9">
        <w:t>–</w:t>
      </w:r>
      <w:r w:rsidRPr="00C95B56">
        <w:t>25(a)</w:t>
      </w:r>
    </w:p>
    <w:tbl>
      <w:tblPr>
        <w:tblW w:w="8940" w:type="dxa"/>
        <w:tblLook w:val="04A0" w:firstRow="1" w:lastRow="0" w:firstColumn="1" w:lastColumn="0" w:noHBand="0" w:noVBand="1"/>
      </w:tblPr>
      <w:tblGrid>
        <w:gridCol w:w="1532"/>
        <w:gridCol w:w="820"/>
        <w:gridCol w:w="820"/>
        <w:gridCol w:w="820"/>
        <w:gridCol w:w="860"/>
        <w:gridCol w:w="820"/>
        <w:gridCol w:w="820"/>
        <w:gridCol w:w="820"/>
        <w:gridCol w:w="820"/>
        <w:gridCol w:w="808"/>
      </w:tblGrid>
      <w:tr w:rsidR="00063DCF" w:rsidRPr="00063DCF" w14:paraId="66AE8A3B" w14:textId="77777777" w:rsidTr="00063DCF">
        <w:trPr>
          <w:trHeight w:val="375"/>
        </w:trPr>
        <w:tc>
          <w:tcPr>
            <w:tcW w:w="1580" w:type="dxa"/>
            <w:tcBorders>
              <w:top w:val="nil"/>
              <w:left w:val="nil"/>
              <w:bottom w:val="nil"/>
              <w:right w:val="nil"/>
            </w:tcBorders>
            <w:shd w:val="clear" w:color="000000" w:fill="006991"/>
            <w:vAlign w:val="bottom"/>
            <w:hideMark/>
          </w:tcPr>
          <w:p w14:paraId="55760269" w14:textId="77777777" w:rsidR="00063DCF" w:rsidRPr="00063DCF" w:rsidRDefault="00063DCF" w:rsidP="00063DCF">
            <w:pPr>
              <w:tabs>
                <w:tab w:val="clear" w:pos="567"/>
              </w:tabs>
              <w:spacing w:before="0" w:line="240" w:lineRule="auto"/>
              <w:rPr>
                <w:rFonts w:ascii="Open Sans Semibold" w:eastAsia="Times New Roman" w:hAnsi="Open Sans Semibold" w:cs="Open Sans Semibold"/>
                <w:color w:val="FFFFFF"/>
                <w:sz w:val="16"/>
                <w:szCs w:val="16"/>
                <w:lang w:eastAsia="en-AU"/>
              </w:rPr>
            </w:pPr>
            <w:r w:rsidRPr="00063DCF">
              <w:rPr>
                <w:rFonts w:ascii="Open Sans Semibold" w:eastAsia="Times New Roman" w:hAnsi="Open Sans Semibold" w:cs="Open Sans Semibold"/>
                <w:color w:val="FFFFFF"/>
                <w:sz w:val="16"/>
                <w:szCs w:val="16"/>
                <w:lang w:eastAsia="en-AU"/>
              </w:rPr>
              <w:t> </w:t>
            </w:r>
          </w:p>
        </w:tc>
        <w:tc>
          <w:tcPr>
            <w:tcW w:w="820" w:type="dxa"/>
            <w:tcBorders>
              <w:top w:val="nil"/>
              <w:left w:val="nil"/>
              <w:bottom w:val="nil"/>
              <w:right w:val="nil"/>
            </w:tcBorders>
            <w:shd w:val="clear" w:color="000000" w:fill="006991"/>
            <w:vAlign w:val="center"/>
            <w:hideMark/>
          </w:tcPr>
          <w:p w14:paraId="2B474858"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3DCF">
              <w:rPr>
                <w:rFonts w:ascii="Open Sans Semibold" w:eastAsia="Times New Roman" w:hAnsi="Open Sans Semibold" w:cs="Open Sans Semibold"/>
                <w:color w:val="FFFFFF"/>
                <w:sz w:val="16"/>
                <w:szCs w:val="16"/>
                <w:lang w:eastAsia="en-AU"/>
              </w:rPr>
              <w:t>NSW</w:t>
            </w:r>
          </w:p>
        </w:tc>
        <w:tc>
          <w:tcPr>
            <w:tcW w:w="820" w:type="dxa"/>
            <w:tcBorders>
              <w:top w:val="nil"/>
              <w:left w:val="nil"/>
              <w:bottom w:val="nil"/>
              <w:right w:val="nil"/>
            </w:tcBorders>
            <w:shd w:val="clear" w:color="000000" w:fill="006991"/>
            <w:vAlign w:val="center"/>
            <w:hideMark/>
          </w:tcPr>
          <w:p w14:paraId="68AF1568"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3DCF">
              <w:rPr>
                <w:rFonts w:ascii="Open Sans Semibold" w:eastAsia="Times New Roman" w:hAnsi="Open Sans Semibold" w:cs="Open Sans Semibold"/>
                <w:color w:val="FFFFFF"/>
                <w:sz w:val="16"/>
                <w:szCs w:val="16"/>
                <w:lang w:eastAsia="en-AU"/>
              </w:rPr>
              <w:t>Vic</w:t>
            </w:r>
          </w:p>
        </w:tc>
        <w:tc>
          <w:tcPr>
            <w:tcW w:w="820" w:type="dxa"/>
            <w:tcBorders>
              <w:top w:val="nil"/>
              <w:left w:val="nil"/>
              <w:bottom w:val="nil"/>
              <w:right w:val="nil"/>
            </w:tcBorders>
            <w:shd w:val="clear" w:color="000000" w:fill="006991"/>
            <w:vAlign w:val="center"/>
            <w:hideMark/>
          </w:tcPr>
          <w:p w14:paraId="1FD534E3"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3DCF">
              <w:rPr>
                <w:rFonts w:ascii="Open Sans Semibold" w:eastAsia="Times New Roman" w:hAnsi="Open Sans Semibold" w:cs="Open Sans Semibold"/>
                <w:color w:val="FFFFFF"/>
                <w:sz w:val="16"/>
                <w:szCs w:val="16"/>
                <w:lang w:eastAsia="en-AU"/>
              </w:rPr>
              <w:t>Qld</w:t>
            </w:r>
          </w:p>
        </w:tc>
        <w:tc>
          <w:tcPr>
            <w:tcW w:w="860" w:type="dxa"/>
            <w:tcBorders>
              <w:top w:val="nil"/>
              <w:left w:val="nil"/>
              <w:bottom w:val="nil"/>
              <w:right w:val="nil"/>
            </w:tcBorders>
            <w:shd w:val="clear" w:color="000000" w:fill="006991"/>
            <w:vAlign w:val="center"/>
            <w:hideMark/>
          </w:tcPr>
          <w:p w14:paraId="515AB6D7"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3DCF">
              <w:rPr>
                <w:rFonts w:ascii="Open Sans Semibold" w:eastAsia="Times New Roman" w:hAnsi="Open Sans Semibold" w:cs="Open Sans Semibold"/>
                <w:color w:val="FFFFFF"/>
                <w:sz w:val="16"/>
                <w:szCs w:val="16"/>
                <w:lang w:eastAsia="en-AU"/>
              </w:rPr>
              <w:t>WA</w:t>
            </w:r>
          </w:p>
        </w:tc>
        <w:tc>
          <w:tcPr>
            <w:tcW w:w="820" w:type="dxa"/>
            <w:tcBorders>
              <w:top w:val="nil"/>
              <w:left w:val="nil"/>
              <w:bottom w:val="nil"/>
              <w:right w:val="nil"/>
            </w:tcBorders>
            <w:shd w:val="clear" w:color="000000" w:fill="006991"/>
            <w:vAlign w:val="center"/>
            <w:hideMark/>
          </w:tcPr>
          <w:p w14:paraId="20252FCC"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3DCF">
              <w:rPr>
                <w:rFonts w:ascii="Open Sans Semibold" w:eastAsia="Times New Roman" w:hAnsi="Open Sans Semibold" w:cs="Open Sans Semibold"/>
                <w:color w:val="FFFFFF"/>
                <w:sz w:val="16"/>
                <w:szCs w:val="16"/>
                <w:lang w:eastAsia="en-AU"/>
              </w:rPr>
              <w:t>SA</w:t>
            </w:r>
          </w:p>
        </w:tc>
        <w:tc>
          <w:tcPr>
            <w:tcW w:w="820" w:type="dxa"/>
            <w:tcBorders>
              <w:top w:val="nil"/>
              <w:left w:val="nil"/>
              <w:bottom w:val="nil"/>
              <w:right w:val="nil"/>
            </w:tcBorders>
            <w:shd w:val="clear" w:color="000000" w:fill="006991"/>
            <w:vAlign w:val="center"/>
            <w:hideMark/>
          </w:tcPr>
          <w:p w14:paraId="4DA768D8"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3DCF">
              <w:rPr>
                <w:rFonts w:ascii="Open Sans Semibold" w:eastAsia="Times New Roman" w:hAnsi="Open Sans Semibold" w:cs="Open Sans Semibold"/>
                <w:color w:val="FFFFFF"/>
                <w:sz w:val="16"/>
                <w:szCs w:val="16"/>
                <w:lang w:eastAsia="en-AU"/>
              </w:rPr>
              <w:t>Tas</w:t>
            </w:r>
          </w:p>
        </w:tc>
        <w:tc>
          <w:tcPr>
            <w:tcW w:w="820" w:type="dxa"/>
            <w:tcBorders>
              <w:top w:val="nil"/>
              <w:left w:val="nil"/>
              <w:bottom w:val="nil"/>
              <w:right w:val="nil"/>
            </w:tcBorders>
            <w:shd w:val="clear" w:color="000000" w:fill="006991"/>
            <w:vAlign w:val="center"/>
            <w:hideMark/>
          </w:tcPr>
          <w:p w14:paraId="2A6E081A"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3DCF">
              <w:rPr>
                <w:rFonts w:ascii="Open Sans Semibold" w:eastAsia="Times New Roman" w:hAnsi="Open Sans Semibold" w:cs="Open Sans Semibold"/>
                <w:color w:val="FFFFFF"/>
                <w:sz w:val="16"/>
                <w:szCs w:val="16"/>
                <w:lang w:eastAsia="en-AU"/>
              </w:rPr>
              <w:t>ACT</w:t>
            </w:r>
          </w:p>
        </w:tc>
        <w:tc>
          <w:tcPr>
            <w:tcW w:w="820" w:type="dxa"/>
            <w:tcBorders>
              <w:top w:val="nil"/>
              <w:left w:val="nil"/>
              <w:bottom w:val="nil"/>
              <w:right w:val="nil"/>
            </w:tcBorders>
            <w:shd w:val="clear" w:color="000000" w:fill="006991"/>
            <w:vAlign w:val="center"/>
            <w:hideMark/>
          </w:tcPr>
          <w:p w14:paraId="5A399AEB"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3DCF">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6EF92287"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063DCF">
              <w:rPr>
                <w:rFonts w:ascii="Open Sans Semibold" w:eastAsia="Times New Roman" w:hAnsi="Open Sans Semibold" w:cs="Open Sans Semibold"/>
                <w:color w:val="FFFFFF"/>
                <w:sz w:val="16"/>
                <w:szCs w:val="16"/>
                <w:lang w:eastAsia="en-AU"/>
              </w:rPr>
              <w:t>Total</w:t>
            </w:r>
          </w:p>
        </w:tc>
      </w:tr>
      <w:tr w:rsidR="00063DCF" w:rsidRPr="00063DCF" w14:paraId="1BA9706A" w14:textId="77777777" w:rsidTr="00063DCF">
        <w:trPr>
          <w:trHeight w:val="315"/>
        </w:trPr>
        <w:tc>
          <w:tcPr>
            <w:tcW w:w="8940" w:type="dxa"/>
            <w:gridSpan w:val="10"/>
            <w:tcBorders>
              <w:top w:val="single" w:sz="4" w:space="0" w:color="ADD6EA"/>
              <w:left w:val="nil"/>
              <w:bottom w:val="single" w:sz="4" w:space="0" w:color="ADD6EA"/>
              <w:right w:val="nil"/>
            </w:tcBorders>
            <w:shd w:val="clear" w:color="auto" w:fill="auto"/>
            <w:vAlign w:val="center"/>
            <w:hideMark/>
          </w:tcPr>
          <w:p w14:paraId="50F9D692" w14:textId="77777777" w:rsidR="00063DCF" w:rsidRPr="00063DCF" w:rsidRDefault="00063DCF" w:rsidP="00063DCF">
            <w:pPr>
              <w:tabs>
                <w:tab w:val="clear" w:pos="567"/>
              </w:tabs>
              <w:spacing w:before="0" w:line="240" w:lineRule="auto"/>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Assessed relativities</w:t>
            </w:r>
          </w:p>
        </w:tc>
      </w:tr>
      <w:tr w:rsidR="00063DCF" w:rsidRPr="00063DCF" w14:paraId="26324A7B" w14:textId="77777777" w:rsidTr="00063DCF">
        <w:trPr>
          <w:trHeight w:val="315"/>
        </w:trPr>
        <w:tc>
          <w:tcPr>
            <w:tcW w:w="1580" w:type="dxa"/>
            <w:tcBorders>
              <w:top w:val="nil"/>
              <w:left w:val="nil"/>
              <w:bottom w:val="nil"/>
              <w:right w:val="nil"/>
            </w:tcBorders>
            <w:shd w:val="clear" w:color="auto" w:fill="auto"/>
            <w:vAlign w:val="center"/>
            <w:hideMark/>
          </w:tcPr>
          <w:p w14:paraId="4E4A5006" w14:textId="24587C63" w:rsidR="00063DCF" w:rsidRPr="00063DCF" w:rsidRDefault="00063DCF" w:rsidP="00063DC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2020</w:t>
            </w:r>
            <w:r>
              <w:rPr>
                <w:rFonts w:ascii="Open Sans Light" w:eastAsia="Times New Roman" w:hAnsi="Open Sans Light" w:cs="Open Sans Light"/>
                <w:color w:val="000000"/>
                <w:sz w:val="16"/>
                <w:szCs w:val="16"/>
                <w:lang w:eastAsia="en-AU"/>
              </w:rPr>
              <w:t>–</w:t>
            </w:r>
            <w:r w:rsidRPr="00063DCF">
              <w:rPr>
                <w:rFonts w:ascii="Open Sans Light" w:eastAsia="Times New Roman" w:hAnsi="Open Sans Light" w:cs="Open Sans Light"/>
                <w:color w:val="000000"/>
                <w:sz w:val="16"/>
                <w:szCs w:val="16"/>
                <w:lang w:eastAsia="en-AU"/>
              </w:rPr>
              <w:t>21</w:t>
            </w:r>
          </w:p>
        </w:tc>
        <w:tc>
          <w:tcPr>
            <w:tcW w:w="820" w:type="dxa"/>
            <w:tcBorders>
              <w:top w:val="nil"/>
              <w:left w:val="nil"/>
              <w:bottom w:val="nil"/>
              <w:right w:val="nil"/>
            </w:tcBorders>
            <w:shd w:val="clear" w:color="auto" w:fill="auto"/>
            <w:noWrap/>
            <w:vAlign w:val="center"/>
            <w:hideMark/>
          </w:tcPr>
          <w:p w14:paraId="13ECD4E4"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1.02749</w:t>
            </w:r>
          </w:p>
        </w:tc>
        <w:tc>
          <w:tcPr>
            <w:tcW w:w="820" w:type="dxa"/>
            <w:tcBorders>
              <w:top w:val="nil"/>
              <w:left w:val="nil"/>
              <w:bottom w:val="nil"/>
              <w:right w:val="nil"/>
            </w:tcBorders>
            <w:shd w:val="clear" w:color="auto" w:fill="auto"/>
            <w:noWrap/>
            <w:vAlign w:val="center"/>
            <w:hideMark/>
          </w:tcPr>
          <w:p w14:paraId="7FAFF914"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0.92889</w:t>
            </w:r>
          </w:p>
        </w:tc>
        <w:tc>
          <w:tcPr>
            <w:tcW w:w="820" w:type="dxa"/>
            <w:tcBorders>
              <w:top w:val="nil"/>
              <w:left w:val="nil"/>
              <w:bottom w:val="nil"/>
              <w:right w:val="nil"/>
            </w:tcBorders>
            <w:shd w:val="clear" w:color="auto" w:fill="auto"/>
            <w:noWrap/>
            <w:vAlign w:val="center"/>
            <w:hideMark/>
          </w:tcPr>
          <w:p w14:paraId="1CF374B2"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1.18043</w:t>
            </w:r>
          </w:p>
        </w:tc>
        <w:tc>
          <w:tcPr>
            <w:tcW w:w="860" w:type="dxa"/>
            <w:tcBorders>
              <w:top w:val="nil"/>
              <w:left w:val="nil"/>
              <w:bottom w:val="nil"/>
              <w:right w:val="nil"/>
            </w:tcBorders>
            <w:shd w:val="clear" w:color="auto" w:fill="auto"/>
            <w:noWrap/>
            <w:vAlign w:val="center"/>
            <w:hideMark/>
          </w:tcPr>
          <w:p w14:paraId="42D09107"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-0.04830</w:t>
            </w:r>
          </w:p>
        </w:tc>
        <w:tc>
          <w:tcPr>
            <w:tcW w:w="820" w:type="dxa"/>
            <w:tcBorders>
              <w:top w:val="nil"/>
              <w:left w:val="nil"/>
              <w:bottom w:val="nil"/>
              <w:right w:val="nil"/>
            </w:tcBorders>
            <w:shd w:val="clear" w:color="auto" w:fill="auto"/>
            <w:noWrap/>
            <w:vAlign w:val="center"/>
            <w:hideMark/>
          </w:tcPr>
          <w:p w14:paraId="56589481"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1.36107</w:t>
            </w:r>
          </w:p>
        </w:tc>
        <w:tc>
          <w:tcPr>
            <w:tcW w:w="820" w:type="dxa"/>
            <w:tcBorders>
              <w:top w:val="nil"/>
              <w:left w:val="nil"/>
              <w:bottom w:val="nil"/>
              <w:right w:val="nil"/>
            </w:tcBorders>
            <w:shd w:val="clear" w:color="auto" w:fill="auto"/>
            <w:noWrap/>
            <w:vAlign w:val="center"/>
            <w:hideMark/>
          </w:tcPr>
          <w:p w14:paraId="1F460656"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1.82579</w:t>
            </w:r>
          </w:p>
        </w:tc>
        <w:tc>
          <w:tcPr>
            <w:tcW w:w="820" w:type="dxa"/>
            <w:tcBorders>
              <w:top w:val="nil"/>
              <w:left w:val="nil"/>
              <w:bottom w:val="nil"/>
              <w:right w:val="nil"/>
            </w:tcBorders>
            <w:shd w:val="clear" w:color="auto" w:fill="auto"/>
            <w:noWrap/>
            <w:vAlign w:val="center"/>
            <w:hideMark/>
          </w:tcPr>
          <w:p w14:paraId="5C6DD32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1.26800</w:t>
            </w:r>
          </w:p>
        </w:tc>
        <w:tc>
          <w:tcPr>
            <w:tcW w:w="820" w:type="dxa"/>
            <w:tcBorders>
              <w:top w:val="nil"/>
              <w:left w:val="nil"/>
              <w:bottom w:val="nil"/>
              <w:right w:val="nil"/>
            </w:tcBorders>
            <w:shd w:val="clear" w:color="auto" w:fill="auto"/>
            <w:noWrap/>
            <w:vAlign w:val="center"/>
            <w:hideMark/>
          </w:tcPr>
          <w:p w14:paraId="7C4B5F8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4.78149</w:t>
            </w:r>
          </w:p>
        </w:tc>
        <w:tc>
          <w:tcPr>
            <w:tcW w:w="760" w:type="dxa"/>
            <w:tcBorders>
              <w:top w:val="nil"/>
              <w:left w:val="nil"/>
              <w:bottom w:val="nil"/>
              <w:right w:val="nil"/>
            </w:tcBorders>
            <w:shd w:val="clear" w:color="auto" w:fill="auto"/>
            <w:noWrap/>
            <w:vAlign w:val="center"/>
            <w:hideMark/>
          </w:tcPr>
          <w:p w14:paraId="729DAE3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1.00000</w:t>
            </w:r>
          </w:p>
        </w:tc>
      </w:tr>
      <w:tr w:rsidR="00063DCF" w:rsidRPr="00063DCF" w14:paraId="65154771" w14:textId="77777777" w:rsidTr="00063DCF">
        <w:trPr>
          <w:trHeight w:val="315"/>
        </w:trPr>
        <w:tc>
          <w:tcPr>
            <w:tcW w:w="1580" w:type="dxa"/>
            <w:tcBorders>
              <w:top w:val="single" w:sz="4" w:space="0" w:color="ADD6EA"/>
              <w:left w:val="nil"/>
              <w:bottom w:val="nil"/>
              <w:right w:val="nil"/>
            </w:tcBorders>
            <w:shd w:val="clear" w:color="auto" w:fill="auto"/>
            <w:vAlign w:val="center"/>
            <w:hideMark/>
          </w:tcPr>
          <w:p w14:paraId="72600EF2" w14:textId="6C0F5AFF" w:rsidR="00063DCF" w:rsidRPr="00063DCF" w:rsidRDefault="00063DCF" w:rsidP="00063DC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2021</w:t>
            </w:r>
            <w:r>
              <w:rPr>
                <w:rFonts w:ascii="Open Sans Light" w:eastAsia="Times New Roman" w:hAnsi="Open Sans Light" w:cs="Open Sans Light"/>
                <w:color w:val="000000"/>
                <w:sz w:val="16"/>
                <w:szCs w:val="16"/>
                <w:lang w:eastAsia="en-AU"/>
              </w:rPr>
              <w:t>–</w:t>
            </w:r>
            <w:r w:rsidRPr="00063DCF">
              <w:rPr>
                <w:rFonts w:ascii="Open Sans Light" w:eastAsia="Times New Roman" w:hAnsi="Open Sans Light" w:cs="Open Sans Light"/>
                <w:color w:val="000000"/>
                <w:sz w:val="16"/>
                <w:szCs w:val="16"/>
                <w:lang w:eastAsia="en-AU"/>
              </w:rPr>
              <w:t>22</w:t>
            </w:r>
          </w:p>
        </w:tc>
        <w:tc>
          <w:tcPr>
            <w:tcW w:w="820" w:type="dxa"/>
            <w:tcBorders>
              <w:top w:val="single" w:sz="4" w:space="0" w:color="ADD6EA"/>
              <w:left w:val="nil"/>
              <w:bottom w:val="nil"/>
              <w:right w:val="nil"/>
            </w:tcBorders>
            <w:shd w:val="clear" w:color="auto" w:fill="auto"/>
            <w:noWrap/>
            <w:vAlign w:val="center"/>
            <w:hideMark/>
          </w:tcPr>
          <w:p w14:paraId="6A2A57F1"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0.94305</w:t>
            </w:r>
          </w:p>
        </w:tc>
        <w:tc>
          <w:tcPr>
            <w:tcW w:w="820" w:type="dxa"/>
            <w:tcBorders>
              <w:top w:val="single" w:sz="4" w:space="0" w:color="ADD6EA"/>
              <w:left w:val="nil"/>
              <w:bottom w:val="nil"/>
              <w:right w:val="nil"/>
            </w:tcBorders>
            <w:shd w:val="clear" w:color="auto" w:fill="auto"/>
            <w:noWrap/>
            <w:vAlign w:val="center"/>
            <w:hideMark/>
          </w:tcPr>
          <w:p w14:paraId="757CA678"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1.00613</w:t>
            </w:r>
          </w:p>
        </w:tc>
        <w:tc>
          <w:tcPr>
            <w:tcW w:w="820" w:type="dxa"/>
            <w:tcBorders>
              <w:top w:val="single" w:sz="4" w:space="0" w:color="ADD6EA"/>
              <w:left w:val="nil"/>
              <w:bottom w:val="nil"/>
              <w:right w:val="nil"/>
            </w:tcBorders>
            <w:shd w:val="clear" w:color="auto" w:fill="auto"/>
            <w:noWrap/>
            <w:vAlign w:val="center"/>
            <w:hideMark/>
          </w:tcPr>
          <w:p w14:paraId="4A0B3557"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1.02476</w:t>
            </w:r>
          </w:p>
        </w:tc>
        <w:tc>
          <w:tcPr>
            <w:tcW w:w="860" w:type="dxa"/>
            <w:tcBorders>
              <w:top w:val="single" w:sz="4" w:space="0" w:color="ADD6EA"/>
              <w:left w:val="nil"/>
              <w:bottom w:val="nil"/>
              <w:right w:val="nil"/>
            </w:tcBorders>
            <w:shd w:val="clear" w:color="auto" w:fill="auto"/>
            <w:noWrap/>
            <w:vAlign w:val="center"/>
            <w:hideMark/>
          </w:tcPr>
          <w:p w14:paraId="2B0A2C3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0.11115</w:t>
            </w:r>
          </w:p>
        </w:tc>
        <w:tc>
          <w:tcPr>
            <w:tcW w:w="820" w:type="dxa"/>
            <w:tcBorders>
              <w:top w:val="single" w:sz="4" w:space="0" w:color="ADD6EA"/>
              <w:left w:val="nil"/>
              <w:bottom w:val="nil"/>
              <w:right w:val="nil"/>
            </w:tcBorders>
            <w:shd w:val="clear" w:color="auto" w:fill="auto"/>
            <w:noWrap/>
            <w:vAlign w:val="center"/>
            <w:hideMark/>
          </w:tcPr>
          <w:p w14:paraId="404FEDA3"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1.50986</w:t>
            </w:r>
          </w:p>
        </w:tc>
        <w:tc>
          <w:tcPr>
            <w:tcW w:w="820" w:type="dxa"/>
            <w:tcBorders>
              <w:top w:val="single" w:sz="4" w:space="0" w:color="ADD6EA"/>
              <w:left w:val="nil"/>
              <w:bottom w:val="nil"/>
              <w:right w:val="nil"/>
            </w:tcBorders>
            <w:shd w:val="clear" w:color="auto" w:fill="auto"/>
            <w:noWrap/>
            <w:vAlign w:val="center"/>
            <w:hideMark/>
          </w:tcPr>
          <w:p w14:paraId="555C5902"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1.96312</w:t>
            </w:r>
          </w:p>
        </w:tc>
        <w:tc>
          <w:tcPr>
            <w:tcW w:w="820" w:type="dxa"/>
            <w:tcBorders>
              <w:top w:val="single" w:sz="4" w:space="0" w:color="ADD6EA"/>
              <w:left w:val="nil"/>
              <w:bottom w:val="nil"/>
              <w:right w:val="nil"/>
            </w:tcBorders>
            <w:shd w:val="clear" w:color="auto" w:fill="auto"/>
            <w:noWrap/>
            <w:vAlign w:val="center"/>
            <w:hideMark/>
          </w:tcPr>
          <w:p w14:paraId="52CF96EA"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1.35466</w:t>
            </w:r>
          </w:p>
        </w:tc>
        <w:tc>
          <w:tcPr>
            <w:tcW w:w="820" w:type="dxa"/>
            <w:tcBorders>
              <w:top w:val="single" w:sz="4" w:space="0" w:color="ADD6EA"/>
              <w:left w:val="nil"/>
              <w:bottom w:val="nil"/>
              <w:right w:val="nil"/>
            </w:tcBorders>
            <w:shd w:val="clear" w:color="auto" w:fill="auto"/>
            <w:noWrap/>
            <w:vAlign w:val="center"/>
            <w:hideMark/>
          </w:tcPr>
          <w:p w14:paraId="00DD6C26"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5.50522</w:t>
            </w:r>
          </w:p>
        </w:tc>
        <w:tc>
          <w:tcPr>
            <w:tcW w:w="760" w:type="dxa"/>
            <w:tcBorders>
              <w:top w:val="single" w:sz="4" w:space="0" w:color="ADD6EA"/>
              <w:left w:val="nil"/>
              <w:bottom w:val="nil"/>
              <w:right w:val="nil"/>
            </w:tcBorders>
            <w:shd w:val="clear" w:color="auto" w:fill="auto"/>
            <w:noWrap/>
            <w:vAlign w:val="center"/>
            <w:hideMark/>
          </w:tcPr>
          <w:p w14:paraId="498A98D0"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1.00000</w:t>
            </w:r>
          </w:p>
        </w:tc>
      </w:tr>
      <w:tr w:rsidR="00063DCF" w:rsidRPr="00063DCF" w14:paraId="66B197C4" w14:textId="77777777" w:rsidTr="00063DCF">
        <w:trPr>
          <w:trHeight w:val="315"/>
        </w:trPr>
        <w:tc>
          <w:tcPr>
            <w:tcW w:w="1580" w:type="dxa"/>
            <w:tcBorders>
              <w:top w:val="single" w:sz="4" w:space="0" w:color="ADD6EA"/>
              <w:left w:val="nil"/>
              <w:bottom w:val="nil"/>
              <w:right w:val="nil"/>
            </w:tcBorders>
            <w:shd w:val="clear" w:color="auto" w:fill="auto"/>
            <w:vAlign w:val="center"/>
            <w:hideMark/>
          </w:tcPr>
          <w:p w14:paraId="7C62A439" w14:textId="66E1792A" w:rsidR="00063DCF" w:rsidRPr="00063DCF" w:rsidRDefault="00063DCF" w:rsidP="00063DC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2022</w:t>
            </w:r>
            <w:r>
              <w:rPr>
                <w:rFonts w:ascii="Open Sans Light" w:eastAsia="Times New Roman" w:hAnsi="Open Sans Light" w:cs="Open Sans Light"/>
                <w:color w:val="000000"/>
                <w:sz w:val="16"/>
                <w:szCs w:val="16"/>
                <w:lang w:eastAsia="en-AU"/>
              </w:rPr>
              <w:t>–</w:t>
            </w:r>
            <w:r w:rsidRPr="00063DCF">
              <w:rPr>
                <w:rFonts w:ascii="Open Sans Light" w:eastAsia="Times New Roman" w:hAnsi="Open Sans Light" w:cs="Open Sans Light"/>
                <w:color w:val="000000"/>
                <w:sz w:val="16"/>
                <w:szCs w:val="16"/>
                <w:lang w:eastAsia="en-AU"/>
              </w:rPr>
              <w:t>23</w:t>
            </w:r>
          </w:p>
        </w:tc>
        <w:tc>
          <w:tcPr>
            <w:tcW w:w="820" w:type="dxa"/>
            <w:tcBorders>
              <w:top w:val="single" w:sz="4" w:space="0" w:color="ADD6EA"/>
              <w:left w:val="nil"/>
              <w:bottom w:val="nil"/>
              <w:right w:val="nil"/>
            </w:tcBorders>
            <w:shd w:val="clear" w:color="auto" w:fill="auto"/>
            <w:noWrap/>
            <w:vAlign w:val="center"/>
            <w:hideMark/>
          </w:tcPr>
          <w:p w14:paraId="6F43074E"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0.85355</w:t>
            </w:r>
          </w:p>
        </w:tc>
        <w:tc>
          <w:tcPr>
            <w:tcW w:w="820" w:type="dxa"/>
            <w:tcBorders>
              <w:top w:val="single" w:sz="4" w:space="0" w:color="ADD6EA"/>
              <w:left w:val="nil"/>
              <w:bottom w:val="nil"/>
              <w:right w:val="nil"/>
            </w:tcBorders>
            <w:shd w:val="clear" w:color="auto" w:fill="auto"/>
            <w:noWrap/>
            <w:vAlign w:val="center"/>
            <w:hideMark/>
          </w:tcPr>
          <w:p w14:paraId="797C2B0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1.18148</w:t>
            </w:r>
          </w:p>
        </w:tc>
        <w:tc>
          <w:tcPr>
            <w:tcW w:w="820" w:type="dxa"/>
            <w:tcBorders>
              <w:top w:val="single" w:sz="4" w:space="0" w:color="ADD6EA"/>
              <w:left w:val="nil"/>
              <w:bottom w:val="nil"/>
              <w:right w:val="nil"/>
            </w:tcBorders>
            <w:shd w:val="clear" w:color="auto" w:fill="auto"/>
            <w:noWrap/>
            <w:vAlign w:val="center"/>
            <w:hideMark/>
          </w:tcPr>
          <w:p w14:paraId="2B8C8B55"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0.87327</w:t>
            </w:r>
          </w:p>
        </w:tc>
        <w:tc>
          <w:tcPr>
            <w:tcW w:w="860" w:type="dxa"/>
            <w:tcBorders>
              <w:top w:val="single" w:sz="4" w:space="0" w:color="ADD6EA"/>
              <w:left w:val="nil"/>
              <w:bottom w:val="nil"/>
              <w:right w:val="nil"/>
            </w:tcBorders>
            <w:shd w:val="clear" w:color="auto" w:fill="auto"/>
            <w:noWrap/>
            <w:vAlign w:val="center"/>
            <w:hideMark/>
          </w:tcPr>
          <w:p w14:paraId="49CA0E3A"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0.29330</w:t>
            </w:r>
          </w:p>
        </w:tc>
        <w:tc>
          <w:tcPr>
            <w:tcW w:w="820" w:type="dxa"/>
            <w:tcBorders>
              <w:top w:val="single" w:sz="4" w:space="0" w:color="ADD6EA"/>
              <w:left w:val="nil"/>
              <w:bottom w:val="nil"/>
              <w:right w:val="nil"/>
            </w:tcBorders>
            <w:shd w:val="clear" w:color="auto" w:fill="auto"/>
            <w:noWrap/>
            <w:vAlign w:val="center"/>
            <w:hideMark/>
          </w:tcPr>
          <w:p w14:paraId="67909272"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1.55728</w:t>
            </w:r>
          </w:p>
        </w:tc>
        <w:tc>
          <w:tcPr>
            <w:tcW w:w="820" w:type="dxa"/>
            <w:tcBorders>
              <w:top w:val="single" w:sz="4" w:space="0" w:color="ADD6EA"/>
              <w:left w:val="nil"/>
              <w:bottom w:val="nil"/>
              <w:right w:val="nil"/>
            </w:tcBorders>
            <w:shd w:val="clear" w:color="auto" w:fill="auto"/>
            <w:noWrap/>
            <w:vAlign w:val="center"/>
            <w:hideMark/>
          </w:tcPr>
          <w:p w14:paraId="304F1547"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1.91241</w:t>
            </w:r>
          </w:p>
        </w:tc>
        <w:tc>
          <w:tcPr>
            <w:tcW w:w="820" w:type="dxa"/>
            <w:tcBorders>
              <w:top w:val="single" w:sz="4" w:space="0" w:color="ADD6EA"/>
              <w:left w:val="nil"/>
              <w:bottom w:val="nil"/>
              <w:right w:val="nil"/>
            </w:tcBorders>
            <w:shd w:val="clear" w:color="auto" w:fill="auto"/>
            <w:noWrap/>
            <w:vAlign w:val="center"/>
            <w:hideMark/>
          </w:tcPr>
          <w:p w14:paraId="64F013EA"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1.20994</w:t>
            </w:r>
          </w:p>
        </w:tc>
        <w:tc>
          <w:tcPr>
            <w:tcW w:w="820" w:type="dxa"/>
            <w:tcBorders>
              <w:top w:val="single" w:sz="4" w:space="0" w:color="ADD6EA"/>
              <w:left w:val="nil"/>
              <w:bottom w:val="nil"/>
              <w:right w:val="nil"/>
            </w:tcBorders>
            <w:shd w:val="clear" w:color="auto" w:fill="auto"/>
            <w:noWrap/>
            <w:vAlign w:val="center"/>
            <w:hideMark/>
          </w:tcPr>
          <w:p w14:paraId="6938F104"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5.11099</w:t>
            </w:r>
          </w:p>
        </w:tc>
        <w:tc>
          <w:tcPr>
            <w:tcW w:w="760" w:type="dxa"/>
            <w:tcBorders>
              <w:top w:val="single" w:sz="4" w:space="0" w:color="ADD6EA"/>
              <w:left w:val="nil"/>
              <w:bottom w:val="nil"/>
              <w:right w:val="nil"/>
            </w:tcBorders>
            <w:shd w:val="clear" w:color="auto" w:fill="auto"/>
            <w:noWrap/>
            <w:vAlign w:val="center"/>
            <w:hideMark/>
          </w:tcPr>
          <w:p w14:paraId="48830DB4"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1.00000</w:t>
            </w:r>
          </w:p>
        </w:tc>
      </w:tr>
      <w:tr w:rsidR="00063DCF" w:rsidRPr="00063DCF" w14:paraId="4C1833BD" w14:textId="77777777" w:rsidTr="00063DCF">
        <w:trPr>
          <w:trHeight w:val="315"/>
        </w:trPr>
        <w:tc>
          <w:tcPr>
            <w:tcW w:w="1580" w:type="dxa"/>
            <w:tcBorders>
              <w:top w:val="single" w:sz="4" w:space="0" w:color="ADD6EA"/>
              <w:left w:val="nil"/>
              <w:bottom w:val="single" w:sz="4" w:space="0" w:color="ADD6EA"/>
              <w:right w:val="nil"/>
            </w:tcBorders>
            <w:shd w:val="clear" w:color="000000" w:fill="D6E7F0"/>
            <w:vAlign w:val="center"/>
            <w:hideMark/>
          </w:tcPr>
          <w:p w14:paraId="46183130" w14:textId="77777777" w:rsidR="00063DCF" w:rsidRPr="00063DCF" w:rsidRDefault="00063DCF" w:rsidP="00063DCF">
            <w:pPr>
              <w:tabs>
                <w:tab w:val="clear" w:pos="567"/>
              </w:tabs>
              <w:spacing w:before="0" w:line="240" w:lineRule="auto"/>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Average</w:t>
            </w:r>
          </w:p>
        </w:tc>
        <w:tc>
          <w:tcPr>
            <w:tcW w:w="820" w:type="dxa"/>
            <w:tcBorders>
              <w:top w:val="single" w:sz="4" w:space="0" w:color="ADD6EA"/>
              <w:left w:val="nil"/>
              <w:bottom w:val="single" w:sz="4" w:space="0" w:color="ADD6EA"/>
              <w:right w:val="nil"/>
            </w:tcBorders>
            <w:shd w:val="clear" w:color="000000" w:fill="D6E7F0"/>
            <w:noWrap/>
            <w:vAlign w:val="center"/>
            <w:hideMark/>
          </w:tcPr>
          <w:p w14:paraId="2923E95D"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0.94378</w:t>
            </w:r>
          </w:p>
        </w:tc>
        <w:tc>
          <w:tcPr>
            <w:tcW w:w="820" w:type="dxa"/>
            <w:tcBorders>
              <w:top w:val="single" w:sz="4" w:space="0" w:color="ADD6EA"/>
              <w:left w:val="nil"/>
              <w:bottom w:val="single" w:sz="4" w:space="0" w:color="ADD6EA"/>
              <w:right w:val="nil"/>
            </w:tcBorders>
            <w:shd w:val="clear" w:color="000000" w:fill="D6E7F0"/>
            <w:noWrap/>
            <w:vAlign w:val="center"/>
            <w:hideMark/>
          </w:tcPr>
          <w:p w14:paraId="61BC4FFA"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1.04150</w:t>
            </w:r>
          </w:p>
        </w:tc>
        <w:tc>
          <w:tcPr>
            <w:tcW w:w="820" w:type="dxa"/>
            <w:tcBorders>
              <w:top w:val="single" w:sz="4" w:space="0" w:color="ADD6EA"/>
              <w:left w:val="nil"/>
              <w:bottom w:val="single" w:sz="4" w:space="0" w:color="ADD6EA"/>
              <w:right w:val="nil"/>
            </w:tcBorders>
            <w:shd w:val="clear" w:color="000000" w:fill="D6E7F0"/>
            <w:noWrap/>
            <w:vAlign w:val="center"/>
            <w:hideMark/>
          </w:tcPr>
          <w:p w14:paraId="105516B2"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1.02879</w:t>
            </w:r>
          </w:p>
        </w:tc>
        <w:tc>
          <w:tcPr>
            <w:tcW w:w="860" w:type="dxa"/>
            <w:tcBorders>
              <w:top w:val="single" w:sz="4" w:space="0" w:color="ADD6EA"/>
              <w:left w:val="nil"/>
              <w:bottom w:val="single" w:sz="4" w:space="0" w:color="ADD6EA"/>
              <w:right w:val="nil"/>
            </w:tcBorders>
            <w:shd w:val="clear" w:color="000000" w:fill="D6E7F0"/>
            <w:noWrap/>
            <w:vAlign w:val="center"/>
            <w:hideMark/>
          </w:tcPr>
          <w:p w14:paraId="2B545B38"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0.11902</w:t>
            </w:r>
          </w:p>
        </w:tc>
        <w:tc>
          <w:tcPr>
            <w:tcW w:w="820" w:type="dxa"/>
            <w:tcBorders>
              <w:top w:val="single" w:sz="4" w:space="0" w:color="ADD6EA"/>
              <w:left w:val="nil"/>
              <w:bottom w:val="single" w:sz="4" w:space="0" w:color="ADD6EA"/>
              <w:right w:val="nil"/>
            </w:tcBorders>
            <w:shd w:val="clear" w:color="000000" w:fill="D6E7F0"/>
            <w:noWrap/>
            <w:vAlign w:val="center"/>
            <w:hideMark/>
          </w:tcPr>
          <w:p w14:paraId="5E3C41CB"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1.47986</w:t>
            </w:r>
          </w:p>
        </w:tc>
        <w:tc>
          <w:tcPr>
            <w:tcW w:w="820" w:type="dxa"/>
            <w:tcBorders>
              <w:top w:val="single" w:sz="4" w:space="0" w:color="ADD6EA"/>
              <w:left w:val="nil"/>
              <w:bottom w:val="single" w:sz="4" w:space="0" w:color="ADD6EA"/>
              <w:right w:val="nil"/>
            </w:tcBorders>
            <w:shd w:val="clear" w:color="000000" w:fill="D6E7F0"/>
            <w:noWrap/>
            <w:vAlign w:val="center"/>
            <w:hideMark/>
          </w:tcPr>
          <w:p w14:paraId="48B4E967"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1.90532</w:t>
            </w:r>
          </w:p>
        </w:tc>
        <w:tc>
          <w:tcPr>
            <w:tcW w:w="820" w:type="dxa"/>
            <w:tcBorders>
              <w:top w:val="single" w:sz="4" w:space="0" w:color="ADD6EA"/>
              <w:left w:val="nil"/>
              <w:bottom w:val="single" w:sz="4" w:space="0" w:color="ADD6EA"/>
              <w:right w:val="nil"/>
            </w:tcBorders>
            <w:shd w:val="clear" w:color="000000" w:fill="D6E7F0"/>
            <w:noWrap/>
            <w:vAlign w:val="center"/>
            <w:hideMark/>
          </w:tcPr>
          <w:p w14:paraId="5F6AFA65"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1.28082</w:t>
            </w:r>
          </w:p>
        </w:tc>
        <w:tc>
          <w:tcPr>
            <w:tcW w:w="820" w:type="dxa"/>
            <w:tcBorders>
              <w:top w:val="single" w:sz="4" w:space="0" w:color="ADD6EA"/>
              <w:left w:val="nil"/>
              <w:bottom w:val="single" w:sz="4" w:space="0" w:color="ADD6EA"/>
              <w:right w:val="nil"/>
            </w:tcBorders>
            <w:shd w:val="clear" w:color="000000" w:fill="D6E7F0"/>
            <w:noWrap/>
            <w:vAlign w:val="center"/>
            <w:hideMark/>
          </w:tcPr>
          <w:p w14:paraId="2614D6B3"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5.14575</w:t>
            </w:r>
          </w:p>
        </w:tc>
        <w:tc>
          <w:tcPr>
            <w:tcW w:w="760" w:type="dxa"/>
            <w:tcBorders>
              <w:top w:val="single" w:sz="4" w:space="0" w:color="ADD6EA"/>
              <w:left w:val="nil"/>
              <w:bottom w:val="single" w:sz="4" w:space="0" w:color="ADD6EA"/>
              <w:right w:val="nil"/>
            </w:tcBorders>
            <w:shd w:val="clear" w:color="000000" w:fill="D6E7F0"/>
            <w:noWrap/>
            <w:vAlign w:val="center"/>
            <w:hideMark/>
          </w:tcPr>
          <w:p w14:paraId="087D5AFC"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1.00000</w:t>
            </w:r>
          </w:p>
        </w:tc>
      </w:tr>
      <w:tr w:rsidR="00063DCF" w:rsidRPr="00063DCF" w14:paraId="3DE556F3" w14:textId="77777777" w:rsidTr="00063DCF">
        <w:trPr>
          <w:trHeight w:val="315"/>
        </w:trPr>
        <w:tc>
          <w:tcPr>
            <w:tcW w:w="8940" w:type="dxa"/>
            <w:gridSpan w:val="10"/>
            <w:tcBorders>
              <w:top w:val="single" w:sz="4" w:space="0" w:color="ADD6EA"/>
              <w:left w:val="nil"/>
              <w:bottom w:val="single" w:sz="4" w:space="0" w:color="ADD6EA"/>
              <w:right w:val="nil"/>
            </w:tcBorders>
            <w:shd w:val="clear" w:color="auto" w:fill="auto"/>
            <w:vAlign w:val="center"/>
            <w:hideMark/>
          </w:tcPr>
          <w:p w14:paraId="5785AA5B" w14:textId="77777777" w:rsidR="00063DCF" w:rsidRPr="00063DCF" w:rsidRDefault="00063DCF" w:rsidP="00063DCF">
            <w:pPr>
              <w:tabs>
                <w:tab w:val="clear" w:pos="567"/>
              </w:tabs>
              <w:spacing w:before="0" w:line="240" w:lineRule="auto"/>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Standard state relativities (b)</w:t>
            </w:r>
          </w:p>
        </w:tc>
      </w:tr>
      <w:tr w:rsidR="00063DCF" w:rsidRPr="00063DCF" w14:paraId="005A822E" w14:textId="77777777" w:rsidTr="00063DCF">
        <w:trPr>
          <w:trHeight w:val="315"/>
        </w:trPr>
        <w:tc>
          <w:tcPr>
            <w:tcW w:w="1580" w:type="dxa"/>
            <w:tcBorders>
              <w:top w:val="nil"/>
              <w:left w:val="nil"/>
              <w:bottom w:val="nil"/>
              <w:right w:val="nil"/>
            </w:tcBorders>
            <w:shd w:val="clear" w:color="auto" w:fill="auto"/>
            <w:vAlign w:val="center"/>
            <w:hideMark/>
          </w:tcPr>
          <w:p w14:paraId="224585B7" w14:textId="519FEC0C" w:rsidR="00063DCF" w:rsidRPr="00063DCF" w:rsidRDefault="00063DCF" w:rsidP="00063DC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2020</w:t>
            </w:r>
            <w:r>
              <w:rPr>
                <w:rFonts w:ascii="Open Sans Light" w:eastAsia="Times New Roman" w:hAnsi="Open Sans Light" w:cs="Open Sans Light"/>
                <w:color w:val="000000"/>
                <w:sz w:val="16"/>
                <w:szCs w:val="16"/>
                <w:lang w:eastAsia="en-AU"/>
              </w:rPr>
              <w:t>–</w:t>
            </w:r>
            <w:r w:rsidRPr="00063DCF">
              <w:rPr>
                <w:rFonts w:ascii="Open Sans Light" w:eastAsia="Times New Roman" w:hAnsi="Open Sans Light" w:cs="Open Sans Light"/>
                <w:color w:val="000000"/>
                <w:sz w:val="16"/>
                <w:szCs w:val="16"/>
                <w:lang w:eastAsia="en-AU"/>
              </w:rPr>
              <w:t>21</w:t>
            </w:r>
          </w:p>
        </w:tc>
        <w:tc>
          <w:tcPr>
            <w:tcW w:w="820" w:type="dxa"/>
            <w:tcBorders>
              <w:top w:val="nil"/>
              <w:left w:val="nil"/>
              <w:bottom w:val="nil"/>
              <w:right w:val="nil"/>
            </w:tcBorders>
            <w:shd w:val="clear" w:color="auto" w:fill="auto"/>
            <w:noWrap/>
            <w:vAlign w:val="center"/>
            <w:hideMark/>
          </w:tcPr>
          <w:p w14:paraId="6027845C"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0.92346</w:t>
            </w:r>
          </w:p>
        </w:tc>
        <w:tc>
          <w:tcPr>
            <w:tcW w:w="820" w:type="dxa"/>
            <w:tcBorders>
              <w:top w:val="nil"/>
              <w:left w:val="nil"/>
              <w:bottom w:val="nil"/>
              <w:right w:val="nil"/>
            </w:tcBorders>
            <w:shd w:val="clear" w:color="auto" w:fill="auto"/>
            <w:noWrap/>
            <w:vAlign w:val="center"/>
            <w:hideMark/>
          </w:tcPr>
          <w:p w14:paraId="670DB72E"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0.82485</w:t>
            </w:r>
          </w:p>
        </w:tc>
        <w:tc>
          <w:tcPr>
            <w:tcW w:w="820" w:type="dxa"/>
            <w:tcBorders>
              <w:top w:val="nil"/>
              <w:left w:val="nil"/>
              <w:bottom w:val="nil"/>
              <w:right w:val="nil"/>
            </w:tcBorders>
            <w:shd w:val="clear" w:color="auto" w:fill="auto"/>
            <w:noWrap/>
            <w:vAlign w:val="center"/>
            <w:hideMark/>
          </w:tcPr>
          <w:p w14:paraId="14393FEC"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1.07640</w:t>
            </w:r>
          </w:p>
        </w:tc>
        <w:tc>
          <w:tcPr>
            <w:tcW w:w="860" w:type="dxa"/>
            <w:tcBorders>
              <w:top w:val="nil"/>
              <w:left w:val="nil"/>
              <w:bottom w:val="nil"/>
              <w:right w:val="nil"/>
            </w:tcBorders>
            <w:shd w:val="clear" w:color="auto" w:fill="auto"/>
            <w:noWrap/>
            <w:vAlign w:val="center"/>
            <w:hideMark/>
          </w:tcPr>
          <w:p w14:paraId="7355FCE6"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0.82485</w:t>
            </w:r>
          </w:p>
        </w:tc>
        <w:tc>
          <w:tcPr>
            <w:tcW w:w="820" w:type="dxa"/>
            <w:tcBorders>
              <w:top w:val="nil"/>
              <w:left w:val="nil"/>
              <w:bottom w:val="nil"/>
              <w:right w:val="nil"/>
            </w:tcBorders>
            <w:shd w:val="clear" w:color="auto" w:fill="auto"/>
            <w:noWrap/>
            <w:vAlign w:val="center"/>
            <w:hideMark/>
          </w:tcPr>
          <w:p w14:paraId="44D3FE4A"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1.25704</w:t>
            </w:r>
          </w:p>
        </w:tc>
        <w:tc>
          <w:tcPr>
            <w:tcW w:w="820" w:type="dxa"/>
            <w:tcBorders>
              <w:top w:val="nil"/>
              <w:left w:val="nil"/>
              <w:bottom w:val="nil"/>
              <w:right w:val="nil"/>
            </w:tcBorders>
            <w:shd w:val="clear" w:color="auto" w:fill="auto"/>
            <w:noWrap/>
            <w:vAlign w:val="center"/>
            <w:hideMark/>
          </w:tcPr>
          <w:p w14:paraId="13CF24BE"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1.72176</w:t>
            </w:r>
          </w:p>
        </w:tc>
        <w:tc>
          <w:tcPr>
            <w:tcW w:w="820" w:type="dxa"/>
            <w:tcBorders>
              <w:top w:val="nil"/>
              <w:left w:val="nil"/>
              <w:bottom w:val="nil"/>
              <w:right w:val="nil"/>
            </w:tcBorders>
            <w:shd w:val="clear" w:color="auto" w:fill="auto"/>
            <w:noWrap/>
            <w:vAlign w:val="center"/>
            <w:hideMark/>
          </w:tcPr>
          <w:p w14:paraId="0CC147EC"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1.16397</w:t>
            </w:r>
          </w:p>
        </w:tc>
        <w:tc>
          <w:tcPr>
            <w:tcW w:w="820" w:type="dxa"/>
            <w:tcBorders>
              <w:top w:val="nil"/>
              <w:left w:val="nil"/>
              <w:bottom w:val="nil"/>
              <w:right w:val="nil"/>
            </w:tcBorders>
            <w:shd w:val="clear" w:color="auto" w:fill="auto"/>
            <w:noWrap/>
            <w:vAlign w:val="center"/>
            <w:hideMark/>
          </w:tcPr>
          <w:p w14:paraId="6DF0D35E"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4.67746</w:t>
            </w:r>
          </w:p>
        </w:tc>
        <w:tc>
          <w:tcPr>
            <w:tcW w:w="760" w:type="dxa"/>
            <w:tcBorders>
              <w:top w:val="nil"/>
              <w:left w:val="nil"/>
              <w:bottom w:val="nil"/>
              <w:right w:val="nil"/>
            </w:tcBorders>
            <w:shd w:val="clear" w:color="auto" w:fill="auto"/>
            <w:noWrap/>
            <w:vAlign w:val="center"/>
            <w:hideMark/>
          </w:tcPr>
          <w:p w14:paraId="4AE9A48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1.00000</w:t>
            </w:r>
          </w:p>
        </w:tc>
      </w:tr>
      <w:tr w:rsidR="00063DCF" w:rsidRPr="00063DCF" w14:paraId="4473D12B" w14:textId="77777777" w:rsidTr="00063DCF">
        <w:trPr>
          <w:trHeight w:val="315"/>
        </w:trPr>
        <w:tc>
          <w:tcPr>
            <w:tcW w:w="1580" w:type="dxa"/>
            <w:tcBorders>
              <w:top w:val="single" w:sz="4" w:space="0" w:color="ADD6EA"/>
              <w:left w:val="nil"/>
              <w:bottom w:val="nil"/>
              <w:right w:val="nil"/>
            </w:tcBorders>
            <w:shd w:val="clear" w:color="auto" w:fill="auto"/>
            <w:vAlign w:val="center"/>
            <w:hideMark/>
          </w:tcPr>
          <w:p w14:paraId="2B40C0BB" w14:textId="5B01ABBA" w:rsidR="00063DCF" w:rsidRPr="00063DCF" w:rsidRDefault="00063DCF" w:rsidP="00063DC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2021</w:t>
            </w:r>
            <w:r>
              <w:rPr>
                <w:rFonts w:ascii="Open Sans Light" w:eastAsia="Times New Roman" w:hAnsi="Open Sans Light" w:cs="Open Sans Light"/>
                <w:color w:val="000000"/>
                <w:sz w:val="16"/>
                <w:szCs w:val="16"/>
                <w:lang w:eastAsia="en-AU"/>
              </w:rPr>
              <w:t>–</w:t>
            </w:r>
            <w:r w:rsidRPr="00063DCF">
              <w:rPr>
                <w:rFonts w:ascii="Open Sans Light" w:eastAsia="Times New Roman" w:hAnsi="Open Sans Light" w:cs="Open Sans Light"/>
                <w:color w:val="000000"/>
                <w:sz w:val="16"/>
                <w:szCs w:val="16"/>
                <w:lang w:eastAsia="en-AU"/>
              </w:rPr>
              <w:t>22</w:t>
            </w:r>
          </w:p>
        </w:tc>
        <w:tc>
          <w:tcPr>
            <w:tcW w:w="820" w:type="dxa"/>
            <w:tcBorders>
              <w:top w:val="single" w:sz="4" w:space="0" w:color="ADD6EA"/>
              <w:left w:val="nil"/>
              <w:bottom w:val="nil"/>
              <w:right w:val="nil"/>
            </w:tcBorders>
            <w:shd w:val="clear" w:color="auto" w:fill="auto"/>
            <w:noWrap/>
            <w:vAlign w:val="center"/>
            <w:hideMark/>
          </w:tcPr>
          <w:p w14:paraId="6E2E8B3E"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0.85384</w:t>
            </w:r>
          </w:p>
        </w:tc>
        <w:tc>
          <w:tcPr>
            <w:tcW w:w="820" w:type="dxa"/>
            <w:tcBorders>
              <w:top w:val="single" w:sz="4" w:space="0" w:color="ADD6EA"/>
              <w:left w:val="nil"/>
              <w:bottom w:val="nil"/>
              <w:right w:val="nil"/>
            </w:tcBorders>
            <w:shd w:val="clear" w:color="auto" w:fill="auto"/>
            <w:noWrap/>
            <w:vAlign w:val="center"/>
            <w:hideMark/>
          </w:tcPr>
          <w:p w14:paraId="0AA0B26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0.91693</w:t>
            </w:r>
          </w:p>
        </w:tc>
        <w:tc>
          <w:tcPr>
            <w:tcW w:w="820" w:type="dxa"/>
            <w:tcBorders>
              <w:top w:val="single" w:sz="4" w:space="0" w:color="ADD6EA"/>
              <w:left w:val="nil"/>
              <w:bottom w:val="nil"/>
              <w:right w:val="nil"/>
            </w:tcBorders>
            <w:shd w:val="clear" w:color="auto" w:fill="auto"/>
            <w:noWrap/>
            <w:vAlign w:val="center"/>
            <w:hideMark/>
          </w:tcPr>
          <w:p w14:paraId="51E9BE76"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0.93556</w:t>
            </w:r>
          </w:p>
        </w:tc>
        <w:tc>
          <w:tcPr>
            <w:tcW w:w="860" w:type="dxa"/>
            <w:tcBorders>
              <w:top w:val="single" w:sz="4" w:space="0" w:color="ADD6EA"/>
              <w:left w:val="nil"/>
              <w:bottom w:val="nil"/>
              <w:right w:val="nil"/>
            </w:tcBorders>
            <w:shd w:val="clear" w:color="auto" w:fill="auto"/>
            <w:noWrap/>
            <w:vAlign w:val="center"/>
            <w:hideMark/>
          </w:tcPr>
          <w:p w14:paraId="0F3C9DEC"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0.85384</w:t>
            </w:r>
          </w:p>
        </w:tc>
        <w:tc>
          <w:tcPr>
            <w:tcW w:w="820" w:type="dxa"/>
            <w:tcBorders>
              <w:top w:val="single" w:sz="4" w:space="0" w:color="ADD6EA"/>
              <w:left w:val="nil"/>
              <w:bottom w:val="nil"/>
              <w:right w:val="nil"/>
            </w:tcBorders>
            <w:shd w:val="clear" w:color="auto" w:fill="auto"/>
            <w:noWrap/>
            <w:vAlign w:val="center"/>
            <w:hideMark/>
          </w:tcPr>
          <w:p w14:paraId="23830D2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1.42065</w:t>
            </w:r>
          </w:p>
        </w:tc>
        <w:tc>
          <w:tcPr>
            <w:tcW w:w="820" w:type="dxa"/>
            <w:tcBorders>
              <w:top w:val="single" w:sz="4" w:space="0" w:color="ADD6EA"/>
              <w:left w:val="nil"/>
              <w:bottom w:val="nil"/>
              <w:right w:val="nil"/>
            </w:tcBorders>
            <w:shd w:val="clear" w:color="auto" w:fill="auto"/>
            <w:noWrap/>
            <w:vAlign w:val="center"/>
            <w:hideMark/>
          </w:tcPr>
          <w:p w14:paraId="759D31CA"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1.87391</w:t>
            </w:r>
          </w:p>
        </w:tc>
        <w:tc>
          <w:tcPr>
            <w:tcW w:w="820" w:type="dxa"/>
            <w:tcBorders>
              <w:top w:val="single" w:sz="4" w:space="0" w:color="ADD6EA"/>
              <w:left w:val="nil"/>
              <w:bottom w:val="nil"/>
              <w:right w:val="nil"/>
            </w:tcBorders>
            <w:shd w:val="clear" w:color="auto" w:fill="auto"/>
            <w:noWrap/>
            <w:vAlign w:val="center"/>
            <w:hideMark/>
          </w:tcPr>
          <w:p w14:paraId="2A8C064C"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1.26545</w:t>
            </w:r>
          </w:p>
        </w:tc>
        <w:tc>
          <w:tcPr>
            <w:tcW w:w="820" w:type="dxa"/>
            <w:tcBorders>
              <w:top w:val="single" w:sz="4" w:space="0" w:color="ADD6EA"/>
              <w:left w:val="nil"/>
              <w:bottom w:val="nil"/>
              <w:right w:val="nil"/>
            </w:tcBorders>
            <w:shd w:val="clear" w:color="auto" w:fill="auto"/>
            <w:noWrap/>
            <w:vAlign w:val="center"/>
            <w:hideMark/>
          </w:tcPr>
          <w:p w14:paraId="58DA6B72"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5.41601</w:t>
            </w:r>
          </w:p>
        </w:tc>
        <w:tc>
          <w:tcPr>
            <w:tcW w:w="760" w:type="dxa"/>
            <w:tcBorders>
              <w:top w:val="single" w:sz="4" w:space="0" w:color="ADD6EA"/>
              <w:left w:val="nil"/>
              <w:bottom w:val="nil"/>
              <w:right w:val="nil"/>
            </w:tcBorders>
            <w:shd w:val="clear" w:color="auto" w:fill="auto"/>
            <w:noWrap/>
            <w:vAlign w:val="center"/>
            <w:hideMark/>
          </w:tcPr>
          <w:p w14:paraId="4E58EC73"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1.00000</w:t>
            </w:r>
          </w:p>
        </w:tc>
      </w:tr>
      <w:tr w:rsidR="00063DCF" w:rsidRPr="00063DCF" w14:paraId="5C76EB34" w14:textId="77777777" w:rsidTr="00063DCF">
        <w:trPr>
          <w:trHeight w:val="315"/>
        </w:trPr>
        <w:tc>
          <w:tcPr>
            <w:tcW w:w="1580" w:type="dxa"/>
            <w:tcBorders>
              <w:top w:val="single" w:sz="4" w:space="0" w:color="ADD6EA"/>
              <w:left w:val="nil"/>
              <w:bottom w:val="nil"/>
              <w:right w:val="nil"/>
            </w:tcBorders>
            <w:shd w:val="clear" w:color="auto" w:fill="auto"/>
            <w:vAlign w:val="center"/>
            <w:hideMark/>
          </w:tcPr>
          <w:p w14:paraId="2A2C2CD9" w14:textId="4CEB57C7" w:rsidR="00063DCF" w:rsidRPr="00063DCF" w:rsidRDefault="00063DCF" w:rsidP="00063DC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2022</w:t>
            </w:r>
            <w:r>
              <w:rPr>
                <w:rFonts w:ascii="Open Sans Light" w:eastAsia="Times New Roman" w:hAnsi="Open Sans Light" w:cs="Open Sans Light"/>
                <w:color w:val="000000"/>
                <w:sz w:val="16"/>
                <w:szCs w:val="16"/>
                <w:lang w:eastAsia="en-AU"/>
              </w:rPr>
              <w:t>–</w:t>
            </w:r>
            <w:r w:rsidRPr="00063DCF">
              <w:rPr>
                <w:rFonts w:ascii="Open Sans Light" w:eastAsia="Times New Roman" w:hAnsi="Open Sans Light" w:cs="Open Sans Light"/>
                <w:color w:val="000000"/>
                <w:sz w:val="16"/>
                <w:szCs w:val="16"/>
                <w:lang w:eastAsia="en-AU"/>
              </w:rPr>
              <w:t>23</w:t>
            </w:r>
          </w:p>
        </w:tc>
        <w:tc>
          <w:tcPr>
            <w:tcW w:w="820" w:type="dxa"/>
            <w:tcBorders>
              <w:top w:val="single" w:sz="4" w:space="0" w:color="ADD6EA"/>
              <w:left w:val="nil"/>
              <w:bottom w:val="nil"/>
              <w:right w:val="nil"/>
            </w:tcBorders>
            <w:shd w:val="clear" w:color="auto" w:fill="auto"/>
            <w:noWrap/>
            <w:vAlign w:val="center"/>
            <w:hideMark/>
          </w:tcPr>
          <w:p w14:paraId="7BC14C95"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0.79322</w:t>
            </w:r>
          </w:p>
        </w:tc>
        <w:tc>
          <w:tcPr>
            <w:tcW w:w="820" w:type="dxa"/>
            <w:tcBorders>
              <w:top w:val="single" w:sz="4" w:space="0" w:color="ADD6EA"/>
              <w:left w:val="nil"/>
              <w:bottom w:val="nil"/>
              <w:right w:val="nil"/>
            </w:tcBorders>
            <w:shd w:val="clear" w:color="auto" w:fill="auto"/>
            <w:noWrap/>
            <w:vAlign w:val="center"/>
            <w:hideMark/>
          </w:tcPr>
          <w:p w14:paraId="41A3E278"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1.12115</w:t>
            </w:r>
          </w:p>
        </w:tc>
        <w:tc>
          <w:tcPr>
            <w:tcW w:w="820" w:type="dxa"/>
            <w:tcBorders>
              <w:top w:val="single" w:sz="4" w:space="0" w:color="ADD6EA"/>
              <w:left w:val="nil"/>
              <w:bottom w:val="nil"/>
              <w:right w:val="nil"/>
            </w:tcBorders>
            <w:shd w:val="clear" w:color="auto" w:fill="auto"/>
            <w:noWrap/>
            <w:vAlign w:val="center"/>
            <w:hideMark/>
          </w:tcPr>
          <w:p w14:paraId="4733F6A0"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0.81294</w:t>
            </w:r>
          </w:p>
        </w:tc>
        <w:tc>
          <w:tcPr>
            <w:tcW w:w="860" w:type="dxa"/>
            <w:tcBorders>
              <w:top w:val="single" w:sz="4" w:space="0" w:color="ADD6EA"/>
              <w:left w:val="nil"/>
              <w:bottom w:val="nil"/>
              <w:right w:val="nil"/>
            </w:tcBorders>
            <w:shd w:val="clear" w:color="auto" w:fill="auto"/>
            <w:noWrap/>
            <w:vAlign w:val="center"/>
            <w:hideMark/>
          </w:tcPr>
          <w:p w14:paraId="2F893A95"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0.79322</w:t>
            </w:r>
          </w:p>
        </w:tc>
        <w:tc>
          <w:tcPr>
            <w:tcW w:w="820" w:type="dxa"/>
            <w:tcBorders>
              <w:top w:val="single" w:sz="4" w:space="0" w:color="ADD6EA"/>
              <w:left w:val="nil"/>
              <w:bottom w:val="nil"/>
              <w:right w:val="nil"/>
            </w:tcBorders>
            <w:shd w:val="clear" w:color="auto" w:fill="auto"/>
            <w:noWrap/>
            <w:vAlign w:val="center"/>
            <w:hideMark/>
          </w:tcPr>
          <w:p w14:paraId="3E993388"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1.49695</w:t>
            </w:r>
          </w:p>
        </w:tc>
        <w:tc>
          <w:tcPr>
            <w:tcW w:w="820" w:type="dxa"/>
            <w:tcBorders>
              <w:top w:val="single" w:sz="4" w:space="0" w:color="ADD6EA"/>
              <w:left w:val="nil"/>
              <w:bottom w:val="nil"/>
              <w:right w:val="nil"/>
            </w:tcBorders>
            <w:shd w:val="clear" w:color="auto" w:fill="auto"/>
            <w:noWrap/>
            <w:vAlign w:val="center"/>
            <w:hideMark/>
          </w:tcPr>
          <w:p w14:paraId="165AB43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1.85208</w:t>
            </w:r>
          </w:p>
        </w:tc>
        <w:tc>
          <w:tcPr>
            <w:tcW w:w="820" w:type="dxa"/>
            <w:tcBorders>
              <w:top w:val="single" w:sz="4" w:space="0" w:color="ADD6EA"/>
              <w:left w:val="nil"/>
              <w:bottom w:val="nil"/>
              <w:right w:val="nil"/>
            </w:tcBorders>
            <w:shd w:val="clear" w:color="auto" w:fill="auto"/>
            <w:noWrap/>
            <w:vAlign w:val="center"/>
            <w:hideMark/>
          </w:tcPr>
          <w:p w14:paraId="30C134BE"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1.14961</w:t>
            </w:r>
          </w:p>
        </w:tc>
        <w:tc>
          <w:tcPr>
            <w:tcW w:w="820" w:type="dxa"/>
            <w:tcBorders>
              <w:top w:val="single" w:sz="4" w:space="0" w:color="ADD6EA"/>
              <w:left w:val="nil"/>
              <w:bottom w:val="nil"/>
              <w:right w:val="nil"/>
            </w:tcBorders>
            <w:shd w:val="clear" w:color="auto" w:fill="auto"/>
            <w:noWrap/>
            <w:vAlign w:val="center"/>
            <w:hideMark/>
          </w:tcPr>
          <w:p w14:paraId="7F1139C8"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5.05066</w:t>
            </w:r>
          </w:p>
        </w:tc>
        <w:tc>
          <w:tcPr>
            <w:tcW w:w="760" w:type="dxa"/>
            <w:tcBorders>
              <w:top w:val="single" w:sz="4" w:space="0" w:color="ADD6EA"/>
              <w:left w:val="nil"/>
              <w:bottom w:val="nil"/>
              <w:right w:val="nil"/>
            </w:tcBorders>
            <w:shd w:val="clear" w:color="auto" w:fill="auto"/>
            <w:noWrap/>
            <w:vAlign w:val="center"/>
            <w:hideMark/>
          </w:tcPr>
          <w:p w14:paraId="52E2A8EA"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1.00000</w:t>
            </w:r>
          </w:p>
        </w:tc>
      </w:tr>
      <w:tr w:rsidR="00063DCF" w:rsidRPr="00063DCF" w14:paraId="121E915B" w14:textId="77777777" w:rsidTr="00063DCF">
        <w:trPr>
          <w:trHeight w:val="315"/>
        </w:trPr>
        <w:tc>
          <w:tcPr>
            <w:tcW w:w="1580" w:type="dxa"/>
            <w:tcBorders>
              <w:top w:val="single" w:sz="4" w:space="0" w:color="ADD6EA"/>
              <w:left w:val="nil"/>
              <w:bottom w:val="single" w:sz="4" w:space="0" w:color="ADD6EA"/>
              <w:right w:val="nil"/>
            </w:tcBorders>
            <w:shd w:val="clear" w:color="000000" w:fill="D6E7F0"/>
            <w:vAlign w:val="center"/>
            <w:hideMark/>
          </w:tcPr>
          <w:p w14:paraId="592A0DB2" w14:textId="77777777" w:rsidR="00063DCF" w:rsidRPr="00063DCF" w:rsidRDefault="00063DCF" w:rsidP="00063DCF">
            <w:pPr>
              <w:tabs>
                <w:tab w:val="clear" w:pos="567"/>
              </w:tabs>
              <w:spacing w:before="0" w:line="240" w:lineRule="auto"/>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Average</w:t>
            </w:r>
          </w:p>
        </w:tc>
        <w:tc>
          <w:tcPr>
            <w:tcW w:w="820" w:type="dxa"/>
            <w:tcBorders>
              <w:top w:val="single" w:sz="4" w:space="0" w:color="ADD6EA"/>
              <w:left w:val="nil"/>
              <w:bottom w:val="single" w:sz="4" w:space="0" w:color="ADD6EA"/>
              <w:right w:val="nil"/>
            </w:tcBorders>
            <w:shd w:val="clear" w:color="000000" w:fill="D6E7F0"/>
            <w:noWrap/>
            <w:vAlign w:val="center"/>
            <w:hideMark/>
          </w:tcPr>
          <w:p w14:paraId="3D5C3D68"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0.85827</w:t>
            </w:r>
          </w:p>
        </w:tc>
        <w:tc>
          <w:tcPr>
            <w:tcW w:w="820" w:type="dxa"/>
            <w:tcBorders>
              <w:top w:val="single" w:sz="4" w:space="0" w:color="ADD6EA"/>
              <w:left w:val="nil"/>
              <w:bottom w:val="single" w:sz="4" w:space="0" w:color="ADD6EA"/>
              <w:right w:val="nil"/>
            </w:tcBorders>
            <w:shd w:val="clear" w:color="000000" w:fill="D6E7F0"/>
            <w:noWrap/>
            <w:vAlign w:val="center"/>
            <w:hideMark/>
          </w:tcPr>
          <w:p w14:paraId="16AC8D29"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0.95590</w:t>
            </w:r>
          </w:p>
        </w:tc>
        <w:tc>
          <w:tcPr>
            <w:tcW w:w="820" w:type="dxa"/>
            <w:tcBorders>
              <w:top w:val="single" w:sz="4" w:space="0" w:color="ADD6EA"/>
              <w:left w:val="nil"/>
              <w:bottom w:val="single" w:sz="4" w:space="0" w:color="ADD6EA"/>
              <w:right w:val="nil"/>
            </w:tcBorders>
            <w:shd w:val="clear" w:color="000000" w:fill="D6E7F0"/>
            <w:noWrap/>
            <w:vAlign w:val="center"/>
            <w:hideMark/>
          </w:tcPr>
          <w:p w14:paraId="74B01138"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0.94320</w:t>
            </w:r>
          </w:p>
        </w:tc>
        <w:tc>
          <w:tcPr>
            <w:tcW w:w="860" w:type="dxa"/>
            <w:tcBorders>
              <w:top w:val="single" w:sz="4" w:space="0" w:color="ADD6EA"/>
              <w:left w:val="nil"/>
              <w:bottom w:val="single" w:sz="4" w:space="0" w:color="ADD6EA"/>
              <w:right w:val="nil"/>
            </w:tcBorders>
            <w:shd w:val="clear" w:color="000000" w:fill="D6E7F0"/>
            <w:noWrap/>
            <w:vAlign w:val="center"/>
            <w:hideMark/>
          </w:tcPr>
          <w:p w14:paraId="21917B72"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0.82535</w:t>
            </w:r>
          </w:p>
        </w:tc>
        <w:tc>
          <w:tcPr>
            <w:tcW w:w="820" w:type="dxa"/>
            <w:tcBorders>
              <w:top w:val="single" w:sz="4" w:space="0" w:color="ADD6EA"/>
              <w:left w:val="nil"/>
              <w:bottom w:val="single" w:sz="4" w:space="0" w:color="ADD6EA"/>
              <w:right w:val="nil"/>
            </w:tcBorders>
            <w:shd w:val="clear" w:color="000000" w:fill="D6E7F0"/>
            <w:noWrap/>
            <w:vAlign w:val="center"/>
            <w:hideMark/>
          </w:tcPr>
          <w:p w14:paraId="65397FAE"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1.39387</w:t>
            </w:r>
          </w:p>
        </w:tc>
        <w:tc>
          <w:tcPr>
            <w:tcW w:w="820" w:type="dxa"/>
            <w:tcBorders>
              <w:top w:val="single" w:sz="4" w:space="0" w:color="ADD6EA"/>
              <w:left w:val="nil"/>
              <w:bottom w:val="single" w:sz="4" w:space="0" w:color="ADD6EA"/>
              <w:right w:val="nil"/>
            </w:tcBorders>
            <w:shd w:val="clear" w:color="000000" w:fill="D6E7F0"/>
            <w:noWrap/>
            <w:vAlign w:val="center"/>
            <w:hideMark/>
          </w:tcPr>
          <w:p w14:paraId="69E42A0C"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1.81895</w:t>
            </w:r>
          </w:p>
        </w:tc>
        <w:tc>
          <w:tcPr>
            <w:tcW w:w="820" w:type="dxa"/>
            <w:tcBorders>
              <w:top w:val="single" w:sz="4" w:space="0" w:color="ADD6EA"/>
              <w:left w:val="nil"/>
              <w:bottom w:val="single" w:sz="4" w:space="0" w:color="ADD6EA"/>
              <w:right w:val="nil"/>
            </w:tcBorders>
            <w:shd w:val="clear" w:color="000000" w:fill="D6E7F0"/>
            <w:noWrap/>
            <w:vAlign w:val="center"/>
            <w:hideMark/>
          </w:tcPr>
          <w:p w14:paraId="712E0784"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1.19500</w:t>
            </w:r>
          </w:p>
        </w:tc>
        <w:tc>
          <w:tcPr>
            <w:tcW w:w="820" w:type="dxa"/>
            <w:tcBorders>
              <w:top w:val="single" w:sz="4" w:space="0" w:color="ADD6EA"/>
              <w:left w:val="nil"/>
              <w:bottom w:val="single" w:sz="4" w:space="0" w:color="ADD6EA"/>
              <w:right w:val="nil"/>
            </w:tcBorders>
            <w:shd w:val="clear" w:color="000000" w:fill="D6E7F0"/>
            <w:noWrap/>
            <w:vAlign w:val="center"/>
            <w:hideMark/>
          </w:tcPr>
          <w:p w14:paraId="0DE34825"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5.05647</w:t>
            </w:r>
          </w:p>
        </w:tc>
        <w:tc>
          <w:tcPr>
            <w:tcW w:w="760" w:type="dxa"/>
            <w:tcBorders>
              <w:top w:val="single" w:sz="4" w:space="0" w:color="ADD6EA"/>
              <w:left w:val="nil"/>
              <w:bottom w:val="single" w:sz="4" w:space="0" w:color="ADD6EA"/>
              <w:right w:val="nil"/>
            </w:tcBorders>
            <w:shd w:val="clear" w:color="000000" w:fill="D6E7F0"/>
            <w:noWrap/>
            <w:vAlign w:val="center"/>
            <w:hideMark/>
          </w:tcPr>
          <w:p w14:paraId="63536A36"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1.00000</w:t>
            </w:r>
          </w:p>
        </w:tc>
      </w:tr>
      <w:tr w:rsidR="00063DCF" w:rsidRPr="00063DCF" w14:paraId="58049F1C" w14:textId="77777777" w:rsidTr="00063DCF">
        <w:trPr>
          <w:trHeight w:val="315"/>
        </w:trPr>
        <w:tc>
          <w:tcPr>
            <w:tcW w:w="8940" w:type="dxa"/>
            <w:gridSpan w:val="10"/>
            <w:tcBorders>
              <w:top w:val="single" w:sz="4" w:space="0" w:color="ADD6EA"/>
              <w:left w:val="nil"/>
              <w:bottom w:val="single" w:sz="4" w:space="0" w:color="ADD6EA"/>
              <w:right w:val="nil"/>
            </w:tcBorders>
            <w:shd w:val="clear" w:color="auto" w:fill="auto"/>
            <w:vAlign w:val="center"/>
            <w:hideMark/>
          </w:tcPr>
          <w:p w14:paraId="39BB0D93" w14:textId="77777777" w:rsidR="00063DCF" w:rsidRPr="00063DCF" w:rsidRDefault="00063DCF" w:rsidP="00063DCF">
            <w:pPr>
              <w:tabs>
                <w:tab w:val="clear" w:pos="567"/>
              </w:tabs>
              <w:spacing w:before="0" w:line="240" w:lineRule="auto"/>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 xml:space="preserve">Blended relativities (c) </w:t>
            </w:r>
          </w:p>
        </w:tc>
      </w:tr>
      <w:tr w:rsidR="00063DCF" w:rsidRPr="00063DCF" w14:paraId="4D549DCE" w14:textId="77777777" w:rsidTr="00063DCF">
        <w:trPr>
          <w:trHeight w:val="315"/>
        </w:trPr>
        <w:tc>
          <w:tcPr>
            <w:tcW w:w="1580" w:type="dxa"/>
            <w:tcBorders>
              <w:top w:val="nil"/>
              <w:left w:val="nil"/>
              <w:bottom w:val="nil"/>
              <w:right w:val="nil"/>
            </w:tcBorders>
            <w:shd w:val="clear" w:color="auto" w:fill="auto"/>
            <w:vAlign w:val="center"/>
            <w:hideMark/>
          </w:tcPr>
          <w:p w14:paraId="4458E5CA" w14:textId="5AA705D6" w:rsidR="00063DCF" w:rsidRPr="00063DCF" w:rsidRDefault="00063DCF" w:rsidP="00063DC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2020</w:t>
            </w:r>
            <w:r>
              <w:rPr>
                <w:rFonts w:ascii="Open Sans Light" w:eastAsia="Times New Roman" w:hAnsi="Open Sans Light" w:cs="Open Sans Light"/>
                <w:color w:val="000000"/>
                <w:sz w:val="16"/>
                <w:szCs w:val="16"/>
                <w:lang w:eastAsia="en-AU"/>
              </w:rPr>
              <w:t>–</w:t>
            </w:r>
            <w:r w:rsidRPr="00063DCF">
              <w:rPr>
                <w:rFonts w:ascii="Open Sans Light" w:eastAsia="Times New Roman" w:hAnsi="Open Sans Light" w:cs="Open Sans Light"/>
                <w:color w:val="000000"/>
                <w:sz w:val="16"/>
                <w:szCs w:val="16"/>
                <w:lang w:eastAsia="en-AU"/>
              </w:rPr>
              <w:t>21</w:t>
            </w:r>
          </w:p>
        </w:tc>
        <w:tc>
          <w:tcPr>
            <w:tcW w:w="820" w:type="dxa"/>
            <w:tcBorders>
              <w:top w:val="nil"/>
              <w:left w:val="nil"/>
              <w:bottom w:val="nil"/>
              <w:right w:val="nil"/>
            </w:tcBorders>
            <w:shd w:val="clear" w:color="auto" w:fill="auto"/>
            <w:noWrap/>
            <w:vAlign w:val="center"/>
            <w:hideMark/>
          </w:tcPr>
          <w:p w14:paraId="21745073"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0.95813</w:t>
            </w:r>
          </w:p>
        </w:tc>
        <w:tc>
          <w:tcPr>
            <w:tcW w:w="820" w:type="dxa"/>
            <w:tcBorders>
              <w:top w:val="nil"/>
              <w:left w:val="nil"/>
              <w:bottom w:val="nil"/>
              <w:right w:val="nil"/>
            </w:tcBorders>
            <w:shd w:val="clear" w:color="auto" w:fill="auto"/>
            <w:noWrap/>
            <w:vAlign w:val="center"/>
            <w:hideMark/>
          </w:tcPr>
          <w:p w14:paraId="063F0BFF"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0.85953</w:t>
            </w:r>
          </w:p>
        </w:tc>
        <w:tc>
          <w:tcPr>
            <w:tcW w:w="820" w:type="dxa"/>
            <w:tcBorders>
              <w:top w:val="nil"/>
              <w:left w:val="nil"/>
              <w:bottom w:val="nil"/>
              <w:right w:val="nil"/>
            </w:tcBorders>
            <w:shd w:val="clear" w:color="auto" w:fill="auto"/>
            <w:noWrap/>
            <w:vAlign w:val="center"/>
            <w:hideMark/>
          </w:tcPr>
          <w:p w14:paraId="3BBBDC4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1.11108</w:t>
            </w:r>
          </w:p>
        </w:tc>
        <w:tc>
          <w:tcPr>
            <w:tcW w:w="860" w:type="dxa"/>
            <w:tcBorders>
              <w:top w:val="nil"/>
              <w:left w:val="nil"/>
              <w:bottom w:val="nil"/>
              <w:right w:val="nil"/>
            </w:tcBorders>
            <w:shd w:val="clear" w:color="auto" w:fill="auto"/>
            <w:noWrap/>
            <w:vAlign w:val="center"/>
            <w:hideMark/>
          </w:tcPr>
          <w:p w14:paraId="30FF4553"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0.53380</w:t>
            </w:r>
          </w:p>
        </w:tc>
        <w:tc>
          <w:tcPr>
            <w:tcW w:w="820" w:type="dxa"/>
            <w:tcBorders>
              <w:top w:val="nil"/>
              <w:left w:val="nil"/>
              <w:bottom w:val="nil"/>
              <w:right w:val="nil"/>
            </w:tcBorders>
            <w:shd w:val="clear" w:color="auto" w:fill="auto"/>
            <w:noWrap/>
            <w:vAlign w:val="center"/>
            <w:hideMark/>
          </w:tcPr>
          <w:p w14:paraId="4C134257"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1.29172</w:t>
            </w:r>
          </w:p>
        </w:tc>
        <w:tc>
          <w:tcPr>
            <w:tcW w:w="820" w:type="dxa"/>
            <w:tcBorders>
              <w:top w:val="nil"/>
              <w:left w:val="nil"/>
              <w:bottom w:val="nil"/>
              <w:right w:val="nil"/>
            </w:tcBorders>
            <w:shd w:val="clear" w:color="auto" w:fill="auto"/>
            <w:noWrap/>
            <w:vAlign w:val="center"/>
            <w:hideMark/>
          </w:tcPr>
          <w:p w14:paraId="19E4DE7F"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1.75644</w:t>
            </w:r>
          </w:p>
        </w:tc>
        <w:tc>
          <w:tcPr>
            <w:tcW w:w="820" w:type="dxa"/>
            <w:tcBorders>
              <w:top w:val="nil"/>
              <w:left w:val="nil"/>
              <w:bottom w:val="nil"/>
              <w:right w:val="nil"/>
            </w:tcBorders>
            <w:shd w:val="clear" w:color="auto" w:fill="auto"/>
            <w:noWrap/>
            <w:vAlign w:val="center"/>
            <w:hideMark/>
          </w:tcPr>
          <w:p w14:paraId="7C386E46"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1.19865</w:t>
            </w:r>
          </w:p>
        </w:tc>
        <w:tc>
          <w:tcPr>
            <w:tcW w:w="820" w:type="dxa"/>
            <w:tcBorders>
              <w:top w:val="nil"/>
              <w:left w:val="nil"/>
              <w:bottom w:val="nil"/>
              <w:right w:val="nil"/>
            </w:tcBorders>
            <w:shd w:val="clear" w:color="auto" w:fill="auto"/>
            <w:noWrap/>
            <w:vAlign w:val="center"/>
            <w:hideMark/>
          </w:tcPr>
          <w:p w14:paraId="1BEB5FDA"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4.71214</w:t>
            </w:r>
          </w:p>
        </w:tc>
        <w:tc>
          <w:tcPr>
            <w:tcW w:w="760" w:type="dxa"/>
            <w:tcBorders>
              <w:top w:val="nil"/>
              <w:left w:val="nil"/>
              <w:bottom w:val="nil"/>
              <w:right w:val="nil"/>
            </w:tcBorders>
            <w:shd w:val="clear" w:color="auto" w:fill="auto"/>
            <w:noWrap/>
            <w:vAlign w:val="center"/>
            <w:hideMark/>
          </w:tcPr>
          <w:p w14:paraId="2FC901BE"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1.00000</w:t>
            </w:r>
          </w:p>
        </w:tc>
      </w:tr>
      <w:tr w:rsidR="00063DCF" w:rsidRPr="00063DCF" w14:paraId="706BBB7B" w14:textId="77777777" w:rsidTr="00063DCF">
        <w:trPr>
          <w:trHeight w:val="315"/>
        </w:trPr>
        <w:tc>
          <w:tcPr>
            <w:tcW w:w="1580" w:type="dxa"/>
            <w:tcBorders>
              <w:top w:val="single" w:sz="4" w:space="0" w:color="ADD6EA"/>
              <w:left w:val="nil"/>
              <w:bottom w:val="nil"/>
              <w:right w:val="nil"/>
            </w:tcBorders>
            <w:shd w:val="clear" w:color="auto" w:fill="auto"/>
            <w:vAlign w:val="center"/>
            <w:hideMark/>
          </w:tcPr>
          <w:p w14:paraId="4236C220" w14:textId="5BE574E7" w:rsidR="00063DCF" w:rsidRPr="00063DCF" w:rsidRDefault="00063DCF" w:rsidP="00063DC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2021</w:t>
            </w:r>
            <w:r>
              <w:rPr>
                <w:rFonts w:ascii="Open Sans Light" w:eastAsia="Times New Roman" w:hAnsi="Open Sans Light" w:cs="Open Sans Light"/>
                <w:color w:val="000000"/>
                <w:sz w:val="16"/>
                <w:szCs w:val="16"/>
                <w:lang w:eastAsia="en-AU"/>
              </w:rPr>
              <w:t>–</w:t>
            </w:r>
            <w:r w:rsidRPr="00063DCF">
              <w:rPr>
                <w:rFonts w:ascii="Open Sans Light" w:eastAsia="Times New Roman" w:hAnsi="Open Sans Light" w:cs="Open Sans Light"/>
                <w:color w:val="000000"/>
                <w:sz w:val="16"/>
                <w:szCs w:val="16"/>
                <w:lang w:eastAsia="en-AU"/>
              </w:rPr>
              <w:t>22</w:t>
            </w:r>
          </w:p>
        </w:tc>
        <w:tc>
          <w:tcPr>
            <w:tcW w:w="820" w:type="dxa"/>
            <w:tcBorders>
              <w:top w:val="single" w:sz="4" w:space="0" w:color="ADD6EA"/>
              <w:left w:val="nil"/>
              <w:bottom w:val="nil"/>
              <w:right w:val="nil"/>
            </w:tcBorders>
            <w:shd w:val="clear" w:color="auto" w:fill="auto"/>
            <w:noWrap/>
            <w:vAlign w:val="center"/>
            <w:hideMark/>
          </w:tcPr>
          <w:p w14:paraId="49C21ABE"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0.88358</w:t>
            </w:r>
          </w:p>
        </w:tc>
        <w:tc>
          <w:tcPr>
            <w:tcW w:w="820" w:type="dxa"/>
            <w:tcBorders>
              <w:top w:val="single" w:sz="4" w:space="0" w:color="ADD6EA"/>
              <w:left w:val="nil"/>
              <w:bottom w:val="nil"/>
              <w:right w:val="nil"/>
            </w:tcBorders>
            <w:shd w:val="clear" w:color="auto" w:fill="auto"/>
            <w:noWrap/>
            <w:vAlign w:val="center"/>
            <w:hideMark/>
          </w:tcPr>
          <w:p w14:paraId="3688D20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0.94666</w:t>
            </w:r>
          </w:p>
        </w:tc>
        <w:tc>
          <w:tcPr>
            <w:tcW w:w="820" w:type="dxa"/>
            <w:tcBorders>
              <w:top w:val="single" w:sz="4" w:space="0" w:color="ADD6EA"/>
              <w:left w:val="nil"/>
              <w:bottom w:val="nil"/>
              <w:right w:val="nil"/>
            </w:tcBorders>
            <w:shd w:val="clear" w:color="auto" w:fill="auto"/>
            <w:noWrap/>
            <w:vAlign w:val="center"/>
            <w:hideMark/>
          </w:tcPr>
          <w:p w14:paraId="39EF0D32"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0.96529</w:t>
            </w:r>
          </w:p>
        </w:tc>
        <w:tc>
          <w:tcPr>
            <w:tcW w:w="860" w:type="dxa"/>
            <w:tcBorders>
              <w:top w:val="single" w:sz="4" w:space="0" w:color="ADD6EA"/>
              <w:left w:val="nil"/>
              <w:bottom w:val="nil"/>
              <w:right w:val="nil"/>
            </w:tcBorders>
            <w:shd w:val="clear" w:color="auto" w:fill="auto"/>
            <w:noWrap/>
            <w:vAlign w:val="center"/>
            <w:hideMark/>
          </w:tcPr>
          <w:p w14:paraId="22DA1427"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0.60628</w:t>
            </w:r>
          </w:p>
        </w:tc>
        <w:tc>
          <w:tcPr>
            <w:tcW w:w="820" w:type="dxa"/>
            <w:tcBorders>
              <w:top w:val="single" w:sz="4" w:space="0" w:color="ADD6EA"/>
              <w:left w:val="nil"/>
              <w:bottom w:val="nil"/>
              <w:right w:val="nil"/>
            </w:tcBorders>
            <w:shd w:val="clear" w:color="auto" w:fill="auto"/>
            <w:noWrap/>
            <w:vAlign w:val="center"/>
            <w:hideMark/>
          </w:tcPr>
          <w:p w14:paraId="2343DF9B"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1.45039</w:t>
            </w:r>
          </w:p>
        </w:tc>
        <w:tc>
          <w:tcPr>
            <w:tcW w:w="820" w:type="dxa"/>
            <w:tcBorders>
              <w:top w:val="single" w:sz="4" w:space="0" w:color="ADD6EA"/>
              <w:left w:val="nil"/>
              <w:bottom w:val="nil"/>
              <w:right w:val="nil"/>
            </w:tcBorders>
            <w:shd w:val="clear" w:color="auto" w:fill="auto"/>
            <w:noWrap/>
            <w:vAlign w:val="center"/>
            <w:hideMark/>
          </w:tcPr>
          <w:p w14:paraId="7DE60310"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1.90364</w:t>
            </w:r>
          </w:p>
        </w:tc>
        <w:tc>
          <w:tcPr>
            <w:tcW w:w="820" w:type="dxa"/>
            <w:tcBorders>
              <w:top w:val="single" w:sz="4" w:space="0" w:color="ADD6EA"/>
              <w:left w:val="nil"/>
              <w:bottom w:val="nil"/>
              <w:right w:val="nil"/>
            </w:tcBorders>
            <w:shd w:val="clear" w:color="auto" w:fill="auto"/>
            <w:noWrap/>
            <w:vAlign w:val="center"/>
            <w:hideMark/>
          </w:tcPr>
          <w:p w14:paraId="7C108122"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1.29518</w:t>
            </w:r>
          </w:p>
        </w:tc>
        <w:tc>
          <w:tcPr>
            <w:tcW w:w="820" w:type="dxa"/>
            <w:tcBorders>
              <w:top w:val="single" w:sz="4" w:space="0" w:color="ADD6EA"/>
              <w:left w:val="nil"/>
              <w:bottom w:val="nil"/>
              <w:right w:val="nil"/>
            </w:tcBorders>
            <w:shd w:val="clear" w:color="auto" w:fill="auto"/>
            <w:noWrap/>
            <w:vAlign w:val="center"/>
            <w:hideMark/>
          </w:tcPr>
          <w:p w14:paraId="2036ED2A"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5.44575</w:t>
            </w:r>
          </w:p>
        </w:tc>
        <w:tc>
          <w:tcPr>
            <w:tcW w:w="760" w:type="dxa"/>
            <w:tcBorders>
              <w:top w:val="single" w:sz="4" w:space="0" w:color="ADD6EA"/>
              <w:left w:val="nil"/>
              <w:bottom w:val="nil"/>
              <w:right w:val="nil"/>
            </w:tcBorders>
            <w:shd w:val="clear" w:color="auto" w:fill="auto"/>
            <w:noWrap/>
            <w:vAlign w:val="center"/>
            <w:hideMark/>
          </w:tcPr>
          <w:p w14:paraId="763528D0"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1.00000</w:t>
            </w:r>
          </w:p>
        </w:tc>
      </w:tr>
      <w:tr w:rsidR="00063DCF" w:rsidRPr="00063DCF" w14:paraId="4B43A391" w14:textId="77777777" w:rsidTr="00063DCF">
        <w:trPr>
          <w:trHeight w:val="315"/>
        </w:trPr>
        <w:tc>
          <w:tcPr>
            <w:tcW w:w="1580" w:type="dxa"/>
            <w:tcBorders>
              <w:top w:val="single" w:sz="4" w:space="0" w:color="ADD6EA"/>
              <w:left w:val="nil"/>
              <w:bottom w:val="nil"/>
              <w:right w:val="nil"/>
            </w:tcBorders>
            <w:shd w:val="clear" w:color="auto" w:fill="auto"/>
            <w:vAlign w:val="center"/>
            <w:hideMark/>
          </w:tcPr>
          <w:p w14:paraId="70044AB4" w14:textId="241FCDA5" w:rsidR="00063DCF" w:rsidRPr="00063DCF" w:rsidRDefault="00063DCF" w:rsidP="00063DC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2022</w:t>
            </w:r>
            <w:r>
              <w:rPr>
                <w:rFonts w:ascii="Open Sans Light" w:eastAsia="Times New Roman" w:hAnsi="Open Sans Light" w:cs="Open Sans Light"/>
                <w:color w:val="000000"/>
                <w:sz w:val="16"/>
                <w:szCs w:val="16"/>
                <w:lang w:eastAsia="en-AU"/>
              </w:rPr>
              <w:t>–</w:t>
            </w:r>
            <w:r w:rsidRPr="00063DCF">
              <w:rPr>
                <w:rFonts w:ascii="Open Sans Light" w:eastAsia="Times New Roman" w:hAnsi="Open Sans Light" w:cs="Open Sans Light"/>
                <w:color w:val="000000"/>
                <w:sz w:val="16"/>
                <w:szCs w:val="16"/>
                <w:lang w:eastAsia="en-AU"/>
              </w:rPr>
              <w:t>23</w:t>
            </w:r>
          </w:p>
        </w:tc>
        <w:tc>
          <w:tcPr>
            <w:tcW w:w="820" w:type="dxa"/>
            <w:tcBorders>
              <w:top w:val="single" w:sz="4" w:space="0" w:color="ADD6EA"/>
              <w:left w:val="nil"/>
              <w:bottom w:val="nil"/>
              <w:right w:val="nil"/>
            </w:tcBorders>
            <w:shd w:val="clear" w:color="auto" w:fill="auto"/>
            <w:noWrap/>
            <w:vAlign w:val="center"/>
            <w:hideMark/>
          </w:tcPr>
          <w:p w14:paraId="6FB2C051"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0.81333</w:t>
            </w:r>
          </w:p>
        </w:tc>
        <w:tc>
          <w:tcPr>
            <w:tcW w:w="820" w:type="dxa"/>
            <w:tcBorders>
              <w:top w:val="single" w:sz="4" w:space="0" w:color="ADD6EA"/>
              <w:left w:val="nil"/>
              <w:bottom w:val="nil"/>
              <w:right w:val="nil"/>
            </w:tcBorders>
            <w:shd w:val="clear" w:color="auto" w:fill="auto"/>
            <w:noWrap/>
            <w:vAlign w:val="center"/>
            <w:hideMark/>
          </w:tcPr>
          <w:p w14:paraId="3788D70A"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1.14126</w:t>
            </w:r>
          </w:p>
        </w:tc>
        <w:tc>
          <w:tcPr>
            <w:tcW w:w="820" w:type="dxa"/>
            <w:tcBorders>
              <w:top w:val="single" w:sz="4" w:space="0" w:color="ADD6EA"/>
              <w:left w:val="nil"/>
              <w:bottom w:val="nil"/>
              <w:right w:val="nil"/>
            </w:tcBorders>
            <w:shd w:val="clear" w:color="auto" w:fill="auto"/>
            <w:noWrap/>
            <w:vAlign w:val="center"/>
            <w:hideMark/>
          </w:tcPr>
          <w:p w14:paraId="17AE7EF7"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0.83305</w:t>
            </w:r>
          </w:p>
        </w:tc>
        <w:tc>
          <w:tcPr>
            <w:tcW w:w="860" w:type="dxa"/>
            <w:tcBorders>
              <w:top w:val="single" w:sz="4" w:space="0" w:color="ADD6EA"/>
              <w:left w:val="nil"/>
              <w:bottom w:val="nil"/>
              <w:right w:val="nil"/>
            </w:tcBorders>
            <w:shd w:val="clear" w:color="auto" w:fill="auto"/>
            <w:noWrap/>
            <w:vAlign w:val="center"/>
            <w:hideMark/>
          </w:tcPr>
          <w:p w14:paraId="1C498587"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0.62658</w:t>
            </w:r>
          </w:p>
        </w:tc>
        <w:tc>
          <w:tcPr>
            <w:tcW w:w="820" w:type="dxa"/>
            <w:tcBorders>
              <w:top w:val="single" w:sz="4" w:space="0" w:color="ADD6EA"/>
              <w:left w:val="nil"/>
              <w:bottom w:val="nil"/>
              <w:right w:val="nil"/>
            </w:tcBorders>
            <w:shd w:val="clear" w:color="auto" w:fill="auto"/>
            <w:noWrap/>
            <w:vAlign w:val="center"/>
            <w:hideMark/>
          </w:tcPr>
          <w:p w14:paraId="4B943D92"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1.51706</w:t>
            </w:r>
          </w:p>
        </w:tc>
        <w:tc>
          <w:tcPr>
            <w:tcW w:w="820" w:type="dxa"/>
            <w:tcBorders>
              <w:top w:val="single" w:sz="4" w:space="0" w:color="ADD6EA"/>
              <w:left w:val="nil"/>
              <w:bottom w:val="nil"/>
              <w:right w:val="nil"/>
            </w:tcBorders>
            <w:shd w:val="clear" w:color="auto" w:fill="auto"/>
            <w:noWrap/>
            <w:vAlign w:val="center"/>
            <w:hideMark/>
          </w:tcPr>
          <w:p w14:paraId="110AE65B"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1.87219</w:t>
            </w:r>
          </w:p>
        </w:tc>
        <w:tc>
          <w:tcPr>
            <w:tcW w:w="820" w:type="dxa"/>
            <w:tcBorders>
              <w:top w:val="single" w:sz="4" w:space="0" w:color="ADD6EA"/>
              <w:left w:val="nil"/>
              <w:bottom w:val="nil"/>
              <w:right w:val="nil"/>
            </w:tcBorders>
            <w:shd w:val="clear" w:color="auto" w:fill="auto"/>
            <w:noWrap/>
            <w:vAlign w:val="center"/>
            <w:hideMark/>
          </w:tcPr>
          <w:p w14:paraId="6A33DC24"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1.16972</w:t>
            </w:r>
          </w:p>
        </w:tc>
        <w:tc>
          <w:tcPr>
            <w:tcW w:w="820" w:type="dxa"/>
            <w:tcBorders>
              <w:top w:val="single" w:sz="4" w:space="0" w:color="ADD6EA"/>
              <w:left w:val="nil"/>
              <w:bottom w:val="nil"/>
              <w:right w:val="nil"/>
            </w:tcBorders>
            <w:shd w:val="clear" w:color="auto" w:fill="auto"/>
            <w:noWrap/>
            <w:vAlign w:val="center"/>
            <w:hideMark/>
          </w:tcPr>
          <w:p w14:paraId="62913BED"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5.07077</w:t>
            </w:r>
          </w:p>
        </w:tc>
        <w:tc>
          <w:tcPr>
            <w:tcW w:w="760" w:type="dxa"/>
            <w:tcBorders>
              <w:top w:val="single" w:sz="4" w:space="0" w:color="ADD6EA"/>
              <w:left w:val="nil"/>
              <w:bottom w:val="nil"/>
              <w:right w:val="nil"/>
            </w:tcBorders>
            <w:shd w:val="clear" w:color="auto" w:fill="auto"/>
            <w:noWrap/>
            <w:vAlign w:val="center"/>
            <w:hideMark/>
          </w:tcPr>
          <w:p w14:paraId="78B4CDAF" w14:textId="77777777" w:rsidR="00063DCF" w:rsidRPr="00063DCF" w:rsidRDefault="00063DCF" w:rsidP="00063DC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063DCF">
              <w:rPr>
                <w:rFonts w:ascii="Open Sans Light" w:eastAsia="Times New Roman" w:hAnsi="Open Sans Light" w:cs="Open Sans Light"/>
                <w:color w:val="000000"/>
                <w:sz w:val="16"/>
                <w:szCs w:val="16"/>
                <w:lang w:eastAsia="en-AU"/>
              </w:rPr>
              <w:t>1.00000</w:t>
            </w:r>
          </w:p>
        </w:tc>
      </w:tr>
      <w:tr w:rsidR="00063DCF" w:rsidRPr="00063DCF" w14:paraId="1927D236" w14:textId="77777777" w:rsidTr="00063DCF">
        <w:trPr>
          <w:trHeight w:val="315"/>
        </w:trPr>
        <w:tc>
          <w:tcPr>
            <w:tcW w:w="1580" w:type="dxa"/>
            <w:tcBorders>
              <w:top w:val="single" w:sz="4" w:space="0" w:color="ADD6EA"/>
              <w:left w:val="nil"/>
              <w:bottom w:val="single" w:sz="4" w:space="0" w:color="ADD6EA"/>
              <w:right w:val="nil"/>
            </w:tcBorders>
            <w:shd w:val="clear" w:color="000000" w:fill="D6E7F0"/>
            <w:vAlign w:val="center"/>
            <w:hideMark/>
          </w:tcPr>
          <w:p w14:paraId="7CE6C837" w14:textId="77777777" w:rsidR="00063DCF" w:rsidRPr="00063DCF" w:rsidRDefault="00063DCF" w:rsidP="00063DCF">
            <w:pPr>
              <w:tabs>
                <w:tab w:val="clear" w:pos="567"/>
              </w:tabs>
              <w:spacing w:before="0" w:line="240" w:lineRule="auto"/>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Average (d)</w:t>
            </w:r>
          </w:p>
        </w:tc>
        <w:tc>
          <w:tcPr>
            <w:tcW w:w="820" w:type="dxa"/>
            <w:tcBorders>
              <w:top w:val="single" w:sz="4" w:space="0" w:color="ADD6EA"/>
              <w:left w:val="nil"/>
              <w:bottom w:val="single" w:sz="4" w:space="0" w:color="ADD6EA"/>
              <w:right w:val="nil"/>
            </w:tcBorders>
            <w:shd w:val="clear" w:color="000000" w:fill="D6E7F0"/>
            <w:noWrap/>
            <w:vAlign w:val="center"/>
            <w:hideMark/>
          </w:tcPr>
          <w:p w14:paraId="3C9BDE51"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0.88676</w:t>
            </w:r>
          </w:p>
        </w:tc>
        <w:tc>
          <w:tcPr>
            <w:tcW w:w="820" w:type="dxa"/>
            <w:tcBorders>
              <w:top w:val="single" w:sz="4" w:space="0" w:color="ADD6EA"/>
              <w:left w:val="nil"/>
              <w:bottom w:val="single" w:sz="4" w:space="0" w:color="ADD6EA"/>
              <w:right w:val="nil"/>
            </w:tcBorders>
            <w:shd w:val="clear" w:color="000000" w:fill="D6E7F0"/>
            <w:noWrap/>
            <w:vAlign w:val="center"/>
            <w:hideMark/>
          </w:tcPr>
          <w:p w14:paraId="42AC987A"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0.98442</w:t>
            </w:r>
          </w:p>
        </w:tc>
        <w:tc>
          <w:tcPr>
            <w:tcW w:w="820" w:type="dxa"/>
            <w:tcBorders>
              <w:top w:val="single" w:sz="4" w:space="0" w:color="ADD6EA"/>
              <w:left w:val="nil"/>
              <w:bottom w:val="single" w:sz="4" w:space="0" w:color="ADD6EA"/>
              <w:right w:val="nil"/>
            </w:tcBorders>
            <w:shd w:val="clear" w:color="000000" w:fill="D6E7F0"/>
            <w:noWrap/>
            <w:vAlign w:val="center"/>
            <w:hideMark/>
          </w:tcPr>
          <w:p w14:paraId="72624BFF"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0.97171</w:t>
            </w:r>
          </w:p>
        </w:tc>
        <w:tc>
          <w:tcPr>
            <w:tcW w:w="860" w:type="dxa"/>
            <w:tcBorders>
              <w:top w:val="single" w:sz="4" w:space="0" w:color="ADD6EA"/>
              <w:left w:val="nil"/>
              <w:bottom w:val="single" w:sz="4" w:space="0" w:color="ADD6EA"/>
              <w:right w:val="nil"/>
            </w:tcBorders>
            <w:shd w:val="clear" w:color="000000" w:fill="D6E7F0"/>
            <w:noWrap/>
            <w:vAlign w:val="center"/>
            <w:hideMark/>
          </w:tcPr>
          <w:p w14:paraId="400A6102"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0.59005</w:t>
            </w:r>
          </w:p>
        </w:tc>
        <w:tc>
          <w:tcPr>
            <w:tcW w:w="820" w:type="dxa"/>
            <w:tcBorders>
              <w:top w:val="single" w:sz="4" w:space="0" w:color="ADD6EA"/>
              <w:left w:val="nil"/>
              <w:bottom w:val="single" w:sz="4" w:space="0" w:color="ADD6EA"/>
              <w:right w:val="nil"/>
            </w:tcBorders>
            <w:shd w:val="clear" w:color="000000" w:fill="D6E7F0"/>
            <w:noWrap/>
            <w:vAlign w:val="center"/>
            <w:hideMark/>
          </w:tcPr>
          <w:p w14:paraId="69386ECD"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1.42251</w:t>
            </w:r>
          </w:p>
        </w:tc>
        <w:tc>
          <w:tcPr>
            <w:tcW w:w="820" w:type="dxa"/>
            <w:tcBorders>
              <w:top w:val="single" w:sz="4" w:space="0" w:color="ADD6EA"/>
              <w:left w:val="nil"/>
              <w:bottom w:val="single" w:sz="4" w:space="0" w:color="ADD6EA"/>
              <w:right w:val="nil"/>
            </w:tcBorders>
            <w:shd w:val="clear" w:color="000000" w:fill="D6E7F0"/>
            <w:noWrap/>
            <w:vAlign w:val="center"/>
            <w:hideMark/>
          </w:tcPr>
          <w:p w14:paraId="34FFAFF3"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1.84772</w:t>
            </w:r>
          </w:p>
        </w:tc>
        <w:tc>
          <w:tcPr>
            <w:tcW w:w="820" w:type="dxa"/>
            <w:tcBorders>
              <w:top w:val="single" w:sz="4" w:space="0" w:color="ADD6EA"/>
              <w:left w:val="nil"/>
              <w:bottom w:val="single" w:sz="4" w:space="0" w:color="ADD6EA"/>
              <w:right w:val="nil"/>
            </w:tcBorders>
            <w:shd w:val="clear" w:color="000000" w:fill="D6E7F0"/>
            <w:noWrap/>
            <w:vAlign w:val="center"/>
            <w:hideMark/>
          </w:tcPr>
          <w:p w14:paraId="500DD252"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1.22359</w:t>
            </w:r>
          </w:p>
        </w:tc>
        <w:tc>
          <w:tcPr>
            <w:tcW w:w="820" w:type="dxa"/>
            <w:tcBorders>
              <w:top w:val="single" w:sz="4" w:space="0" w:color="ADD6EA"/>
              <w:left w:val="nil"/>
              <w:bottom w:val="single" w:sz="4" w:space="0" w:color="ADD6EA"/>
              <w:right w:val="nil"/>
            </w:tcBorders>
            <w:shd w:val="clear" w:color="000000" w:fill="D6E7F0"/>
            <w:noWrap/>
            <w:vAlign w:val="center"/>
            <w:hideMark/>
          </w:tcPr>
          <w:p w14:paraId="3D4A73D9"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5.08621</w:t>
            </w:r>
          </w:p>
        </w:tc>
        <w:tc>
          <w:tcPr>
            <w:tcW w:w="760" w:type="dxa"/>
            <w:tcBorders>
              <w:top w:val="single" w:sz="4" w:space="0" w:color="ADD6EA"/>
              <w:left w:val="nil"/>
              <w:bottom w:val="single" w:sz="4" w:space="0" w:color="ADD6EA"/>
              <w:right w:val="nil"/>
            </w:tcBorders>
            <w:shd w:val="clear" w:color="000000" w:fill="D6E7F0"/>
            <w:noWrap/>
            <w:vAlign w:val="center"/>
            <w:hideMark/>
          </w:tcPr>
          <w:p w14:paraId="6C4B206C"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1.00000</w:t>
            </w:r>
          </w:p>
        </w:tc>
      </w:tr>
      <w:tr w:rsidR="00063DCF" w:rsidRPr="00063DCF" w14:paraId="61901F47" w14:textId="77777777" w:rsidTr="00063DCF">
        <w:trPr>
          <w:trHeight w:val="315"/>
        </w:trPr>
        <w:tc>
          <w:tcPr>
            <w:tcW w:w="1580" w:type="dxa"/>
            <w:tcBorders>
              <w:top w:val="nil"/>
              <w:left w:val="nil"/>
              <w:bottom w:val="single" w:sz="4" w:space="0" w:color="ADD6EA"/>
              <w:right w:val="nil"/>
            </w:tcBorders>
            <w:shd w:val="clear" w:color="000000" w:fill="B6D5E4"/>
            <w:vAlign w:val="center"/>
            <w:hideMark/>
          </w:tcPr>
          <w:p w14:paraId="27B82893" w14:textId="77777777" w:rsidR="00063DCF" w:rsidRPr="00063DCF" w:rsidRDefault="00063DCF" w:rsidP="00063DCF">
            <w:pPr>
              <w:tabs>
                <w:tab w:val="clear" w:pos="567"/>
              </w:tabs>
              <w:spacing w:before="0" w:line="240" w:lineRule="auto"/>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GST relativity (d)</w:t>
            </w:r>
          </w:p>
        </w:tc>
        <w:tc>
          <w:tcPr>
            <w:tcW w:w="820" w:type="dxa"/>
            <w:tcBorders>
              <w:top w:val="nil"/>
              <w:left w:val="nil"/>
              <w:bottom w:val="single" w:sz="4" w:space="0" w:color="ADD6EA"/>
              <w:right w:val="nil"/>
            </w:tcBorders>
            <w:shd w:val="clear" w:color="000000" w:fill="B6D5E4"/>
            <w:noWrap/>
            <w:vAlign w:val="center"/>
            <w:hideMark/>
          </w:tcPr>
          <w:p w14:paraId="5EF969C4"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0.86736</w:t>
            </w:r>
          </w:p>
        </w:tc>
        <w:tc>
          <w:tcPr>
            <w:tcW w:w="820" w:type="dxa"/>
            <w:tcBorders>
              <w:top w:val="nil"/>
              <w:left w:val="nil"/>
              <w:bottom w:val="single" w:sz="4" w:space="0" w:color="ADD6EA"/>
              <w:right w:val="nil"/>
            </w:tcBorders>
            <w:shd w:val="clear" w:color="000000" w:fill="B6D5E4"/>
            <w:noWrap/>
            <w:vAlign w:val="center"/>
            <w:hideMark/>
          </w:tcPr>
          <w:p w14:paraId="215B604B"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0.96502</w:t>
            </w:r>
          </w:p>
        </w:tc>
        <w:tc>
          <w:tcPr>
            <w:tcW w:w="820" w:type="dxa"/>
            <w:tcBorders>
              <w:top w:val="nil"/>
              <w:left w:val="nil"/>
              <w:bottom w:val="single" w:sz="4" w:space="0" w:color="ADD6EA"/>
              <w:right w:val="nil"/>
            </w:tcBorders>
            <w:shd w:val="clear" w:color="000000" w:fill="B6D5E4"/>
            <w:noWrap/>
            <w:vAlign w:val="center"/>
            <w:hideMark/>
          </w:tcPr>
          <w:p w14:paraId="4989D9CA"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0.95232</w:t>
            </w:r>
          </w:p>
        </w:tc>
        <w:tc>
          <w:tcPr>
            <w:tcW w:w="860" w:type="dxa"/>
            <w:tcBorders>
              <w:top w:val="nil"/>
              <w:left w:val="nil"/>
              <w:bottom w:val="single" w:sz="4" w:space="0" w:color="ADD6EA"/>
              <w:right w:val="nil"/>
            </w:tcBorders>
            <w:shd w:val="clear" w:color="000000" w:fill="B6D5E4"/>
            <w:noWrap/>
            <w:vAlign w:val="center"/>
            <w:hideMark/>
          </w:tcPr>
          <w:p w14:paraId="4874EB3B"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0.75000</w:t>
            </w:r>
          </w:p>
        </w:tc>
        <w:tc>
          <w:tcPr>
            <w:tcW w:w="820" w:type="dxa"/>
            <w:tcBorders>
              <w:top w:val="nil"/>
              <w:left w:val="nil"/>
              <w:bottom w:val="single" w:sz="4" w:space="0" w:color="ADD6EA"/>
              <w:right w:val="nil"/>
            </w:tcBorders>
            <w:shd w:val="clear" w:color="000000" w:fill="B6D5E4"/>
            <w:noWrap/>
            <w:vAlign w:val="center"/>
            <w:hideMark/>
          </w:tcPr>
          <w:p w14:paraId="48710FE6"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1.40312</w:t>
            </w:r>
          </w:p>
        </w:tc>
        <w:tc>
          <w:tcPr>
            <w:tcW w:w="820" w:type="dxa"/>
            <w:tcBorders>
              <w:top w:val="nil"/>
              <w:left w:val="nil"/>
              <w:bottom w:val="single" w:sz="4" w:space="0" w:color="ADD6EA"/>
              <w:right w:val="nil"/>
            </w:tcBorders>
            <w:shd w:val="clear" w:color="000000" w:fill="B6D5E4"/>
            <w:noWrap/>
            <w:vAlign w:val="center"/>
            <w:hideMark/>
          </w:tcPr>
          <w:p w14:paraId="347BBFC0"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1.82832</w:t>
            </w:r>
          </w:p>
        </w:tc>
        <w:tc>
          <w:tcPr>
            <w:tcW w:w="820" w:type="dxa"/>
            <w:tcBorders>
              <w:top w:val="nil"/>
              <w:left w:val="nil"/>
              <w:bottom w:val="single" w:sz="4" w:space="0" w:color="ADD6EA"/>
              <w:right w:val="nil"/>
            </w:tcBorders>
            <w:shd w:val="clear" w:color="000000" w:fill="B6D5E4"/>
            <w:noWrap/>
            <w:vAlign w:val="center"/>
            <w:hideMark/>
          </w:tcPr>
          <w:p w14:paraId="0A77F063"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1.20419</w:t>
            </w:r>
          </w:p>
        </w:tc>
        <w:tc>
          <w:tcPr>
            <w:tcW w:w="820" w:type="dxa"/>
            <w:tcBorders>
              <w:top w:val="nil"/>
              <w:left w:val="nil"/>
              <w:bottom w:val="single" w:sz="4" w:space="0" w:color="ADD6EA"/>
              <w:right w:val="nil"/>
            </w:tcBorders>
            <w:shd w:val="clear" w:color="000000" w:fill="B6D5E4"/>
            <w:noWrap/>
            <w:vAlign w:val="center"/>
            <w:hideMark/>
          </w:tcPr>
          <w:p w14:paraId="364DABF4"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5.06681</w:t>
            </w:r>
          </w:p>
        </w:tc>
        <w:tc>
          <w:tcPr>
            <w:tcW w:w="760" w:type="dxa"/>
            <w:tcBorders>
              <w:top w:val="nil"/>
              <w:left w:val="nil"/>
              <w:bottom w:val="single" w:sz="4" w:space="0" w:color="ADD6EA"/>
              <w:right w:val="nil"/>
            </w:tcBorders>
            <w:shd w:val="clear" w:color="000000" w:fill="B6D5E4"/>
            <w:noWrap/>
            <w:vAlign w:val="center"/>
            <w:hideMark/>
          </w:tcPr>
          <w:p w14:paraId="5CCA8D00" w14:textId="77777777" w:rsidR="00063DCF" w:rsidRPr="00063DCF" w:rsidRDefault="00063DCF" w:rsidP="00063DC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063DCF">
              <w:rPr>
                <w:rFonts w:ascii="Open Sans Semibold" w:eastAsia="Times New Roman" w:hAnsi="Open Sans Semibold" w:cs="Open Sans Semibold"/>
                <w:color w:val="000000"/>
                <w:sz w:val="16"/>
                <w:szCs w:val="16"/>
                <w:lang w:eastAsia="en-AU"/>
              </w:rPr>
              <w:t>1.00000</w:t>
            </w:r>
          </w:p>
        </w:tc>
      </w:tr>
    </w:tbl>
    <w:p w14:paraId="5D739608" w14:textId="6C6C4D47" w:rsidR="004B2F4E" w:rsidRPr="00C95B56" w:rsidRDefault="004B2F4E" w:rsidP="00291803">
      <w:pPr>
        <w:pStyle w:val="Tablefootnote"/>
        <w:numPr>
          <w:ilvl w:val="0"/>
          <w:numId w:val="21"/>
        </w:numPr>
      </w:pPr>
      <w:r w:rsidRPr="00C95B56">
        <w:t xml:space="preserve">See </w:t>
      </w:r>
      <w:hyperlink w:anchor="_Box_1-1_Calculation" w:history="1">
        <w:r w:rsidRPr="00443D69">
          <w:rPr>
            <w:rStyle w:val="Hyperlink"/>
            <w:color w:val="auto"/>
            <w:u w:val="none"/>
          </w:rPr>
          <w:t>Box 1-1</w:t>
        </w:r>
      </w:hyperlink>
      <w:r w:rsidRPr="00C95B56">
        <w:t xml:space="preserve"> for an explanation of the steps taken to calculate GST relativities using assessed relativities and the   requirements of the 2018 legislated arrangements.</w:t>
      </w:r>
    </w:p>
    <w:p w14:paraId="364F88DF" w14:textId="331F23BB" w:rsidR="004B2F4E" w:rsidRPr="00C95B56" w:rsidRDefault="004B2F4E" w:rsidP="00291803">
      <w:pPr>
        <w:pStyle w:val="Tablefootnote"/>
        <w:numPr>
          <w:ilvl w:val="0"/>
          <w:numId w:val="21"/>
        </w:numPr>
      </w:pPr>
      <w:r w:rsidRPr="00C95B56">
        <w:t>Victoria was the standard state in 2020</w:t>
      </w:r>
      <w:r w:rsidR="0026491B">
        <w:t>–</w:t>
      </w:r>
      <w:r w:rsidRPr="00C95B56">
        <w:t>21 and New South Wales in 2021</w:t>
      </w:r>
      <w:r w:rsidR="0026491B">
        <w:t>–</w:t>
      </w:r>
      <w:r w:rsidRPr="00C95B56">
        <w:t>22 and 2022</w:t>
      </w:r>
      <w:r w:rsidR="0026491B">
        <w:t>–</w:t>
      </w:r>
      <w:r w:rsidRPr="00C95B56">
        <w:t>23.</w:t>
      </w:r>
    </w:p>
    <w:p w14:paraId="2442B64B" w14:textId="73955988" w:rsidR="004B2F4E" w:rsidRPr="00C95B56" w:rsidRDefault="004B2F4E" w:rsidP="000A7474">
      <w:pPr>
        <w:pStyle w:val="Tablefootnote"/>
        <w:numPr>
          <w:ilvl w:val="0"/>
          <w:numId w:val="21"/>
        </w:numPr>
      </w:pPr>
      <w:r w:rsidRPr="00C95B56">
        <w:t>In the 2024 Update, the blended relativities are two</w:t>
      </w:r>
      <w:r w:rsidR="002925B9">
        <w:t>-</w:t>
      </w:r>
      <w:r w:rsidRPr="00C95B56">
        <w:t>thirds of the standard state approach and one</w:t>
      </w:r>
      <w:r w:rsidR="002925B9">
        <w:t>-</w:t>
      </w:r>
      <w:r w:rsidRPr="00C95B56">
        <w:t xml:space="preserve">third of the previous approach. </w:t>
      </w:r>
    </w:p>
    <w:p w14:paraId="2E582893" w14:textId="3A641580" w:rsidR="004B2F4E" w:rsidRPr="00C95B56" w:rsidRDefault="004B2F4E" w:rsidP="000A7474">
      <w:pPr>
        <w:pStyle w:val="Tablefootnote"/>
        <w:numPr>
          <w:ilvl w:val="0"/>
          <w:numId w:val="21"/>
        </w:numPr>
      </w:pPr>
      <w:r w:rsidRPr="00C95B56">
        <w:t>The average blended relativity for Western Australia is below the floor of 0.75. In calculating final GST relativities, this is raised to the floor of 0.75 and the relativities of other states adjusted down on a population-share basis.</w:t>
      </w:r>
    </w:p>
    <w:p w14:paraId="07195444" w14:textId="77777777" w:rsidR="004B2F4E" w:rsidRPr="00C95B56" w:rsidRDefault="004B2F4E" w:rsidP="004B2F4E">
      <w:pPr>
        <w:pStyle w:val="Tablefootnote"/>
        <w:rPr>
          <w:highlight w:val="green"/>
        </w:rPr>
      </w:pPr>
      <w:r w:rsidRPr="00C95B56">
        <w:t>Source: Commission calculation.</w:t>
      </w:r>
    </w:p>
    <w:p w14:paraId="592225F5" w14:textId="2DFCF1A3" w:rsidR="00EA7B48" w:rsidRPr="005A755A" w:rsidRDefault="00EA7B48" w:rsidP="00EA7B48">
      <w:r w:rsidRPr="005A755A">
        <w:t>The change in each state’s GST relativity in 2024</w:t>
      </w:r>
      <w:r w:rsidR="007A235E">
        <w:t>–</w:t>
      </w:r>
      <w:r w:rsidRPr="005A755A">
        <w:t>25, compared with 2023</w:t>
      </w:r>
      <w:r w:rsidR="001761D5">
        <w:t>–</w:t>
      </w:r>
      <w:r w:rsidRPr="005A755A">
        <w:t>24, reflects a combination of changes in their relative fiscal capacities (assessed relativities) and the operation of the 2018</w:t>
      </w:r>
      <w:r w:rsidR="006628B2" w:rsidRPr="005A755A">
        <w:t> </w:t>
      </w:r>
      <w:r w:rsidRPr="005A755A">
        <w:t xml:space="preserve">legislated arrangements (blended relativities and the GST floor). The contribution of these factors is shown in </w:t>
      </w:r>
      <w:r w:rsidR="00F1633E">
        <w:t>Table 1-3</w:t>
      </w:r>
      <w:r w:rsidR="00DA2381" w:rsidRPr="005A755A">
        <w:fldChar w:fldCharType="begin"/>
      </w:r>
      <w:r w:rsidR="00DA2381" w:rsidRPr="005A755A">
        <w:instrText xml:space="preserve"> REF Table_1_3 \h </w:instrText>
      </w:r>
      <w:r w:rsidR="0068798B">
        <w:instrText xml:space="preserve"> \* MERGEFORMAT </w:instrText>
      </w:r>
      <w:r w:rsidR="00DA2381" w:rsidRPr="005A755A">
        <w:fldChar w:fldCharType="end"/>
      </w:r>
      <w:r w:rsidR="00DA2381" w:rsidRPr="005A755A">
        <w:t>.</w:t>
      </w:r>
    </w:p>
    <w:p w14:paraId="0E1706DE" w14:textId="08496CCE" w:rsidR="00EA7B48" w:rsidRPr="005A755A" w:rsidRDefault="00EA7B48" w:rsidP="00EA7B48">
      <w:r w:rsidRPr="005A755A">
        <w:t>Western Australia’s GST relativity is set to the GST relativity floor, which has increased from 0.70 in 2023</w:t>
      </w:r>
      <w:r w:rsidR="001761D5">
        <w:t>–</w:t>
      </w:r>
      <w:r w:rsidRPr="005A755A">
        <w:t>24 to 0.75 in 2024</w:t>
      </w:r>
      <w:r w:rsidR="001761D5">
        <w:t>–</w:t>
      </w:r>
      <w:r w:rsidRPr="005A755A">
        <w:t>25. In 2024</w:t>
      </w:r>
      <w:r w:rsidR="001761D5">
        <w:t>–</w:t>
      </w:r>
      <w:r w:rsidRPr="005A755A">
        <w:t xml:space="preserve">25, it </w:t>
      </w:r>
      <w:r w:rsidRPr="005A755A" w:rsidDel="00E7619E">
        <w:t xml:space="preserve">is estimated to </w:t>
      </w:r>
      <w:r w:rsidRPr="005A755A">
        <w:t>receive</w:t>
      </w:r>
      <w:r w:rsidRPr="005A755A" w:rsidDel="00E7619E">
        <w:t xml:space="preserve"> $462</w:t>
      </w:r>
      <w:r w:rsidR="00F433E1" w:rsidRPr="005A755A">
        <w:t> </w:t>
      </w:r>
      <w:r w:rsidRPr="005A755A" w:rsidDel="00E7619E">
        <w:t xml:space="preserve">million more </w:t>
      </w:r>
      <w:r w:rsidRPr="005A755A">
        <w:t xml:space="preserve">from the operation of the floor than </w:t>
      </w:r>
      <w:r w:rsidRPr="005A755A" w:rsidDel="00E7619E">
        <w:t>in 2023</w:t>
      </w:r>
      <w:r w:rsidR="00C46A09">
        <w:t>–</w:t>
      </w:r>
      <w:r w:rsidRPr="005A755A" w:rsidDel="00E7619E">
        <w:t>24</w:t>
      </w:r>
      <w:r w:rsidRPr="005A755A">
        <w:t>. Western Australia is estimated to receive $6.2 billion more in</w:t>
      </w:r>
      <w:r w:rsidRPr="005A755A" w:rsidDel="00397213">
        <w:t xml:space="preserve"> </w:t>
      </w:r>
      <w:r w:rsidRPr="005A755A">
        <w:t>GST distribution in 2024</w:t>
      </w:r>
      <w:r w:rsidR="00C46A09">
        <w:t>–</w:t>
      </w:r>
      <w:r w:rsidRPr="005A755A">
        <w:t>25 than it would have received prior to the 2018 legislated arrangements.</w:t>
      </w:r>
    </w:p>
    <w:p w14:paraId="3147D00E" w14:textId="02523639" w:rsidR="00114BA2" w:rsidRDefault="00114BA2" w:rsidP="00B50985">
      <w:pPr>
        <w:pStyle w:val="CGCTableHead"/>
        <w:ind w:left="1440" w:hanging="1440"/>
      </w:pPr>
      <w:bookmarkStart w:id="85" w:name="Table_1_3"/>
      <w:bookmarkStart w:id="86" w:name="_Ref158837875"/>
      <w:bookmarkEnd w:id="85"/>
      <w:r w:rsidRPr="00C95B56">
        <w:t>Table 1</w:t>
      </w:r>
      <w:r w:rsidR="00FE7980">
        <w:noBreakHyphen/>
      </w:r>
      <w:bookmarkEnd w:id="86"/>
      <w:r w:rsidRPr="00C95B56">
        <w:t>3</w:t>
      </w:r>
      <w:r w:rsidRPr="00C95B56">
        <w:tab/>
        <w:t>Contribution of changes in relativities to change in GST distribution, 2023</w:t>
      </w:r>
      <w:r w:rsidR="00C46A09">
        <w:t>–</w:t>
      </w:r>
      <w:r w:rsidRPr="00C95B56">
        <w:t>24 to 2024</w:t>
      </w:r>
      <w:r w:rsidR="00C46A09">
        <w:t>–</w:t>
      </w:r>
      <w:r w:rsidRPr="00C95B56">
        <w:t>25 (excludes no worse off payments)</w:t>
      </w:r>
    </w:p>
    <w:tbl>
      <w:tblPr>
        <w:tblW w:w="8980" w:type="dxa"/>
        <w:tblLook w:val="04A0" w:firstRow="1" w:lastRow="0" w:firstColumn="1" w:lastColumn="0" w:noHBand="0" w:noVBand="1"/>
      </w:tblPr>
      <w:tblGrid>
        <w:gridCol w:w="2180"/>
        <w:gridCol w:w="700"/>
        <w:gridCol w:w="700"/>
        <w:gridCol w:w="700"/>
        <w:gridCol w:w="700"/>
        <w:gridCol w:w="700"/>
        <w:gridCol w:w="700"/>
        <w:gridCol w:w="700"/>
        <w:gridCol w:w="700"/>
        <w:gridCol w:w="1200"/>
      </w:tblGrid>
      <w:tr w:rsidR="00763E64" w:rsidRPr="00763E64" w14:paraId="316D4B54" w14:textId="77777777" w:rsidTr="00763E64">
        <w:trPr>
          <w:trHeight w:val="555"/>
        </w:trPr>
        <w:tc>
          <w:tcPr>
            <w:tcW w:w="2180" w:type="dxa"/>
            <w:tcBorders>
              <w:top w:val="nil"/>
              <w:left w:val="nil"/>
              <w:bottom w:val="nil"/>
              <w:right w:val="nil"/>
            </w:tcBorders>
            <w:shd w:val="clear" w:color="000000" w:fill="006991"/>
            <w:vAlign w:val="bottom"/>
            <w:hideMark/>
          </w:tcPr>
          <w:p w14:paraId="317F4678" w14:textId="77777777" w:rsidR="00763E64" w:rsidRPr="00763E64" w:rsidRDefault="00763E64" w:rsidP="00763E64">
            <w:pPr>
              <w:tabs>
                <w:tab w:val="clear" w:pos="567"/>
              </w:tabs>
              <w:spacing w:before="0" w:line="240" w:lineRule="auto"/>
              <w:rPr>
                <w:rFonts w:ascii="Open Sans Semibold" w:eastAsia="Times New Roman" w:hAnsi="Open Sans Semibold" w:cs="Open Sans Semibold"/>
                <w:color w:val="FFFFFF"/>
                <w:sz w:val="16"/>
                <w:szCs w:val="16"/>
                <w:lang w:eastAsia="en-AU"/>
              </w:rPr>
            </w:pPr>
            <w:r w:rsidRPr="00763E64">
              <w:rPr>
                <w:rFonts w:ascii="Open Sans Semibold" w:eastAsia="Times New Roman"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7ABF44A1"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3E64">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16B8C8EE"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3E64">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4A01106D"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3E64">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25E007C1"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3E64">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1E964F02"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3E64">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0761B5AE"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3E64">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4A837F4B"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3E64">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31B74B18"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3E64">
              <w:rPr>
                <w:rFonts w:ascii="Open Sans Semibold" w:eastAsia="Times New Roman" w:hAnsi="Open Sans Semibold" w:cs="Open Sans Semibold"/>
                <w:color w:val="FFFFFF"/>
                <w:sz w:val="16"/>
                <w:szCs w:val="16"/>
                <w:lang w:eastAsia="en-AU"/>
              </w:rPr>
              <w:t>NT</w:t>
            </w:r>
          </w:p>
        </w:tc>
        <w:tc>
          <w:tcPr>
            <w:tcW w:w="1200" w:type="dxa"/>
            <w:tcBorders>
              <w:top w:val="nil"/>
              <w:left w:val="nil"/>
              <w:bottom w:val="nil"/>
              <w:right w:val="nil"/>
            </w:tcBorders>
            <w:shd w:val="clear" w:color="000000" w:fill="006991"/>
            <w:vAlign w:val="center"/>
            <w:hideMark/>
          </w:tcPr>
          <w:p w14:paraId="5FC8B24E"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63E64">
              <w:rPr>
                <w:rFonts w:ascii="Open Sans Semibold" w:eastAsia="Times New Roman" w:hAnsi="Open Sans Semibold" w:cs="Open Sans Semibold"/>
                <w:color w:val="FFFFFF"/>
                <w:sz w:val="16"/>
                <w:szCs w:val="16"/>
                <w:lang w:eastAsia="en-AU"/>
              </w:rPr>
              <w:t>Total Effect</w:t>
            </w:r>
          </w:p>
        </w:tc>
      </w:tr>
      <w:tr w:rsidR="00763E64" w:rsidRPr="00763E64" w14:paraId="3A538801" w14:textId="77777777" w:rsidTr="00763E64">
        <w:trPr>
          <w:trHeight w:val="259"/>
        </w:trPr>
        <w:tc>
          <w:tcPr>
            <w:tcW w:w="2180" w:type="dxa"/>
            <w:tcBorders>
              <w:top w:val="single" w:sz="4" w:space="0" w:color="ADD6EA"/>
              <w:left w:val="nil"/>
              <w:bottom w:val="nil"/>
              <w:right w:val="nil"/>
            </w:tcBorders>
            <w:shd w:val="clear" w:color="000000" w:fill="B6D5E4"/>
            <w:vAlign w:val="bottom"/>
            <w:hideMark/>
          </w:tcPr>
          <w:p w14:paraId="48EFAC0F" w14:textId="77777777" w:rsidR="00763E64" w:rsidRPr="00763E64" w:rsidRDefault="00763E64" w:rsidP="00763E64">
            <w:pPr>
              <w:tabs>
                <w:tab w:val="clear" w:pos="567"/>
              </w:tabs>
              <w:spacing w:before="0" w:line="240" w:lineRule="auto"/>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 </w:t>
            </w:r>
          </w:p>
        </w:tc>
        <w:tc>
          <w:tcPr>
            <w:tcW w:w="700" w:type="dxa"/>
            <w:tcBorders>
              <w:top w:val="single" w:sz="4" w:space="0" w:color="ADD6EA"/>
              <w:left w:val="nil"/>
              <w:bottom w:val="nil"/>
              <w:right w:val="nil"/>
            </w:tcBorders>
            <w:shd w:val="clear" w:color="000000" w:fill="B6D5E4"/>
            <w:noWrap/>
            <w:vAlign w:val="center"/>
            <w:hideMark/>
          </w:tcPr>
          <w:p w14:paraId="2DA88D6C"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36463723"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3EBDF775"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18CB10C2"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414EA05E"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006B1157"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2684EC42"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5468558D"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$m</w:t>
            </w:r>
          </w:p>
        </w:tc>
        <w:tc>
          <w:tcPr>
            <w:tcW w:w="1200" w:type="dxa"/>
            <w:tcBorders>
              <w:top w:val="single" w:sz="4" w:space="0" w:color="ADD6EA"/>
              <w:left w:val="nil"/>
              <w:bottom w:val="nil"/>
              <w:right w:val="nil"/>
            </w:tcBorders>
            <w:shd w:val="clear" w:color="000000" w:fill="B6D5E4"/>
            <w:noWrap/>
            <w:vAlign w:val="center"/>
            <w:hideMark/>
          </w:tcPr>
          <w:p w14:paraId="41A6E2B1"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$m</w:t>
            </w:r>
          </w:p>
        </w:tc>
      </w:tr>
      <w:tr w:rsidR="00763E64" w:rsidRPr="00763E64" w14:paraId="4922CA1F" w14:textId="77777777" w:rsidTr="00763E64">
        <w:trPr>
          <w:trHeight w:val="315"/>
        </w:trPr>
        <w:tc>
          <w:tcPr>
            <w:tcW w:w="2180" w:type="dxa"/>
            <w:tcBorders>
              <w:top w:val="single" w:sz="4" w:space="0" w:color="ADD6EA"/>
              <w:left w:val="nil"/>
              <w:bottom w:val="nil"/>
              <w:right w:val="nil"/>
            </w:tcBorders>
            <w:shd w:val="clear" w:color="auto" w:fill="auto"/>
            <w:vAlign w:val="center"/>
            <w:hideMark/>
          </w:tcPr>
          <w:p w14:paraId="319550D3" w14:textId="77777777" w:rsidR="00763E64" w:rsidRPr="00763E64" w:rsidRDefault="00763E64" w:rsidP="00763E64">
            <w:pPr>
              <w:tabs>
                <w:tab w:val="clear" w:pos="567"/>
              </w:tabs>
              <w:spacing w:before="0" w:line="240" w:lineRule="auto"/>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Assessed relativities (a)</w:t>
            </w:r>
          </w:p>
        </w:tc>
        <w:tc>
          <w:tcPr>
            <w:tcW w:w="700" w:type="dxa"/>
            <w:tcBorders>
              <w:top w:val="single" w:sz="4" w:space="0" w:color="ADD6EA"/>
              <w:left w:val="nil"/>
              <w:bottom w:val="nil"/>
              <w:right w:val="nil"/>
            </w:tcBorders>
            <w:shd w:val="clear" w:color="auto" w:fill="auto"/>
            <w:vAlign w:val="center"/>
            <w:hideMark/>
          </w:tcPr>
          <w:p w14:paraId="484A8CE9"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-1,551</w:t>
            </w:r>
          </w:p>
        </w:tc>
        <w:tc>
          <w:tcPr>
            <w:tcW w:w="700" w:type="dxa"/>
            <w:tcBorders>
              <w:top w:val="single" w:sz="4" w:space="0" w:color="ADD6EA"/>
              <w:left w:val="nil"/>
              <w:bottom w:val="nil"/>
              <w:right w:val="nil"/>
            </w:tcBorders>
            <w:shd w:val="clear" w:color="auto" w:fill="auto"/>
            <w:vAlign w:val="center"/>
            <w:hideMark/>
          </w:tcPr>
          <w:p w14:paraId="6F0CB3D0"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2,633</w:t>
            </w:r>
          </w:p>
        </w:tc>
        <w:tc>
          <w:tcPr>
            <w:tcW w:w="700" w:type="dxa"/>
            <w:tcBorders>
              <w:top w:val="single" w:sz="4" w:space="0" w:color="ADD6EA"/>
              <w:left w:val="nil"/>
              <w:bottom w:val="nil"/>
              <w:right w:val="nil"/>
            </w:tcBorders>
            <w:shd w:val="clear" w:color="auto" w:fill="auto"/>
            <w:vAlign w:val="center"/>
            <w:hideMark/>
          </w:tcPr>
          <w:p w14:paraId="555B255A"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-1,442</w:t>
            </w:r>
          </w:p>
        </w:tc>
        <w:tc>
          <w:tcPr>
            <w:tcW w:w="700" w:type="dxa"/>
            <w:tcBorders>
              <w:top w:val="single" w:sz="4" w:space="0" w:color="ADD6EA"/>
              <w:left w:val="nil"/>
              <w:bottom w:val="nil"/>
              <w:right w:val="nil"/>
            </w:tcBorders>
            <w:shd w:val="clear" w:color="auto" w:fill="auto"/>
            <w:vAlign w:val="center"/>
            <w:hideMark/>
          </w:tcPr>
          <w:p w14:paraId="24B4D207"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178</w:t>
            </w:r>
          </w:p>
        </w:tc>
        <w:tc>
          <w:tcPr>
            <w:tcW w:w="700" w:type="dxa"/>
            <w:tcBorders>
              <w:top w:val="single" w:sz="4" w:space="0" w:color="ADD6EA"/>
              <w:left w:val="nil"/>
              <w:bottom w:val="nil"/>
              <w:right w:val="nil"/>
            </w:tcBorders>
            <w:shd w:val="clear" w:color="auto" w:fill="auto"/>
            <w:vAlign w:val="center"/>
            <w:hideMark/>
          </w:tcPr>
          <w:p w14:paraId="47EA1256"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46</w:t>
            </w:r>
          </w:p>
        </w:tc>
        <w:tc>
          <w:tcPr>
            <w:tcW w:w="700" w:type="dxa"/>
            <w:tcBorders>
              <w:top w:val="single" w:sz="4" w:space="0" w:color="ADD6EA"/>
              <w:left w:val="nil"/>
              <w:bottom w:val="nil"/>
              <w:right w:val="nil"/>
            </w:tcBorders>
            <w:shd w:val="clear" w:color="auto" w:fill="auto"/>
            <w:vAlign w:val="center"/>
            <w:hideMark/>
          </w:tcPr>
          <w:p w14:paraId="79CE4521"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67</w:t>
            </w:r>
          </w:p>
        </w:tc>
        <w:tc>
          <w:tcPr>
            <w:tcW w:w="700" w:type="dxa"/>
            <w:tcBorders>
              <w:top w:val="single" w:sz="4" w:space="0" w:color="ADD6EA"/>
              <w:left w:val="nil"/>
              <w:bottom w:val="nil"/>
              <w:right w:val="nil"/>
            </w:tcBorders>
            <w:shd w:val="clear" w:color="auto" w:fill="auto"/>
            <w:vAlign w:val="center"/>
            <w:hideMark/>
          </w:tcPr>
          <w:p w14:paraId="793F05A9"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13</w:t>
            </w:r>
          </w:p>
        </w:tc>
        <w:tc>
          <w:tcPr>
            <w:tcW w:w="700" w:type="dxa"/>
            <w:tcBorders>
              <w:top w:val="single" w:sz="4" w:space="0" w:color="ADD6EA"/>
              <w:left w:val="nil"/>
              <w:bottom w:val="nil"/>
              <w:right w:val="nil"/>
            </w:tcBorders>
            <w:shd w:val="clear" w:color="auto" w:fill="auto"/>
            <w:vAlign w:val="center"/>
            <w:hideMark/>
          </w:tcPr>
          <w:p w14:paraId="01C91C36"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56</w:t>
            </w:r>
          </w:p>
        </w:tc>
        <w:tc>
          <w:tcPr>
            <w:tcW w:w="1200" w:type="dxa"/>
            <w:tcBorders>
              <w:top w:val="single" w:sz="4" w:space="0" w:color="ADD6EA"/>
              <w:left w:val="nil"/>
              <w:bottom w:val="nil"/>
              <w:right w:val="nil"/>
            </w:tcBorders>
            <w:shd w:val="clear" w:color="auto" w:fill="auto"/>
            <w:vAlign w:val="center"/>
            <w:hideMark/>
          </w:tcPr>
          <w:p w14:paraId="1B4BE1D1"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2,992</w:t>
            </w:r>
          </w:p>
        </w:tc>
      </w:tr>
      <w:tr w:rsidR="00763E64" w:rsidRPr="00763E64" w14:paraId="190C7D60" w14:textId="77777777" w:rsidTr="00763E64">
        <w:trPr>
          <w:trHeight w:val="315"/>
        </w:trPr>
        <w:tc>
          <w:tcPr>
            <w:tcW w:w="2180" w:type="dxa"/>
            <w:tcBorders>
              <w:top w:val="single" w:sz="4" w:space="0" w:color="ADD6EA"/>
              <w:left w:val="nil"/>
              <w:bottom w:val="nil"/>
              <w:right w:val="nil"/>
            </w:tcBorders>
            <w:shd w:val="clear" w:color="auto" w:fill="auto"/>
            <w:vAlign w:val="center"/>
            <w:hideMark/>
          </w:tcPr>
          <w:p w14:paraId="56B0E4C5" w14:textId="77777777" w:rsidR="00763E64" w:rsidRPr="00763E64" w:rsidRDefault="00763E64" w:rsidP="00763E64">
            <w:pPr>
              <w:tabs>
                <w:tab w:val="clear" w:pos="567"/>
              </w:tabs>
              <w:spacing w:before="0" w:line="240" w:lineRule="auto"/>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Blending and floor (b)</w:t>
            </w:r>
          </w:p>
        </w:tc>
        <w:tc>
          <w:tcPr>
            <w:tcW w:w="700" w:type="dxa"/>
            <w:tcBorders>
              <w:top w:val="single" w:sz="4" w:space="0" w:color="ADD6EA"/>
              <w:left w:val="nil"/>
              <w:bottom w:val="nil"/>
              <w:right w:val="nil"/>
            </w:tcBorders>
            <w:shd w:val="clear" w:color="auto" w:fill="auto"/>
            <w:noWrap/>
            <w:vAlign w:val="center"/>
            <w:hideMark/>
          </w:tcPr>
          <w:p w14:paraId="5B454DC7"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-99</w:t>
            </w:r>
          </w:p>
        </w:tc>
        <w:tc>
          <w:tcPr>
            <w:tcW w:w="700" w:type="dxa"/>
            <w:tcBorders>
              <w:top w:val="single" w:sz="4" w:space="0" w:color="ADD6EA"/>
              <w:left w:val="nil"/>
              <w:bottom w:val="nil"/>
              <w:right w:val="nil"/>
            </w:tcBorders>
            <w:shd w:val="clear" w:color="auto" w:fill="auto"/>
            <w:noWrap/>
            <w:vAlign w:val="center"/>
            <w:hideMark/>
          </w:tcPr>
          <w:p w14:paraId="0CC5C0EF"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-85</w:t>
            </w:r>
          </w:p>
        </w:tc>
        <w:tc>
          <w:tcPr>
            <w:tcW w:w="700" w:type="dxa"/>
            <w:tcBorders>
              <w:top w:val="single" w:sz="4" w:space="0" w:color="ADD6EA"/>
              <w:left w:val="nil"/>
              <w:bottom w:val="nil"/>
              <w:right w:val="nil"/>
            </w:tcBorders>
            <w:shd w:val="clear" w:color="auto" w:fill="auto"/>
            <w:noWrap/>
            <w:vAlign w:val="center"/>
            <w:hideMark/>
          </w:tcPr>
          <w:p w14:paraId="19874B0C"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-65</w:t>
            </w:r>
          </w:p>
        </w:tc>
        <w:tc>
          <w:tcPr>
            <w:tcW w:w="700" w:type="dxa"/>
            <w:tcBorders>
              <w:top w:val="single" w:sz="4" w:space="0" w:color="ADD6EA"/>
              <w:left w:val="nil"/>
              <w:bottom w:val="nil"/>
              <w:right w:val="nil"/>
            </w:tcBorders>
            <w:shd w:val="clear" w:color="auto" w:fill="auto"/>
            <w:noWrap/>
            <w:vAlign w:val="center"/>
            <w:hideMark/>
          </w:tcPr>
          <w:p w14:paraId="7656C401"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285</w:t>
            </w:r>
          </w:p>
        </w:tc>
        <w:tc>
          <w:tcPr>
            <w:tcW w:w="700" w:type="dxa"/>
            <w:tcBorders>
              <w:top w:val="single" w:sz="4" w:space="0" w:color="ADD6EA"/>
              <w:left w:val="nil"/>
              <w:bottom w:val="nil"/>
              <w:right w:val="nil"/>
            </w:tcBorders>
            <w:shd w:val="clear" w:color="auto" w:fill="auto"/>
            <w:noWrap/>
            <w:vAlign w:val="center"/>
            <w:hideMark/>
          </w:tcPr>
          <w:p w14:paraId="79AA407D"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-21</w:t>
            </w:r>
          </w:p>
        </w:tc>
        <w:tc>
          <w:tcPr>
            <w:tcW w:w="700" w:type="dxa"/>
            <w:tcBorders>
              <w:top w:val="single" w:sz="4" w:space="0" w:color="ADD6EA"/>
              <w:left w:val="nil"/>
              <w:bottom w:val="nil"/>
              <w:right w:val="nil"/>
            </w:tcBorders>
            <w:shd w:val="clear" w:color="auto" w:fill="auto"/>
            <w:noWrap/>
            <w:vAlign w:val="center"/>
            <w:hideMark/>
          </w:tcPr>
          <w:p w14:paraId="1378EB6E"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-6</w:t>
            </w:r>
          </w:p>
        </w:tc>
        <w:tc>
          <w:tcPr>
            <w:tcW w:w="700" w:type="dxa"/>
            <w:tcBorders>
              <w:top w:val="single" w:sz="4" w:space="0" w:color="ADD6EA"/>
              <w:left w:val="nil"/>
              <w:bottom w:val="nil"/>
              <w:right w:val="nil"/>
            </w:tcBorders>
            <w:shd w:val="clear" w:color="auto" w:fill="auto"/>
            <w:noWrap/>
            <w:vAlign w:val="center"/>
            <w:hideMark/>
          </w:tcPr>
          <w:p w14:paraId="20ECA3B8"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-6</w:t>
            </w:r>
          </w:p>
        </w:tc>
        <w:tc>
          <w:tcPr>
            <w:tcW w:w="700" w:type="dxa"/>
            <w:tcBorders>
              <w:top w:val="single" w:sz="4" w:space="0" w:color="ADD6EA"/>
              <w:left w:val="nil"/>
              <w:bottom w:val="nil"/>
              <w:right w:val="nil"/>
            </w:tcBorders>
            <w:shd w:val="clear" w:color="auto" w:fill="auto"/>
            <w:noWrap/>
            <w:vAlign w:val="center"/>
            <w:hideMark/>
          </w:tcPr>
          <w:p w14:paraId="31518BA2"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-2</w:t>
            </w:r>
          </w:p>
        </w:tc>
        <w:tc>
          <w:tcPr>
            <w:tcW w:w="1200" w:type="dxa"/>
            <w:tcBorders>
              <w:top w:val="single" w:sz="4" w:space="0" w:color="ADD6EA"/>
              <w:left w:val="nil"/>
              <w:bottom w:val="nil"/>
              <w:right w:val="nil"/>
            </w:tcBorders>
            <w:shd w:val="clear" w:color="auto" w:fill="auto"/>
            <w:noWrap/>
            <w:vAlign w:val="center"/>
            <w:hideMark/>
          </w:tcPr>
          <w:p w14:paraId="20668BC3" w14:textId="77777777" w:rsidR="00763E64" w:rsidRPr="00763E64" w:rsidRDefault="00763E64" w:rsidP="00763E6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63E64">
              <w:rPr>
                <w:rFonts w:ascii="Open Sans Light" w:eastAsia="Times New Roman" w:hAnsi="Open Sans Light" w:cs="Open Sans Light"/>
                <w:color w:val="000000"/>
                <w:sz w:val="16"/>
                <w:szCs w:val="16"/>
                <w:lang w:eastAsia="en-AU"/>
              </w:rPr>
              <w:t>285</w:t>
            </w:r>
          </w:p>
        </w:tc>
      </w:tr>
      <w:tr w:rsidR="00763E64" w:rsidRPr="00763E64" w14:paraId="5CD6596D" w14:textId="77777777" w:rsidTr="00763E64">
        <w:trPr>
          <w:trHeight w:val="555"/>
        </w:trPr>
        <w:tc>
          <w:tcPr>
            <w:tcW w:w="2180" w:type="dxa"/>
            <w:tcBorders>
              <w:top w:val="single" w:sz="4" w:space="0" w:color="ADD6EA"/>
              <w:left w:val="nil"/>
              <w:bottom w:val="single" w:sz="4" w:space="0" w:color="ADD6EA"/>
              <w:right w:val="nil"/>
            </w:tcBorders>
            <w:shd w:val="clear" w:color="000000" w:fill="D6E7F0"/>
            <w:vAlign w:val="center"/>
            <w:hideMark/>
          </w:tcPr>
          <w:p w14:paraId="0F3294EF" w14:textId="77777777" w:rsidR="00763E64" w:rsidRPr="00763E64" w:rsidRDefault="00763E64" w:rsidP="00763E64">
            <w:pPr>
              <w:tabs>
                <w:tab w:val="clear" w:pos="567"/>
              </w:tabs>
              <w:spacing w:before="0" w:line="240" w:lineRule="auto"/>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 xml:space="preserve">Change due to new GST relativities (c) </w:t>
            </w:r>
          </w:p>
        </w:tc>
        <w:tc>
          <w:tcPr>
            <w:tcW w:w="700" w:type="dxa"/>
            <w:tcBorders>
              <w:top w:val="single" w:sz="4" w:space="0" w:color="ADD6EA"/>
              <w:left w:val="nil"/>
              <w:bottom w:val="single" w:sz="4" w:space="0" w:color="ADD6EA"/>
              <w:right w:val="nil"/>
            </w:tcBorders>
            <w:shd w:val="clear" w:color="000000" w:fill="D6E7F0"/>
            <w:noWrap/>
            <w:vAlign w:val="center"/>
            <w:hideMark/>
          </w:tcPr>
          <w:p w14:paraId="22884C20"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-1,650</w:t>
            </w:r>
          </w:p>
        </w:tc>
        <w:tc>
          <w:tcPr>
            <w:tcW w:w="700" w:type="dxa"/>
            <w:tcBorders>
              <w:top w:val="single" w:sz="4" w:space="0" w:color="ADD6EA"/>
              <w:left w:val="nil"/>
              <w:bottom w:val="single" w:sz="4" w:space="0" w:color="ADD6EA"/>
              <w:right w:val="nil"/>
            </w:tcBorders>
            <w:shd w:val="clear" w:color="000000" w:fill="D6E7F0"/>
            <w:noWrap/>
            <w:vAlign w:val="center"/>
            <w:hideMark/>
          </w:tcPr>
          <w:p w14:paraId="61DD1D0C"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2,548</w:t>
            </w:r>
          </w:p>
        </w:tc>
        <w:tc>
          <w:tcPr>
            <w:tcW w:w="700" w:type="dxa"/>
            <w:tcBorders>
              <w:top w:val="single" w:sz="4" w:space="0" w:color="ADD6EA"/>
              <w:left w:val="nil"/>
              <w:bottom w:val="single" w:sz="4" w:space="0" w:color="ADD6EA"/>
              <w:right w:val="nil"/>
            </w:tcBorders>
            <w:shd w:val="clear" w:color="000000" w:fill="D6E7F0"/>
            <w:noWrap/>
            <w:vAlign w:val="center"/>
            <w:hideMark/>
          </w:tcPr>
          <w:p w14:paraId="7AB042C0"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-1,506</w:t>
            </w:r>
          </w:p>
        </w:tc>
        <w:tc>
          <w:tcPr>
            <w:tcW w:w="700" w:type="dxa"/>
            <w:tcBorders>
              <w:top w:val="single" w:sz="4" w:space="0" w:color="ADD6EA"/>
              <w:left w:val="nil"/>
              <w:bottom w:val="single" w:sz="4" w:space="0" w:color="ADD6EA"/>
              <w:right w:val="nil"/>
            </w:tcBorders>
            <w:shd w:val="clear" w:color="000000" w:fill="D6E7F0"/>
            <w:noWrap/>
            <w:vAlign w:val="center"/>
            <w:hideMark/>
          </w:tcPr>
          <w:p w14:paraId="56FDC772"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462</w:t>
            </w:r>
          </w:p>
        </w:tc>
        <w:tc>
          <w:tcPr>
            <w:tcW w:w="700" w:type="dxa"/>
            <w:tcBorders>
              <w:top w:val="single" w:sz="4" w:space="0" w:color="ADD6EA"/>
              <w:left w:val="nil"/>
              <w:bottom w:val="single" w:sz="4" w:space="0" w:color="ADD6EA"/>
              <w:right w:val="nil"/>
            </w:tcBorders>
            <w:shd w:val="clear" w:color="000000" w:fill="D6E7F0"/>
            <w:noWrap/>
            <w:vAlign w:val="center"/>
            <w:hideMark/>
          </w:tcPr>
          <w:p w14:paraId="60D93874"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25</w:t>
            </w:r>
          </w:p>
        </w:tc>
        <w:tc>
          <w:tcPr>
            <w:tcW w:w="700" w:type="dxa"/>
            <w:tcBorders>
              <w:top w:val="single" w:sz="4" w:space="0" w:color="ADD6EA"/>
              <w:left w:val="nil"/>
              <w:bottom w:val="single" w:sz="4" w:space="0" w:color="ADD6EA"/>
              <w:right w:val="nil"/>
            </w:tcBorders>
            <w:shd w:val="clear" w:color="000000" w:fill="D6E7F0"/>
            <w:noWrap/>
            <w:vAlign w:val="center"/>
            <w:hideMark/>
          </w:tcPr>
          <w:p w14:paraId="0857A465"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60</w:t>
            </w:r>
          </w:p>
        </w:tc>
        <w:tc>
          <w:tcPr>
            <w:tcW w:w="700" w:type="dxa"/>
            <w:tcBorders>
              <w:top w:val="single" w:sz="4" w:space="0" w:color="ADD6EA"/>
              <w:left w:val="nil"/>
              <w:bottom w:val="single" w:sz="4" w:space="0" w:color="ADD6EA"/>
              <w:right w:val="nil"/>
            </w:tcBorders>
            <w:shd w:val="clear" w:color="000000" w:fill="D6E7F0"/>
            <w:noWrap/>
            <w:vAlign w:val="center"/>
            <w:hideMark/>
          </w:tcPr>
          <w:p w14:paraId="254A5989"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8</w:t>
            </w:r>
          </w:p>
        </w:tc>
        <w:tc>
          <w:tcPr>
            <w:tcW w:w="700" w:type="dxa"/>
            <w:tcBorders>
              <w:top w:val="single" w:sz="4" w:space="0" w:color="ADD6EA"/>
              <w:left w:val="nil"/>
              <w:bottom w:val="single" w:sz="4" w:space="0" w:color="ADD6EA"/>
              <w:right w:val="nil"/>
            </w:tcBorders>
            <w:shd w:val="clear" w:color="000000" w:fill="D6E7F0"/>
            <w:noWrap/>
            <w:vAlign w:val="center"/>
            <w:hideMark/>
          </w:tcPr>
          <w:p w14:paraId="3059A201"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53</w:t>
            </w:r>
          </w:p>
        </w:tc>
        <w:tc>
          <w:tcPr>
            <w:tcW w:w="1200" w:type="dxa"/>
            <w:tcBorders>
              <w:top w:val="single" w:sz="4" w:space="0" w:color="ADD6EA"/>
              <w:left w:val="nil"/>
              <w:bottom w:val="single" w:sz="4" w:space="0" w:color="ADD6EA"/>
              <w:right w:val="nil"/>
            </w:tcBorders>
            <w:shd w:val="clear" w:color="000000" w:fill="D6E7F0"/>
            <w:noWrap/>
            <w:vAlign w:val="center"/>
            <w:hideMark/>
          </w:tcPr>
          <w:p w14:paraId="79A8D3E8" w14:textId="77777777" w:rsidR="00763E64" w:rsidRPr="00763E64" w:rsidRDefault="00763E64" w:rsidP="00763E6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63E64">
              <w:rPr>
                <w:rFonts w:ascii="Open Sans Semibold" w:eastAsia="Times New Roman" w:hAnsi="Open Sans Semibold" w:cs="Open Sans Semibold"/>
                <w:color w:val="000000"/>
                <w:sz w:val="16"/>
                <w:szCs w:val="16"/>
                <w:lang w:eastAsia="en-AU"/>
              </w:rPr>
              <w:t>3,156</w:t>
            </w:r>
          </w:p>
        </w:tc>
      </w:tr>
    </w:tbl>
    <w:p w14:paraId="46BF00A8" w14:textId="6051B302" w:rsidR="00114BA2" w:rsidRPr="00C95B56" w:rsidRDefault="00114BA2" w:rsidP="00FC3D25">
      <w:pPr>
        <w:pStyle w:val="Tablefootnote"/>
        <w:numPr>
          <w:ilvl w:val="0"/>
          <w:numId w:val="22"/>
        </w:numPr>
      </w:pPr>
      <w:r w:rsidRPr="00C95B56">
        <w:t>Effects on the distribution of the 2024</w:t>
      </w:r>
      <w:r w:rsidR="00A04C39">
        <w:t>–</w:t>
      </w:r>
      <w:r w:rsidRPr="00C95B56">
        <w:t>25 GST pool of using the 2024 assessed relativities instead of 2023 Update assessed relativities.</w:t>
      </w:r>
    </w:p>
    <w:p w14:paraId="288903A6" w14:textId="3CD5E501" w:rsidR="00114BA2" w:rsidRPr="00C95B56" w:rsidRDefault="00114BA2" w:rsidP="00FC3D25">
      <w:pPr>
        <w:pStyle w:val="Tablefootnote"/>
        <w:numPr>
          <w:ilvl w:val="0"/>
          <w:numId w:val="22"/>
        </w:numPr>
      </w:pPr>
      <w:r w:rsidRPr="00C95B56">
        <w:t xml:space="preserve">Difference in the effects on the distribution of GST pool of applying blended relativities and floor between the 2024 and 2023 </w:t>
      </w:r>
      <w:r w:rsidR="00527C34">
        <w:t>u</w:t>
      </w:r>
      <w:r w:rsidRPr="00C95B56">
        <w:t>pdates.</w:t>
      </w:r>
    </w:p>
    <w:p w14:paraId="2B5DD03F" w14:textId="4ECDD33C" w:rsidR="00114BA2" w:rsidRPr="00C95B56" w:rsidRDefault="00114BA2" w:rsidP="00FC3D25">
      <w:pPr>
        <w:pStyle w:val="Tablefootnote"/>
        <w:numPr>
          <w:ilvl w:val="0"/>
          <w:numId w:val="22"/>
        </w:numPr>
      </w:pPr>
      <w:r w:rsidRPr="00C95B56">
        <w:t>Sum of (a) and (b).</w:t>
      </w:r>
    </w:p>
    <w:p w14:paraId="490ACBAA" w14:textId="6738B8B1" w:rsidR="00114BA2" w:rsidRPr="00C95B56" w:rsidRDefault="00114BA2" w:rsidP="00114BA2">
      <w:pPr>
        <w:pStyle w:val="Tablefootnote"/>
      </w:pPr>
      <w:r w:rsidRPr="00C95B56">
        <w:t>Source: Commission calculation.</w:t>
      </w:r>
    </w:p>
    <w:p w14:paraId="3E341D3D" w14:textId="5161695F" w:rsidR="00114BA2" w:rsidRPr="009E4420" w:rsidRDefault="00D8282F" w:rsidP="00114BA2">
      <w:r>
        <w:rPr>
          <w:noProof/>
        </w:rPr>
        <w:lastRenderedPageBreak/>
        <mc:AlternateContent>
          <mc:Choice Requires="wps">
            <w:drawing>
              <wp:anchor distT="45720" distB="45720" distL="114300" distR="114300" simplePos="0" relativeHeight="251658249" behindDoc="0" locked="0" layoutInCell="1" allowOverlap="1" wp14:anchorId="21143A87" wp14:editId="20161ECB">
                <wp:simplePos x="0" y="0"/>
                <wp:positionH relativeFrom="margin">
                  <wp:posOffset>0</wp:posOffset>
                </wp:positionH>
                <wp:positionV relativeFrom="paragraph">
                  <wp:posOffset>205740</wp:posOffset>
                </wp:positionV>
                <wp:extent cx="5853430" cy="6862445"/>
                <wp:effectExtent l="0" t="0" r="13970" b="14605"/>
                <wp:wrapSquare wrapText="bothSides"/>
                <wp:docPr id="1966634429" name="Text Box 1966634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6862713"/>
                        </a:xfrm>
                        <a:prstGeom prst="rect">
                          <a:avLst/>
                        </a:prstGeom>
                        <a:solidFill>
                          <a:srgbClr val="E5F8FF"/>
                        </a:solidFill>
                        <a:ln w="9525">
                          <a:solidFill>
                            <a:schemeClr val="bg1"/>
                          </a:solidFill>
                          <a:miter lim="800000"/>
                          <a:headEnd/>
                          <a:tailEnd/>
                        </a:ln>
                      </wps:spPr>
                      <wps:txbx>
                        <w:txbxContent>
                          <w:p w14:paraId="2DAC2B64" w14:textId="77777777" w:rsidR="00D8282F" w:rsidRPr="00C95B56" w:rsidRDefault="00D8282F" w:rsidP="00D8282F">
                            <w:pPr>
                              <w:pStyle w:val="Heading2"/>
                            </w:pPr>
                            <w:bookmarkStart w:id="87" w:name="Box_1_1"/>
                            <w:bookmarkStart w:id="88" w:name="_Toc159675679"/>
                            <w:bookmarkStart w:id="89" w:name="_Toc159675986"/>
                            <w:bookmarkStart w:id="90" w:name="_Toc159676053"/>
                            <w:r w:rsidRPr="00C95B56">
                              <w:t>Box 1-1</w:t>
                            </w:r>
                            <w:bookmarkEnd w:id="87"/>
                            <w:r w:rsidRPr="00C95B56">
                              <w:tab/>
                              <w:t>Calculation of GST relativities</w:t>
                            </w:r>
                            <w:bookmarkEnd w:id="88"/>
                            <w:bookmarkEnd w:id="89"/>
                            <w:bookmarkEnd w:id="90"/>
                            <w:r w:rsidRPr="00C95B56">
                              <w:t xml:space="preserve"> </w:t>
                            </w:r>
                          </w:p>
                          <w:p w14:paraId="41097671" w14:textId="77777777" w:rsidR="00D8282F" w:rsidRPr="00C95B56" w:rsidRDefault="00D8282F" w:rsidP="00D8282F">
                            <w:r w:rsidRPr="00C95B56">
                              <w:t xml:space="preserve">The Commission’s recommendations on GST relativities are consistent with the </w:t>
                            </w:r>
                            <w:r w:rsidRPr="00690B10">
                              <w:rPr>
                                <w:i/>
                              </w:rPr>
                              <w:t>Commonwealth Grants Commission Act 1973</w:t>
                            </w:r>
                            <w:r w:rsidRPr="00C95B56">
                              <w:t xml:space="preserve">, the </w:t>
                            </w:r>
                            <w:r w:rsidRPr="00690B10">
                              <w:rPr>
                                <w:i/>
                              </w:rPr>
                              <w:t>Federal Financial Relations Act 2009</w:t>
                            </w:r>
                            <w:r w:rsidRPr="00C95B56">
                              <w:t xml:space="preserve"> and the terms of reference issued by the Commonwealth Treasurer. The Commission undertakes several steps to produce GST relativities.</w:t>
                            </w:r>
                          </w:p>
                          <w:p w14:paraId="2311A219" w14:textId="77777777" w:rsidR="00D8282F" w:rsidRPr="00C95B56" w:rsidRDefault="00D8282F" w:rsidP="00D8282F">
                            <w:pPr>
                              <w:pStyle w:val="Heading3"/>
                            </w:pPr>
                            <w:bookmarkStart w:id="91" w:name="_Toc127786120"/>
                            <w:bookmarkStart w:id="92" w:name="_Toc127786251"/>
                            <w:bookmarkStart w:id="93" w:name="_Toc127786552"/>
                            <w:bookmarkStart w:id="94" w:name="_Toc127786877"/>
                            <w:bookmarkStart w:id="95" w:name="_Toc127787094"/>
                            <w:bookmarkStart w:id="96" w:name="_Toc127788030"/>
                            <w:bookmarkStart w:id="97" w:name="_Toc127802159"/>
                            <w:bookmarkStart w:id="98" w:name="_Toc127804782"/>
                            <w:bookmarkStart w:id="99" w:name="_Toc159675680"/>
                            <w:bookmarkStart w:id="100" w:name="_Toc159675987"/>
                            <w:bookmarkStart w:id="101" w:name="_Toc159676054"/>
                            <w:r w:rsidRPr="00C95B56">
                              <w:t xml:space="preserve">Assessed </w:t>
                            </w:r>
                            <w:proofErr w:type="gramStart"/>
                            <w:r w:rsidRPr="00C95B56">
                              <w:t>relativities</w:t>
                            </w:r>
                            <w:bookmarkEnd w:id="91"/>
                            <w:bookmarkEnd w:id="92"/>
                            <w:bookmarkEnd w:id="93"/>
                            <w:bookmarkEnd w:id="94"/>
                            <w:bookmarkEnd w:id="95"/>
                            <w:bookmarkEnd w:id="96"/>
                            <w:bookmarkEnd w:id="97"/>
                            <w:bookmarkEnd w:id="98"/>
                            <w:bookmarkEnd w:id="99"/>
                            <w:bookmarkEnd w:id="100"/>
                            <w:bookmarkEnd w:id="101"/>
                            <w:proofErr w:type="gramEnd"/>
                          </w:p>
                          <w:p w14:paraId="768452C6" w14:textId="77777777" w:rsidR="00D8282F" w:rsidRPr="00C95B56" w:rsidRDefault="00D8282F" w:rsidP="00D8282F">
                            <w:r w:rsidRPr="00C95B56">
                              <w:t>Assessed relativities are calculated for each assessment year by comparing each state’s relative ability to raise revenue with its relative cost of providing services.</w:t>
                            </w:r>
                          </w:p>
                          <w:p w14:paraId="4D6870E3" w14:textId="77777777" w:rsidR="00D8282F" w:rsidRPr="00C95B56" w:rsidRDefault="00D8282F" w:rsidP="00D8282F">
                            <w:r w:rsidRPr="00C95B56">
                              <w:t>Drivers of differences in revenue capacity include mineral endowments, land values, property transactions, and taxable payrolls. States also receive different levels of funding through Commonwealth payments.</w:t>
                            </w:r>
                          </w:p>
                          <w:p w14:paraId="3ABF9127" w14:textId="77777777" w:rsidR="00D8282F" w:rsidRPr="00C95B56" w:rsidRDefault="00D8282F" w:rsidP="00D8282F">
                            <w:r w:rsidRPr="00C95B56">
                              <w:t>Service costs can vary by state for a range of reasons, including socio-demographic characteristics of the population, wage pressures, population dispersion, population density and rates of population growth.</w:t>
                            </w:r>
                          </w:p>
                          <w:p w14:paraId="62305317" w14:textId="77777777" w:rsidR="00D8282F" w:rsidRPr="00C95B56" w:rsidRDefault="00D8282F" w:rsidP="00D8282F">
                            <w:pPr>
                              <w:pStyle w:val="Heading3"/>
                            </w:pPr>
                            <w:bookmarkStart w:id="102" w:name="_Toc127786121"/>
                            <w:bookmarkStart w:id="103" w:name="_Toc127786252"/>
                            <w:bookmarkStart w:id="104" w:name="_Toc127786553"/>
                            <w:bookmarkStart w:id="105" w:name="_Toc127786878"/>
                            <w:bookmarkStart w:id="106" w:name="_Toc127787095"/>
                            <w:bookmarkStart w:id="107" w:name="_Toc127788031"/>
                            <w:bookmarkStart w:id="108" w:name="_Toc127802160"/>
                            <w:bookmarkStart w:id="109" w:name="_Toc127804783"/>
                            <w:bookmarkStart w:id="110" w:name="_Toc159675681"/>
                            <w:bookmarkStart w:id="111" w:name="_Toc159675988"/>
                            <w:bookmarkStart w:id="112" w:name="_Toc159676055"/>
                            <w:r w:rsidRPr="00C95B56">
                              <w:t>Standard state relativities</w:t>
                            </w:r>
                            <w:bookmarkEnd w:id="102"/>
                            <w:bookmarkEnd w:id="103"/>
                            <w:bookmarkEnd w:id="104"/>
                            <w:bookmarkEnd w:id="105"/>
                            <w:bookmarkEnd w:id="106"/>
                            <w:bookmarkEnd w:id="107"/>
                            <w:bookmarkEnd w:id="108"/>
                            <w:bookmarkEnd w:id="109"/>
                            <w:bookmarkEnd w:id="110"/>
                            <w:bookmarkEnd w:id="111"/>
                            <w:bookmarkEnd w:id="112"/>
                          </w:p>
                          <w:p w14:paraId="72F095F5" w14:textId="1BB98325" w:rsidR="00D8282F" w:rsidRPr="00C95B56" w:rsidRDefault="00D8282F" w:rsidP="00D8282F">
                            <w:r w:rsidRPr="00C95B56">
                              <w:t>Standard state relativities are calculated for each assessment year by adjusting assessed relativities so that no state has a relativity below the lower of New South Wales or Victoria (referred to as the ‘standard state’).</w:t>
                            </w:r>
                          </w:p>
                          <w:p w14:paraId="12B5DAD5" w14:textId="77777777" w:rsidR="00D8282F" w:rsidRPr="00C95B56" w:rsidRDefault="00D8282F" w:rsidP="00D8282F">
                            <w:pPr>
                              <w:pStyle w:val="Heading3"/>
                            </w:pPr>
                            <w:bookmarkStart w:id="113" w:name="_Toc127786122"/>
                            <w:bookmarkStart w:id="114" w:name="_Toc127786253"/>
                            <w:bookmarkStart w:id="115" w:name="_Toc127786554"/>
                            <w:bookmarkStart w:id="116" w:name="_Toc127786879"/>
                            <w:bookmarkStart w:id="117" w:name="_Toc127787096"/>
                            <w:bookmarkStart w:id="118" w:name="_Toc127788032"/>
                            <w:bookmarkStart w:id="119" w:name="_Toc127802161"/>
                            <w:bookmarkStart w:id="120" w:name="_Toc127804784"/>
                            <w:bookmarkStart w:id="121" w:name="_Toc159675682"/>
                            <w:bookmarkStart w:id="122" w:name="_Toc159675989"/>
                            <w:bookmarkStart w:id="123" w:name="_Toc159676056"/>
                            <w:r w:rsidRPr="00C95B56">
                              <w:t>Blended relativities</w:t>
                            </w:r>
                            <w:bookmarkEnd w:id="113"/>
                            <w:bookmarkEnd w:id="114"/>
                            <w:bookmarkEnd w:id="115"/>
                            <w:bookmarkEnd w:id="116"/>
                            <w:bookmarkEnd w:id="117"/>
                            <w:bookmarkEnd w:id="118"/>
                            <w:bookmarkEnd w:id="119"/>
                            <w:bookmarkEnd w:id="120"/>
                            <w:bookmarkEnd w:id="121"/>
                            <w:bookmarkEnd w:id="122"/>
                            <w:bookmarkEnd w:id="123"/>
                            <w:r w:rsidRPr="00C95B56">
                              <w:t xml:space="preserve"> </w:t>
                            </w:r>
                          </w:p>
                          <w:p w14:paraId="6598D68C" w14:textId="3EAD636D" w:rsidR="00D8282F" w:rsidRPr="00C95B56" w:rsidRDefault="00D8282F" w:rsidP="00D8282F">
                            <w:r w:rsidRPr="00C95B56">
                              <w:t>Over the 6-year transition period prescribed in the 2018</w:t>
                            </w:r>
                            <w:r w:rsidR="006628B2">
                              <w:t> </w:t>
                            </w:r>
                            <w:r w:rsidRPr="00C95B56">
                              <w:t>legislated GST distribution arrangements, assessed relativities are blended with standard state relativities in each assessment year. The weighting that each receives is specified in the legislation. In the 2024</w:t>
                            </w:r>
                            <w:r w:rsidR="006628B2">
                              <w:t> </w:t>
                            </w:r>
                            <w:r w:rsidRPr="00C95B56">
                              <w:t>Update, standard state relativities have a weighting of two-thirds and assessed relativities have a weighting of one-third.</w:t>
                            </w:r>
                          </w:p>
                          <w:p w14:paraId="336BA967" w14:textId="77777777" w:rsidR="00D8282F" w:rsidRPr="00C95B56" w:rsidRDefault="00D8282F" w:rsidP="00D8282F">
                            <w:pPr>
                              <w:pStyle w:val="Heading3"/>
                            </w:pPr>
                            <w:bookmarkStart w:id="124" w:name="_Toc127786123"/>
                            <w:bookmarkStart w:id="125" w:name="_Toc127786254"/>
                            <w:bookmarkStart w:id="126" w:name="_Toc127786555"/>
                            <w:bookmarkStart w:id="127" w:name="_Toc127786880"/>
                            <w:bookmarkStart w:id="128" w:name="_Toc127787097"/>
                            <w:bookmarkStart w:id="129" w:name="_Toc127788033"/>
                            <w:bookmarkStart w:id="130" w:name="_Toc127802162"/>
                            <w:bookmarkStart w:id="131" w:name="_Toc127804785"/>
                            <w:bookmarkStart w:id="132" w:name="_Toc159675683"/>
                            <w:bookmarkStart w:id="133" w:name="_Toc159675990"/>
                            <w:bookmarkStart w:id="134" w:name="_Toc159676057"/>
                            <w:r w:rsidRPr="00C95B56">
                              <w:t>GST relativity floor</w:t>
                            </w:r>
                            <w:bookmarkEnd w:id="124"/>
                            <w:bookmarkEnd w:id="125"/>
                            <w:bookmarkEnd w:id="126"/>
                            <w:bookmarkEnd w:id="127"/>
                            <w:bookmarkEnd w:id="128"/>
                            <w:bookmarkEnd w:id="129"/>
                            <w:bookmarkEnd w:id="130"/>
                            <w:bookmarkEnd w:id="131"/>
                            <w:bookmarkEnd w:id="132"/>
                            <w:bookmarkEnd w:id="133"/>
                            <w:bookmarkEnd w:id="134"/>
                          </w:p>
                          <w:p w14:paraId="444EA783" w14:textId="6552EA1E" w:rsidR="00D8282F" w:rsidRPr="00C95B56" w:rsidRDefault="00D8282F" w:rsidP="00D8282F">
                            <w:r w:rsidRPr="00C95B56">
                              <w:t>The GST relativity floor sets a minimum relativity, below which a state’s per capita share of the GST pool cannot fall. In 2024</w:t>
                            </w:r>
                            <w:r w:rsidR="00E067C9">
                              <w:t>–</w:t>
                            </w:r>
                            <w:r w:rsidRPr="00C95B56">
                              <w:t>25, the floor is 0.75. If a state’s blended relativity is below the floor, its GST relativity is adjusted up to the floor. To accommodate this, the relativities of other states are adjusted down on a population</w:t>
                            </w:r>
                            <w:r w:rsidRPr="00C95B56">
                              <w:noBreakHyphen/>
                              <w:t>share basis.</w:t>
                            </w:r>
                          </w:p>
                          <w:p w14:paraId="187D374A" w14:textId="77777777" w:rsidR="00D8282F" w:rsidRPr="00C95B56" w:rsidRDefault="00D8282F" w:rsidP="00D8282F">
                            <w:pPr>
                              <w:pStyle w:val="Heading3"/>
                            </w:pPr>
                            <w:bookmarkStart w:id="135" w:name="_Toc127786124"/>
                            <w:bookmarkStart w:id="136" w:name="_Toc127786255"/>
                            <w:bookmarkStart w:id="137" w:name="_Toc127786556"/>
                            <w:bookmarkStart w:id="138" w:name="_Toc127786881"/>
                            <w:bookmarkStart w:id="139" w:name="_Toc127787098"/>
                            <w:bookmarkStart w:id="140" w:name="_Toc127788034"/>
                            <w:bookmarkStart w:id="141" w:name="_Toc127802163"/>
                            <w:bookmarkStart w:id="142" w:name="_Toc127804786"/>
                            <w:bookmarkStart w:id="143" w:name="_Toc159675684"/>
                            <w:bookmarkStart w:id="144" w:name="_Toc159675991"/>
                            <w:bookmarkStart w:id="145" w:name="_Toc159676058"/>
                            <w:r w:rsidRPr="00C95B56">
                              <w:t>GST relativities</w:t>
                            </w:r>
                            <w:bookmarkEnd w:id="135"/>
                            <w:bookmarkEnd w:id="136"/>
                            <w:bookmarkEnd w:id="137"/>
                            <w:bookmarkEnd w:id="138"/>
                            <w:bookmarkEnd w:id="139"/>
                            <w:bookmarkEnd w:id="140"/>
                            <w:bookmarkEnd w:id="141"/>
                            <w:bookmarkEnd w:id="142"/>
                            <w:bookmarkEnd w:id="143"/>
                            <w:bookmarkEnd w:id="144"/>
                            <w:bookmarkEnd w:id="145"/>
                          </w:p>
                          <w:p w14:paraId="336C00A4" w14:textId="2EC276F3" w:rsidR="00D8282F" w:rsidRPr="00D06DB5" w:rsidRDefault="00D8282F" w:rsidP="00D8282F">
                            <w:r w:rsidRPr="00C95B56">
                              <w:t>The final numbers are called GST relativities. The Commission recommends these to the Commonwealth Treasurer for the distribution of the GST pool.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143A87" id="Text Box 1966634429" o:spid="_x0000_s1034" type="#_x0000_t202" style="position:absolute;margin-left:0;margin-top:16.2pt;width:460.9pt;height:540.35pt;z-index:25165824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" fillcolor="#e5f8ff" strokecolor="white [3212]">
                <v:textbox>
                  <w:txbxContent>
                    <w:p w14:paraId="2DAC2B64" w14:textId="77777777" w:rsidR="00D8282F" w:rsidRPr="00C95B56" w:rsidRDefault="00D8282F" w:rsidP="00D8282F">
                      <w:pPr>
                        <w:pStyle w:val="Heading2"/>
                      </w:pPr>
                      <w:bookmarkStart w:id="150" w:name="Box_1_1"/>
                      <w:bookmarkStart w:id="151" w:name="_Toc159675679"/>
                      <w:bookmarkStart w:id="152" w:name="_Toc159675986"/>
                      <w:bookmarkStart w:id="153" w:name="_Toc159676053"/>
                      <w:r w:rsidRPr="00C95B56">
                        <w:t>Box 1-1</w:t>
                      </w:r>
                      <w:bookmarkEnd w:id="150"/>
                      <w:r w:rsidRPr="00C95B56">
                        <w:tab/>
                        <w:t>Calculation of GST relativities</w:t>
                      </w:r>
                      <w:bookmarkEnd w:id="151"/>
                      <w:bookmarkEnd w:id="152"/>
                      <w:bookmarkEnd w:id="153"/>
                      <w:r w:rsidRPr="00C95B56">
                        <w:t xml:space="preserve"> </w:t>
                      </w:r>
                    </w:p>
                    <w:p w14:paraId="41097671" w14:textId="77777777" w:rsidR="00D8282F" w:rsidRPr="00C95B56" w:rsidRDefault="00D8282F" w:rsidP="00D8282F">
                      <w:r w:rsidRPr="00C95B56">
                        <w:t xml:space="preserve">The Commission’s recommendations on GST relativities are consistent with the </w:t>
                      </w:r>
                      <w:r w:rsidRPr="00690B10">
                        <w:rPr>
                          <w:i/>
                        </w:rPr>
                        <w:t>Commonwealth Grants Commission Act 1973</w:t>
                      </w:r>
                      <w:r w:rsidRPr="00C95B56">
                        <w:t xml:space="preserve">, the </w:t>
                      </w:r>
                      <w:r w:rsidRPr="00690B10">
                        <w:rPr>
                          <w:i/>
                        </w:rPr>
                        <w:t>Federal Financial Relations Act 2009</w:t>
                      </w:r>
                      <w:r w:rsidRPr="00C95B56">
                        <w:t xml:space="preserve"> and the terms of reference issued by the Commonwealth Treasurer. The Commission undertakes several steps to produce GST relativities.</w:t>
                      </w:r>
                    </w:p>
                    <w:p w14:paraId="2311A219" w14:textId="77777777" w:rsidR="00D8282F" w:rsidRPr="00C95B56" w:rsidRDefault="00D8282F" w:rsidP="00D8282F">
                      <w:pPr>
                        <w:pStyle w:val="Heading3"/>
                      </w:pPr>
                      <w:bookmarkStart w:id="154" w:name="_Toc127786120"/>
                      <w:bookmarkStart w:id="155" w:name="_Toc127786251"/>
                      <w:bookmarkStart w:id="156" w:name="_Toc127786552"/>
                      <w:bookmarkStart w:id="157" w:name="_Toc127786877"/>
                      <w:bookmarkStart w:id="158" w:name="_Toc127787094"/>
                      <w:bookmarkStart w:id="159" w:name="_Toc127788030"/>
                      <w:bookmarkStart w:id="160" w:name="_Toc127802159"/>
                      <w:bookmarkStart w:id="161" w:name="_Toc127804782"/>
                      <w:bookmarkStart w:id="162" w:name="_Toc159675680"/>
                      <w:bookmarkStart w:id="163" w:name="_Toc159675987"/>
                      <w:bookmarkStart w:id="164" w:name="_Toc159676054"/>
                      <w:r w:rsidRPr="00C95B56">
                        <w:t xml:space="preserve">Assessed </w:t>
                      </w:r>
                      <w:proofErr w:type="gramStart"/>
                      <w:r w:rsidRPr="00C95B56">
                        <w:t>relativities</w:t>
                      </w:r>
                      <w:bookmarkEnd w:id="154"/>
                      <w:bookmarkEnd w:id="155"/>
                      <w:bookmarkEnd w:id="156"/>
                      <w:bookmarkEnd w:id="157"/>
                      <w:bookmarkEnd w:id="158"/>
                      <w:bookmarkEnd w:id="159"/>
                      <w:bookmarkEnd w:id="160"/>
                      <w:bookmarkEnd w:id="161"/>
                      <w:bookmarkEnd w:id="162"/>
                      <w:bookmarkEnd w:id="163"/>
                      <w:bookmarkEnd w:id="164"/>
                      <w:proofErr w:type="gramEnd"/>
                    </w:p>
                    <w:p w14:paraId="768452C6" w14:textId="77777777" w:rsidR="00D8282F" w:rsidRPr="00C95B56" w:rsidRDefault="00D8282F" w:rsidP="00D8282F">
                      <w:r w:rsidRPr="00C95B56">
                        <w:t>Assessed relativities are calculated for each assessment year by comparing each state’s relative ability to raise revenue with its relative cost of providing services.</w:t>
                      </w:r>
                    </w:p>
                    <w:p w14:paraId="4D6870E3" w14:textId="77777777" w:rsidR="00D8282F" w:rsidRPr="00C95B56" w:rsidRDefault="00D8282F" w:rsidP="00D8282F">
                      <w:r w:rsidRPr="00C95B56">
                        <w:t>Drivers of differences in revenue capacity include mineral endowments, land values, property transactions, and taxable payrolls. States also receive different levels of funding through Commonwealth payments.</w:t>
                      </w:r>
                    </w:p>
                    <w:p w14:paraId="3ABF9127" w14:textId="77777777" w:rsidR="00D8282F" w:rsidRPr="00C95B56" w:rsidRDefault="00D8282F" w:rsidP="00D8282F">
                      <w:r w:rsidRPr="00C95B56">
                        <w:t>Service costs can vary by state for a range of reasons, including socio-demographic characteristics of the population, wage pressures, population dispersion, population density and rates of population growth.</w:t>
                      </w:r>
                    </w:p>
                    <w:p w14:paraId="62305317" w14:textId="77777777" w:rsidR="00D8282F" w:rsidRPr="00C95B56" w:rsidRDefault="00D8282F" w:rsidP="00D8282F">
                      <w:pPr>
                        <w:pStyle w:val="Heading3"/>
                      </w:pPr>
                      <w:bookmarkStart w:id="165" w:name="_Toc127786121"/>
                      <w:bookmarkStart w:id="166" w:name="_Toc127786252"/>
                      <w:bookmarkStart w:id="167" w:name="_Toc127786553"/>
                      <w:bookmarkStart w:id="168" w:name="_Toc127786878"/>
                      <w:bookmarkStart w:id="169" w:name="_Toc127787095"/>
                      <w:bookmarkStart w:id="170" w:name="_Toc127788031"/>
                      <w:bookmarkStart w:id="171" w:name="_Toc127802160"/>
                      <w:bookmarkStart w:id="172" w:name="_Toc127804783"/>
                      <w:bookmarkStart w:id="173" w:name="_Toc159675681"/>
                      <w:bookmarkStart w:id="174" w:name="_Toc159675988"/>
                      <w:bookmarkStart w:id="175" w:name="_Toc159676055"/>
                      <w:r w:rsidRPr="00C95B56">
                        <w:t>Standard state relativities</w:t>
                      </w:r>
                      <w:bookmarkEnd w:id="165"/>
                      <w:bookmarkEnd w:id="166"/>
                      <w:bookmarkEnd w:id="167"/>
                      <w:bookmarkEnd w:id="168"/>
                      <w:bookmarkEnd w:id="169"/>
                      <w:bookmarkEnd w:id="170"/>
                      <w:bookmarkEnd w:id="171"/>
                      <w:bookmarkEnd w:id="172"/>
                      <w:bookmarkEnd w:id="173"/>
                      <w:bookmarkEnd w:id="174"/>
                      <w:bookmarkEnd w:id="175"/>
                    </w:p>
                    <w:p w14:paraId="72F095F5" w14:textId="1BB98325" w:rsidR="00D8282F" w:rsidRPr="00C95B56" w:rsidRDefault="00D8282F" w:rsidP="00D8282F">
                      <w:r w:rsidRPr="00C95B56">
                        <w:t>Standard state relativities are calculated for each assessment year by adjusting assessed relativities so that no state has a relativity below the lower of New South Wales or Victoria (referred to as the ‘standard state’).</w:t>
                      </w:r>
                    </w:p>
                    <w:p w14:paraId="12B5DAD5" w14:textId="77777777" w:rsidR="00D8282F" w:rsidRPr="00C95B56" w:rsidRDefault="00D8282F" w:rsidP="00D8282F">
                      <w:pPr>
                        <w:pStyle w:val="Heading3"/>
                      </w:pPr>
                      <w:bookmarkStart w:id="176" w:name="_Toc127786122"/>
                      <w:bookmarkStart w:id="177" w:name="_Toc127786253"/>
                      <w:bookmarkStart w:id="178" w:name="_Toc127786554"/>
                      <w:bookmarkStart w:id="179" w:name="_Toc127786879"/>
                      <w:bookmarkStart w:id="180" w:name="_Toc127787096"/>
                      <w:bookmarkStart w:id="181" w:name="_Toc127788032"/>
                      <w:bookmarkStart w:id="182" w:name="_Toc127802161"/>
                      <w:bookmarkStart w:id="183" w:name="_Toc127804784"/>
                      <w:bookmarkStart w:id="184" w:name="_Toc159675682"/>
                      <w:bookmarkStart w:id="185" w:name="_Toc159675989"/>
                      <w:bookmarkStart w:id="186" w:name="_Toc159676056"/>
                      <w:r w:rsidRPr="00C95B56">
                        <w:t>Blended relativities</w:t>
                      </w:r>
                      <w:bookmarkEnd w:id="176"/>
                      <w:bookmarkEnd w:id="177"/>
                      <w:bookmarkEnd w:id="178"/>
                      <w:bookmarkEnd w:id="179"/>
                      <w:bookmarkEnd w:id="180"/>
                      <w:bookmarkEnd w:id="181"/>
                      <w:bookmarkEnd w:id="182"/>
                      <w:bookmarkEnd w:id="183"/>
                      <w:bookmarkEnd w:id="184"/>
                      <w:bookmarkEnd w:id="185"/>
                      <w:bookmarkEnd w:id="186"/>
                      <w:r w:rsidRPr="00C95B56">
                        <w:t xml:space="preserve"> </w:t>
                      </w:r>
                    </w:p>
                    <w:p w14:paraId="6598D68C" w14:textId="3EAD636D" w:rsidR="00D8282F" w:rsidRPr="00C95B56" w:rsidRDefault="00D8282F" w:rsidP="00D8282F">
                      <w:r w:rsidRPr="00C95B56">
                        <w:t>Over the 6-year transition period prescribed in the 2018</w:t>
                      </w:r>
                      <w:r w:rsidR="006628B2">
                        <w:t> </w:t>
                      </w:r>
                      <w:r w:rsidRPr="00C95B56">
                        <w:t>legislated GST distribution arrangements, assessed relativities are blended with standard state relativities in each assessment year. The weighting that each receives is specified in the legislation. In the 2024</w:t>
                      </w:r>
                      <w:r w:rsidR="006628B2">
                        <w:t> </w:t>
                      </w:r>
                      <w:r w:rsidRPr="00C95B56">
                        <w:t>Update, standard state relativities have a weighting of two-thirds and assessed relativities have a weighting of one-third.</w:t>
                      </w:r>
                    </w:p>
                    <w:p w14:paraId="336BA967" w14:textId="77777777" w:rsidR="00D8282F" w:rsidRPr="00C95B56" w:rsidRDefault="00D8282F" w:rsidP="00D8282F">
                      <w:pPr>
                        <w:pStyle w:val="Heading3"/>
                      </w:pPr>
                      <w:bookmarkStart w:id="187" w:name="_Toc127786123"/>
                      <w:bookmarkStart w:id="188" w:name="_Toc127786254"/>
                      <w:bookmarkStart w:id="189" w:name="_Toc127786555"/>
                      <w:bookmarkStart w:id="190" w:name="_Toc127786880"/>
                      <w:bookmarkStart w:id="191" w:name="_Toc127787097"/>
                      <w:bookmarkStart w:id="192" w:name="_Toc127788033"/>
                      <w:bookmarkStart w:id="193" w:name="_Toc127802162"/>
                      <w:bookmarkStart w:id="194" w:name="_Toc127804785"/>
                      <w:bookmarkStart w:id="195" w:name="_Toc159675683"/>
                      <w:bookmarkStart w:id="196" w:name="_Toc159675990"/>
                      <w:bookmarkStart w:id="197" w:name="_Toc159676057"/>
                      <w:r w:rsidRPr="00C95B56">
                        <w:t>GST relativity floor</w:t>
                      </w:r>
                      <w:bookmarkEnd w:id="187"/>
                      <w:bookmarkEnd w:id="188"/>
                      <w:bookmarkEnd w:id="189"/>
                      <w:bookmarkEnd w:id="190"/>
                      <w:bookmarkEnd w:id="191"/>
                      <w:bookmarkEnd w:id="192"/>
                      <w:bookmarkEnd w:id="193"/>
                      <w:bookmarkEnd w:id="194"/>
                      <w:bookmarkEnd w:id="195"/>
                      <w:bookmarkEnd w:id="196"/>
                      <w:bookmarkEnd w:id="197"/>
                    </w:p>
                    <w:p w14:paraId="444EA783" w14:textId="6552EA1E" w:rsidR="00D8282F" w:rsidRPr="00C95B56" w:rsidRDefault="00D8282F" w:rsidP="00D8282F">
                      <w:r w:rsidRPr="00C95B56">
                        <w:t>The GST relativity floor sets a minimum relativity, below which a state’s per capita share of the GST pool cannot fall. In 2024</w:t>
                      </w:r>
                      <w:r w:rsidR="00E067C9">
                        <w:t>–</w:t>
                      </w:r>
                      <w:r w:rsidRPr="00C95B56">
                        <w:t>25, the floor is 0.75. If a state’s blended relativity is below the floor, its GST relativity is adjusted up to the floor. To accommodate this, the relativities of other states are adjusted down on a population</w:t>
                      </w:r>
                      <w:r w:rsidRPr="00C95B56">
                        <w:noBreakHyphen/>
                        <w:t>share basis.</w:t>
                      </w:r>
                    </w:p>
                    <w:p w14:paraId="187D374A" w14:textId="77777777" w:rsidR="00D8282F" w:rsidRPr="00C95B56" w:rsidRDefault="00D8282F" w:rsidP="00D8282F">
                      <w:pPr>
                        <w:pStyle w:val="Heading3"/>
                      </w:pPr>
                      <w:bookmarkStart w:id="198" w:name="_Toc127786124"/>
                      <w:bookmarkStart w:id="199" w:name="_Toc127786255"/>
                      <w:bookmarkStart w:id="200" w:name="_Toc127786556"/>
                      <w:bookmarkStart w:id="201" w:name="_Toc127786881"/>
                      <w:bookmarkStart w:id="202" w:name="_Toc127787098"/>
                      <w:bookmarkStart w:id="203" w:name="_Toc127788034"/>
                      <w:bookmarkStart w:id="204" w:name="_Toc127802163"/>
                      <w:bookmarkStart w:id="205" w:name="_Toc127804786"/>
                      <w:bookmarkStart w:id="206" w:name="_Toc159675684"/>
                      <w:bookmarkStart w:id="207" w:name="_Toc159675991"/>
                      <w:bookmarkStart w:id="208" w:name="_Toc159676058"/>
                      <w:r w:rsidRPr="00C95B56">
                        <w:t>GST relativities</w:t>
                      </w:r>
                      <w:bookmarkEnd w:id="198"/>
                      <w:bookmarkEnd w:id="199"/>
                      <w:bookmarkEnd w:id="200"/>
                      <w:bookmarkEnd w:id="201"/>
                      <w:bookmarkEnd w:id="202"/>
                      <w:bookmarkEnd w:id="203"/>
                      <w:bookmarkEnd w:id="204"/>
                      <w:bookmarkEnd w:id="205"/>
                      <w:bookmarkEnd w:id="206"/>
                      <w:bookmarkEnd w:id="207"/>
                      <w:bookmarkEnd w:id="208"/>
                    </w:p>
                    <w:p w14:paraId="336C00A4" w14:textId="2EC276F3" w:rsidR="00D8282F" w:rsidRPr="00D06DB5" w:rsidRDefault="00D8282F" w:rsidP="00D8282F">
                      <w:r w:rsidRPr="00C95B56">
                        <w:t>The final numbers are called GST relativities. The Commission recommends these to the Commonwealth Treasurer for the distribution of the GST pool.</w:t>
                      </w:r>
                    </w:p>
                  </w:txbxContent>
                </v:textbox>
                <w10:wrap type="square" anchorx="margin"/>
              </v:shape>
            </w:pict>
          </mc:Fallback>
        </mc:AlternateContent>
      </w:r>
    </w:p>
    <w:p w14:paraId="050AAD65" w14:textId="77777777" w:rsidR="00EB6B91" w:rsidRPr="00C95B56" w:rsidRDefault="00EB6B91" w:rsidP="00321279">
      <w:pPr>
        <w:pStyle w:val="Heading3"/>
      </w:pPr>
      <w:bookmarkStart w:id="146" w:name="_Hlk158802604"/>
      <w:r w:rsidRPr="00C95B56">
        <w:t xml:space="preserve">Assessed </w:t>
      </w:r>
      <w:proofErr w:type="gramStart"/>
      <w:r w:rsidRPr="00C95B56">
        <w:t>relativities</w:t>
      </w:r>
      <w:proofErr w:type="gramEnd"/>
    </w:p>
    <w:p w14:paraId="05AAA295" w14:textId="77777777" w:rsidR="00EB6B91" w:rsidRPr="00C95B56" w:rsidRDefault="00EB6B91" w:rsidP="00EB6B91">
      <w:r w:rsidRPr="00C95B56">
        <w:t>The Commission uses a 3-year rolling average in its assessment of state fiscal capacities.</w:t>
      </w:r>
      <w:r w:rsidRPr="00321279">
        <w:rPr>
          <w:vertAlign w:val="superscript"/>
        </w:rPr>
        <w:footnoteReference w:id="7"/>
      </w:r>
      <w:r w:rsidRPr="00C95B56">
        <w:t xml:space="preserve">  Differences in state circumstances in the year falling out of the calculations, compared with the year coming into the calculations, contribute to changes in the distribution of GST. In addition, revisions to the data also contribute to changes.</w:t>
      </w:r>
    </w:p>
    <w:p w14:paraId="7E2BEC04" w14:textId="2492755E" w:rsidR="00EB6B91" w:rsidRPr="00C95B56" w:rsidRDefault="00EB6B91" w:rsidP="00EB6B91">
      <w:r w:rsidRPr="00C95B56">
        <w:t xml:space="preserve">Large differences in states’ relative </w:t>
      </w:r>
      <w:r w:rsidRPr="0068798B">
        <w:t xml:space="preserve">capacities to raise revenue from mining royalties continue to be a key driver of changes to the GST distribution. The very large increase in coal prices </w:t>
      </w:r>
      <w:r w:rsidRPr="005A755A">
        <w:t>and changes in average royalty rates</w:t>
      </w:r>
      <w:r w:rsidRPr="0068798B">
        <w:t xml:space="preserve"> between</w:t>
      </w:r>
      <w:r w:rsidRPr="00C95B56">
        <w:t xml:space="preserve"> 2019</w:t>
      </w:r>
      <w:r w:rsidR="003A1E0C">
        <w:t>–</w:t>
      </w:r>
      <w:r w:rsidRPr="00C95B56">
        <w:t>20 and 2022</w:t>
      </w:r>
      <w:r w:rsidR="003A1E0C">
        <w:t>–</w:t>
      </w:r>
      <w:r w:rsidRPr="00C95B56">
        <w:t xml:space="preserve">23 increased coal royalties. This reduced the assessed relativities for New South Wales and </w:t>
      </w:r>
      <w:r w:rsidRPr="00C95B56">
        <w:lastRenderedPageBreak/>
        <w:t>Queensland and increased the assessed relativities for the other states, in particular Victoria. The increase in Western Australia’s assessed relativity was driven by strong growth in coal royalties in other states and slower growth in iron ore royalties.</w:t>
      </w:r>
    </w:p>
    <w:p w14:paraId="760A5700" w14:textId="03A2A5CB" w:rsidR="00EB6B91" w:rsidRPr="00C95B56" w:rsidRDefault="00EB6B91" w:rsidP="00EB6B91">
      <w:r w:rsidRPr="00C95B56">
        <w:t>The progressive release of</w:t>
      </w:r>
      <w:r w:rsidR="005E6793">
        <w:t xml:space="preserve"> the</w:t>
      </w:r>
      <w:r w:rsidRPr="00C95B56">
        <w:t xml:space="preserve"> Australian Bureau of Statistics’ (ABS) 2021 Census data has resulted in changes in the GST distribution since last year. In the 2024</w:t>
      </w:r>
      <w:r w:rsidR="005007CA">
        <w:t> </w:t>
      </w:r>
      <w:r w:rsidRPr="00C95B56">
        <w:t>Update, new population data have been used for estimates of First Nations populations, urban population density, and other location-based data.</w:t>
      </w:r>
      <w:r w:rsidRPr="0080231F">
        <w:rPr>
          <w:vertAlign w:val="superscript"/>
        </w:rPr>
        <w:footnoteReference w:id="8"/>
      </w:r>
      <w:r w:rsidRPr="00C95B56">
        <w:t xml:space="preserve"> In the </w:t>
      </w:r>
      <w:r w:rsidR="00721540">
        <w:t>j</w:t>
      </w:r>
      <w:r w:rsidRPr="00C95B56">
        <w:t xml:space="preserve">ustice assessment, data on the First Nations populations were not updated. The </w:t>
      </w:r>
      <w:hyperlink r:id="rId28" w:history="1">
        <w:r w:rsidRPr="007F346B">
          <w:rPr>
            <w:rStyle w:val="Hyperlink"/>
            <w:i/>
          </w:rPr>
          <w:t>New Issues for the 2024</w:t>
        </w:r>
        <w:r w:rsidR="005007CA" w:rsidRPr="007F346B">
          <w:rPr>
            <w:rStyle w:val="Hyperlink"/>
            <w:i/>
          </w:rPr>
          <w:t> </w:t>
        </w:r>
        <w:r w:rsidRPr="007F346B">
          <w:rPr>
            <w:rStyle w:val="Hyperlink"/>
            <w:i/>
          </w:rPr>
          <w:t>Update</w:t>
        </w:r>
      </w:hyperlink>
      <w:r w:rsidRPr="00C95B56">
        <w:t xml:space="preserve"> provides further information on how the assessments were updated with ABS 2021 Census data, and why these data on First Nations populations were not used for the </w:t>
      </w:r>
      <w:r w:rsidR="00D92EE6">
        <w:t>j</w:t>
      </w:r>
      <w:r w:rsidRPr="00C95B56">
        <w:t>ustice assessment.</w:t>
      </w:r>
    </w:p>
    <w:p w14:paraId="05B89D74" w14:textId="20F20104" w:rsidR="00EB6B91" w:rsidRPr="00917C36" w:rsidRDefault="00EB6B91" w:rsidP="00EB6B91">
      <w:r w:rsidRPr="00C95B56">
        <w:t>The 2 largest 2021</w:t>
      </w:r>
      <w:r w:rsidR="005007CA">
        <w:t> </w:t>
      </w:r>
      <w:r w:rsidRPr="00C95B56">
        <w:t>Census-related data revisions were for urban transport (both in recurrent spending and investment) and the health assessments. Updating the population</w:t>
      </w:r>
      <w:r w:rsidRPr="00C95B56">
        <w:noBreakHyphen/>
        <w:t>weighted density and urban populations of significant urban areas using the ABS 2021</w:t>
      </w:r>
      <w:r w:rsidR="005007CA">
        <w:t> </w:t>
      </w:r>
      <w:r w:rsidRPr="00C95B56">
        <w:t>Census-based population and geography data increased the relativities of Victoria and the ACT while reducing the relativities of the other states. In aggregate, the use of the latest ABS 2021</w:t>
      </w:r>
      <w:r w:rsidR="005007CA">
        <w:t> </w:t>
      </w:r>
      <w:r w:rsidRPr="00C95B56">
        <w:t>Census data in the health assessment reduced the assessed need for spending in New South </w:t>
      </w:r>
      <w:r w:rsidRPr="00917C36">
        <w:t xml:space="preserve">Wales and South Australia and increased the need for spending in other states. While at the national level, revisions to urban density and remoteness classifications were the main drivers of change from the use of new </w:t>
      </w:r>
      <w:r w:rsidR="00910E2B" w:rsidRPr="00917C36">
        <w:t>C</w:t>
      </w:r>
      <w:r w:rsidRPr="00917C36">
        <w:t xml:space="preserve">ensus data, revisions to other </w:t>
      </w:r>
      <w:r w:rsidR="00910E2B" w:rsidRPr="00917C36">
        <w:t>C</w:t>
      </w:r>
      <w:r w:rsidRPr="00917C36">
        <w:t>ensus data were</w:t>
      </w:r>
      <w:r w:rsidRPr="00917C36" w:rsidDel="007F29E6">
        <w:t xml:space="preserve"> </w:t>
      </w:r>
      <w:r w:rsidRPr="00917C36">
        <w:t>a key driver of change for some states.</w:t>
      </w:r>
    </w:p>
    <w:p w14:paraId="167D27C3" w14:textId="570C1DEF" w:rsidR="00EB6B91" w:rsidRPr="00C95B56" w:rsidRDefault="00EB6B91" w:rsidP="00EB6B91">
      <w:r w:rsidRPr="00917C36">
        <w:t>Variations between states in growth in land values and property transactions were key drivers of changes in states’ capacities to raise revenue from land tax and stamp duty on conveyances. Both New South Wales (</w:t>
      </w:r>
      <w:r w:rsidR="0020425E" w:rsidRPr="00917C36">
        <w:t>64</w:t>
      </w:r>
      <w:r w:rsidRPr="00917C36">
        <w:t>%</w:t>
      </w:r>
      <w:r w:rsidR="005007CA" w:rsidRPr="00917C36">
        <w:t> </w:t>
      </w:r>
      <w:r w:rsidRPr="00917C36">
        <w:t>growth in per capita land values between 2019</w:t>
      </w:r>
      <w:r w:rsidR="00B16AA7">
        <w:t>–</w:t>
      </w:r>
      <w:r w:rsidR="00B16AA7">
        <w:rPr>
          <w:rFonts w:ascii="Times New Roman" w:hAnsi="Times New Roman" w:cs="Times New Roman" w:hint="eastAsia"/>
          <w:rtl/>
        </w:rPr>
        <w:t>‍</w:t>
      </w:r>
      <w:r w:rsidRPr="00917C36">
        <w:t>20 and 2022</w:t>
      </w:r>
      <w:r w:rsidR="00B16AA7">
        <w:t>–</w:t>
      </w:r>
      <w:r w:rsidRPr="00917C36">
        <w:t>23) and Tasmania (</w:t>
      </w:r>
      <w:r w:rsidR="0020425E" w:rsidRPr="00917C36">
        <w:t>48</w:t>
      </w:r>
      <w:r w:rsidRPr="00917C36">
        <w:t>%</w:t>
      </w:r>
      <w:r w:rsidR="00203E67" w:rsidRPr="00917C36">
        <w:t> </w:t>
      </w:r>
      <w:r w:rsidRPr="00917C36">
        <w:t>growth over the same period) experienced well</w:t>
      </w:r>
      <w:r w:rsidRPr="00917C36">
        <w:noBreakHyphen/>
        <w:t>above-average growth, reducing their</w:t>
      </w:r>
      <w:r w:rsidRPr="00C95B56">
        <w:t xml:space="preserve"> </w:t>
      </w:r>
      <w:r w:rsidR="008842A9">
        <w:t xml:space="preserve">assessed </w:t>
      </w:r>
      <w:r w:rsidRPr="00C95B56">
        <w:t>GST needs and increasing those of other states. National average growth in the per capita value of properties transferred was 36% over this period. Queensland (43% growth), Western Australia (86%</w:t>
      </w:r>
      <w:r w:rsidR="005007CA">
        <w:t> </w:t>
      </w:r>
      <w:r w:rsidRPr="00C95B56">
        <w:t>growth), the ACT (69%</w:t>
      </w:r>
      <w:r w:rsidR="005007CA">
        <w:t> </w:t>
      </w:r>
      <w:r w:rsidRPr="00C95B56">
        <w:t>growth), and the Northern Territory (45% growth) experienced above-average per capita growth and a reduction in</w:t>
      </w:r>
      <w:r w:rsidR="006F2187">
        <w:t xml:space="preserve"> assessed</w:t>
      </w:r>
      <w:r w:rsidRPr="00C95B56">
        <w:t xml:space="preserve"> GST needs as a result.</w:t>
      </w:r>
    </w:p>
    <w:p w14:paraId="5A6B154B" w14:textId="32A87045" w:rsidR="00EB6B91" w:rsidRPr="00C95B56" w:rsidRDefault="00000000" w:rsidP="00EB6B91">
      <w:hyperlink w:anchor="_Drivers_of_GST" w:history="1">
        <w:r w:rsidR="00905373" w:rsidRPr="00905373">
          <w:rPr>
            <w:rStyle w:val="Hyperlink"/>
            <w:color w:val="auto"/>
            <w:u w:val="none"/>
          </w:rPr>
          <w:t>Chapter 2</w:t>
        </w:r>
      </w:hyperlink>
      <w:r w:rsidR="00EB6B91" w:rsidRPr="00C95B56">
        <w:t xml:space="preserve"> explains the key drivers of changes in assessed GST needs in more detail. </w:t>
      </w:r>
      <w:hyperlink w:anchor="_3._State_by" w:history="1">
        <w:r w:rsidR="00EB6B91" w:rsidRPr="00A67B07">
          <w:rPr>
            <w:rStyle w:val="Hyperlink"/>
            <w:color w:val="auto"/>
            <w:u w:val="none"/>
          </w:rPr>
          <w:t>Chapter 3</w:t>
        </w:r>
      </w:hyperlink>
      <w:r w:rsidR="00EB6B91" w:rsidRPr="00905373">
        <w:rPr>
          <w:rStyle w:val="Hyperlink"/>
          <w:color w:val="auto"/>
          <w:u w:val="none"/>
        </w:rPr>
        <w:t xml:space="preserve"> </w:t>
      </w:r>
      <w:r w:rsidR="00EB6B91" w:rsidRPr="00C95B56">
        <w:t>explains the drivers of change for each state.</w:t>
      </w:r>
    </w:p>
    <w:p w14:paraId="591CB397" w14:textId="77777777" w:rsidR="00EB6B91" w:rsidRPr="00C95B56" w:rsidRDefault="00EB6B91" w:rsidP="00612E4B">
      <w:pPr>
        <w:pStyle w:val="Heading3"/>
      </w:pPr>
      <w:r w:rsidRPr="00C95B56">
        <w:t>Standard state relativities</w:t>
      </w:r>
    </w:p>
    <w:p w14:paraId="3D227D6D" w14:textId="6E095F7B" w:rsidR="00EB6B91" w:rsidRPr="00C95B56" w:rsidRDefault="00EB6B91" w:rsidP="00EB6B91">
      <w:r w:rsidRPr="00C95B56">
        <w:t>On full implementation of the 2018</w:t>
      </w:r>
      <w:r w:rsidR="00203E67">
        <w:t> </w:t>
      </w:r>
      <w:r w:rsidRPr="00C95B56">
        <w:t>legislated GST distribution arrangements (that is, by 2026</w:t>
      </w:r>
      <w:r w:rsidR="006F2187">
        <w:t>–</w:t>
      </w:r>
      <w:r w:rsidRPr="00C95B56">
        <w:t>27), no state’s GST relativity can be less than the lower of New South Wales or Victoria. For each assessment year, should any state be fiscally stronger (and therefore have a lower assessed relativity) than the standard state, its relativity would be increased to the relativity of the standard state. Given the GST is distributed from a fixed funding pool, other states’ relativities would then be reduced on a population-share basis to accommodate this increase. In the transition to the 2018</w:t>
      </w:r>
      <w:r w:rsidR="00203E67">
        <w:t> </w:t>
      </w:r>
      <w:r w:rsidRPr="00C95B56">
        <w:t>legislated arrangements, standard state relativities are an input to the calculation of GST relativities.</w:t>
      </w:r>
    </w:p>
    <w:p w14:paraId="6F3282B4" w14:textId="6F6B244C" w:rsidR="00EB6B91" w:rsidRPr="00C95B56" w:rsidRDefault="00EB6B91" w:rsidP="00EB6B91">
      <w:r w:rsidRPr="00C95B56">
        <w:t>Victoria has been assessed as the standard state in the first assessment year for the 2024 Update (2020</w:t>
      </w:r>
      <w:r w:rsidR="00962DDA">
        <w:t>–</w:t>
      </w:r>
      <w:r w:rsidRPr="00C95B56">
        <w:t>21) and New South Wales for the second and third years (2021</w:t>
      </w:r>
      <w:r w:rsidR="00962DDA">
        <w:t>–</w:t>
      </w:r>
      <w:r w:rsidRPr="00C95B56">
        <w:t>22 and 2022</w:t>
      </w:r>
      <w:r w:rsidR="00962DDA">
        <w:t>–</w:t>
      </w:r>
      <w:r w:rsidRPr="00C95B56">
        <w:t>23).</w:t>
      </w:r>
    </w:p>
    <w:p w14:paraId="7FCD37DC" w14:textId="7FBADD5F" w:rsidR="00EB6B91" w:rsidRPr="00C95B56" w:rsidRDefault="00EB6B91" w:rsidP="00EB6B91">
      <w:r w:rsidRPr="00C95B56">
        <w:t xml:space="preserve">Western Australia was the only state with </w:t>
      </w:r>
      <w:r w:rsidRPr="0068798B">
        <w:t>an assessed relativity below the standard state in each assessment year. Western Australia’s standard state relativity was aligned with Victoria’s standard state relativity of 0.</w:t>
      </w:r>
      <w:r w:rsidRPr="005F19FE" w:rsidDel="003A422F">
        <w:t>82485</w:t>
      </w:r>
      <w:r w:rsidRPr="0068798B">
        <w:t xml:space="preserve"> in 2020</w:t>
      </w:r>
      <w:r w:rsidR="00962DDA">
        <w:t>–</w:t>
      </w:r>
      <w:r w:rsidRPr="0068798B">
        <w:t xml:space="preserve">21 and with New South </w:t>
      </w:r>
      <w:proofErr w:type="spellStart"/>
      <w:r w:rsidRPr="0068798B">
        <w:t>Wales’</w:t>
      </w:r>
      <w:proofErr w:type="spellEnd"/>
      <w:r w:rsidRPr="0068798B">
        <w:t xml:space="preserve"> standard state relativities of 0.</w:t>
      </w:r>
      <w:r w:rsidRPr="005F19FE">
        <w:t>85384</w:t>
      </w:r>
      <w:r w:rsidRPr="0068798B">
        <w:t xml:space="preserve"> </w:t>
      </w:r>
      <w:r w:rsidRPr="0068798B" w:rsidDel="002F1DDE">
        <w:t>in 2021</w:t>
      </w:r>
      <w:r w:rsidR="00DD5B0F">
        <w:t>–</w:t>
      </w:r>
      <w:r w:rsidRPr="0068798B" w:rsidDel="002F1DDE">
        <w:t>22</w:t>
      </w:r>
      <w:r w:rsidRPr="0068798B">
        <w:t xml:space="preserve"> and </w:t>
      </w:r>
      <w:r w:rsidRPr="005F19FE">
        <w:t>0.79322</w:t>
      </w:r>
      <w:r w:rsidRPr="0068798B">
        <w:t xml:space="preserve"> in</w:t>
      </w:r>
      <w:r w:rsidRPr="00C95B56">
        <w:t xml:space="preserve"> 2022</w:t>
      </w:r>
      <w:r w:rsidR="0097449A">
        <w:t>–</w:t>
      </w:r>
      <w:r w:rsidRPr="00C95B56">
        <w:t>23.</w:t>
      </w:r>
    </w:p>
    <w:p w14:paraId="7E421A58" w14:textId="77777777" w:rsidR="0080231F" w:rsidRDefault="0080231F">
      <w:pPr>
        <w:tabs>
          <w:tab w:val="clear" w:pos="567"/>
        </w:tabs>
        <w:spacing w:before="0" w:line="240" w:lineRule="auto"/>
        <w:rPr>
          <w:rFonts w:ascii="Open Sans Semibold" w:eastAsiaTheme="majorEastAsia" w:hAnsi="Open Sans Semibold" w:cs="Open Sans"/>
          <w:bCs/>
          <w:sz w:val="22"/>
          <w:szCs w:val="28"/>
        </w:rPr>
      </w:pPr>
      <w:bookmarkStart w:id="147" w:name="_Toc127802166"/>
      <w:bookmarkStart w:id="148" w:name="_Toc127804789"/>
      <w:r>
        <w:br w:type="page"/>
      </w:r>
    </w:p>
    <w:p w14:paraId="7EE4F884" w14:textId="3D1F8BC7" w:rsidR="00EB6B91" w:rsidRPr="00C95B56" w:rsidRDefault="00EB6B91" w:rsidP="0080231F">
      <w:pPr>
        <w:pStyle w:val="Heading3"/>
      </w:pPr>
      <w:r w:rsidRPr="00C95B56">
        <w:lastRenderedPageBreak/>
        <w:t>Blended relativities and the GST relativity floor</w:t>
      </w:r>
      <w:bookmarkEnd w:id="147"/>
      <w:bookmarkEnd w:id="148"/>
    </w:p>
    <w:p w14:paraId="311EDB10" w14:textId="3BAEFC49" w:rsidR="00EB6B91" w:rsidRPr="00C95B56" w:rsidRDefault="00EB6B91" w:rsidP="00EB6B91">
      <w:r w:rsidRPr="00C95B56">
        <w:t xml:space="preserve">The blended relativities of each state for the 3 assessment years are first averaged, and then any state with an average blended relativity below the 0.75 GST relativity floor has its GST relativity raised to the floor. </w:t>
      </w:r>
      <w:hyperlink w:anchor="_Box_1-2_Application" w:history="1">
        <w:r w:rsidRPr="002915B7">
          <w:rPr>
            <w:rStyle w:val="Hyperlink"/>
            <w:color w:val="auto"/>
            <w:u w:val="none"/>
          </w:rPr>
          <w:t>Box 1</w:t>
        </w:r>
        <w:r w:rsidR="00194D0E" w:rsidRPr="002915B7">
          <w:rPr>
            <w:rStyle w:val="Hyperlink"/>
            <w:color w:val="auto"/>
            <w:u w:val="none"/>
          </w:rPr>
          <w:noBreakHyphen/>
        </w:r>
        <w:r w:rsidRPr="002915B7">
          <w:rPr>
            <w:rStyle w:val="Hyperlink"/>
            <w:color w:val="auto"/>
            <w:u w:val="none"/>
          </w:rPr>
          <w:t>2</w:t>
        </w:r>
      </w:hyperlink>
      <w:r w:rsidRPr="00C95B56">
        <w:t xml:space="preserve"> provides an illustration of the calculations.</w:t>
      </w:r>
    </w:p>
    <w:p w14:paraId="07C6B913" w14:textId="7C079147" w:rsidR="00EB6B91" w:rsidRPr="00C95B56" w:rsidRDefault="00EB6B91" w:rsidP="00EB6B91">
      <w:pPr>
        <w:rPr>
          <w:highlight w:val="green"/>
        </w:rPr>
      </w:pPr>
      <w:r w:rsidRPr="00C95B56">
        <w:t xml:space="preserve">Western Australia was the only state to have an average blended relativity below the GST floor. Its average blended relativity </w:t>
      </w:r>
      <w:r w:rsidRPr="0068798B">
        <w:t xml:space="preserve">of </w:t>
      </w:r>
      <w:r w:rsidRPr="005F19FE">
        <w:t>0.59005</w:t>
      </w:r>
      <w:r w:rsidRPr="0068798B">
        <w:t xml:space="preserve"> was increased to 0.75 and the GST relativities of all other states were reduced on a population-share basis to accommodate this increase.</w:t>
      </w:r>
    </w:p>
    <w:bookmarkEnd w:id="146"/>
    <w:p w14:paraId="2A5C9BF3" w14:textId="2DFBDF1D" w:rsidR="00BC6D80" w:rsidRDefault="00BC6D80">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32AB37D9" w14:textId="6A1546C4" w:rsidR="00D8282F" w:rsidRDefault="00BC6D80">
      <w:pPr>
        <w:tabs>
          <w:tab w:val="clear" w:pos="567"/>
        </w:tabs>
        <w:spacing w:before="0" w:line="240" w:lineRule="auto"/>
        <w:rPr>
          <w:rFonts w:ascii="Open Sans Light" w:eastAsia="Times New Roman" w:hAnsi="Open Sans Light" w:cs="Times New Roman"/>
          <w:szCs w:val="20"/>
        </w:rPr>
      </w:pPr>
      <w:r>
        <w:rPr>
          <w:noProof/>
        </w:rPr>
        <w:lastRenderedPageBreak/>
        <mc:AlternateContent>
          <mc:Choice Requires="wps">
            <w:drawing>
              <wp:anchor distT="45720" distB="45720" distL="114300" distR="114300" simplePos="0" relativeHeight="251658250" behindDoc="0" locked="0" layoutInCell="1" allowOverlap="1" wp14:anchorId="0BB8DD95" wp14:editId="7542B0DF">
                <wp:simplePos x="0" y="0"/>
                <wp:positionH relativeFrom="margin">
                  <wp:align>left</wp:align>
                </wp:positionH>
                <wp:positionV relativeFrom="paragraph">
                  <wp:posOffset>59</wp:posOffset>
                </wp:positionV>
                <wp:extent cx="5853430" cy="9061450"/>
                <wp:effectExtent l="0" t="0" r="13970" b="25400"/>
                <wp:wrapSquare wrapText="bothSides"/>
                <wp:docPr id="1736537670" name="Text Box 1736537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9061450"/>
                        </a:xfrm>
                        <a:prstGeom prst="rect">
                          <a:avLst/>
                        </a:prstGeom>
                        <a:solidFill>
                          <a:srgbClr val="E5F8FF"/>
                        </a:solidFill>
                        <a:ln w="9525">
                          <a:solidFill>
                            <a:schemeClr val="bg1"/>
                          </a:solidFill>
                          <a:miter lim="800000"/>
                          <a:headEnd/>
                          <a:tailEnd/>
                        </a:ln>
                      </wps:spPr>
                      <wps:txbx>
                        <w:txbxContent>
                          <w:p w14:paraId="2F37B6E6" w14:textId="77777777" w:rsidR="0007132E" w:rsidRPr="00310D9B" w:rsidRDefault="0007132E" w:rsidP="0007132E">
                            <w:pPr>
                              <w:pStyle w:val="Heading2"/>
                            </w:pPr>
                            <w:bookmarkStart w:id="149" w:name="Box_1_2"/>
                            <w:bookmarkStart w:id="150" w:name="_Toc159675688"/>
                            <w:bookmarkStart w:id="151" w:name="_Toc159675995"/>
                            <w:bookmarkStart w:id="152" w:name="_Toc159676062"/>
                            <w:bookmarkEnd w:id="149"/>
                            <w:r w:rsidRPr="00310D9B">
                              <w:t>Box 1-2</w:t>
                            </w:r>
                            <w:r w:rsidRPr="00310D9B">
                              <w:tab/>
                              <w:t>Application of the GST relativity floor</w:t>
                            </w:r>
                            <w:bookmarkEnd w:id="150"/>
                            <w:bookmarkEnd w:id="151"/>
                            <w:bookmarkEnd w:id="152"/>
                            <w:r w:rsidRPr="00310D9B">
                              <w:t xml:space="preserve"> </w:t>
                            </w:r>
                          </w:p>
                          <w:p w14:paraId="077059D1" w14:textId="77777777" w:rsidR="0007132E" w:rsidRPr="00310D9B" w:rsidRDefault="0007132E" w:rsidP="0007132E">
                            <w:r w:rsidRPr="00310D9B">
                              <w:t xml:space="preserve">Assessed, standard state and blended relativities are calculated for each of the 3 assessment years. Blended relativities for the 3 assessment years are then averaged and any state with an average blended relativity below the GST relativity floor has its GST relativity raised to the floor. </w:t>
                            </w:r>
                          </w:p>
                          <w:p w14:paraId="7C326C9B" w14:textId="77777777" w:rsidR="0007132E" w:rsidRPr="00310D9B" w:rsidRDefault="0007132E" w:rsidP="0007132E">
                            <w:r w:rsidRPr="00310D9B">
                              <w:t xml:space="preserve">Western Australia has an assessed relativity below the standard state in all 3 years of the 2024 Update assessment period, so its relativity is lifted to that of the standard state in all years. The relativities of all states, including Western Australia and the standard state, are then scaled down, to ensure the reduction to relativities resulting from lifting Western Australia’s relativity is shared on an equal per capita basis between all states. </w:t>
                            </w:r>
                          </w:p>
                          <w:p w14:paraId="357D73AA" w14:textId="77777777" w:rsidR="0007132E" w:rsidRPr="00310D9B" w:rsidRDefault="0007132E" w:rsidP="0007132E">
                            <w:r w:rsidRPr="00310D9B">
                              <w:t>As a final step, because Western Australia’s average blended relativity is below the GST relativity floor, it is raised to the 0.75 GST floor.</w:t>
                            </w:r>
                          </w:p>
                          <w:p w14:paraId="5F9D32FC" w14:textId="2DF96B4A" w:rsidR="007E0655" w:rsidRPr="00310D9B" w:rsidRDefault="0007132E" w:rsidP="0007132E">
                            <w:r w:rsidRPr="00310D9B">
                              <w:t>The following diagram illustrates the steps in calculating Western Australia’s GST relativity.</w:t>
                            </w:r>
                          </w:p>
                          <w:p w14:paraId="04F3CDAD" w14:textId="58C5CB76" w:rsidR="00EC6835" w:rsidRPr="00D06DB5" w:rsidRDefault="00247805" w:rsidP="007E6434">
                            <w:pPr>
                              <w:jc w:val="center"/>
                            </w:pPr>
                            <w:r w:rsidRPr="00247805">
                              <w:rPr>
                                <w:noProof/>
                              </w:rPr>
                              <w:drawing>
                                <wp:inline distT="0" distB="0" distL="0" distR="0" wp14:anchorId="0AED08BF" wp14:editId="179847D2">
                                  <wp:extent cx="5293039" cy="5873750"/>
                                  <wp:effectExtent l="0" t="0" r="3175" b="0"/>
                                  <wp:docPr id="2599658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3039" cy="587375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B8DD95" id="Text Box 1736537670" o:spid="_x0000_s1035" type="#_x0000_t202" style="position:absolute;margin-left:0;margin-top:0;width:460.9pt;height:713.5pt;z-index:25165825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" fillcolor="#e5f8ff" strokecolor="white [3212]">
                <v:textbox>
                  <w:txbxContent>
                    <w:p w14:paraId="2F37B6E6" w14:textId="77777777" w:rsidR="0007132E" w:rsidRPr="00310D9B" w:rsidRDefault="0007132E" w:rsidP="0007132E">
                      <w:pPr>
                        <w:pStyle w:val="Heading2"/>
                      </w:pPr>
                      <w:bookmarkStart w:id="216" w:name="Box_1_2"/>
                      <w:bookmarkStart w:id="217" w:name="_Toc159675688"/>
                      <w:bookmarkStart w:id="218" w:name="_Toc159675995"/>
                      <w:bookmarkStart w:id="219" w:name="_Toc159676062"/>
                      <w:bookmarkEnd w:id="216"/>
                      <w:r w:rsidRPr="00310D9B">
                        <w:t>Box 1-2</w:t>
                      </w:r>
                      <w:r w:rsidRPr="00310D9B">
                        <w:tab/>
                        <w:t>Application of the GST relativity floor</w:t>
                      </w:r>
                      <w:bookmarkEnd w:id="217"/>
                      <w:bookmarkEnd w:id="218"/>
                      <w:bookmarkEnd w:id="219"/>
                      <w:r w:rsidRPr="00310D9B">
                        <w:t xml:space="preserve"> </w:t>
                      </w:r>
                    </w:p>
                    <w:p w14:paraId="077059D1" w14:textId="77777777" w:rsidR="0007132E" w:rsidRPr="00310D9B" w:rsidRDefault="0007132E" w:rsidP="0007132E">
                      <w:r w:rsidRPr="00310D9B">
                        <w:t xml:space="preserve">Assessed, standard state and blended relativities are calculated for each of the 3 assessment years. Blended relativities for the 3 assessment years are then averaged and any state with an average blended relativity below the GST relativity floor has its GST relativity raised to the floor. </w:t>
                      </w:r>
                    </w:p>
                    <w:p w14:paraId="7C326C9B" w14:textId="77777777" w:rsidR="0007132E" w:rsidRPr="00310D9B" w:rsidRDefault="0007132E" w:rsidP="0007132E">
                      <w:r w:rsidRPr="00310D9B">
                        <w:t xml:space="preserve">Western Australia has an assessed relativity below the standard state in all 3 years of the 2024 Update assessment period, so its relativity is lifted to that of the standard state in all years. The relativities of all states, including Western Australia and the standard state, are then scaled down, to ensure the reduction to relativities resulting from lifting Western Australia’s relativity is shared on an equal per capita basis between all states. </w:t>
                      </w:r>
                    </w:p>
                    <w:p w14:paraId="357D73AA" w14:textId="77777777" w:rsidR="0007132E" w:rsidRPr="00310D9B" w:rsidRDefault="0007132E" w:rsidP="0007132E">
                      <w:r w:rsidRPr="00310D9B">
                        <w:t>As a final step, because Western Australia’s average blended relativity is below the GST relativity floor, it is raised to the 0.75 GST floor.</w:t>
                      </w:r>
                    </w:p>
                    <w:p w14:paraId="5F9D32FC" w14:textId="2DF96B4A" w:rsidR="007E0655" w:rsidRPr="00310D9B" w:rsidRDefault="0007132E" w:rsidP="0007132E">
                      <w:r w:rsidRPr="00310D9B">
                        <w:t>The following diagram illustrates the steps in calculating Western Australia’s GST relativity.</w:t>
                      </w:r>
                    </w:p>
                    <w:p w14:paraId="04F3CDAD" w14:textId="58C5CB76" w:rsidR="00EC6835" w:rsidRPr="00D06DB5" w:rsidRDefault="00247805" w:rsidP="007E6434">
                      <w:pPr>
                        <w:jc w:val="center"/>
                      </w:pPr>
                      <w:r w:rsidRPr="00247805">
                        <w:rPr>
                          <w:noProof/>
                        </w:rPr>
                        <w:drawing>
                          <wp:inline distT="0" distB="0" distL="0" distR="0" wp14:anchorId="0AED08BF" wp14:editId="179847D2">
                            <wp:extent cx="5293039" cy="5873750"/>
                            <wp:effectExtent l="0" t="0" r="3175" b="0"/>
                            <wp:docPr id="25996584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93039" cy="5873750"/>
                                    </a:xfrm>
                                    <a:prstGeom prst="rect">
                                      <a:avLst/>
                                    </a:prstGeom>
                                    <a:noFill/>
                                    <a:ln>
                                      <a:noFill/>
                                    </a:ln>
                                  </pic:spPr>
                                </pic:pic>
                              </a:graphicData>
                            </a:graphic>
                          </wp:inline>
                        </w:drawing>
                      </w:r>
                    </w:p>
                  </w:txbxContent>
                </v:textbox>
                <w10:wrap type="square" anchorx="margin"/>
              </v:shape>
            </w:pict>
          </mc:Fallback>
        </mc:AlternateContent>
      </w:r>
    </w:p>
    <w:p w14:paraId="5A005B3E" w14:textId="5A9FEA40" w:rsidR="00CF129E" w:rsidRPr="00310D9B" w:rsidRDefault="00CF129E" w:rsidP="00CF129E">
      <w:pPr>
        <w:pStyle w:val="Heading3"/>
      </w:pPr>
      <w:bookmarkStart w:id="153" w:name="_Toc127802167"/>
      <w:bookmarkStart w:id="154" w:name="_Toc127804790"/>
      <w:r w:rsidRPr="00310D9B">
        <w:lastRenderedPageBreak/>
        <w:t>Movements in the GST distribution</w:t>
      </w:r>
      <w:bookmarkEnd w:id="153"/>
      <w:bookmarkEnd w:id="154"/>
    </w:p>
    <w:p w14:paraId="5AB93D2D" w14:textId="37B9A7AE" w:rsidR="00CF129E" w:rsidRPr="00310D9B" w:rsidRDefault="00CF129E" w:rsidP="00CF129E">
      <w:r w:rsidRPr="00310D9B">
        <w:t>This section identifies how changes in population shares, the GST pool and GST relativities contributed to the estimated change in GST distribution for 2024</w:t>
      </w:r>
      <w:r w:rsidR="009D5A9F">
        <w:t>–</w:t>
      </w:r>
      <w:r w:rsidRPr="00310D9B">
        <w:t xml:space="preserve">25 (see </w:t>
      </w:r>
      <w:r w:rsidR="002915B7">
        <w:fldChar w:fldCharType="begin"/>
      </w:r>
      <w:r w:rsidR="002915B7">
        <w:instrText xml:space="preserve"> REF _Ref158838048 \h </w:instrText>
      </w:r>
      <w:r w:rsidR="002915B7">
        <w:fldChar w:fldCharType="separate"/>
      </w:r>
      <w:r w:rsidR="00047120" w:rsidRPr="00310D9B">
        <w:t>Table</w:t>
      </w:r>
      <w:r w:rsidR="002915B7">
        <w:fldChar w:fldCharType="end"/>
      </w:r>
      <w:r w:rsidR="00186340">
        <w:t xml:space="preserve"> 1-4</w:t>
      </w:r>
      <w:r w:rsidRPr="00310D9B">
        <w:t>).</w:t>
      </w:r>
    </w:p>
    <w:p w14:paraId="37AA75B3" w14:textId="57FB72BF" w:rsidR="008D32EC" w:rsidRPr="00310D9B" w:rsidRDefault="008D32EC" w:rsidP="0081290F">
      <w:pPr>
        <w:pStyle w:val="CGCTableHead"/>
        <w:ind w:left="1440" w:hanging="1440"/>
      </w:pPr>
      <w:bookmarkStart w:id="155" w:name="Table_1_4"/>
      <w:bookmarkStart w:id="156" w:name="_Ref158838048"/>
      <w:bookmarkEnd w:id="155"/>
      <w:r w:rsidRPr="00310D9B">
        <w:t>Table</w:t>
      </w:r>
      <w:bookmarkEnd w:id="156"/>
      <w:r w:rsidRPr="00310D9B">
        <w:t xml:space="preserve"> 1-4</w:t>
      </w:r>
      <w:r w:rsidRPr="00310D9B">
        <w:tab/>
        <w:t>Change in GST distribution from 2023</w:t>
      </w:r>
      <w:r w:rsidR="009D5A9F">
        <w:t>–</w:t>
      </w:r>
      <w:r w:rsidRPr="00310D9B">
        <w:t>24 to 2024</w:t>
      </w:r>
      <w:r w:rsidR="009D5A9F">
        <w:t>–</w:t>
      </w:r>
      <w:r w:rsidRPr="00310D9B">
        <w:t>25 (excludes no worse off payments)</w:t>
      </w:r>
    </w:p>
    <w:tbl>
      <w:tblPr>
        <w:tblW w:w="8940" w:type="dxa"/>
        <w:tblLook w:val="04A0" w:firstRow="1" w:lastRow="0" w:firstColumn="1" w:lastColumn="0" w:noHBand="0" w:noVBand="1"/>
      </w:tblPr>
      <w:tblGrid>
        <w:gridCol w:w="2500"/>
        <w:gridCol w:w="720"/>
        <w:gridCol w:w="720"/>
        <w:gridCol w:w="720"/>
        <w:gridCol w:w="700"/>
        <w:gridCol w:w="720"/>
        <w:gridCol w:w="700"/>
        <w:gridCol w:w="720"/>
        <w:gridCol w:w="720"/>
        <w:gridCol w:w="720"/>
      </w:tblGrid>
      <w:tr w:rsidR="007C476C" w:rsidRPr="007C476C" w14:paraId="46A2CC0F" w14:textId="77777777" w:rsidTr="007C476C">
        <w:trPr>
          <w:trHeight w:val="379"/>
        </w:trPr>
        <w:tc>
          <w:tcPr>
            <w:tcW w:w="2500" w:type="dxa"/>
            <w:tcBorders>
              <w:top w:val="nil"/>
              <w:left w:val="nil"/>
              <w:bottom w:val="nil"/>
              <w:right w:val="nil"/>
            </w:tcBorders>
            <w:shd w:val="clear" w:color="000000" w:fill="006991"/>
            <w:vAlign w:val="center"/>
            <w:hideMark/>
          </w:tcPr>
          <w:p w14:paraId="1A806F85" w14:textId="77777777" w:rsidR="007C476C" w:rsidRPr="007C476C" w:rsidRDefault="007C476C" w:rsidP="007C476C">
            <w:pPr>
              <w:tabs>
                <w:tab w:val="clear" w:pos="567"/>
              </w:tabs>
              <w:spacing w:before="0" w:line="240" w:lineRule="auto"/>
              <w:rPr>
                <w:rFonts w:ascii="Open Sans Semibold" w:eastAsia="Times New Roman" w:hAnsi="Open Sans Semibold" w:cs="Open Sans Semibold"/>
                <w:color w:val="FFFFFF"/>
                <w:sz w:val="16"/>
                <w:szCs w:val="16"/>
                <w:lang w:eastAsia="en-AU"/>
              </w:rPr>
            </w:pPr>
            <w:r w:rsidRPr="007C476C">
              <w:rPr>
                <w:rFonts w:ascii="Open Sans Semibold" w:eastAsia="Times New Roman" w:hAnsi="Open Sans Semibold" w:cs="Open Sans Semibold"/>
                <w:color w:val="FFFFFF"/>
                <w:sz w:val="16"/>
                <w:szCs w:val="16"/>
                <w:lang w:eastAsia="en-AU"/>
              </w:rPr>
              <w:t> </w:t>
            </w:r>
          </w:p>
        </w:tc>
        <w:tc>
          <w:tcPr>
            <w:tcW w:w="720" w:type="dxa"/>
            <w:tcBorders>
              <w:top w:val="nil"/>
              <w:left w:val="nil"/>
              <w:bottom w:val="nil"/>
              <w:right w:val="nil"/>
            </w:tcBorders>
            <w:shd w:val="clear" w:color="000000" w:fill="006991"/>
            <w:vAlign w:val="center"/>
            <w:hideMark/>
          </w:tcPr>
          <w:p w14:paraId="4C43002E"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476C">
              <w:rPr>
                <w:rFonts w:ascii="Open Sans Semibold" w:eastAsia="Times New Roman" w:hAnsi="Open Sans Semibold" w:cs="Open Sans Semibold"/>
                <w:color w:val="FFFFFF"/>
                <w:sz w:val="16"/>
                <w:szCs w:val="16"/>
                <w:lang w:eastAsia="en-AU"/>
              </w:rPr>
              <w:t>NSW</w:t>
            </w:r>
          </w:p>
        </w:tc>
        <w:tc>
          <w:tcPr>
            <w:tcW w:w="720" w:type="dxa"/>
            <w:tcBorders>
              <w:top w:val="nil"/>
              <w:left w:val="nil"/>
              <w:bottom w:val="nil"/>
              <w:right w:val="nil"/>
            </w:tcBorders>
            <w:shd w:val="clear" w:color="000000" w:fill="006991"/>
            <w:vAlign w:val="center"/>
            <w:hideMark/>
          </w:tcPr>
          <w:p w14:paraId="416ACDC3"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476C">
              <w:rPr>
                <w:rFonts w:ascii="Open Sans Semibold" w:eastAsia="Times New Roman" w:hAnsi="Open Sans Semibold" w:cs="Open Sans Semibold"/>
                <w:color w:val="FFFFFF"/>
                <w:sz w:val="16"/>
                <w:szCs w:val="16"/>
                <w:lang w:eastAsia="en-AU"/>
              </w:rPr>
              <w:t>Vic</w:t>
            </w:r>
          </w:p>
        </w:tc>
        <w:tc>
          <w:tcPr>
            <w:tcW w:w="720" w:type="dxa"/>
            <w:tcBorders>
              <w:top w:val="nil"/>
              <w:left w:val="nil"/>
              <w:bottom w:val="nil"/>
              <w:right w:val="nil"/>
            </w:tcBorders>
            <w:shd w:val="clear" w:color="000000" w:fill="006991"/>
            <w:vAlign w:val="center"/>
            <w:hideMark/>
          </w:tcPr>
          <w:p w14:paraId="39647EA4"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476C">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5F5B3A62"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476C">
              <w:rPr>
                <w:rFonts w:ascii="Open Sans Semibold" w:eastAsia="Times New Roman" w:hAnsi="Open Sans Semibold" w:cs="Open Sans Semibold"/>
                <w:color w:val="FFFFFF"/>
                <w:sz w:val="16"/>
                <w:szCs w:val="16"/>
                <w:lang w:eastAsia="en-AU"/>
              </w:rPr>
              <w:t>WA</w:t>
            </w:r>
          </w:p>
        </w:tc>
        <w:tc>
          <w:tcPr>
            <w:tcW w:w="720" w:type="dxa"/>
            <w:tcBorders>
              <w:top w:val="nil"/>
              <w:left w:val="nil"/>
              <w:bottom w:val="nil"/>
              <w:right w:val="nil"/>
            </w:tcBorders>
            <w:shd w:val="clear" w:color="000000" w:fill="006991"/>
            <w:vAlign w:val="center"/>
            <w:hideMark/>
          </w:tcPr>
          <w:p w14:paraId="49DBB584"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476C">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0CCF62B8"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476C">
              <w:rPr>
                <w:rFonts w:ascii="Open Sans Semibold" w:eastAsia="Times New Roman" w:hAnsi="Open Sans Semibold" w:cs="Open Sans Semibold"/>
                <w:color w:val="FFFFFF"/>
                <w:sz w:val="16"/>
                <w:szCs w:val="16"/>
                <w:lang w:eastAsia="en-AU"/>
              </w:rPr>
              <w:t>Tas</w:t>
            </w:r>
          </w:p>
        </w:tc>
        <w:tc>
          <w:tcPr>
            <w:tcW w:w="720" w:type="dxa"/>
            <w:tcBorders>
              <w:top w:val="nil"/>
              <w:left w:val="nil"/>
              <w:bottom w:val="nil"/>
              <w:right w:val="nil"/>
            </w:tcBorders>
            <w:shd w:val="clear" w:color="000000" w:fill="006991"/>
            <w:vAlign w:val="center"/>
            <w:hideMark/>
          </w:tcPr>
          <w:p w14:paraId="0B0AF78D"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476C">
              <w:rPr>
                <w:rFonts w:ascii="Open Sans Semibold" w:eastAsia="Times New Roman" w:hAnsi="Open Sans Semibold" w:cs="Open Sans Semibold"/>
                <w:color w:val="FFFFFF"/>
                <w:sz w:val="16"/>
                <w:szCs w:val="16"/>
                <w:lang w:eastAsia="en-AU"/>
              </w:rPr>
              <w:t>ACT</w:t>
            </w:r>
          </w:p>
        </w:tc>
        <w:tc>
          <w:tcPr>
            <w:tcW w:w="720" w:type="dxa"/>
            <w:tcBorders>
              <w:top w:val="nil"/>
              <w:left w:val="nil"/>
              <w:bottom w:val="nil"/>
              <w:right w:val="nil"/>
            </w:tcBorders>
            <w:shd w:val="clear" w:color="000000" w:fill="006991"/>
            <w:vAlign w:val="center"/>
            <w:hideMark/>
          </w:tcPr>
          <w:p w14:paraId="3EC7935F"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476C">
              <w:rPr>
                <w:rFonts w:ascii="Open Sans Semibold" w:eastAsia="Times New Roman" w:hAnsi="Open Sans Semibold" w:cs="Open Sans Semibold"/>
                <w:color w:val="FFFFFF"/>
                <w:sz w:val="16"/>
                <w:szCs w:val="16"/>
                <w:lang w:eastAsia="en-AU"/>
              </w:rPr>
              <w:t>NT</w:t>
            </w:r>
          </w:p>
        </w:tc>
        <w:tc>
          <w:tcPr>
            <w:tcW w:w="720" w:type="dxa"/>
            <w:tcBorders>
              <w:top w:val="nil"/>
              <w:left w:val="nil"/>
              <w:bottom w:val="nil"/>
              <w:right w:val="nil"/>
            </w:tcBorders>
            <w:shd w:val="clear" w:color="000000" w:fill="006991"/>
            <w:vAlign w:val="center"/>
            <w:hideMark/>
          </w:tcPr>
          <w:p w14:paraId="096D715E"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C476C">
              <w:rPr>
                <w:rFonts w:ascii="Open Sans Semibold" w:eastAsia="Times New Roman" w:hAnsi="Open Sans Semibold" w:cs="Open Sans Semibold"/>
                <w:color w:val="FFFFFF"/>
                <w:sz w:val="16"/>
                <w:szCs w:val="16"/>
                <w:lang w:eastAsia="en-AU"/>
              </w:rPr>
              <w:t>Total</w:t>
            </w:r>
          </w:p>
        </w:tc>
      </w:tr>
      <w:tr w:rsidR="007C476C" w:rsidRPr="007C476C" w14:paraId="4F4B82AC" w14:textId="77777777" w:rsidTr="007C476C">
        <w:trPr>
          <w:trHeight w:val="259"/>
        </w:trPr>
        <w:tc>
          <w:tcPr>
            <w:tcW w:w="2500" w:type="dxa"/>
            <w:tcBorders>
              <w:top w:val="single" w:sz="4" w:space="0" w:color="ADD6EA"/>
              <w:left w:val="nil"/>
              <w:bottom w:val="nil"/>
              <w:right w:val="nil"/>
            </w:tcBorders>
            <w:shd w:val="clear" w:color="000000" w:fill="B6D5E4"/>
            <w:vAlign w:val="center"/>
            <w:hideMark/>
          </w:tcPr>
          <w:p w14:paraId="6E7B3C07" w14:textId="77777777" w:rsidR="007C476C" w:rsidRPr="007C476C" w:rsidRDefault="007C476C" w:rsidP="007C476C">
            <w:pPr>
              <w:tabs>
                <w:tab w:val="clear" w:pos="567"/>
              </w:tabs>
              <w:spacing w:before="0" w:line="240" w:lineRule="auto"/>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 </w:t>
            </w:r>
          </w:p>
        </w:tc>
        <w:tc>
          <w:tcPr>
            <w:tcW w:w="720" w:type="dxa"/>
            <w:tcBorders>
              <w:top w:val="single" w:sz="4" w:space="0" w:color="ADD6EA"/>
              <w:left w:val="nil"/>
              <w:bottom w:val="nil"/>
              <w:right w:val="nil"/>
            </w:tcBorders>
            <w:shd w:val="clear" w:color="000000" w:fill="B6D5E4"/>
            <w:noWrap/>
            <w:vAlign w:val="center"/>
            <w:hideMark/>
          </w:tcPr>
          <w:p w14:paraId="08BADDEB"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nil"/>
              <w:right w:val="nil"/>
            </w:tcBorders>
            <w:shd w:val="clear" w:color="000000" w:fill="B6D5E4"/>
            <w:noWrap/>
            <w:vAlign w:val="center"/>
            <w:hideMark/>
          </w:tcPr>
          <w:p w14:paraId="03E04024"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nil"/>
              <w:right w:val="nil"/>
            </w:tcBorders>
            <w:shd w:val="clear" w:color="000000" w:fill="B6D5E4"/>
            <w:noWrap/>
            <w:vAlign w:val="center"/>
            <w:hideMark/>
          </w:tcPr>
          <w:p w14:paraId="4D09484B"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78274D52"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nil"/>
              <w:right w:val="nil"/>
            </w:tcBorders>
            <w:shd w:val="clear" w:color="000000" w:fill="B6D5E4"/>
            <w:noWrap/>
            <w:vAlign w:val="center"/>
            <w:hideMark/>
          </w:tcPr>
          <w:p w14:paraId="16CE2818"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7DE4EA5F"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nil"/>
              <w:right w:val="nil"/>
            </w:tcBorders>
            <w:shd w:val="clear" w:color="000000" w:fill="B6D5E4"/>
            <w:noWrap/>
            <w:vAlign w:val="center"/>
            <w:hideMark/>
          </w:tcPr>
          <w:p w14:paraId="52002D8E"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nil"/>
              <w:right w:val="nil"/>
            </w:tcBorders>
            <w:shd w:val="clear" w:color="000000" w:fill="B6D5E4"/>
            <w:noWrap/>
            <w:vAlign w:val="center"/>
            <w:hideMark/>
          </w:tcPr>
          <w:p w14:paraId="6BE081EA"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nil"/>
              <w:right w:val="nil"/>
            </w:tcBorders>
            <w:shd w:val="clear" w:color="000000" w:fill="B6D5E4"/>
            <w:noWrap/>
            <w:vAlign w:val="center"/>
            <w:hideMark/>
          </w:tcPr>
          <w:p w14:paraId="1EE4EC57"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$m</w:t>
            </w:r>
          </w:p>
        </w:tc>
      </w:tr>
      <w:tr w:rsidR="007C476C" w:rsidRPr="007C476C" w14:paraId="55313AFF" w14:textId="77777777" w:rsidTr="007C476C">
        <w:trPr>
          <w:trHeight w:val="315"/>
        </w:trPr>
        <w:tc>
          <w:tcPr>
            <w:tcW w:w="2500" w:type="dxa"/>
            <w:tcBorders>
              <w:top w:val="single" w:sz="4" w:space="0" w:color="ADD6EA"/>
              <w:left w:val="nil"/>
              <w:bottom w:val="nil"/>
              <w:right w:val="nil"/>
            </w:tcBorders>
            <w:shd w:val="clear" w:color="auto" w:fill="auto"/>
            <w:vAlign w:val="center"/>
            <w:hideMark/>
          </w:tcPr>
          <w:p w14:paraId="1EE0DBC0" w14:textId="25A988D1" w:rsidR="007C476C" w:rsidRPr="007C476C" w:rsidRDefault="007C476C" w:rsidP="007C476C">
            <w:pPr>
              <w:tabs>
                <w:tab w:val="clear" w:pos="567"/>
              </w:tabs>
              <w:spacing w:before="0" w:line="240" w:lineRule="auto"/>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Estimated 2023</w:t>
            </w:r>
            <w:r>
              <w:rPr>
                <w:rFonts w:ascii="Open Sans Light" w:eastAsia="Times New Roman" w:hAnsi="Open Sans Light" w:cs="Open Sans Light"/>
                <w:color w:val="000000"/>
                <w:sz w:val="16"/>
                <w:szCs w:val="16"/>
                <w:lang w:eastAsia="en-AU"/>
              </w:rPr>
              <w:t>–</w:t>
            </w:r>
            <w:r w:rsidRPr="007C476C">
              <w:rPr>
                <w:rFonts w:ascii="Open Sans Light" w:eastAsia="Times New Roman" w:hAnsi="Open Sans Light" w:cs="Open Sans Light"/>
                <w:color w:val="000000"/>
                <w:sz w:val="16"/>
                <w:szCs w:val="16"/>
                <w:lang w:eastAsia="en-AU"/>
              </w:rPr>
              <w:t>24 distribution</w:t>
            </w:r>
          </w:p>
        </w:tc>
        <w:tc>
          <w:tcPr>
            <w:tcW w:w="720" w:type="dxa"/>
            <w:tcBorders>
              <w:top w:val="single" w:sz="4" w:space="0" w:color="ADD6EA"/>
              <w:left w:val="nil"/>
              <w:bottom w:val="nil"/>
              <w:right w:val="nil"/>
            </w:tcBorders>
            <w:shd w:val="clear" w:color="auto" w:fill="auto"/>
            <w:vAlign w:val="center"/>
            <w:hideMark/>
          </w:tcPr>
          <w:p w14:paraId="335B115E"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24,535</w:t>
            </w:r>
          </w:p>
        </w:tc>
        <w:tc>
          <w:tcPr>
            <w:tcW w:w="720" w:type="dxa"/>
            <w:tcBorders>
              <w:top w:val="single" w:sz="4" w:space="0" w:color="ADD6EA"/>
              <w:left w:val="nil"/>
              <w:bottom w:val="nil"/>
              <w:right w:val="nil"/>
            </w:tcBorders>
            <w:shd w:val="clear" w:color="auto" w:fill="auto"/>
            <w:vAlign w:val="center"/>
            <w:hideMark/>
          </w:tcPr>
          <w:p w14:paraId="47B61AF7"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18,541</w:t>
            </w:r>
          </w:p>
        </w:tc>
        <w:tc>
          <w:tcPr>
            <w:tcW w:w="720" w:type="dxa"/>
            <w:tcBorders>
              <w:top w:val="single" w:sz="4" w:space="0" w:color="ADD6EA"/>
              <w:left w:val="nil"/>
              <w:bottom w:val="nil"/>
              <w:right w:val="nil"/>
            </w:tcBorders>
            <w:shd w:val="clear" w:color="auto" w:fill="auto"/>
            <w:vAlign w:val="center"/>
            <w:hideMark/>
          </w:tcPr>
          <w:p w14:paraId="30354B13"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17,929</w:t>
            </w:r>
          </w:p>
        </w:tc>
        <w:tc>
          <w:tcPr>
            <w:tcW w:w="700" w:type="dxa"/>
            <w:tcBorders>
              <w:top w:val="single" w:sz="4" w:space="0" w:color="ADD6EA"/>
              <w:left w:val="nil"/>
              <w:bottom w:val="nil"/>
              <w:right w:val="nil"/>
            </w:tcBorders>
            <w:shd w:val="clear" w:color="auto" w:fill="auto"/>
            <w:vAlign w:val="center"/>
            <w:hideMark/>
          </w:tcPr>
          <w:p w14:paraId="078DED79"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6,419</w:t>
            </w:r>
          </w:p>
        </w:tc>
        <w:tc>
          <w:tcPr>
            <w:tcW w:w="720" w:type="dxa"/>
            <w:tcBorders>
              <w:top w:val="single" w:sz="4" w:space="0" w:color="ADD6EA"/>
              <w:left w:val="nil"/>
              <w:bottom w:val="nil"/>
              <w:right w:val="nil"/>
            </w:tcBorders>
            <w:shd w:val="clear" w:color="auto" w:fill="auto"/>
            <w:vAlign w:val="center"/>
            <w:hideMark/>
          </w:tcPr>
          <w:p w14:paraId="6ADBFF11"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8,214</w:t>
            </w:r>
          </w:p>
        </w:tc>
        <w:tc>
          <w:tcPr>
            <w:tcW w:w="700" w:type="dxa"/>
            <w:tcBorders>
              <w:top w:val="single" w:sz="4" w:space="0" w:color="ADD6EA"/>
              <w:left w:val="nil"/>
              <w:bottom w:val="nil"/>
              <w:right w:val="nil"/>
            </w:tcBorders>
            <w:shd w:val="clear" w:color="auto" w:fill="auto"/>
            <w:vAlign w:val="center"/>
            <w:hideMark/>
          </w:tcPr>
          <w:p w14:paraId="14D50D4A"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3,257</w:t>
            </w:r>
          </w:p>
        </w:tc>
        <w:tc>
          <w:tcPr>
            <w:tcW w:w="720" w:type="dxa"/>
            <w:tcBorders>
              <w:top w:val="single" w:sz="4" w:space="0" w:color="ADD6EA"/>
              <w:left w:val="nil"/>
              <w:bottom w:val="nil"/>
              <w:right w:val="nil"/>
            </w:tcBorders>
            <w:shd w:val="clear" w:color="auto" w:fill="auto"/>
            <w:vAlign w:val="center"/>
            <w:hideMark/>
          </w:tcPr>
          <w:p w14:paraId="4C6B88C1"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1,778</w:t>
            </w:r>
          </w:p>
        </w:tc>
        <w:tc>
          <w:tcPr>
            <w:tcW w:w="720" w:type="dxa"/>
            <w:tcBorders>
              <w:top w:val="single" w:sz="4" w:space="0" w:color="ADD6EA"/>
              <w:left w:val="nil"/>
              <w:bottom w:val="nil"/>
              <w:right w:val="nil"/>
            </w:tcBorders>
            <w:shd w:val="clear" w:color="auto" w:fill="auto"/>
            <w:vAlign w:val="center"/>
            <w:hideMark/>
          </w:tcPr>
          <w:p w14:paraId="546A28C8"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4,002</w:t>
            </w:r>
          </w:p>
        </w:tc>
        <w:tc>
          <w:tcPr>
            <w:tcW w:w="720" w:type="dxa"/>
            <w:tcBorders>
              <w:top w:val="single" w:sz="4" w:space="0" w:color="ADD6EA"/>
              <w:left w:val="nil"/>
              <w:bottom w:val="nil"/>
              <w:right w:val="nil"/>
            </w:tcBorders>
            <w:shd w:val="clear" w:color="auto" w:fill="auto"/>
            <w:vAlign w:val="center"/>
            <w:hideMark/>
          </w:tcPr>
          <w:p w14:paraId="07AB643D"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84,675</w:t>
            </w:r>
          </w:p>
        </w:tc>
      </w:tr>
      <w:tr w:rsidR="007C476C" w:rsidRPr="007C476C" w14:paraId="09DC68F4" w14:textId="77777777" w:rsidTr="007C476C">
        <w:trPr>
          <w:trHeight w:val="315"/>
        </w:trPr>
        <w:tc>
          <w:tcPr>
            <w:tcW w:w="2500" w:type="dxa"/>
            <w:tcBorders>
              <w:top w:val="single" w:sz="4" w:space="0" w:color="ADD6EA"/>
              <w:left w:val="nil"/>
              <w:bottom w:val="nil"/>
              <w:right w:val="nil"/>
            </w:tcBorders>
            <w:shd w:val="clear" w:color="auto" w:fill="auto"/>
            <w:vAlign w:val="center"/>
            <w:hideMark/>
          </w:tcPr>
          <w:p w14:paraId="5CB12360" w14:textId="5DDED20E" w:rsidR="007C476C" w:rsidRPr="007C476C" w:rsidRDefault="007C476C" w:rsidP="007C476C">
            <w:pPr>
              <w:tabs>
                <w:tab w:val="clear" w:pos="567"/>
              </w:tabs>
              <w:spacing w:before="0" w:line="240" w:lineRule="auto"/>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Estimated 2024</w:t>
            </w:r>
            <w:r w:rsidR="003F6612">
              <w:rPr>
                <w:rFonts w:ascii="Open Sans Light" w:eastAsia="Times New Roman" w:hAnsi="Open Sans Light" w:cs="Open Sans Light"/>
                <w:color w:val="000000"/>
                <w:sz w:val="16"/>
                <w:szCs w:val="16"/>
                <w:lang w:eastAsia="en-AU"/>
              </w:rPr>
              <w:t>–</w:t>
            </w:r>
            <w:r w:rsidRPr="007C476C">
              <w:rPr>
                <w:rFonts w:ascii="Open Sans Light" w:eastAsia="Times New Roman" w:hAnsi="Open Sans Light" w:cs="Open Sans Light"/>
                <w:color w:val="000000"/>
                <w:sz w:val="16"/>
                <w:szCs w:val="16"/>
                <w:lang w:eastAsia="en-AU"/>
              </w:rPr>
              <w:t>25 distribution</w:t>
            </w:r>
          </w:p>
        </w:tc>
        <w:tc>
          <w:tcPr>
            <w:tcW w:w="720" w:type="dxa"/>
            <w:tcBorders>
              <w:top w:val="single" w:sz="4" w:space="0" w:color="ADD6EA"/>
              <w:left w:val="nil"/>
              <w:bottom w:val="nil"/>
              <w:right w:val="nil"/>
            </w:tcBorders>
            <w:shd w:val="clear" w:color="auto" w:fill="auto"/>
            <w:vAlign w:val="center"/>
            <w:hideMark/>
          </w:tcPr>
          <w:p w14:paraId="12A6F271"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24,224</w:t>
            </w:r>
          </w:p>
        </w:tc>
        <w:tc>
          <w:tcPr>
            <w:tcW w:w="720" w:type="dxa"/>
            <w:tcBorders>
              <w:top w:val="single" w:sz="4" w:space="0" w:color="ADD6EA"/>
              <w:left w:val="nil"/>
              <w:bottom w:val="nil"/>
              <w:right w:val="nil"/>
            </w:tcBorders>
            <w:shd w:val="clear" w:color="auto" w:fill="auto"/>
            <w:vAlign w:val="center"/>
            <w:hideMark/>
          </w:tcPr>
          <w:p w14:paraId="29AFA75A"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22,227</w:t>
            </w:r>
          </w:p>
        </w:tc>
        <w:tc>
          <w:tcPr>
            <w:tcW w:w="720" w:type="dxa"/>
            <w:tcBorders>
              <w:top w:val="single" w:sz="4" w:space="0" w:color="ADD6EA"/>
              <w:left w:val="nil"/>
              <w:bottom w:val="nil"/>
              <w:right w:val="nil"/>
            </w:tcBorders>
            <w:shd w:val="clear" w:color="auto" w:fill="auto"/>
            <w:vAlign w:val="center"/>
            <w:hideMark/>
          </w:tcPr>
          <w:p w14:paraId="52B3FA6A"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17,460</w:t>
            </w:r>
          </w:p>
        </w:tc>
        <w:tc>
          <w:tcPr>
            <w:tcW w:w="700" w:type="dxa"/>
            <w:tcBorders>
              <w:top w:val="single" w:sz="4" w:space="0" w:color="ADD6EA"/>
              <w:left w:val="nil"/>
              <w:bottom w:val="nil"/>
              <w:right w:val="nil"/>
            </w:tcBorders>
            <w:shd w:val="clear" w:color="auto" w:fill="auto"/>
            <w:vAlign w:val="center"/>
            <w:hideMark/>
          </w:tcPr>
          <w:p w14:paraId="5D9AA2BA"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7,257</w:t>
            </w:r>
          </w:p>
        </w:tc>
        <w:tc>
          <w:tcPr>
            <w:tcW w:w="720" w:type="dxa"/>
            <w:tcBorders>
              <w:top w:val="single" w:sz="4" w:space="0" w:color="ADD6EA"/>
              <w:left w:val="nil"/>
              <w:bottom w:val="nil"/>
              <w:right w:val="nil"/>
            </w:tcBorders>
            <w:shd w:val="clear" w:color="auto" w:fill="auto"/>
            <w:vAlign w:val="center"/>
            <w:hideMark/>
          </w:tcPr>
          <w:p w14:paraId="10619AD5"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8,671</w:t>
            </w:r>
          </w:p>
        </w:tc>
        <w:tc>
          <w:tcPr>
            <w:tcW w:w="700" w:type="dxa"/>
            <w:tcBorders>
              <w:top w:val="single" w:sz="4" w:space="0" w:color="ADD6EA"/>
              <w:left w:val="nil"/>
              <w:bottom w:val="nil"/>
              <w:right w:val="nil"/>
            </w:tcBorders>
            <w:shd w:val="clear" w:color="auto" w:fill="auto"/>
            <w:vAlign w:val="center"/>
            <w:hideMark/>
          </w:tcPr>
          <w:p w14:paraId="0B7D8804"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3,476</w:t>
            </w:r>
          </w:p>
        </w:tc>
        <w:tc>
          <w:tcPr>
            <w:tcW w:w="720" w:type="dxa"/>
            <w:tcBorders>
              <w:top w:val="single" w:sz="4" w:space="0" w:color="ADD6EA"/>
              <w:left w:val="nil"/>
              <w:bottom w:val="nil"/>
              <w:right w:val="nil"/>
            </w:tcBorders>
            <w:shd w:val="clear" w:color="auto" w:fill="auto"/>
            <w:vAlign w:val="center"/>
            <w:hideMark/>
          </w:tcPr>
          <w:p w14:paraId="69D7C27D"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1,889</w:t>
            </w:r>
          </w:p>
        </w:tc>
        <w:tc>
          <w:tcPr>
            <w:tcW w:w="720" w:type="dxa"/>
            <w:tcBorders>
              <w:top w:val="single" w:sz="4" w:space="0" w:color="ADD6EA"/>
              <w:left w:val="nil"/>
              <w:bottom w:val="nil"/>
              <w:right w:val="nil"/>
            </w:tcBorders>
            <w:shd w:val="clear" w:color="auto" w:fill="auto"/>
            <w:vAlign w:val="center"/>
            <w:hideMark/>
          </w:tcPr>
          <w:p w14:paraId="154D28BA"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4,257</w:t>
            </w:r>
          </w:p>
        </w:tc>
        <w:tc>
          <w:tcPr>
            <w:tcW w:w="720" w:type="dxa"/>
            <w:tcBorders>
              <w:top w:val="single" w:sz="4" w:space="0" w:color="ADD6EA"/>
              <w:left w:val="nil"/>
              <w:bottom w:val="nil"/>
              <w:right w:val="nil"/>
            </w:tcBorders>
            <w:shd w:val="clear" w:color="auto" w:fill="auto"/>
            <w:vAlign w:val="center"/>
            <w:hideMark/>
          </w:tcPr>
          <w:p w14:paraId="4C202FF3"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89,462</w:t>
            </w:r>
          </w:p>
        </w:tc>
      </w:tr>
      <w:tr w:rsidR="007C476C" w:rsidRPr="007C476C" w14:paraId="59469E5A" w14:textId="77777777" w:rsidTr="007C476C">
        <w:trPr>
          <w:trHeight w:val="315"/>
        </w:trPr>
        <w:tc>
          <w:tcPr>
            <w:tcW w:w="2500" w:type="dxa"/>
            <w:tcBorders>
              <w:top w:val="single" w:sz="4" w:space="0" w:color="ADD6EA"/>
              <w:left w:val="nil"/>
              <w:bottom w:val="nil"/>
              <w:right w:val="nil"/>
            </w:tcBorders>
            <w:shd w:val="clear" w:color="auto" w:fill="auto"/>
            <w:vAlign w:val="center"/>
            <w:hideMark/>
          </w:tcPr>
          <w:p w14:paraId="67B30CCA" w14:textId="77777777" w:rsidR="007C476C" w:rsidRPr="007C476C" w:rsidRDefault="007C476C" w:rsidP="007C476C">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Change</w:t>
            </w:r>
          </w:p>
        </w:tc>
        <w:tc>
          <w:tcPr>
            <w:tcW w:w="720" w:type="dxa"/>
            <w:tcBorders>
              <w:top w:val="single" w:sz="4" w:space="0" w:color="ADD6EA"/>
              <w:left w:val="nil"/>
              <w:bottom w:val="nil"/>
              <w:right w:val="nil"/>
            </w:tcBorders>
            <w:shd w:val="clear" w:color="auto" w:fill="auto"/>
            <w:noWrap/>
            <w:vAlign w:val="center"/>
            <w:hideMark/>
          </w:tcPr>
          <w:p w14:paraId="5AFE8B68"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-310</w:t>
            </w:r>
          </w:p>
        </w:tc>
        <w:tc>
          <w:tcPr>
            <w:tcW w:w="720" w:type="dxa"/>
            <w:tcBorders>
              <w:top w:val="single" w:sz="4" w:space="0" w:color="ADD6EA"/>
              <w:left w:val="nil"/>
              <w:bottom w:val="nil"/>
              <w:right w:val="nil"/>
            </w:tcBorders>
            <w:shd w:val="clear" w:color="auto" w:fill="auto"/>
            <w:noWrap/>
            <w:vAlign w:val="center"/>
            <w:hideMark/>
          </w:tcPr>
          <w:p w14:paraId="7236EF71"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3,686</w:t>
            </w:r>
          </w:p>
        </w:tc>
        <w:tc>
          <w:tcPr>
            <w:tcW w:w="720" w:type="dxa"/>
            <w:tcBorders>
              <w:top w:val="single" w:sz="4" w:space="0" w:color="ADD6EA"/>
              <w:left w:val="nil"/>
              <w:bottom w:val="nil"/>
              <w:right w:val="nil"/>
            </w:tcBorders>
            <w:shd w:val="clear" w:color="auto" w:fill="auto"/>
            <w:noWrap/>
            <w:vAlign w:val="center"/>
            <w:hideMark/>
          </w:tcPr>
          <w:p w14:paraId="408CBA03"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-469</w:t>
            </w:r>
          </w:p>
        </w:tc>
        <w:tc>
          <w:tcPr>
            <w:tcW w:w="700" w:type="dxa"/>
            <w:tcBorders>
              <w:top w:val="single" w:sz="4" w:space="0" w:color="ADD6EA"/>
              <w:left w:val="nil"/>
              <w:bottom w:val="nil"/>
              <w:right w:val="nil"/>
            </w:tcBorders>
            <w:shd w:val="clear" w:color="auto" w:fill="auto"/>
            <w:noWrap/>
            <w:vAlign w:val="center"/>
            <w:hideMark/>
          </w:tcPr>
          <w:p w14:paraId="71C8D795"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838</w:t>
            </w:r>
          </w:p>
        </w:tc>
        <w:tc>
          <w:tcPr>
            <w:tcW w:w="720" w:type="dxa"/>
            <w:tcBorders>
              <w:top w:val="single" w:sz="4" w:space="0" w:color="ADD6EA"/>
              <w:left w:val="nil"/>
              <w:bottom w:val="nil"/>
              <w:right w:val="nil"/>
            </w:tcBorders>
            <w:shd w:val="clear" w:color="auto" w:fill="auto"/>
            <w:noWrap/>
            <w:vAlign w:val="center"/>
            <w:hideMark/>
          </w:tcPr>
          <w:p w14:paraId="41036ECF"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457</w:t>
            </w:r>
          </w:p>
        </w:tc>
        <w:tc>
          <w:tcPr>
            <w:tcW w:w="700" w:type="dxa"/>
            <w:tcBorders>
              <w:top w:val="single" w:sz="4" w:space="0" w:color="ADD6EA"/>
              <w:left w:val="nil"/>
              <w:bottom w:val="nil"/>
              <w:right w:val="nil"/>
            </w:tcBorders>
            <w:shd w:val="clear" w:color="auto" w:fill="auto"/>
            <w:noWrap/>
            <w:vAlign w:val="center"/>
            <w:hideMark/>
          </w:tcPr>
          <w:p w14:paraId="3BBEC275"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219</w:t>
            </w:r>
          </w:p>
        </w:tc>
        <w:tc>
          <w:tcPr>
            <w:tcW w:w="720" w:type="dxa"/>
            <w:tcBorders>
              <w:top w:val="single" w:sz="4" w:space="0" w:color="ADD6EA"/>
              <w:left w:val="nil"/>
              <w:bottom w:val="nil"/>
              <w:right w:val="nil"/>
            </w:tcBorders>
            <w:shd w:val="clear" w:color="auto" w:fill="auto"/>
            <w:noWrap/>
            <w:vAlign w:val="center"/>
            <w:hideMark/>
          </w:tcPr>
          <w:p w14:paraId="2036D261"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111</w:t>
            </w:r>
          </w:p>
        </w:tc>
        <w:tc>
          <w:tcPr>
            <w:tcW w:w="720" w:type="dxa"/>
            <w:tcBorders>
              <w:top w:val="single" w:sz="4" w:space="0" w:color="ADD6EA"/>
              <w:left w:val="nil"/>
              <w:bottom w:val="nil"/>
              <w:right w:val="nil"/>
            </w:tcBorders>
            <w:shd w:val="clear" w:color="auto" w:fill="auto"/>
            <w:noWrap/>
            <w:vAlign w:val="center"/>
            <w:hideMark/>
          </w:tcPr>
          <w:p w14:paraId="72319ED7"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256</w:t>
            </w:r>
          </w:p>
        </w:tc>
        <w:tc>
          <w:tcPr>
            <w:tcW w:w="720" w:type="dxa"/>
            <w:tcBorders>
              <w:top w:val="single" w:sz="4" w:space="0" w:color="ADD6EA"/>
              <w:left w:val="nil"/>
              <w:bottom w:val="nil"/>
              <w:right w:val="nil"/>
            </w:tcBorders>
            <w:shd w:val="clear" w:color="auto" w:fill="auto"/>
            <w:noWrap/>
            <w:vAlign w:val="center"/>
            <w:hideMark/>
          </w:tcPr>
          <w:p w14:paraId="74A78282"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4,787</w:t>
            </w:r>
          </w:p>
        </w:tc>
      </w:tr>
      <w:tr w:rsidR="007C476C" w:rsidRPr="007C476C" w14:paraId="44A11A65" w14:textId="77777777" w:rsidTr="007C476C">
        <w:trPr>
          <w:trHeight w:val="315"/>
        </w:trPr>
        <w:tc>
          <w:tcPr>
            <w:tcW w:w="2500" w:type="dxa"/>
            <w:tcBorders>
              <w:top w:val="single" w:sz="4" w:space="0" w:color="ADD6EA"/>
              <w:left w:val="nil"/>
              <w:bottom w:val="nil"/>
              <w:right w:val="nil"/>
            </w:tcBorders>
            <w:shd w:val="clear" w:color="auto" w:fill="auto"/>
            <w:vAlign w:val="center"/>
            <w:hideMark/>
          </w:tcPr>
          <w:p w14:paraId="0535B68B" w14:textId="77777777" w:rsidR="007C476C" w:rsidRPr="007C476C" w:rsidRDefault="007C476C" w:rsidP="007C476C">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Change caused by new:</w:t>
            </w:r>
          </w:p>
        </w:tc>
        <w:tc>
          <w:tcPr>
            <w:tcW w:w="720" w:type="dxa"/>
            <w:tcBorders>
              <w:top w:val="single" w:sz="4" w:space="0" w:color="ADD6EA"/>
              <w:left w:val="nil"/>
              <w:bottom w:val="nil"/>
              <w:right w:val="nil"/>
            </w:tcBorders>
            <w:shd w:val="clear" w:color="auto" w:fill="auto"/>
            <w:noWrap/>
            <w:vAlign w:val="center"/>
            <w:hideMark/>
          </w:tcPr>
          <w:p w14:paraId="78A8AFC9"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 </w:t>
            </w:r>
          </w:p>
        </w:tc>
        <w:tc>
          <w:tcPr>
            <w:tcW w:w="720" w:type="dxa"/>
            <w:tcBorders>
              <w:top w:val="single" w:sz="4" w:space="0" w:color="ADD6EA"/>
              <w:left w:val="nil"/>
              <w:bottom w:val="nil"/>
              <w:right w:val="nil"/>
            </w:tcBorders>
            <w:shd w:val="clear" w:color="auto" w:fill="auto"/>
            <w:noWrap/>
            <w:vAlign w:val="center"/>
            <w:hideMark/>
          </w:tcPr>
          <w:p w14:paraId="7A6CA22F"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 </w:t>
            </w:r>
          </w:p>
        </w:tc>
        <w:tc>
          <w:tcPr>
            <w:tcW w:w="720" w:type="dxa"/>
            <w:tcBorders>
              <w:top w:val="single" w:sz="4" w:space="0" w:color="ADD6EA"/>
              <w:left w:val="nil"/>
              <w:bottom w:val="nil"/>
              <w:right w:val="nil"/>
            </w:tcBorders>
            <w:shd w:val="clear" w:color="auto" w:fill="auto"/>
            <w:noWrap/>
            <w:vAlign w:val="center"/>
            <w:hideMark/>
          </w:tcPr>
          <w:p w14:paraId="3496E221"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center"/>
            <w:hideMark/>
          </w:tcPr>
          <w:p w14:paraId="1B6DEBF9"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 </w:t>
            </w:r>
          </w:p>
        </w:tc>
        <w:tc>
          <w:tcPr>
            <w:tcW w:w="720" w:type="dxa"/>
            <w:tcBorders>
              <w:top w:val="single" w:sz="4" w:space="0" w:color="ADD6EA"/>
              <w:left w:val="nil"/>
              <w:bottom w:val="nil"/>
              <w:right w:val="nil"/>
            </w:tcBorders>
            <w:shd w:val="clear" w:color="auto" w:fill="auto"/>
            <w:noWrap/>
            <w:vAlign w:val="center"/>
            <w:hideMark/>
          </w:tcPr>
          <w:p w14:paraId="63027D15"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center"/>
            <w:hideMark/>
          </w:tcPr>
          <w:p w14:paraId="71856F5C"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 </w:t>
            </w:r>
          </w:p>
        </w:tc>
        <w:tc>
          <w:tcPr>
            <w:tcW w:w="720" w:type="dxa"/>
            <w:tcBorders>
              <w:top w:val="single" w:sz="4" w:space="0" w:color="ADD6EA"/>
              <w:left w:val="nil"/>
              <w:bottom w:val="nil"/>
              <w:right w:val="nil"/>
            </w:tcBorders>
            <w:shd w:val="clear" w:color="auto" w:fill="auto"/>
            <w:noWrap/>
            <w:vAlign w:val="center"/>
            <w:hideMark/>
          </w:tcPr>
          <w:p w14:paraId="270E095F"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 </w:t>
            </w:r>
          </w:p>
        </w:tc>
        <w:tc>
          <w:tcPr>
            <w:tcW w:w="720" w:type="dxa"/>
            <w:tcBorders>
              <w:top w:val="single" w:sz="4" w:space="0" w:color="ADD6EA"/>
              <w:left w:val="nil"/>
              <w:bottom w:val="nil"/>
              <w:right w:val="nil"/>
            </w:tcBorders>
            <w:shd w:val="clear" w:color="auto" w:fill="auto"/>
            <w:noWrap/>
            <w:vAlign w:val="center"/>
            <w:hideMark/>
          </w:tcPr>
          <w:p w14:paraId="608A392F"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 </w:t>
            </w:r>
          </w:p>
        </w:tc>
        <w:tc>
          <w:tcPr>
            <w:tcW w:w="720" w:type="dxa"/>
            <w:tcBorders>
              <w:top w:val="single" w:sz="4" w:space="0" w:color="ADD6EA"/>
              <w:left w:val="nil"/>
              <w:bottom w:val="nil"/>
              <w:right w:val="nil"/>
            </w:tcBorders>
            <w:shd w:val="clear" w:color="auto" w:fill="auto"/>
            <w:noWrap/>
            <w:vAlign w:val="center"/>
            <w:hideMark/>
          </w:tcPr>
          <w:p w14:paraId="31C09857"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 </w:t>
            </w:r>
          </w:p>
        </w:tc>
      </w:tr>
      <w:tr w:rsidR="007C476C" w:rsidRPr="007C476C" w14:paraId="1BFF5718" w14:textId="77777777" w:rsidTr="007C476C">
        <w:trPr>
          <w:trHeight w:val="315"/>
        </w:trPr>
        <w:tc>
          <w:tcPr>
            <w:tcW w:w="2500" w:type="dxa"/>
            <w:tcBorders>
              <w:top w:val="single" w:sz="4" w:space="0" w:color="ADD6EA"/>
              <w:left w:val="nil"/>
              <w:bottom w:val="nil"/>
              <w:right w:val="nil"/>
            </w:tcBorders>
            <w:shd w:val="clear" w:color="auto" w:fill="auto"/>
            <w:vAlign w:val="center"/>
            <w:hideMark/>
          </w:tcPr>
          <w:p w14:paraId="737E77E5" w14:textId="77777777" w:rsidR="007C476C" w:rsidRPr="007C476C" w:rsidRDefault="007C476C" w:rsidP="007C476C">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Population (a)</w:t>
            </w:r>
          </w:p>
        </w:tc>
        <w:tc>
          <w:tcPr>
            <w:tcW w:w="720" w:type="dxa"/>
            <w:tcBorders>
              <w:top w:val="single" w:sz="4" w:space="0" w:color="ADD6EA"/>
              <w:left w:val="nil"/>
              <w:bottom w:val="nil"/>
              <w:right w:val="nil"/>
            </w:tcBorders>
            <w:shd w:val="clear" w:color="auto" w:fill="auto"/>
            <w:noWrap/>
            <w:vAlign w:val="center"/>
            <w:hideMark/>
          </w:tcPr>
          <w:p w14:paraId="55CA78E9"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-44</w:t>
            </w:r>
          </w:p>
        </w:tc>
        <w:tc>
          <w:tcPr>
            <w:tcW w:w="720" w:type="dxa"/>
            <w:tcBorders>
              <w:top w:val="single" w:sz="4" w:space="0" w:color="ADD6EA"/>
              <w:left w:val="nil"/>
              <w:bottom w:val="nil"/>
              <w:right w:val="nil"/>
            </w:tcBorders>
            <w:shd w:val="clear" w:color="auto" w:fill="auto"/>
            <w:noWrap/>
            <w:vAlign w:val="center"/>
            <w:hideMark/>
          </w:tcPr>
          <w:p w14:paraId="538D7210"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85</w:t>
            </w:r>
          </w:p>
        </w:tc>
        <w:tc>
          <w:tcPr>
            <w:tcW w:w="720" w:type="dxa"/>
            <w:tcBorders>
              <w:top w:val="single" w:sz="4" w:space="0" w:color="ADD6EA"/>
              <w:left w:val="nil"/>
              <w:bottom w:val="nil"/>
              <w:right w:val="nil"/>
            </w:tcBorders>
            <w:shd w:val="clear" w:color="auto" w:fill="auto"/>
            <w:noWrap/>
            <w:vAlign w:val="center"/>
            <w:hideMark/>
          </w:tcPr>
          <w:p w14:paraId="745DAD78"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23</w:t>
            </w:r>
          </w:p>
        </w:tc>
        <w:tc>
          <w:tcPr>
            <w:tcW w:w="700" w:type="dxa"/>
            <w:tcBorders>
              <w:top w:val="single" w:sz="4" w:space="0" w:color="ADD6EA"/>
              <w:left w:val="nil"/>
              <w:bottom w:val="nil"/>
              <w:right w:val="nil"/>
            </w:tcBorders>
            <w:shd w:val="clear" w:color="auto" w:fill="auto"/>
            <w:noWrap/>
            <w:vAlign w:val="center"/>
            <w:hideMark/>
          </w:tcPr>
          <w:p w14:paraId="48D4D6BE"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12</w:t>
            </w:r>
          </w:p>
        </w:tc>
        <w:tc>
          <w:tcPr>
            <w:tcW w:w="720" w:type="dxa"/>
            <w:tcBorders>
              <w:top w:val="single" w:sz="4" w:space="0" w:color="ADD6EA"/>
              <w:left w:val="nil"/>
              <w:bottom w:val="nil"/>
              <w:right w:val="nil"/>
            </w:tcBorders>
            <w:shd w:val="clear" w:color="auto" w:fill="auto"/>
            <w:noWrap/>
            <w:vAlign w:val="center"/>
            <w:hideMark/>
          </w:tcPr>
          <w:p w14:paraId="283F247F"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-31</w:t>
            </w:r>
          </w:p>
        </w:tc>
        <w:tc>
          <w:tcPr>
            <w:tcW w:w="700" w:type="dxa"/>
            <w:tcBorders>
              <w:top w:val="single" w:sz="4" w:space="0" w:color="ADD6EA"/>
              <w:left w:val="nil"/>
              <w:bottom w:val="nil"/>
              <w:right w:val="nil"/>
            </w:tcBorders>
            <w:shd w:val="clear" w:color="auto" w:fill="auto"/>
            <w:noWrap/>
            <w:vAlign w:val="center"/>
            <w:hideMark/>
          </w:tcPr>
          <w:p w14:paraId="1967DE14"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-24</w:t>
            </w:r>
          </w:p>
        </w:tc>
        <w:tc>
          <w:tcPr>
            <w:tcW w:w="720" w:type="dxa"/>
            <w:tcBorders>
              <w:top w:val="single" w:sz="4" w:space="0" w:color="ADD6EA"/>
              <w:left w:val="nil"/>
              <w:bottom w:val="nil"/>
              <w:right w:val="nil"/>
            </w:tcBorders>
            <w:shd w:val="clear" w:color="auto" w:fill="auto"/>
            <w:noWrap/>
            <w:vAlign w:val="center"/>
            <w:hideMark/>
          </w:tcPr>
          <w:p w14:paraId="40BF52BF"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3</w:t>
            </w:r>
          </w:p>
        </w:tc>
        <w:tc>
          <w:tcPr>
            <w:tcW w:w="720" w:type="dxa"/>
            <w:tcBorders>
              <w:top w:val="single" w:sz="4" w:space="0" w:color="ADD6EA"/>
              <w:left w:val="nil"/>
              <w:bottom w:val="nil"/>
              <w:right w:val="nil"/>
            </w:tcBorders>
            <w:shd w:val="clear" w:color="auto" w:fill="auto"/>
            <w:noWrap/>
            <w:vAlign w:val="center"/>
            <w:hideMark/>
          </w:tcPr>
          <w:p w14:paraId="06D64D0C"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-23</w:t>
            </w:r>
          </w:p>
        </w:tc>
        <w:tc>
          <w:tcPr>
            <w:tcW w:w="720" w:type="dxa"/>
            <w:tcBorders>
              <w:top w:val="single" w:sz="4" w:space="0" w:color="ADD6EA"/>
              <w:left w:val="nil"/>
              <w:bottom w:val="nil"/>
              <w:right w:val="nil"/>
            </w:tcBorders>
            <w:shd w:val="clear" w:color="auto" w:fill="auto"/>
            <w:noWrap/>
            <w:vAlign w:val="center"/>
            <w:hideMark/>
          </w:tcPr>
          <w:p w14:paraId="665668CC"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0</w:t>
            </w:r>
          </w:p>
        </w:tc>
      </w:tr>
      <w:tr w:rsidR="007C476C" w:rsidRPr="007C476C" w14:paraId="6E7CA48C" w14:textId="77777777" w:rsidTr="007C476C">
        <w:trPr>
          <w:trHeight w:val="315"/>
        </w:trPr>
        <w:tc>
          <w:tcPr>
            <w:tcW w:w="2500" w:type="dxa"/>
            <w:tcBorders>
              <w:top w:val="single" w:sz="4" w:space="0" w:color="ADD6EA"/>
              <w:left w:val="nil"/>
              <w:bottom w:val="nil"/>
              <w:right w:val="nil"/>
            </w:tcBorders>
            <w:shd w:val="clear" w:color="auto" w:fill="auto"/>
            <w:vAlign w:val="center"/>
            <w:hideMark/>
          </w:tcPr>
          <w:p w14:paraId="2DBCE64C" w14:textId="77777777" w:rsidR="007C476C" w:rsidRPr="007C476C" w:rsidRDefault="007C476C" w:rsidP="007C476C">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Pool (b)</w:t>
            </w:r>
          </w:p>
        </w:tc>
        <w:tc>
          <w:tcPr>
            <w:tcW w:w="720" w:type="dxa"/>
            <w:tcBorders>
              <w:top w:val="single" w:sz="4" w:space="0" w:color="ADD6EA"/>
              <w:left w:val="nil"/>
              <w:bottom w:val="nil"/>
              <w:right w:val="nil"/>
            </w:tcBorders>
            <w:shd w:val="clear" w:color="auto" w:fill="auto"/>
            <w:noWrap/>
            <w:vAlign w:val="center"/>
            <w:hideMark/>
          </w:tcPr>
          <w:p w14:paraId="42DBBC63"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1,384</w:t>
            </w:r>
          </w:p>
        </w:tc>
        <w:tc>
          <w:tcPr>
            <w:tcW w:w="720" w:type="dxa"/>
            <w:tcBorders>
              <w:top w:val="single" w:sz="4" w:space="0" w:color="ADD6EA"/>
              <w:left w:val="nil"/>
              <w:bottom w:val="nil"/>
              <w:right w:val="nil"/>
            </w:tcBorders>
            <w:shd w:val="clear" w:color="auto" w:fill="auto"/>
            <w:noWrap/>
            <w:vAlign w:val="center"/>
            <w:hideMark/>
          </w:tcPr>
          <w:p w14:paraId="02D70673"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1,053</w:t>
            </w:r>
          </w:p>
        </w:tc>
        <w:tc>
          <w:tcPr>
            <w:tcW w:w="720" w:type="dxa"/>
            <w:tcBorders>
              <w:top w:val="single" w:sz="4" w:space="0" w:color="ADD6EA"/>
              <w:left w:val="nil"/>
              <w:bottom w:val="nil"/>
              <w:right w:val="nil"/>
            </w:tcBorders>
            <w:shd w:val="clear" w:color="auto" w:fill="auto"/>
            <w:noWrap/>
            <w:vAlign w:val="center"/>
            <w:hideMark/>
          </w:tcPr>
          <w:p w14:paraId="0E1F0D26"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1,015</w:t>
            </w:r>
          </w:p>
        </w:tc>
        <w:tc>
          <w:tcPr>
            <w:tcW w:w="700" w:type="dxa"/>
            <w:tcBorders>
              <w:top w:val="single" w:sz="4" w:space="0" w:color="ADD6EA"/>
              <w:left w:val="nil"/>
              <w:bottom w:val="nil"/>
              <w:right w:val="nil"/>
            </w:tcBorders>
            <w:shd w:val="clear" w:color="auto" w:fill="auto"/>
            <w:noWrap/>
            <w:vAlign w:val="center"/>
            <w:hideMark/>
          </w:tcPr>
          <w:p w14:paraId="58481417"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364</w:t>
            </w:r>
          </w:p>
        </w:tc>
        <w:tc>
          <w:tcPr>
            <w:tcW w:w="720" w:type="dxa"/>
            <w:tcBorders>
              <w:top w:val="single" w:sz="4" w:space="0" w:color="ADD6EA"/>
              <w:left w:val="nil"/>
              <w:bottom w:val="nil"/>
              <w:right w:val="nil"/>
            </w:tcBorders>
            <w:shd w:val="clear" w:color="auto" w:fill="auto"/>
            <w:noWrap/>
            <w:vAlign w:val="center"/>
            <w:hideMark/>
          </w:tcPr>
          <w:p w14:paraId="6037AA6B"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463</w:t>
            </w:r>
          </w:p>
        </w:tc>
        <w:tc>
          <w:tcPr>
            <w:tcW w:w="700" w:type="dxa"/>
            <w:tcBorders>
              <w:top w:val="single" w:sz="4" w:space="0" w:color="ADD6EA"/>
              <w:left w:val="nil"/>
              <w:bottom w:val="nil"/>
              <w:right w:val="nil"/>
            </w:tcBorders>
            <w:shd w:val="clear" w:color="auto" w:fill="auto"/>
            <w:noWrap/>
            <w:vAlign w:val="center"/>
            <w:hideMark/>
          </w:tcPr>
          <w:p w14:paraId="5291B292"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183</w:t>
            </w:r>
          </w:p>
        </w:tc>
        <w:tc>
          <w:tcPr>
            <w:tcW w:w="720" w:type="dxa"/>
            <w:tcBorders>
              <w:top w:val="single" w:sz="4" w:space="0" w:color="ADD6EA"/>
              <w:left w:val="nil"/>
              <w:bottom w:val="nil"/>
              <w:right w:val="nil"/>
            </w:tcBorders>
            <w:shd w:val="clear" w:color="auto" w:fill="auto"/>
            <w:noWrap/>
            <w:vAlign w:val="center"/>
            <w:hideMark/>
          </w:tcPr>
          <w:p w14:paraId="3A7C73DD"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101</w:t>
            </w:r>
          </w:p>
        </w:tc>
        <w:tc>
          <w:tcPr>
            <w:tcW w:w="720" w:type="dxa"/>
            <w:tcBorders>
              <w:top w:val="single" w:sz="4" w:space="0" w:color="ADD6EA"/>
              <w:left w:val="nil"/>
              <w:bottom w:val="nil"/>
              <w:right w:val="nil"/>
            </w:tcBorders>
            <w:shd w:val="clear" w:color="auto" w:fill="auto"/>
            <w:noWrap/>
            <w:vAlign w:val="center"/>
            <w:hideMark/>
          </w:tcPr>
          <w:p w14:paraId="5375C38B"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225</w:t>
            </w:r>
          </w:p>
        </w:tc>
        <w:tc>
          <w:tcPr>
            <w:tcW w:w="720" w:type="dxa"/>
            <w:tcBorders>
              <w:top w:val="single" w:sz="4" w:space="0" w:color="ADD6EA"/>
              <w:left w:val="nil"/>
              <w:bottom w:val="nil"/>
              <w:right w:val="nil"/>
            </w:tcBorders>
            <w:shd w:val="clear" w:color="auto" w:fill="auto"/>
            <w:noWrap/>
            <w:vAlign w:val="center"/>
            <w:hideMark/>
          </w:tcPr>
          <w:p w14:paraId="67DB98AA"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4,787</w:t>
            </w:r>
          </w:p>
        </w:tc>
      </w:tr>
      <w:tr w:rsidR="007C476C" w:rsidRPr="007C476C" w14:paraId="63919E97" w14:textId="77777777" w:rsidTr="007C476C">
        <w:trPr>
          <w:trHeight w:val="315"/>
        </w:trPr>
        <w:tc>
          <w:tcPr>
            <w:tcW w:w="2500" w:type="dxa"/>
            <w:tcBorders>
              <w:top w:val="single" w:sz="4" w:space="0" w:color="ADD6EA"/>
              <w:left w:val="nil"/>
              <w:bottom w:val="nil"/>
              <w:right w:val="nil"/>
            </w:tcBorders>
            <w:shd w:val="clear" w:color="auto" w:fill="auto"/>
            <w:vAlign w:val="center"/>
            <w:hideMark/>
          </w:tcPr>
          <w:p w14:paraId="3EC17330" w14:textId="77777777" w:rsidR="007C476C" w:rsidRPr="007C476C" w:rsidRDefault="007C476C" w:rsidP="007C476C">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GST relativities (c)</w:t>
            </w:r>
          </w:p>
        </w:tc>
        <w:tc>
          <w:tcPr>
            <w:tcW w:w="720" w:type="dxa"/>
            <w:tcBorders>
              <w:top w:val="single" w:sz="4" w:space="0" w:color="ADD6EA"/>
              <w:left w:val="nil"/>
              <w:bottom w:val="nil"/>
              <w:right w:val="nil"/>
            </w:tcBorders>
            <w:shd w:val="clear" w:color="auto" w:fill="auto"/>
            <w:noWrap/>
            <w:vAlign w:val="center"/>
            <w:hideMark/>
          </w:tcPr>
          <w:p w14:paraId="1E6CDAAC"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-1,650</w:t>
            </w:r>
          </w:p>
        </w:tc>
        <w:tc>
          <w:tcPr>
            <w:tcW w:w="720" w:type="dxa"/>
            <w:tcBorders>
              <w:top w:val="single" w:sz="4" w:space="0" w:color="ADD6EA"/>
              <w:left w:val="nil"/>
              <w:bottom w:val="nil"/>
              <w:right w:val="nil"/>
            </w:tcBorders>
            <w:shd w:val="clear" w:color="auto" w:fill="auto"/>
            <w:noWrap/>
            <w:vAlign w:val="center"/>
            <w:hideMark/>
          </w:tcPr>
          <w:p w14:paraId="510DB0FB"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2,548</w:t>
            </w:r>
          </w:p>
        </w:tc>
        <w:tc>
          <w:tcPr>
            <w:tcW w:w="720" w:type="dxa"/>
            <w:tcBorders>
              <w:top w:val="single" w:sz="4" w:space="0" w:color="ADD6EA"/>
              <w:left w:val="nil"/>
              <w:bottom w:val="nil"/>
              <w:right w:val="nil"/>
            </w:tcBorders>
            <w:shd w:val="clear" w:color="auto" w:fill="auto"/>
            <w:noWrap/>
            <w:vAlign w:val="center"/>
            <w:hideMark/>
          </w:tcPr>
          <w:p w14:paraId="154B6561"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-1,506</w:t>
            </w:r>
          </w:p>
        </w:tc>
        <w:tc>
          <w:tcPr>
            <w:tcW w:w="700" w:type="dxa"/>
            <w:tcBorders>
              <w:top w:val="single" w:sz="4" w:space="0" w:color="ADD6EA"/>
              <w:left w:val="nil"/>
              <w:bottom w:val="nil"/>
              <w:right w:val="nil"/>
            </w:tcBorders>
            <w:shd w:val="clear" w:color="auto" w:fill="auto"/>
            <w:noWrap/>
            <w:vAlign w:val="center"/>
            <w:hideMark/>
          </w:tcPr>
          <w:p w14:paraId="087CE5B3"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462</w:t>
            </w:r>
          </w:p>
        </w:tc>
        <w:tc>
          <w:tcPr>
            <w:tcW w:w="720" w:type="dxa"/>
            <w:tcBorders>
              <w:top w:val="single" w:sz="4" w:space="0" w:color="ADD6EA"/>
              <w:left w:val="nil"/>
              <w:bottom w:val="nil"/>
              <w:right w:val="nil"/>
            </w:tcBorders>
            <w:shd w:val="clear" w:color="auto" w:fill="auto"/>
            <w:noWrap/>
            <w:vAlign w:val="center"/>
            <w:hideMark/>
          </w:tcPr>
          <w:p w14:paraId="3A84C4FE"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25</w:t>
            </w:r>
          </w:p>
        </w:tc>
        <w:tc>
          <w:tcPr>
            <w:tcW w:w="700" w:type="dxa"/>
            <w:tcBorders>
              <w:top w:val="single" w:sz="4" w:space="0" w:color="ADD6EA"/>
              <w:left w:val="nil"/>
              <w:bottom w:val="nil"/>
              <w:right w:val="nil"/>
            </w:tcBorders>
            <w:shd w:val="clear" w:color="auto" w:fill="auto"/>
            <w:noWrap/>
            <w:vAlign w:val="center"/>
            <w:hideMark/>
          </w:tcPr>
          <w:p w14:paraId="12860A42"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60</w:t>
            </w:r>
          </w:p>
        </w:tc>
        <w:tc>
          <w:tcPr>
            <w:tcW w:w="720" w:type="dxa"/>
            <w:tcBorders>
              <w:top w:val="single" w:sz="4" w:space="0" w:color="ADD6EA"/>
              <w:left w:val="nil"/>
              <w:bottom w:val="nil"/>
              <w:right w:val="nil"/>
            </w:tcBorders>
            <w:shd w:val="clear" w:color="auto" w:fill="auto"/>
            <w:noWrap/>
            <w:vAlign w:val="center"/>
            <w:hideMark/>
          </w:tcPr>
          <w:p w14:paraId="3B44527B"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8</w:t>
            </w:r>
          </w:p>
        </w:tc>
        <w:tc>
          <w:tcPr>
            <w:tcW w:w="720" w:type="dxa"/>
            <w:tcBorders>
              <w:top w:val="single" w:sz="4" w:space="0" w:color="ADD6EA"/>
              <w:left w:val="nil"/>
              <w:bottom w:val="nil"/>
              <w:right w:val="nil"/>
            </w:tcBorders>
            <w:shd w:val="clear" w:color="auto" w:fill="auto"/>
            <w:noWrap/>
            <w:vAlign w:val="center"/>
            <w:hideMark/>
          </w:tcPr>
          <w:p w14:paraId="471CFD9E"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53</w:t>
            </w:r>
          </w:p>
        </w:tc>
        <w:tc>
          <w:tcPr>
            <w:tcW w:w="720" w:type="dxa"/>
            <w:tcBorders>
              <w:top w:val="single" w:sz="4" w:space="0" w:color="ADD6EA"/>
              <w:left w:val="nil"/>
              <w:bottom w:val="nil"/>
              <w:right w:val="nil"/>
            </w:tcBorders>
            <w:shd w:val="clear" w:color="auto" w:fill="auto"/>
            <w:noWrap/>
            <w:vAlign w:val="center"/>
            <w:hideMark/>
          </w:tcPr>
          <w:p w14:paraId="3E3A746F" w14:textId="77777777" w:rsidR="007C476C" w:rsidRPr="007C476C" w:rsidRDefault="007C476C" w:rsidP="007C476C">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7C476C">
              <w:rPr>
                <w:rFonts w:ascii="Open Sans Light" w:eastAsia="Times New Roman" w:hAnsi="Open Sans Light" w:cs="Open Sans Light"/>
                <w:color w:val="000000"/>
                <w:sz w:val="16"/>
                <w:szCs w:val="16"/>
                <w:lang w:eastAsia="en-AU"/>
              </w:rPr>
              <w:t>0</w:t>
            </w:r>
          </w:p>
        </w:tc>
      </w:tr>
      <w:tr w:rsidR="007C476C" w:rsidRPr="007C476C" w14:paraId="4E85D700" w14:textId="77777777" w:rsidTr="007C476C">
        <w:trPr>
          <w:trHeight w:val="315"/>
        </w:trPr>
        <w:tc>
          <w:tcPr>
            <w:tcW w:w="2500" w:type="dxa"/>
            <w:tcBorders>
              <w:top w:val="single" w:sz="4" w:space="0" w:color="ADD6EA"/>
              <w:left w:val="nil"/>
              <w:bottom w:val="nil"/>
              <w:right w:val="nil"/>
            </w:tcBorders>
            <w:shd w:val="clear" w:color="000000" w:fill="D6E7F0"/>
            <w:vAlign w:val="center"/>
            <w:hideMark/>
          </w:tcPr>
          <w:p w14:paraId="647DDFA5" w14:textId="77777777" w:rsidR="007C476C" w:rsidRPr="007C476C" w:rsidRDefault="007C476C" w:rsidP="007C476C">
            <w:pPr>
              <w:tabs>
                <w:tab w:val="clear" w:pos="567"/>
              </w:tabs>
              <w:spacing w:before="0" w:line="240" w:lineRule="auto"/>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Change ($m)</w:t>
            </w:r>
          </w:p>
        </w:tc>
        <w:tc>
          <w:tcPr>
            <w:tcW w:w="720" w:type="dxa"/>
            <w:tcBorders>
              <w:top w:val="single" w:sz="4" w:space="0" w:color="ADD6EA"/>
              <w:left w:val="nil"/>
              <w:bottom w:val="nil"/>
              <w:right w:val="nil"/>
            </w:tcBorders>
            <w:shd w:val="clear" w:color="000000" w:fill="D6E7F0"/>
            <w:noWrap/>
            <w:vAlign w:val="center"/>
            <w:hideMark/>
          </w:tcPr>
          <w:p w14:paraId="4BF9A025"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-310</w:t>
            </w:r>
          </w:p>
        </w:tc>
        <w:tc>
          <w:tcPr>
            <w:tcW w:w="720" w:type="dxa"/>
            <w:tcBorders>
              <w:top w:val="single" w:sz="4" w:space="0" w:color="ADD6EA"/>
              <w:left w:val="nil"/>
              <w:bottom w:val="nil"/>
              <w:right w:val="nil"/>
            </w:tcBorders>
            <w:shd w:val="clear" w:color="000000" w:fill="D6E7F0"/>
            <w:noWrap/>
            <w:vAlign w:val="center"/>
            <w:hideMark/>
          </w:tcPr>
          <w:p w14:paraId="4281982A"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3,686</w:t>
            </w:r>
          </w:p>
        </w:tc>
        <w:tc>
          <w:tcPr>
            <w:tcW w:w="720" w:type="dxa"/>
            <w:tcBorders>
              <w:top w:val="single" w:sz="4" w:space="0" w:color="ADD6EA"/>
              <w:left w:val="nil"/>
              <w:bottom w:val="nil"/>
              <w:right w:val="nil"/>
            </w:tcBorders>
            <w:shd w:val="clear" w:color="000000" w:fill="D6E7F0"/>
            <w:noWrap/>
            <w:vAlign w:val="center"/>
            <w:hideMark/>
          </w:tcPr>
          <w:p w14:paraId="00B74C3E"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-469</w:t>
            </w:r>
          </w:p>
        </w:tc>
        <w:tc>
          <w:tcPr>
            <w:tcW w:w="700" w:type="dxa"/>
            <w:tcBorders>
              <w:top w:val="single" w:sz="4" w:space="0" w:color="ADD6EA"/>
              <w:left w:val="nil"/>
              <w:bottom w:val="nil"/>
              <w:right w:val="nil"/>
            </w:tcBorders>
            <w:shd w:val="clear" w:color="000000" w:fill="D6E7F0"/>
            <w:noWrap/>
            <w:vAlign w:val="center"/>
            <w:hideMark/>
          </w:tcPr>
          <w:p w14:paraId="12F496DB"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838</w:t>
            </w:r>
          </w:p>
        </w:tc>
        <w:tc>
          <w:tcPr>
            <w:tcW w:w="720" w:type="dxa"/>
            <w:tcBorders>
              <w:top w:val="single" w:sz="4" w:space="0" w:color="ADD6EA"/>
              <w:left w:val="nil"/>
              <w:bottom w:val="nil"/>
              <w:right w:val="nil"/>
            </w:tcBorders>
            <w:shd w:val="clear" w:color="000000" w:fill="D6E7F0"/>
            <w:noWrap/>
            <w:vAlign w:val="center"/>
            <w:hideMark/>
          </w:tcPr>
          <w:p w14:paraId="4C4C091B"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457</w:t>
            </w:r>
          </w:p>
        </w:tc>
        <w:tc>
          <w:tcPr>
            <w:tcW w:w="700" w:type="dxa"/>
            <w:tcBorders>
              <w:top w:val="single" w:sz="4" w:space="0" w:color="ADD6EA"/>
              <w:left w:val="nil"/>
              <w:bottom w:val="nil"/>
              <w:right w:val="nil"/>
            </w:tcBorders>
            <w:shd w:val="clear" w:color="000000" w:fill="D6E7F0"/>
            <w:noWrap/>
            <w:vAlign w:val="center"/>
            <w:hideMark/>
          </w:tcPr>
          <w:p w14:paraId="1C0622F8"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219</w:t>
            </w:r>
          </w:p>
        </w:tc>
        <w:tc>
          <w:tcPr>
            <w:tcW w:w="720" w:type="dxa"/>
            <w:tcBorders>
              <w:top w:val="single" w:sz="4" w:space="0" w:color="ADD6EA"/>
              <w:left w:val="nil"/>
              <w:bottom w:val="nil"/>
              <w:right w:val="nil"/>
            </w:tcBorders>
            <w:shd w:val="clear" w:color="000000" w:fill="D6E7F0"/>
            <w:noWrap/>
            <w:vAlign w:val="center"/>
            <w:hideMark/>
          </w:tcPr>
          <w:p w14:paraId="32785145"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111</w:t>
            </w:r>
          </w:p>
        </w:tc>
        <w:tc>
          <w:tcPr>
            <w:tcW w:w="720" w:type="dxa"/>
            <w:tcBorders>
              <w:top w:val="single" w:sz="4" w:space="0" w:color="ADD6EA"/>
              <w:left w:val="nil"/>
              <w:bottom w:val="nil"/>
              <w:right w:val="nil"/>
            </w:tcBorders>
            <w:shd w:val="clear" w:color="000000" w:fill="D6E7F0"/>
            <w:noWrap/>
            <w:vAlign w:val="center"/>
            <w:hideMark/>
          </w:tcPr>
          <w:p w14:paraId="4CD2A15A"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256</w:t>
            </w:r>
          </w:p>
        </w:tc>
        <w:tc>
          <w:tcPr>
            <w:tcW w:w="720" w:type="dxa"/>
            <w:tcBorders>
              <w:top w:val="single" w:sz="4" w:space="0" w:color="ADD6EA"/>
              <w:left w:val="nil"/>
              <w:bottom w:val="nil"/>
              <w:right w:val="nil"/>
            </w:tcBorders>
            <w:shd w:val="clear" w:color="000000" w:fill="D6E7F0"/>
            <w:noWrap/>
            <w:vAlign w:val="center"/>
            <w:hideMark/>
          </w:tcPr>
          <w:p w14:paraId="4784D901"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4,787</w:t>
            </w:r>
          </w:p>
        </w:tc>
      </w:tr>
      <w:tr w:rsidR="007C476C" w:rsidRPr="007C476C" w14:paraId="2D9CC56E" w14:textId="77777777" w:rsidTr="007C476C">
        <w:trPr>
          <w:trHeight w:val="315"/>
        </w:trPr>
        <w:tc>
          <w:tcPr>
            <w:tcW w:w="2500" w:type="dxa"/>
            <w:tcBorders>
              <w:top w:val="single" w:sz="4" w:space="0" w:color="ADD6EA"/>
              <w:left w:val="nil"/>
              <w:bottom w:val="single" w:sz="4" w:space="0" w:color="ADD6EA"/>
              <w:right w:val="nil"/>
            </w:tcBorders>
            <w:shd w:val="clear" w:color="000000" w:fill="D6E7F0"/>
            <w:vAlign w:val="center"/>
            <w:hideMark/>
          </w:tcPr>
          <w:p w14:paraId="7F95FA75" w14:textId="77777777" w:rsidR="007C476C" w:rsidRPr="007C476C" w:rsidRDefault="007C476C" w:rsidP="007C476C">
            <w:pPr>
              <w:tabs>
                <w:tab w:val="clear" w:pos="567"/>
              </w:tabs>
              <w:spacing w:before="0" w:line="240" w:lineRule="auto"/>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Change ($pc)</w:t>
            </w:r>
          </w:p>
        </w:tc>
        <w:tc>
          <w:tcPr>
            <w:tcW w:w="720" w:type="dxa"/>
            <w:tcBorders>
              <w:top w:val="single" w:sz="4" w:space="0" w:color="ADD6EA"/>
              <w:left w:val="nil"/>
              <w:bottom w:val="single" w:sz="4" w:space="0" w:color="ADD6EA"/>
              <w:right w:val="nil"/>
            </w:tcBorders>
            <w:shd w:val="clear" w:color="000000" w:fill="D6E7F0"/>
            <w:noWrap/>
            <w:vAlign w:val="center"/>
            <w:hideMark/>
          </w:tcPr>
          <w:p w14:paraId="37B64414"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-36</w:t>
            </w:r>
          </w:p>
        </w:tc>
        <w:tc>
          <w:tcPr>
            <w:tcW w:w="720" w:type="dxa"/>
            <w:tcBorders>
              <w:top w:val="single" w:sz="4" w:space="0" w:color="ADD6EA"/>
              <w:left w:val="nil"/>
              <w:bottom w:val="single" w:sz="4" w:space="0" w:color="ADD6EA"/>
              <w:right w:val="nil"/>
            </w:tcBorders>
            <w:shd w:val="clear" w:color="000000" w:fill="D6E7F0"/>
            <w:noWrap/>
            <w:vAlign w:val="center"/>
            <w:hideMark/>
          </w:tcPr>
          <w:p w14:paraId="665E8A8E"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524</w:t>
            </w:r>
          </w:p>
        </w:tc>
        <w:tc>
          <w:tcPr>
            <w:tcW w:w="720" w:type="dxa"/>
            <w:tcBorders>
              <w:top w:val="single" w:sz="4" w:space="0" w:color="ADD6EA"/>
              <w:left w:val="nil"/>
              <w:bottom w:val="single" w:sz="4" w:space="0" w:color="ADD6EA"/>
              <w:right w:val="nil"/>
            </w:tcBorders>
            <w:shd w:val="clear" w:color="000000" w:fill="D6E7F0"/>
            <w:noWrap/>
            <w:vAlign w:val="center"/>
            <w:hideMark/>
          </w:tcPr>
          <w:p w14:paraId="53F65AE0"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-84</w:t>
            </w:r>
          </w:p>
        </w:tc>
        <w:tc>
          <w:tcPr>
            <w:tcW w:w="700" w:type="dxa"/>
            <w:tcBorders>
              <w:top w:val="single" w:sz="4" w:space="0" w:color="ADD6EA"/>
              <w:left w:val="nil"/>
              <w:bottom w:val="single" w:sz="4" w:space="0" w:color="ADD6EA"/>
              <w:right w:val="nil"/>
            </w:tcBorders>
            <w:shd w:val="clear" w:color="000000" w:fill="D6E7F0"/>
            <w:noWrap/>
            <w:vAlign w:val="center"/>
            <w:hideMark/>
          </w:tcPr>
          <w:p w14:paraId="2D0935CB"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283</w:t>
            </w:r>
          </w:p>
        </w:tc>
        <w:tc>
          <w:tcPr>
            <w:tcW w:w="720" w:type="dxa"/>
            <w:tcBorders>
              <w:top w:val="single" w:sz="4" w:space="0" w:color="ADD6EA"/>
              <w:left w:val="nil"/>
              <w:bottom w:val="single" w:sz="4" w:space="0" w:color="ADD6EA"/>
              <w:right w:val="nil"/>
            </w:tcBorders>
            <w:shd w:val="clear" w:color="000000" w:fill="D6E7F0"/>
            <w:noWrap/>
            <w:vAlign w:val="center"/>
            <w:hideMark/>
          </w:tcPr>
          <w:p w14:paraId="55616E3C"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242</w:t>
            </w:r>
          </w:p>
        </w:tc>
        <w:tc>
          <w:tcPr>
            <w:tcW w:w="700" w:type="dxa"/>
            <w:tcBorders>
              <w:top w:val="single" w:sz="4" w:space="0" w:color="ADD6EA"/>
              <w:left w:val="nil"/>
              <w:bottom w:val="single" w:sz="4" w:space="0" w:color="ADD6EA"/>
              <w:right w:val="nil"/>
            </w:tcBorders>
            <w:shd w:val="clear" w:color="000000" w:fill="D6E7F0"/>
            <w:noWrap/>
            <w:vAlign w:val="center"/>
            <w:hideMark/>
          </w:tcPr>
          <w:p w14:paraId="15CEC433"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377</w:t>
            </w:r>
          </w:p>
        </w:tc>
        <w:tc>
          <w:tcPr>
            <w:tcW w:w="720" w:type="dxa"/>
            <w:tcBorders>
              <w:top w:val="single" w:sz="4" w:space="0" w:color="ADD6EA"/>
              <w:left w:val="nil"/>
              <w:bottom w:val="single" w:sz="4" w:space="0" w:color="ADD6EA"/>
              <w:right w:val="nil"/>
            </w:tcBorders>
            <w:shd w:val="clear" w:color="000000" w:fill="D6E7F0"/>
            <w:noWrap/>
            <w:vAlign w:val="center"/>
            <w:hideMark/>
          </w:tcPr>
          <w:p w14:paraId="3849882F"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231</w:t>
            </w:r>
          </w:p>
        </w:tc>
        <w:tc>
          <w:tcPr>
            <w:tcW w:w="720" w:type="dxa"/>
            <w:tcBorders>
              <w:top w:val="single" w:sz="4" w:space="0" w:color="ADD6EA"/>
              <w:left w:val="nil"/>
              <w:bottom w:val="single" w:sz="4" w:space="0" w:color="ADD6EA"/>
              <w:right w:val="nil"/>
            </w:tcBorders>
            <w:shd w:val="clear" w:color="000000" w:fill="D6E7F0"/>
            <w:noWrap/>
            <w:vAlign w:val="center"/>
            <w:hideMark/>
          </w:tcPr>
          <w:p w14:paraId="77FA3AA1"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995</w:t>
            </w:r>
          </w:p>
        </w:tc>
        <w:tc>
          <w:tcPr>
            <w:tcW w:w="720" w:type="dxa"/>
            <w:tcBorders>
              <w:top w:val="single" w:sz="4" w:space="0" w:color="ADD6EA"/>
              <w:left w:val="nil"/>
              <w:bottom w:val="single" w:sz="4" w:space="0" w:color="ADD6EA"/>
              <w:right w:val="nil"/>
            </w:tcBorders>
            <w:shd w:val="clear" w:color="000000" w:fill="D6E7F0"/>
            <w:noWrap/>
            <w:vAlign w:val="center"/>
            <w:hideMark/>
          </w:tcPr>
          <w:p w14:paraId="55A81E3C" w14:textId="77777777" w:rsidR="007C476C" w:rsidRPr="007C476C" w:rsidRDefault="007C476C" w:rsidP="007C476C">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7C476C">
              <w:rPr>
                <w:rFonts w:ascii="Open Sans Semibold" w:eastAsia="Times New Roman" w:hAnsi="Open Sans Semibold" w:cs="Open Sans Semibold"/>
                <w:color w:val="000000"/>
                <w:sz w:val="16"/>
                <w:szCs w:val="16"/>
                <w:lang w:eastAsia="en-AU"/>
              </w:rPr>
              <w:t>175</w:t>
            </w:r>
          </w:p>
        </w:tc>
      </w:tr>
    </w:tbl>
    <w:p w14:paraId="1F7B6A29" w14:textId="249E8F2D" w:rsidR="008D32EC" w:rsidRPr="00310D9B" w:rsidRDefault="008D32EC" w:rsidP="008D32EC">
      <w:pPr>
        <w:pStyle w:val="Tablefootnote"/>
        <w:numPr>
          <w:ilvl w:val="0"/>
          <w:numId w:val="23"/>
        </w:numPr>
      </w:pPr>
      <w:r w:rsidRPr="00310D9B">
        <w:t>Effects on the distribution of 2023</w:t>
      </w:r>
      <w:r w:rsidR="006C7CB3">
        <w:t>–</w:t>
      </w:r>
      <w:r w:rsidRPr="00310D9B">
        <w:t>24</w:t>
      </w:r>
      <w:r w:rsidR="00AC3896">
        <w:t> </w:t>
      </w:r>
      <w:r w:rsidRPr="00310D9B">
        <w:t xml:space="preserve">GST pool of using estimated state populations as </w:t>
      </w:r>
      <w:proofErr w:type="gramStart"/>
      <w:r w:rsidRPr="00310D9B">
        <w:t>at</w:t>
      </w:r>
      <w:proofErr w:type="gramEnd"/>
      <w:r w:rsidRPr="00310D9B">
        <w:t xml:space="preserve"> December 2024 instead of December 2023, with 2023 Update relativities.</w:t>
      </w:r>
    </w:p>
    <w:p w14:paraId="5CA46B74" w14:textId="5D79B142" w:rsidR="008D32EC" w:rsidRPr="00310D9B" w:rsidRDefault="008D32EC" w:rsidP="008D32EC">
      <w:pPr>
        <w:pStyle w:val="Tablefootnote"/>
        <w:numPr>
          <w:ilvl w:val="0"/>
          <w:numId w:val="23"/>
        </w:numPr>
      </w:pPr>
      <w:r w:rsidRPr="00310D9B">
        <w:t>Effects of applying the 2023 Update relativities to the estimated 2024</w:t>
      </w:r>
      <w:r w:rsidR="00AC3896">
        <w:t>–</w:t>
      </w:r>
      <w:r w:rsidRPr="00310D9B">
        <w:t>25 GST pool.</w:t>
      </w:r>
    </w:p>
    <w:p w14:paraId="2ABB22B3" w14:textId="402D998C" w:rsidR="008D32EC" w:rsidRPr="00310D9B" w:rsidRDefault="008D32EC" w:rsidP="008D32EC">
      <w:pPr>
        <w:pStyle w:val="Tablefootnote"/>
        <w:numPr>
          <w:ilvl w:val="0"/>
          <w:numId w:val="23"/>
        </w:numPr>
      </w:pPr>
      <w:r w:rsidRPr="00310D9B">
        <w:t>Effects on the distribution of the 2024</w:t>
      </w:r>
      <w:r w:rsidR="006C7CB3">
        <w:t>–</w:t>
      </w:r>
      <w:r w:rsidRPr="00310D9B">
        <w:t>25 GST pool of using the 2024 Update relativities instead of 2023 Update relativities.</w:t>
      </w:r>
    </w:p>
    <w:p w14:paraId="682EF388" w14:textId="0D7D48BF" w:rsidR="008D32EC" w:rsidRPr="00310D9B" w:rsidRDefault="008D32EC" w:rsidP="008D32EC">
      <w:pPr>
        <w:pStyle w:val="Tablefootnote"/>
        <w:ind w:left="709" w:hanging="596"/>
        <w:rPr>
          <w:highlight w:val="yellow"/>
        </w:rPr>
      </w:pPr>
      <w:r w:rsidRPr="00310D9B">
        <w:t>Source: 2023</w:t>
      </w:r>
      <w:r w:rsidR="00F55DA7">
        <w:t>–</w:t>
      </w:r>
      <w:r w:rsidRPr="00310D9B">
        <w:t>24 GST and 2024</w:t>
      </w:r>
      <w:r w:rsidR="00F55DA7">
        <w:t>–</w:t>
      </w:r>
      <w:r w:rsidRPr="00310D9B">
        <w:t xml:space="preserve">25 pool estimates were taken from the </w:t>
      </w:r>
      <w:r w:rsidRPr="005F19FE">
        <w:rPr>
          <w:i/>
          <w:iCs/>
        </w:rPr>
        <w:t>Mid</w:t>
      </w:r>
      <w:r w:rsidRPr="005F19FE">
        <w:rPr>
          <w:i/>
          <w:iCs/>
        </w:rPr>
        <w:noBreakHyphen/>
        <w:t>year Economic and Fiscal Outlook 2023</w:t>
      </w:r>
      <w:r w:rsidR="00F55DA7">
        <w:rPr>
          <w:i/>
          <w:iCs/>
        </w:rPr>
        <w:t>–</w:t>
      </w:r>
      <w:r w:rsidRPr="005F19FE">
        <w:rPr>
          <w:i/>
          <w:iCs/>
        </w:rPr>
        <w:t>24</w:t>
      </w:r>
      <w:r w:rsidRPr="00310D9B">
        <w:t>. December 2023 and 2024</w:t>
      </w:r>
      <w:r w:rsidR="002424A2">
        <w:t> </w:t>
      </w:r>
      <w:r w:rsidRPr="00310D9B">
        <w:t xml:space="preserve">population estimates were provided by the </w:t>
      </w:r>
      <w:r w:rsidR="007831BA">
        <w:t>Commonwealth</w:t>
      </w:r>
      <w:r w:rsidR="007831BA" w:rsidRPr="00310D9B">
        <w:t xml:space="preserve"> </w:t>
      </w:r>
      <w:r w:rsidRPr="00310D9B">
        <w:t>Treasury from the same source.</w:t>
      </w:r>
    </w:p>
    <w:p w14:paraId="62EEA2A9" w14:textId="2B653FFE" w:rsidR="009D0714" w:rsidRPr="00310D9B" w:rsidRDefault="009D0714" w:rsidP="009D0714">
      <w:r w:rsidRPr="00310D9B">
        <w:t>Changes in estimated GST payments between 2023</w:t>
      </w:r>
      <w:r w:rsidR="00A6256E">
        <w:t>–</w:t>
      </w:r>
      <w:r w:rsidRPr="00310D9B">
        <w:t>24 and 2024</w:t>
      </w:r>
      <w:r w:rsidR="00A6256E">
        <w:t>–</w:t>
      </w:r>
      <w:r w:rsidRPr="00310D9B">
        <w:t>25 are driven by a combination of growth in the GST pool, changes in state population shares and changes in GST relativities.</w:t>
      </w:r>
    </w:p>
    <w:p w14:paraId="77E3098E" w14:textId="3502600F" w:rsidR="009D0714" w:rsidRPr="00310D9B" w:rsidRDefault="009D0714" w:rsidP="004A7F95">
      <w:pPr>
        <w:pStyle w:val="BulletPoints"/>
      </w:pPr>
      <w:r w:rsidRPr="00310D9B">
        <w:t>The estimated 2024</w:t>
      </w:r>
      <w:r w:rsidR="00A6256E">
        <w:t>–</w:t>
      </w:r>
      <w:r w:rsidRPr="00310D9B">
        <w:t xml:space="preserve">25 GST distribution is based on the Commonwealth </w:t>
      </w:r>
      <w:hyperlink r:id="rId34" w:history="1">
        <w:r w:rsidRPr="00CA33AE">
          <w:rPr>
            <w:rStyle w:val="Hyperlink"/>
            <w:i/>
            <w:color w:val="auto"/>
          </w:rPr>
          <w:t>Mid</w:t>
        </w:r>
        <w:r w:rsidRPr="00CA33AE">
          <w:rPr>
            <w:rStyle w:val="Hyperlink"/>
            <w:i/>
            <w:color w:val="auto"/>
          </w:rPr>
          <w:noBreakHyphen/>
          <w:t>year Economic and Fiscal Outlook 2023</w:t>
        </w:r>
        <w:r w:rsidR="00A6256E" w:rsidRPr="00CA33AE">
          <w:rPr>
            <w:rStyle w:val="Hyperlink"/>
            <w:i/>
            <w:iCs/>
            <w:color w:val="auto"/>
          </w:rPr>
          <w:t>–</w:t>
        </w:r>
        <w:r w:rsidRPr="00CA33AE">
          <w:rPr>
            <w:rStyle w:val="Hyperlink"/>
            <w:i/>
            <w:color w:val="auto"/>
          </w:rPr>
          <w:t>24</w:t>
        </w:r>
      </w:hyperlink>
      <w:r w:rsidRPr="00310D9B">
        <w:t xml:space="preserve"> estimates of state populations for 2024</w:t>
      </w:r>
      <w:r w:rsidR="00A6256E">
        <w:t>–</w:t>
      </w:r>
      <w:r w:rsidRPr="00310D9B">
        <w:t>25, which reflect forecast population changes between 2023</w:t>
      </w:r>
      <w:r w:rsidR="00A6256E">
        <w:t>–</w:t>
      </w:r>
      <w:r w:rsidRPr="00310D9B">
        <w:t>24 and 2024</w:t>
      </w:r>
      <w:r w:rsidR="00A6256E">
        <w:t>–</w:t>
      </w:r>
      <w:r w:rsidR="00AC4E30">
        <w:rPr>
          <w:rFonts w:ascii="Times New Roman" w:hAnsi="Times New Roman" w:cs="Times New Roman" w:hint="eastAsia"/>
          <w:rtl/>
        </w:rPr>
        <w:t>‍</w:t>
      </w:r>
      <w:r w:rsidRPr="00310D9B">
        <w:t>25.</w:t>
      </w:r>
    </w:p>
    <w:p w14:paraId="5BF27675" w14:textId="004DEFDE" w:rsidR="009D0714" w:rsidRPr="00310D9B" w:rsidRDefault="009D0714" w:rsidP="004A7F95">
      <w:pPr>
        <w:pStyle w:val="BulletPoints-Level2"/>
      </w:pPr>
      <w:r w:rsidRPr="00310D9B">
        <w:t xml:space="preserve">Slower forecast population growth between these </w:t>
      </w:r>
      <w:r w:rsidR="09E6047A">
        <w:t>years</w:t>
      </w:r>
      <w:r w:rsidR="00274E9F">
        <w:t xml:space="preserve"> </w:t>
      </w:r>
      <w:r w:rsidRPr="00310D9B">
        <w:t xml:space="preserve">in New South Wales, South Australia, </w:t>
      </w:r>
      <w:proofErr w:type="gramStart"/>
      <w:r w:rsidRPr="00310D9B">
        <w:t>Tasmania</w:t>
      </w:r>
      <w:proofErr w:type="gramEnd"/>
      <w:r w:rsidRPr="00310D9B">
        <w:t xml:space="preserve"> and the Northern Territory reduced their estimated GST payments. </w:t>
      </w:r>
      <w:r w:rsidR="00497F56">
        <w:t>F</w:t>
      </w:r>
      <w:r w:rsidRPr="00310D9B">
        <w:t xml:space="preserve">aster projected population growth in Victoria, Queensland, Western </w:t>
      </w:r>
      <w:proofErr w:type="gramStart"/>
      <w:r w:rsidRPr="00310D9B">
        <w:t>Australia</w:t>
      </w:r>
      <w:proofErr w:type="gramEnd"/>
      <w:r w:rsidRPr="00310D9B">
        <w:t xml:space="preserve"> and the ACT increased their estimated GST payments.</w:t>
      </w:r>
    </w:p>
    <w:p w14:paraId="7FB759AA" w14:textId="5C30B2B6" w:rsidR="009D0714" w:rsidRPr="00310D9B" w:rsidRDefault="009D0714" w:rsidP="004A7F95">
      <w:pPr>
        <w:pStyle w:val="BulletPoints"/>
      </w:pPr>
      <w:r w:rsidRPr="00310D9B">
        <w:t>The size of the estimated GST pool in 2024</w:t>
      </w:r>
      <w:r w:rsidR="00AC4E30">
        <w:t>–</w:t>
      </w:r>
      <w:r w:rsidRPr="00310D9B">
        <w:t>25 has increased since last year. Growth in the pool is distributed among states using their population shares weighted by their GST relativity.</w:t>
      </w:r>
    </w:p>
    <w:p w14:paraId="37F7D5EE" w14:textId="271ABF50" w:rsidR="009D0714" w:rsidRPr="00310D9B" w:rsidRDefault="009D0714" w:rsidP="004A7F95">
      <w:pPr>
        <w:pStyle w:val="BulletPoints-Level2"/>
      </w:pPr>
      <w:r w:rsidRPr="00310D9B">
        <w:t>All states are expected to benefit from the anticipated growth in the GST pool in 2024</w:t>
      </w:r>
      <w:r w:rsidR="00AC4E30">
        <w:t>–</w:t>
      </w:r>
      <w:r w:rsidRPr="00310D9B">
        <w:t>25. States with a higher relativity, in particular the Northern Territory, but also Tasmania and South Australia, would benefit more (on a per capita basis) than states with a lower relativity.</w:t>
      </w:r>
    </w:p>
    <w:p w14:paraId="39D6D903" w14:textId="049ED55B" w:rsidR="009D0714" w:rsidRPr="00310D9B" w:rsidRDefault="009D0714" w:rsidP="004A7F95">
      <w:pPr>
        <w:pStyle w:val="BulletPoints"/>
      </w:pPr>
      <w:r w:rsidRPr="00310D9B">
        <w:t>The estimated 2024</w:t>
      </w:r>
      <w:r w:rsidR="00944AAB">
        <w:t>–</w:t>
      </w:r>
      <w:r w:rsidRPr="00310D9B">
        <w:t>25 GST distribution is based on the relativities recommended in the 2024 Update, whereas the 2023</w:t>
      </w:r>
      <w:r w:rsidR="00944AAB">
        <w:t>–</w:t>
      </w:r>
      <w:r w:rsidRPr="00310D9B">
        <w:t>24 distribution is based on the 2023 Update relativities.</w:t>
      </w:r>
    </w:p>
    <w:p w14:paraId="025021DC" w14:textId="30B15D37" w:rsidR="009D0714" w:rsidRPr="00310D9B" w:rsidRDefault="009D0714" w:rsidP="004A7F95">
      <w:pPr>
        <w:pStyle w:val="BulletPoints-Level2"/>
      </w:pPr>
      <w:r w:rsidRPr="00310D9B">
        <w:t>The</w:t>
      </w:r>
      <w:r w:rsidRPr="00310D9B" w:rsidDel="00A44747">
        <w:t xml:space="preserve"> </w:t>
      </w:r>
      <w:r w:rsidRPr="00310D9B">
        <w:t>recommended GST relativities for 2024</w:t>
      </w:r>
      <w:r w:rsidR="00944AAB">
        <w:t>–</w:t>
      </w:r>
      <w:r w:rsidRPr="00310D9B">
        <w:t xml:space="preserve">25 would increase the GST payments to Victoria, Western Australia, South Australia, Tasmania, the </w:t>
      </w:r>
      <w:proofErr w:type="gramStart"/>
      <w:r w:rsidRPr="00310D9B">
        <w:t>ACT</w:t>
      </w:r>
      <w:proofErr w:type="gramEnd"/>
      <w:r w:rsidRPr="00310D9B">
        <w:t xml:space="preserve"> and the Northern Territory compared with 2023</w:t>
      </w:r>
      <w:r w:rsidR="00944AAB">
        <w:t>–</w:t>
      </w:r>
      <w:r w:rsidRPr="00310D9B">
        <w:t>24.</w:t>
      </w:r>
    </w:p>
    <w:p w14:paraId="572F9943" w14:textId="32DA749E" w:rsidR="009D0714" w:rsidRPr="00310D9B" w:rsidRDefault="009D0714" w:rsidP="009D0714">
      <w:r w:rsidRPr="00310D9B">
        <w:t xml:space="preserve">Movements in the GST distribution of this magnitude for some states are in keeping with historical trends. </w:t>
      </w:r>
      <w:hyperlink w:anchor="_Attachment_A:_GST" w:history="1">
        <w:r w:rsidRPr="00574D92">
          <w:rPr>
            <w:rStyle w:val="Hyperlink"/>
            <w:color w:val="auto"/>
            <w:u w:val="none"/>
          </w:rPr>
          <w:t>Attachment A</w:t>
        </w:r>
        <w:r w:rsidR="00814052">
          <w:rPr>
            <w:rStyle w:val="Hyperlink"/>
            <w:color w:val="auto"/>
            <w:u w:val="none"/>
          </w:rPr>
          <w:t xml:space="preserve"> </w:t>
        </w:r>
      </w:hyperlink>
      <w:r w:rsidRPr="00310D9B">
        <w:t>provides an analysis of how the GST distribution has changed since the introduction of the GST in 2000</w:t>
      </w:r>
      <w:r w:rsidR="00944AAB">
        <w:t>–</w:t>
      </w:r>
      <w:r w:rsidRPr="00310D9B">
        <w:t xml:space="preserve">01. It shows that state shares of the GST pool can vary over time as their relative fiscal circumstances change. Movement over </w:t>
      </w:r>
      <w:r w:rsidRPr="00310D9B">
        <w:lastRenderedPageBreak/>
        <w:t xml:space="preserve">this </w:t>
      </w:r>
      <w:proofErr w:type="gramStart"/>
      <w:r w:rsidRPr="00310D9B">
        <w:t>time period</w:t>
      </w:r>
      <w:proofErr w:type="gramEnd"/>
      <w:r w:rsidRPr="00310D9B">
        <w:t xml:space="preserve"> has largely been driven by changes in mining royalties and property sales, which were also key drivers of movement in the GST distribution between the 2023 and 2024 </w:t>
      </w:r>
      <w:r w:rsidR="00E95C1C">
        <w:t>u</w:t>
      </w:r>
      <w:r w:rsidRPr="00310D9B">
        <w:t>pdates.</w:t>
      </w:r>
    </w:p>
    <w:p w14:paraId="58177CDA" w14:textId="77777777" w:rsidR="009D0714" w:rsidRPr="00310D9B" w:rsidRDefault="009D0714" w:rsidP="004A7F95">
      <w:pPr>
        <w:pStyle w:val="Heading2"/>
      </w:pPr>
      <w:r w:rsidRPr="00310D9B">
        <w:t xml:space="preserve">Relativities to determine no worse off </w:t>
      </w:r>
      <w:proofErr w:type="gramStart"/>
      <w:r w:rsidRPr="00310D9B">
        <w:t>payments</w:t>
      </w:r>
      <w:proofErr w:type="gramEnd"/>
    </w:p>
    <w:p w14:paraId="181D9C0D" w14:textId="3B4CDF45" w:rsidR="009D0714" w:rsidRPr="00310D9B" w:rsidRDefault="009D0714" w:rsidP="009D0714">
      <w:r w:rsidRPr="00310D9B">
        <w:t>The 2024</w:t>
      </w:r>
      <w:r w:rsidR="003D0150">
        <w:t> </w:t>
      </w:r>
      <w:r w:rsidRPr="00310D9B">
        <w:t>Update Terms of Reference ask the Commission to provide the relativities that would have applied had the 2018</w:t>
      </w:r>
      <w:r w:rsidR="003D0150">
        <w:t> </w:t>
      </w:r>
      <w:r w:rsidRPr="00310D9B">
        <w:t>legislated arrangements not been enacted. These relativities are used by the Commonwealth to determine whether there is a requirement for it to make no worse off payments to a state under the transitional arrangements.</w:t>
      </w:r>
    </w:p>
    <w:p w14:paraId="42F864EE" w14:textId="203620B4" w:rsidR="009D0714" w:rsidRPr="00310D9B" w:rsidRDefault="009D0714" w:rsidP="009D0714">
      <w:r w:rsidRPr="00310D9B">
        <w:t>The no worse off relativities for 2024</w:t>
      </w:r>
      <w:r w:rsidR="003D1FD7">
        <w:t>–</w:t>
      </w:r>
      <w:r w:rsidRPr="00310D9B">
        <w:t xml:space="preserve">25 </w:t>
      </w:r>
      <w:proofErr w:type="gramStart"/>
      <w:r w:rsidRPr="00310D9B">
        <w:t>are</w:t>
      </w:r>
      <w:proofErr w:type="gramEnd"/>
      <w:r w:rsidRPr="00310D9B">
        <w:t xml:space="preserve"> shown in</w:t>
      </w:r>
      <w:r w:rsidR="005D794B">
        <w:fldChar w:fldCharType="begin"/>
      </w:r>
      <w:r w:rsidR="005D794B">
        <w:instrText xml:space="preserve"> REF Table_1_5 \h </w:instrText>
      </w:r>
      <w:r w:rsidR="005D794B">
        <w:fldChar w:fldCharType="separate"/>
      </w:r>
      <w:r w:rsidR="00047120" w:rsidRPr="001B4A01">
        <w:rPr>
          <w:rFonts w:ascii="Open Sans Semibold" w:eastAsia="Times New Roman" w:hAnsi="Open Sans Semibold" w:cs="Open Sans Semibold"/>
          <w:color w:val="FFFFFF"/>
          <w:sz w:val="16"/>
          <w:szCs w:val="16"/>
          <w:lang w:eastAsia="en-AU"/>
        </w:rPr>
        <w:t> </w:t>
      </w:r>
      <w:r w:rsidR="005D794B">
        <w:fldChar w:fldCharType="end"/>
      </w:r>
      <w:r w:rsidR="00752F5C">
        <w:t>Table 1-5.</w:t>
      </w:r>
    </w:p>
    <w:p w14:paraId="354B0693" w14:textId="5C217DA3" w:rsidR="00B940C1" w:rsidRPr="00310D9B" w:rsidRDefault="00B940C1" w:rsidP="00FE7980">
      <w:pPr>
        <w:pStyle w:val="CGCTableHead"/>
      </w:pPr>
      <w:bookmarkStart w:id="157" w:name="_Ref158838080"/>
      <w:r w:rsidRPr="00310D9B">
        <w:t xml:space="preserve">Table </w:t>
      </w:r>
      <w:bookmarkEnd w:id="157"/>
      <w:r w:rsidRPr="00310D9B">
        <w:t xml:space="preserve">1-5 </w:t>
      </w:r>
      <w:r w:rsidRPr="00310D9B">
        <w:tab/>
        <w:t>No worse off relativities, 2024</w:t>
      </w:r>
      <w:r w:rsidR="003D0150">
        <w:t>–</w:t>
      </w:r>
      <w:r w:rsidRPr="00310D9B">
        <w:t>25</w:t>
      </w:r>
    </w:p>
    <w:tbl>
      <w:tblPr>
        <w:tblW w:w="8933" w:type="dxa"/>
        <w:tblLook w:val="04A0" w:firstRow="1" w:lastRow="0" w:firstColumn="1" w:lastColumn="0" w:noHBand="0" w:noVBand="1"/>
      </w:tblPr>
      <w:tblGrid>
        <w:gridCol w:w="993"/>
        <w:gridCol w:w="880"/>
        <w:gridCol w:w="880"/>
        <w:gridCol w:w="880"/>
        <w:gridCol w:w="880"/>
        <w:gridCol w:w="880"/>
        <w:gridCol w:w="880"/>
        <w:gridCol w:w="880"/>
        <w:gridCol w:w="880"/>
        <w:gridCol w:w="900"/>
      </w:tblGrid>
      <w:tr w:rsidR="00C77EA5" w:rsidRPr="001B4A01" w14:paraId="0B73D445" w14:textId="77777777" w:rsidTr="00C77EA5">
        <w:trPr>
          <w:trHeight w:val="375"/>
        </w:trPr>
        <w:tc>
          <w:tcPr>
            <w:tcW w:w="993" w:type="dxa"/>
            <w:tcBorders>
              <w:top w:val="nil"/>
              <w:left w:val="nil"/>
              <w:bottom w:val="nil"/>
              <w:right w:val="nil"/>
            </w:tcBorders>
            <w:shd w:val="clear" w:color="000000" w:fill="006991"/>
            <w:vAlign w:val="center"/>
            <w:hideMark/>
          </w:tcPr>
          <w:p w14:paraId="4CCF1E6E" w14:textId="77777777" w:rsidR="00C77EA5" w:rsidRPr="001B4A01" w:rsidRDefault="00C77EA5" w:rsidP="001B4A01">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158" w:name="Table_1_5"/>
            <w:r w:rsidRPr="001B4A01">
              <w:rPr>
                <w:rFonts w:ascii="Open Sans Semibold" w:eastAsia="Times New Roman" w:hAnsi="Open Sans Semibold" w:cs="Open Sans Semibold"/>
                <w:color w:val="FFFFFF"/>
                <w:sz w:val="16"/>
                <w:szCs w:val="16"/>
                <w:lang w:eastAsia="en-AU"/>
              </w:rPr>
              <w:t> </w:t>
            </w:r>
            <w:bookmarkEnd w:id="158"/>
          </w:p>
        </w:tc>
        <w:tc>
          <w:tcPr>
            <w:tcW w:w="880" w:type="dxa"/>
            <w:tcBorders>
              <w:top w:val="nil"/>
              <w:left w:val="nil"/>
              <w:bottom w:val="nil"/>
              <w:right w:val="nil"/>
            </w:tcBorders>
            <w:shd w:val="clear" w:color="000000" w:fill="006991"/>
            <w:vAlign w:val="center"/>
            <w:hideMark/>
          </w:tcPr>
          <w:p w14:paraId="40CF3129" w14:textId="77777777" w:rsidR="00C77EA5" w:rsidRPr="001B4A01" w:rsidRDefault="00C77EA5" w:rsidP="001B4A0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4A01">
              <w:rPr>
                <w:rFonts w:ascii="Open Sans Semibold" w:eastAsia="Times New Roman" w:hAnsi="Open Sans Semibold" w:cs="Open Sans Semibold"/>
                <w:color w:val="FFFFFF"/>
                <w:sz w:val="16"/>
                <w:szCs w:val="16"/>
                <w:lang w:eastAsia="en-AU"/>
              </w:rPr>
              <w:t>NSW</w:t>
            </w:r>
          </w:p>
        </w:tc>
        <w:tc>
          <w:tcPr>
            <w:tcW w:w="880" w:type="dxa"/>
            <w:tcBorders>
              <w:top w:val="nil"/>
              <w:left w:val="nil"/>
              <w:bottom w:val="nil"/>
              <w:right w:val="nil"/>
            </w:tcBorders>
            <w:shd w:val="clear" w:color="000000" w:fill="006991"/>
            <w:vAlign w:val="center"/>
            <w:hideMark/>
          </w:tcPr>
          <w:p w14:paraId="679DCB82" w14:textId="77777777" w:rsidR="00C77EA5" w:rsidRPr="001B4A01" w:rsidRDefault="00C77EA5" w:rsidP="001B4A0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4A01">
              <w:rPr>
                <w:rFonts w:ascii="Open Sans Semibold" w:eastAsia="Times New Roman" w:hAnsi="Open Sans Semibold" w:cs="Open Sans Semibold"/>
                <w:color w:val="FFFFFF"/>
                <w:sz w:val="16"/>
                <w:szCs w:val="16"/>
                <w:lang w:eastAsia="en-AU"/>
              </w:rPr>
              <w:t>Vic</w:t>
            </w:r>
          </w:p>
        </w:tc>
        <w:tc>
          <w:tcPr>
            <w:tcW w:w="880" w:type="dxa"/>
            <w:tcBorders>
              <w:top w:val="nil"/>
              <w:left w:val="nil"/>
              <w:bottom w:val="nil"/>
              <w:right w:val="nil"/>
            </w:tcBorders>
            <w:shd w:val="clear" w:color="000000" w:fill="006991"/>
            <w:vAlign w:val="center"/>
            <w:hideMark/>
          </w:tcPr>
          <w:p w14:paraId="2B951D5C" w14:textId="77777777" w:rsidR="00C77EA5" w:rsidRPr="001B4A01" w:rsidRDefault="00C77EA5" w:rsidP="001B4A0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4A01">
              <w:rPr>
                <w:rFonts w:ascii="Open Sans Semibold" w:eastAsia="Times New Roman" w:hAnsi="Open Sans Semibold" w:cs="Open Sans Semibold"/>
                <w:color w:val="FFFFFF"/>
                <w:sz w:val="16"/>
                <w:szCs w:val="16"/>
                <w:lang w:eastAsia="en-AU"/>
              </w:rPr>
              <w:t>Qld</w:t>
            </w:r>
          </w:p>
        </w:tc>
        <w:tc>
          <w:tcPr>
            <w:tcW w:w="880" w:type="dxa"/>
            <w:tcBorders>
              <w:top w:val="nil"/>
              <w:left w:val="nil"/>
              <w:bottom w:val="nil"/>
              <w:right w:val="nil"/>
            </w:tcBorders>
            <w:shd w:val="clear" w:color="000000" w:fill="006991"/>
            <w:vAlign w:val="center"/>
            <w:hideMark/>
          </w:tcPr>
          <w:p w14:paraId="129411D0" w14:textId="15369C90" w:rsidR="00C77EA5" w:rsidRPr="001B4A01" w:rsidRDefault="00C77EA5" w:rsidP="001B4A0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4A01">
              <w:rPr>
                <w:rFonts w:ascii="Open Sans Semibold" w:eastAsia="Times New Roman" w:hAnsi="Open Sans Semibold" w:cs="Open Sans Semibold"/>
                <w:color w:val="FFFFFF"/>
                <w:sz w:val="16"/>
                <w:szCs w:val="16"/>
                <w:lang w:eastAsia="en-AU"/>
              </w:rPr>
              <w:t>WA</w:t>
            </w:r>
          </w:p>
        </w:tc>
        <w:tc>
          <w:tcPr>
            <w:tcW w:w="880" w:type="dxa"/>
            <w:tcBorders>
              <w:top w:val="nil"/>
              <w:left w:val="nil"/>
              <w:bottom w:val="nil"/>
              <w:right w:val="nil"/>
            </w:tcBorders>
            <w:shd w:val="clear" w:color="000000" w:fill="006991"/>
            <w:vAlign w:val="center"/>
            <w:hideMark/>
          </w:tcPr>
          <w:p w14:paraId="557C25AA" w14:textId="77777777" w:rsidR="00C77EA5" w:rsidRPr="001B4A01" w:rsidRDefault="00C77EA5" w:rsidP="001B4A0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4A01">
              <w:rPr>
                <w:rFonts w:ascii="Open Sans Semibold" w:eastAsia="Times New Roman" w:hAnsi="Open Sans Semibold" w:cs="Open Sans Semibold"/>
                <w:color w:val="FFFFFF"/>
                <w:sz w:val="16"/>
                <w:szCs w:val="16"/>
                <w:lang w:eastAsia="en-AU"/>
              </w:rPr>
              <w:t>SA</w:t>
            </w:r>
          </w:p>
        </w:tc>
        <w:tc>
          <w:tcPr>
            <w:tcW w:w="880" w:type="dxa"/>
            <w:tcBorders>
              <w:top w:val="nil"/>
              <w:left w:val="nil"/>
              <w:bottom w:val="nil"/>
              <w:right w:val="nil"/>
            </w:tcBorders>
            <w:shd w:val="clear" w:color="000000" w:fill="006991"/>
            <w:vAlign w:val="center"/>
            <w:hideMark/>
          </w:tcPr>
          <w:p w14:paraId="16BDC114" w14:textId="77777777" w:rsidR="00C77EA5" w:rsidRPr="001B4A01" w:rsidRDefault="00C77EA5" w:rsidP="001B4A0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4A01">
              <w:rPr>
                <w:rFonts w:ascii="Open Sans Semibold" w:eastAsia="Times New Roman" w:hAnsi="Open Sans Semibold" w:cs="Open Sans Semibold"/>
                <w:color w:val="FFFFFF"/>
                <w:sz w:val="16"/>
                <w:szCs w:val="16"/>
                <w:lang w:eastAsia="en-AU"/>
              </w:rPr>
              <w:t>Tas</w:t>
            </w:r>
          </w:p>
        </w:tc>
        <w:tc>
          <w:tcPr>
            <w:tcW w:w="880" w:type="dxa"/>
            <w:tcBorders>
              <w:top w:val="nil"/>
              <w:left w:val="nil"/>
              <w:bottom w:val="nil"/>
              <w:right w:val="nil"/>
            </w:tcBorders>
            <w:shd w:val="clear" w:color="000000" w:fill="006991"/>
            <w:vAlign w:val="center"/>
            <w:hideMark/>
          </w:tcPr>
          <w:p w14:paraId="08A4D956" w14:textId="77777777" w:rsidR="00C77EA5" w:rsidRPr="001B4A01" w:rsidRDefault="00C77EA5" w:rsidP="001B4A0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4A01">
              <w:rPr>
                <w:rFonts w:ascii="Open Sans Semibold" w:eastAsia="Times New Roman" w:hAnsi="Open Sans Semibold" w:cs="Open Sans Semibold"/>
                <w:color w:val="FFFFFF"/>
                <w:sz w:val="16"/>
                <w:szCs w:val="16"/>
                <w:lang w:eastAsia="en-AU"/>
              </w:rPr>
              <w:t>ACT</w:t>
            </w:r>
          </w:p>
        </w:tc>
        <w:tc>
          <w:tcPr>
            <w:tcW w:w="880" w:type="dxa"/>
            <w:tcBorders>
              <w:top w:val="nil"/>
              <w:left w:val="nil"/>
              <w:bottom w:val="nil"/>
              <w:right w:val="nil"/>
            </w:tcBorders>
            <w:shd w:val="clear" w:color="000000" w:fill="006991"/>
            <w:vAlign w:val="center"/>
            <w:hideMark/>
          </w:tcPr>
          <w:p w14:paraId="37326D24" w14:textId="77777777" w:rsidR="00C77EA5" w:rsidRPr="001B4A01" w:rsidRDefault="00C77EA5" w:rsidP="001B4A0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4A01">
              <w:rPr>
                <w:rFonts w:ascii="Open Sans Semibold" w:eastAsia="Times New Roman" w:hAnsi="Open Sans Semibold" w:cs="Open Sans Semibold"/>
                <w:color w:val="FFFFFF"/>
                <w:sz w:val="16"/>
                <w:szCs w:val="16"/>
                <w:lang w:eastAsia="en-AU"/>
              </w:rPr>
              <w:t>NT</w:t>
            </w:r>
          </w:p>
        </w:tc>
        <w:tc>
          <w:tcPr>
            <w:tcW w:w="900" w:type="dxa"/>
            <w:tcBorders>
              <w:top w:val="nil"/>
              <w:left w:val="nil"/>
              <w:bottom w:val="nil"/>
              <w:right w:val="nil"/>
            </w:tcBorders>
            <w:shd w:val="clear" w:color="000000" w:fill="006991"/>
            <w:vAlign w:val="center"/>
            <w:hideMark/>
          </w:tcPr>
          <w:p w14:paraId="2491E10F" w14:textId="77777777" w:rsidR="00C77EA5" w:rsidRPr="001B4A01" w:rsidRDefault="00C77EA5" w:rsidP="001B4A0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1B4A01">
              <w:rPr>
                <w:rFonts w:ascii="Open Sans Semibold" w:eastAsia="Times New Roman" w:hAnsi="Open Sans Semibold" w:cs="Open Sans Semibold"/>
                <w:color w:val="FFFFFF"/>
                <w:sz w:val="16"/>
                <w:szCs w:val="16"/>
                <w:lang w:eastAsia="en-AU"/>
              </w:rPr>
              <w:t>Total</w:t>
            </w:r>
          </w:p>
        </w:tc>
      </w:tr>
      <w:tr w:rsidR="00C77EA5" w:rsidRPr="001B4A01" w14:paraId="638B2213" w14:textId="77777777" w:rsidTr="00C77EA5">
        <w:trPr>
          <w:trHeight w:val="315"/>
        </w:trPr>
        <w:tc>
          <w:tcPr>
            <w:tcW w:w="993" w:type="dxa"/>
            <w:tcBorders>
              <w:top w:val="single" w:sz="4" w:space="0" w:color="ADD6EA"/>
              <w:left w:val="nil"/>
              <w:bottom w:val="single" w:sz="4" w:space="0" w:color="ADD6EA"/>
              <w:right w:val="nil"/>
            </w:tcBorders>
            <w:shd w:val="clear" w:color="auto" w:fill="auto"/>
            <w:vAlign w:val="center"/>
            <w:hideMark/>
          </w:tcPr>
          <w:p w14:paraId="75A30A0B" w14:textId="6CB1A7CA" w:rsidR="00C77EA5" w:rsidRPr="001B4A01" w:rsidRDefault="00C77EA5" w:rsidP="001B4A01">
            <w:pPr>
              <w:tabs>
                <w:tab w:val="clear" w:pos="567"/>
              </w:tabs>
              <w:spacing w:before="0" w:line="240" w:lineRule="auto"/>
              <w:rPr>
                <w:rFonts w:ascii="Open Sans Light" w:eastAsia="Times New Roman" w:hAnsi="Open Sans Light" w:cs="Open Sans Light"/>
                <w:color w:val="000000"/>
                <w:sz w:val="16"/>
                <w:szCs w:val="16"/>
                <w:lang w:eastAsia="en-AU"/>
              </w:rPr>
            </w:pPr>
            <w:r w:rsidRPr="001B4A01">
              <w:rPr>
                <w:rFonts w:ascii="Open Sans Light" w:eastAsia="Times New Roman" w:hAnsi="Open Sans Light" w:cs="Open Sans Light"/>
                <w:color w:val="000000"/>
                <w:sz w:val="16"/>
                <w:szCs w:val="16"/>
                <w:lang w:eastAsia="en-AU"/>
              </w:rPr>
              <w:t>2024</w:t>
            </w:r>
            <w:r>
              <w:rPr>
                <w:rFonts w:ascii="Open Sans Light" w:eastAsia="Times New Roman" w:hAnsi="Open Sans Light" w:cs="Open Sans Light"/>
                <w:color w:val="000000"/>
                <w:sz w:val="16"/>
                <w:szCs w:val="16"/>
                <w:lang w:eastAsia="en-AU"/>
              </w:rPr>
              <w:t>–</w:t>
            </w:r>
            <w:r w:rsidRPr="001B4A01">
              <w:rPr>
                <w:rFonts w:ascii="Open Sans Light" w:eastAsia="Times New Roman" w:hAnsi="Open Sans Light" w:cs="Open Sans Light"/>
                <w:color w:val="000000"/>
                <w:sz w:val="16"/>
                <w:szCs w:val="16"/>
                <w:lang w:eastAsia="en-AU"/>
              </w:rPr>
              <w:t>25</w:t>
            </w:r>
          </w:p>
        </w:tc>
        <w:tc>
          <w:tcPr>
            <w:tcW w:w="880" w:type="dxa"/>
            <w:tcBorders>
              <w:top w:val="single" w:sz="4" w:space="0" w:color="ADD6EA"/>
              <w:left w:val="nil"/>
              <w:bottom w:val="single" w:sz="4" w:space="0" w:color="ADD6EA"/>
              <w:right w:val="nil"/>
            </w:tcBorders>
            <w:shd w:val="clear" w:color="auto" w:fill="auto"/>
            <w:noWrap/>
            <w:vAlign w:val="center"/>
            <w:hideMark/>
          </w:tcPr>
          <w:p w14:paraId="0AC543EE" w14:textId="77777777" w:rsidR="00C77EA5" w:rsidRPr="001B4A01" w:rsidRDefault="00C77EA5" w:rsidP="001B4A0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B4A01">
              <w:rPr>
                <w:rFonts w:ascii="Open Sans Light" w:eastAsia="Times New Roman" w:hAnsi="Open Sans Light" w:cs="Open Sans Light"/>
                <w:color w:val="000000"/>
                <w:sz w:val="16"/>
                <w:szCs w:val="16"/>
                <w:lang w:eastAsia="en-AU"/>
              </w:rPr>
              <w:t>0.94324</w:t>
            </w:r>
          </w:p>
        </w:tc>
        <w:tc>
          <w:tcPr>
            <w:tcW w:w="880" w:type="dxa"/>
            <w:tcBorders>
              <w:top w:val="single" w:sz="4" w:space="0" w:color="ADD6EA"/>
              <w:left w:val="nil"/>
              <w:bottom w:val="single" w:sz="4" w:space="0" w:color="ADD6EA"/>
              <w:right w:val="nil"/>
            </w:tcBorders>
            <w:shd w:val="clear" w:color="auto" w:fill="auto"/>
            <w:noWrap/>
            <w:vAlign w:val="center"/>
            <w:hideMark/>
          </w:tcPr>
          <w:p w14:paraId="4CCBC5B8" w14:textId="77777777" w:rsidR="00C77EA5" w:rsidRPr="001B4A01" w:rsidRDefault="00C77EA5" w:rsidP="001B4A0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B4A01">
              <w:rPr>
                <w:rFonts w:ascii="Open Sans Light" w:eastAsia="Times New Roman" w:hAnsi="Open Sans Light" w:cs="Open Sans Light"/>
                <w:color w:val="000000"/>
                <w:sz w:val="16"/>
                <w:szCs w:val="16"/>
                <w:lang w:eastAsia="en-AU"/>
              </w:rPr>
              <w:t>1.04203</w:t>
            </w:r>
          </w:p>
        </w:tc>
        <w:tc>
          <w:tcPr>
            <w:tcW w:w="880" w:type="dxa"/>
            <w:tcBorders>
              <w:top w:val="single" w:sz="4" w:space="0" w:color="ADD6EA"/>
              <w:left w:val="nil"/>
              <w:bottom w:val="single" w:sz="4" w:space="0" w:color="ADD6EA"/>
              <w:right w:val="nil"/>
            </w:tcBorders>
            <w:shd w:val="clear" w:color="auto" w:fill="auto"/>
            <w:noWrap/>
            <w:vAlign w:val="center"/>
            <w:hideMark/>
          </w:tcPr>
          <w:p w14:paraId="406D0FE4" w14:textId="77777777" w:rsidR="00C77EA5" w:rsidRPr="001B4A01" w:rsidRDefault="00C77EA5" w:rsidP="001B4A0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B4A01">
              <w:rPr>
                <w:rFonts w:ascii="Open Sans Light" w:eastAsia="Times New Roman" w:hAnsi="Open Sans Light" w:cs="Open Sans Light"/>
                <w:color w:val="000000"/>
                <w:sz w:val="16"/>
                <w:szCs w:val="16"/>
                <w:lang w:eastAsia="en-AU"/>
              </w:rPr>
              <w:t>1.02852</w:t>
            </w:r>
          </w:p>
        </w:tc>
        <w:tc>
          <w:tcPr>
            <w:tcW w:w="880" w:type="dxa"/>
            <w:tcBorders>
              <w:top w:val="single" w:sz="4" w:space="0" w:color="ADD6EA"/>
              <w:left w:val="nil"/>
              <w:bottom w:val="single" w:sz="4" w:space="0" w:color="ADD6EA"/>
              <w:right w:val="nil"/>
            </w:tcBorders>
            <w:shd w:val="clear" w:color="auto" w:fill="auto"/>
            <w:noWrap/>
            <w:vAlign w:val="center"/>
            <w:hideMark/>
          </w:tcPr>
          <w:p w14:paraId="330774D2" w14:textId="1C623832" w:rsidR="00C77EA5" w:rsidRPr="001B4A01" w:rsidRDefault="00C77EA5" w:rsidP="001B4A0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B4A01">
              <w:rPr>
                <w:rFonts w:ascii="Open Sans Light" w:eastAsia="Times New Roman" w:hAnsi="Open Sans Light" w:cs="Open Sans Light"/>
                <w:color w:val="000000"/>
                <w:sz w:val="16"/>
                <w:szCs w:val="16"/>
                <w:lang w:eastAsia="en-AU"/>
              </w:rPr>
              <w:t>0.11467</w:t>
            </w:r>
          </w:p>
        </w:tc>
        <w:tc>
          <w:tcPr>
            <w:tcW w:w="880" w:type="dxa"/>
            <w:tcBorders>
              <w:top w:val="single" w:sz="4" w:space="0" w:color="ADD6EA"/>
              <w:left w:val="nil"/>
              <w:bottom w:val="single" w:sz="4" w:space="0" w:color="ADD6EA"/>
              <w:right w:val="nil"/>
            </w:tcBorders>
            <w:shd w:val="clear" w:color="auto" w:fill="auto"/>
            <w:noWrap/>
            <w:vAlign w:val="center"/>
            <w:hideMark/>
          </w:tcPr>
          <w:p w14:paraId="401971B5" w14:textId="77777777" w:rsidR="00C77EA5" w:rsidRPr="001B4A01" w:rsidRDefault="00C77EA5" w:rsidP="001B4A0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B4A01">
              <w:rPr>
                <w:rFonts w:ascii="Open Sans Light" w:eastAsia="Times New Roman" w:hAnsi="Open Sans Light" w:cs="Open Sans Light"/>
                <w:color w:val="000000"/>
                <w:sz w:val="16"/>
                <w:szCs w:val="16"/>
                <w:lang w:eastAsia="en-AU"/>
              </w:rPr>
              <w:t>1.48279</w:t>
            </w:r>
          </w:p>
        </w:tc>
        <w:tc>
          <w:tcPr>
            <w:tcW w:w="880" w:type="dxa"/>
            <w:tcBorders>
              <w:top w:val="single" w:sz="4" w:space="0" w:color="ADD6EA"/>
              <w:left w:val="nil"/>
              <w:bottom w:val="single" w:sz="4" w:space="0" w:color="ADD6EA"/>
              <w:right w:val="nil"/>
            </w:tcBorders>
            <w:shd w:val="clear" w:color="auto" w:fill="auto"/>
            <w:noWrap/>
            <w:vAlign w:val="center"/>
            <w:hideMark/>
          </w:tcPr>
          <w:p w14:paraId="2B2C094B" w14:textId="77777777" w:rsidR="00C77EA5" w:rsidRPr="001B4A01" w:rsidRDefault="00C77EA5" w:rsidP="001B4A0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B4A01">
              <w:rPr>
                <w:rFonts w:ascii="Open Sans Light" w:eastAsia="Times New Roman" w:hAnsi="Open Sans Light" w:cs="Open Sans Light"/>
                <w:color w:val="000000"/>
                <w:sz w:val="16"/>
                <w:szCs w:val="16"/>
                <w:lang w:eastAsia="en-AU"/>
              </w:rPr>
              <w:t>1.91045</w:t>
            </w:r>
          </w:p>
        </w:tc>
        <w:tc>
          <w:tcPr>
            <w:tcW w:w="880" w:type="dxa"/>
            <w:tcBorders>
              <w:top w:val="single" w:sz="4" w:space="0" w:color="ADD6EA"/>
              <w:left w:val="nil"/>
              <w:bottom w:val="single" w:sz="4" w:space="0" w:color="ADD6EA"/>
              <w:right w:val="nil"/>
            </w:tcBorders>
            <w:shd w:val="clear" w:color="auto" w:fill="auto"/>
            <w:noWrap/>
            <w:vAlign w:val="center"/>
            <w:hideMark/>
          </w:tcPr>
          <w:p w14:paraId="536D423C" w14:textId="77777777" w:rsidR="00C77EA5" w:rsidRPr="001B4A01" w:rsidRDefault="00C77EA5" w:rsidP="001B4A0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B4A01">
              <w:rPr>
                <w:rFonts w:ascii="Open Sans Light" w:eastAsia="Times New Roman" w:hAnsi="Open Sans Light" w:cs="Open Sans Light"/>
                <w:color w:val="000000"/>
                <w:sz w:val="16"/>
                <w:szCs w:val="16"/>
                <w:lang w:eastAsia="en-AU"/>
              </w:rPr>
              <w:t>1.28237</w:t>
            </w:r>
          </w:p>
        </w:tc>
        <w:tc>
          <w:tcPr>
            <w:tcW w:w="880" w:type="dxa"/>
            <w:tcBorders>
              <w:top w:val="single" w:sz="4" w:space="0" w:color="ADD6EA"/>
              <w:left w:val="nil"/>
              <w:bottom w:val="single" w:sz="4" w:space="0" w:color="ADD6EA"/>
              <w:right w:val="nil"/>
            </w:tcBorders>
            <w:shd w:val="clear" w:color="auto" w:fill="auto"/>
            <w:noWrap/>
            <w:vAlign w:val="center"/>
            <w:hideMark/>
          </w:tcPr>
          <w:p w14:paraId="2192D649" w14:textId="77777777" w:rsidR="00C77EA5" w:rsidRPr="001B4A01" w:rsidRDefault="00C77EA5" w:rsidP="001B4A0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B4A01">
              <w:rPr>
                <w:rFonts w:ascii="Open Sans Light" w:eastAsia="Times New Roman" w:hAnsi="Open Sans Light" w:cs="Open Sans Light"/>
                <w:color w:val="000000"/>
                <w:sz w:val="16"/>
                <w:szCs w:val="16"/>
                <w:lang w:eastAsia="en-AU"/>
              </w:rPr>
              <w:t>5.16929</w:t>
            </w:r>
          </w:p>
        </w:tc>
        <w:tc>
          <w:tcPr>
            <w:tcW w:w="900" w:type="dxa"/>
            <w:tcBorders>
              <w:top w:val="single" w:sz="4" w:space="0" w:color="ADD6EA"/>
              <w:left w:val="nil"/>
              <w:bottom w:val="single" w:sz="4" w:space="0" w:color="ADD6EA"/>
              <w:right w:val="nil"/>
            </w:tcBorders>
            <w:shd w:val="clear" w:color="auto" w:fill="auto"/>
            <w:noWrap/>
            <w:vAlign w:val="center"/>
            <w:hideMark/>
          </w:tcPr>
          <w:p w14:paraId="193363DF" w14:textId="77777777" w:rsidR="00C77EA5" w:rsidRPr="001B4A01" w:rsidRDefault="00C77EA5" w:rsidP="001B4A0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1B4A01">
              <w:rPr>
                <w:rFonts w:ascii="Open Sans Light" w:eastAsia="Times New Roman" w:hAnsi="Open Sans Light" w:cs="Open Sans Light"/>
                <w:color w:val="000000"/>
                <w:sz w:val="16"/>
                <w:szCs w:val="16"/>
                <w:lang w:eastAsia="en-AU"/>
              </w:rPr>
              <w:t>1.00000</w:t>
            </w:r>
          </w:p>
        </w:tc>
      </w:tr>
    </w:tbl>
    <w:p w14:paraId="323F122F" w14:textId="77777777" w:rsidR="00B940C1" w:rsidRPr="00310D9B" w:rsidRDefault="00B940C1" w:rsidP="00B940C1">
      <w:pPr>
        <w:pStyle w:val="Tablefootnote"/>
        <w:rPr>
          <w:highlight w:val="green"/>
        </w:rPr>
      </w:pPr>
      <w:r w:rsidRPr="00310D9B">
        <w:t>Source: Commission calculation.</w:t>
      </w:r>
    </w:p>
    <w:p w14:paraId="6B11A370" w14:textId="113BD121" w:rsidR="00EC58FD" w:rsidRPr="0068798B" w:rsidRDefault="00EC58FD" w:rsidP="00EC58FD">
      <w:r w:rsidRPr="00310D9B">
        <w:t>The calculation of the 2024</w:t>
      </w:r>
      <w:r w:rsidR="00AA0369">
        <w:t>–</w:t>
      </w:r>
      <w:r w:rsidRPr="00310D9B">
        <w:t xml:space="preserve">25 no worse off relativities </w:t>
      </w:r>
      <w:proofErr w:type="gramStart"/>
      <w:r w:rsidRPr="00310D9B">
        <w:t>includes</w:t>
      </w:r>
      <w:proofErr w:type="gramEnd"/>
      <w:r w:rsidRPr="00310D9B">
        <w:t xml:space="preserve"> adjustments to remove the impact of the Commonwealth’s legislated top-ups to the GST pool. In the 2021 and 2022 </w:t>
      </w:r>
      <w:r w:rsidR="005505AB">
        <w:t>u</w:t>
      </w:r>
      <w:r w:rsidRPr="00310D9B">
        <w:t xml:space="preserve">pdates, there were no pool top-ups in the relevant assessment years, so no adjustments were required. For this reason, assessed relativities and no worse off relativities were the same in those years. This is not the case for the 2023 and 2024 </w:t>
      </w:r>
      <w:r w:rsidR="00AA0369">
        <w:t>u</w:t>
      </w:r>
      <w:r w:rsidRPr="00310D9B">
        <w:t>pdates. A pool top-up of $</w:t>
      </w:r>
      <w:r w:rsidRPr="0068798B">
        <w:t>600 million was available to states in 2021</w:t>
      </w:r>
      <w:r w:rsidR="00AA0369">
        <w:t>–</w:t>
      </w:r>
      <w:r w:rsidRPr="00310D9B">
        <w:t>22</w:t>
      </w:r>
      <w:r w:rsidRPr="0068798B">
        <w:t xml:space="preserve"> and </w:t>
      </w:r>
      <w:r w:rsidRPr="005F19FE">
        <w:t>following the annual indexation of top-up payments,</w:t>
      </w:r>
      <w:r w:rsidRPr="0068798B">
        <w:t xml:space="preserve"> $672</w:t>
      </w:r>
      <w:r w:rsidR="007038BE" w:rsidRPr="0068798B">
        <w:t> </w:t>
      </w:r>
      <w:r w:rsidRPr="0068798B">
        <w:t>million in 2022</w:t>
      </w:r>
      <w:r w:rsidR="00AA0369">
        <w:t>–</w:t>
      </w:r>
      <w:r w:rsidRPr="0068798B">
        <w:t>23. These are the last 2</w:t>
      </w:r>
      <w:r w:rsidR="00E31A4C">
        <w:t> </w:t>
      </w:r>
      <w:r w:rsidRPr="0068798B">
        <w:t>years of the assessment period for the 2024</w:t>
      </w:r>
      <w:r w:rsidR="007038BE" w:rsidRPr="0068798B">
        <w:t> </w:t>
      </w:r>
      <w:r w:rsidRPr="0068798B">
        <w:t>Update.</w:t>
      </w:r>
    </w:p>
    <w:p w14:paraId="1EB8012A" w14:textId="1DAA24A6" w:rsidR="00EC58FD" w:rsidRPr="00310D9B" w:rsidRDefault="00EC58FD" w:rsidP="00EC58FD">
      <w:r w:rsidRPr="005F19FE">
        <w:t>In calculating the no worse off guarantee, the total amount of financial assistance a state has received since 2021</w:t>
      </w:r>
      <w:r w:rsidR="00AA0894">
        <w:t>–</w:t>
      </w:r>
      <w:r w:rsidRPr="005F19FE">
        <w:t>22 is compared with the total amount of GST it would have received. The total amount of financial assistance a state has received since 2021</w:t>
      </w:r>
      <w:r w:rsidR="00AA0894">
        <w:t>–</w:t>
      </w:r>
      <w:r w:rsidRPr="005F19FE">
        <w:t>22 includes GST distributions from the topped-up pool and previous no worse off payments. The total amount of GST a state would have received is based on no worse off relativities applied to a GST revenue-only pool.</w:t>
      </w:r>
      <w:r w:rsidRPr="0068798B">
        <w:t xml:space="preserve"> The</w:t>
      </w:r>
      <w:r w:rsidRPr="00310D9B">
        <w:t xml:space="preserve"> Commonwealth will make a no worse off payment equal to any cumulative shortfall. Where a state is better off in a year, this is </w:t>
      </w:r>
      <w:proofErr w:type="gramStart"/>
      <w:r w:rsidRPr="00310D9B">
        <w:t>taken into account</w:t>
      </w:r>
      <w:proofErr w:type="gramEnd"/>
      <w:r w:rsidRPr="00310D9B">
        <w:t xml:space="preserve"> in calculating a no worse off payment in a subsequent year.</w:t>
      </w:r>
    </w:p>
    <w:p w14:paraId="14117D4E" w14:textId="44D3921B" w:rsidR="00EC58FD" w:rsidRPr="00310D9B" w:rsidRDefault="00EC58FD" w:rsidP="00EC58FD">
      <w:r w:rsidRPr="00310D9B">
        <w:t>By the end of 2026, the Productivity Commission will report on the fiscal implications of the 2018</w:t>
      </w:r>
      <w:r w:rsidR="00587DFE">
        <w:t> </w:t>
      </w:r>
      <w:r w:rsidRPr="00310D9B">
        <w:t xml:space="preserve">legislated arrangements and whether they are operating efficiently, </w:t>
      </w:r>
      <w:proofErr w:type="gramStart"/>
      <w:r w:rsidRPr="00310D9B">
        <w:t>effectively</w:t>
      </w:r>
      <w:proofErr w:type="gramEnd"/>
      <w:r w:rsidRPr="00310D9B">
        <w:t xml:space="preserve"> and as intended.</w:t>
      </w:r>
    </w:p>
    <w:p w14:paraId="7E00D307" w14:textId="77777777" w:rsidR="00EC58FD" w:rsidRPr="00310D9B" w:rsidRDefault="00EC58FD" w:rsidP="00B867A1">
      <w:pPr>
        <w:pStyle w:val="Heading2"/>
      </w:pPr>
      <w:r w:rsidRPr="00310D9B">
        <w:t>Impact of the 2018 legislated GST distribution arrangements</w:t>
      </w:r>
    </w:p>
    <w:p w14:paraId="00ACAE81" w14:textId="7C873BD2" w:rsidR="00EC58FD" w:rsidRPr="0095123E" w:rsidRDefault="00EC58FD" w:rsidP="00EC58FD">
      <w:r w:rsidRPr="00310D9B">
        <w:t>This section compares the estimated distribution from the GST pool (including pool top</w:t>
      </w:r>
      <w:r w:rsidR="00587DFE">
        <w:noBreakHyphen/>
      </w:r>
      <w:r w:rsidRPr="00310D9B">
        <w:t>ups but excluding no worse off payments) in 2024</w:t>
      </w:r>
      <w:r w:rsidR="00E24BB9">
        <w:t>–</w:t>
      </w:r>
      <w:r w:rsidRPr="00310D9B">
        <w:t>25 with the Commission’s estimate of what each state would have received if the 2018</w:t>
      </w:r>
      <w:r w:rsidR="00587DFE">
        <w:t> </w:t>
      </w:r>
      <w:r w:rsidRPr="00310D9B">
        <w:t>legislated arrangements had not been enacted (see</w:t>
      </w:r>
      <w:r w:rsidR="00C43590">
        <w:t xml:space="preserve"> Table 1-6</w:t>
      </w:r>
      <w:r w:rsidRPr="00310D9B">
        <w:t xml:space="preserve">). </w:t>
      </w:r>
    </w:p>
    <w:p w14:paraId="7BAF412F" w14:textId="04514E60" w:rsidR="00660F82" w:rsidRDefault="00EC58FD" w:rsidP="00EC58FD">
      <w:r w:rsidRPr="0095123E">
        <w:t>Western Australia is estimated to receive $6.2</w:t>
      </w:r>
      <w:r w:rsidR="00587DFE" w:rsidRPr="0095123E">
        <w:t> </w:t>
      </w:r>
      <w:r w:rsidRPr="0095123E">
        <w:t>billion in additional GST payments in 2024</w:t>
      </w:r>
      <w:r w:rsidR="001D2C0E">
        <w:t>–</w:t>
      </w:r>
      <w:r w:rsidR="001D2C0E">
        <w:rPr>
          <w:rFonts w:ascii="Times New Roman" w:hAnsi="Times New Roman" w:cs="Times New Roman" w:hint="eastAsia"/>
          <w:rtl/>
        </w:rPr>
        <w:t>‍</w:t>
      </w:r>
      <w:r w:rsidRPr="0095123E">
        <w:t>25 and all others less than under the previous arrangements. The difference between the total estimated distribution in 2024</w:t>
      </w:r>
      <w:r w:rsidR="001D2C0E">
        <w:t>–</w:t>
      </w:r>
      <w:r w:rsidRPr="0095123E">
        <w:t>25 and the estimated distribution under the previous arrangements (</w:t>
      </w:r>
      <w:proofErr w:type="gramStart"/>
      <w:r w:rsidRPr="0095123E">
        <w:t>i.e.</w:t>
      </w:r>
      <w:proofErr w:type="gramEnd"/>
      <w:r w:rsidRPr="0095123E">
        <w:t xml:space="preserve"> $972 million) reflects</w:t>
      </w:r>
      <w:r w:rsidRPr="00310D9B">
        <w:t xml:space="preserve"> the Commonwealth’s top-up to the GST pool.</w:t>
      </w:r>
    </w:p>
    <w:p w14:paraId="73BC964E" w14:textId="77777777" w:rsidR="00660F82" w:rsidRDefault="00660F82">
      <w:pPr>
        <w:tabs>
          <w:tab w:val="clear" w:pos="567"/>
        </w:tabs>
        <w:spacing w:before="0" w:line="240" w:lineRule="auto"/>
      </w:pPr>
      <w:r>
        <w:br w:type="page"/>
      </w:r>
    </w:p>
    <w:p w14:paraId="10D33F03" w14:textId="019192F5" w:rsidR="0046344D" w:rsidRPr="00310D9B" w:rsidRDefault="0046344D" w:rsidP="00FE7980">
      <w:pPr>
        <w:pStyle w:val="CGCTableHead"/>
        <w:ind w:left="1440" w:hanging="1440"/>
      </w:pPr>
      <w:bookmarkStart w:id="159" w:name="_Ref158838116"/>
      <w:r w:rsidRPr="00310D9B">
        <w:lastRenderedPageBreak/>
        <w:t xml:space="preserve">Table </w:t>
      </w:r>
      <w:bookmarkEnd w:id="159"/>
      <w:r w:rsidRPr="00310D9B">
        <w:t xml:space="preserve">1-6 </w:t>
      </w:r>
      <w:r w:rsidRPr="00310D9B">
        <w:tab/>
        <w:t>Impact of 2018 legislated arrangements on the distribution of the GST pool, 2024</w:t>
      </w:r>
      <w:r w:rsidR="00C637FE">
        <w:t>–</w:t>
      </w:r>
      <w:r w:rsidRPr="00310D9B">
        <w:t>25 (excludes no worse off payments)</w:t>
      </w:r>
    </w:p>
    <w:tbl>
      <w:tblPr>
        <w:tblW w:w="8920" w:type="dxa"/>
        <w:tblLook w:val="04A0" w:firstRow="1" w:lastRow="0" w:firstColumn="1" w:lastColumn="0" w:noHBand="0" w:noVBand="1"/>
      </w:tblPr>
      <w:tblGrid>
        <w:gridCol w:w="2536"/>
        <w:gridCol w:w="708"/>
        <w:gridCol w:w="708"/>
        <w:gridCol w:w="708"/>
        <w:gridCol w:w="700"/>
        <w:gridCol w:w="700"/>
        <w:gridCol w:w="700"/>
        <w:gridCol w:w="700"/>
        <w:gridCol w:w="700"/>
        <w:gridCol w:w="760"/>
      </w:tblGrid>
      <w:tr w:rsidR="00660F82" w:rsidRPr="00660F82" w14:paraId="396BDC9F" w14:textId="77777777" w:rsidTr="00660F82">
        <w:trPr>
          <w:trHeight w:val="375"/>
        </w:trPr>
        <w:tc>
          <w:tcPr>
            <w:tcW w:w="2560" w:type="dxa"/>
            <w:tcBorders>
              <w:top w:val="nil"/>
              <w:left w:val="nil"/>
              <w:bottom w:val="nil"/>
              <w:right w:val="nil"/>
            </w:tcBorders>
            <w:shd w:val="clear" w:color="000000" w:fill="006991"/>
            <w:vAlign w:val="bottom"/>
            <w:hideMark/>
          </w:tcPr>
          <w:p w14:paraId="01C03227" w14:textId="77777777" w:rsidR="00660F82" w:rsidRPr="00660F82" w:rsidRDefault="00660F82" w:rsidP="00660F82">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160" w:name="Table_1_6"/>
            <w:r w:rsidRPr="00660F82">
              <w:rPr>
                <w:rFonts w:ascii="Open Sans Semibold" w:eastAsia="Times New Roman" w:hAnsi="Open Sans Semibold" w:cs="Open Sans Semibold"/>
                <w:color w:val="FFFFFF"/>
                <w:sz w:val="16"/>
                <w:szCs w:val="16"/>
                <w:lang w:eastAsia="en-AU"/>
              </w:rPr>
              <w:t> </w:t>
            </w:r>
            <w:bookmarkEnd w:id="160"/>
          </w:p>
        </w:tc>
        <w:tc>
          <w:tcPr>
            <w:tcW w:w="700" w:type="dxa"/>
            <w:tcBorders>
              <w:top w:val="nil"/>
              <w:left w:val="nil"/>
              <w:bottom w:val="nil"/>
              <w:right w:val="nil"/>
            </w:tcBorders>
            <w:shd w:val="clear" w:color="000000" w:fill="006991"/>
            <w:vAlign w:val="center"/>
            <w:hideMark/>
          </w:tcPr>
          <w:p w14:paraId="4550BBCA"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60F82">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45410203"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60F82">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69F6FE76"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60F82">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438CD8BF"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60F82">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0D63F619"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60F82">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4EE4E756"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60F82">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3E8BA84E"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60F82">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0EC49EEB"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60F82">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28114409"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660F82">
              <w:rPr>
                <w:rFonts w:ascii="Open Sans Semibold" w:eastAsia="Times New Roman" w:hAnsi="Open Sans Semibold" w:cs="Open Sans Semibold"/>
                <w:color w:val="FFFFFF"/>
                <w:sz w:val="16"/>
                <w:szCs w:val="16"/>
                <w:lang w:eastAsia="en-AU"/>
              </w:rPr>
              <w:t>Total</w:t>
            </w:r>
          </w:p>
        </w:tc>
      </w:tr>
      <w:tr w:rsidR="00660F82" w:rsidRPr="00660F82" w14:paraId="3871FBC7" w14:textId="77777777" w:rsidTr="00660F82">
        <w:trPr>
          <w:trHeight w:val="259"/>
        </w:trPr>
        <w:tc>
          <w:tcPr>
            <w:tcW w:w="2560" w:type="dxa"/>
            <w:tcBorders>
              <w:top w:val="single" w:sz="4" w:space="0" w:color="ADD6EA"/>
              <w:left w:val="nil"/>
              <w:bottom w:val="nil"/>
              <w:right w:val="nil"/>
            </w:tcBorders>
            <w:shd w:val="clear" w:color="000000" w:fill="B6D5E4"/>
            <w:vAlign w:val="bottom"/>
            <w:hideMark/>
          </w:tcPr>
          <w:p w14:paraId="79FB80F2" w14:textId="77777777" w:rsidR="00660F82" w:rsidRPr="00660F82" w:rsidRDefault="00660F82" w:rsidP="00660F82">
            <w:pPr>
              <w:tabs>
                <w:tab w:val="clear" w:pos="567"/>
              </w:tabs>
              <w:spacing w:before="0" w:line="240" w:lineRule="auto"/>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 </w:t>
            </w:r>
          </w:p>
        </w:tc>
        <w:tc>
          <w:tcPr>
            <w:tcW w:w="700" w:type="dxa"/>
            <w:tcBorders>
              <w:top w:val="single" w:sz="4" w:space="0" w:color="ADD6EA"/>
              <w:left w:val="nil"/>
              <w:bottom w:val="nil"/>
              <w:right w:val="nil"/>
            </w:tcBorders>
            <w:shd w:val="clear" w:color="000000" w:fill="B6D5E4"/>
            <w:noWrap/>
            <w:vAlign w:val="bottom"/>
            <w:hideMark/>
          </w:tcPr>
          <w:p w14:paraId="408EC52A"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402EC2D6"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5CF558C4"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4B5B4CEA"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08A29490"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602A0CD6"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483B543E"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271BBAF2"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nil"/>
              <w:right w:val="nil"/>
            </w:tcBorders>
            <w:shd w:val="clear" w:color="000000" w:fill="B6D5E4"/>
            <w:noWrap/>
            <w:vAlign w:val="bottom"/>
            <w:hideMark/>
          </w:tcPr>
          <w:p w14:paraId="6DDFA962"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$m</w:t>
            </w:r>
          </w:p>
        </w:tc>
      </w:tr>
      <w:tr w:rsidR="00660F82" w:rsidRPr="00660F82" w14:paraId="7DBB8078" w14:textId="77777777" w:rsidTr="00660F82">
        <w:trPr>
          <w:trHeight w:val="315"/>
        </w:trPr>
        <w:tc>
          <w:tcPr>
            <w:tcW w:w="2560" w:type="dxa"/>
            <w:tcBorders>
              <w:top w:val="single" w:sz="4" w:space="0" w:color="ADD6EA"/>
              <w:left w:val="nil"/>
              <w:bottom w:val="nil"/>
              <w:right w:val="nil"/>
            </w:tcBorders>
            <w:shd w:val="clear" w:color="auto" w:fill="auto"/>
            <w:vAlign w:val="center"/>
            <w:hideMark/>
          </w:tcPr>
          <w:p w14:paraId="07D4DFC8" w14:textId="77777777" w:rsidR="00660F82" w:rsidRPr="00660F82" w:rsidRDefault="00660F82" w:rsidP="00660F82">
            <w:pPr>
              <w:tabs>
                <w:tab w:val="clear" w:pos="567"/>
              </w:tabs>
              <w:spacing w:before="0" w:line="240" w:lineRule="auto"/>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Estimated GST pool distribution</w:t>
            </w:r>
          </w:p>
        </w:tc>
        <w:tc>
          <w:tcPr>
            <w:tcW w:w="700" w:type="dxa"/>
            <w:tcBorders>
              <w:top w:val="single" w:sz="4" w:space="0" w:color="ADD6EA"/>
              <w:left w:val="nil"/>
              <w:bottom w:val="nil"/>
              <w:right w:val="nil"/>
            </w:tcBorders>
            <w:shd w:val="clear" w:color="auto" w:fill="auto"/>
            <w:vAlign w:val="center"/>
            <w:hideMark/>
          </w:tcPr>
          <w:p w14:paraId="0C99B102"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24,224</w:t>
            </w:r>
          </w:p>
        </w:tc>
        <w:tc>
          <w:tcPr>
            <w:tcW w:w="700" w:type="dxa"/>
            <w:tcBorders>
              <w:top w:val="single" w:sz="4" w:space="0" w:color="ADD6EA"/>
              <w:left w:val="nil"/>
              <w:bottom w:val="nil"/>
              <w:right w:val="nil"/>
            </w:tcBorders>
            <w:shd w:val="clear" w:color="auto" w:fill="auto"/>
            <w:vAlign w:val="center"/>
            <w:hideMark/>
          </w:tcPr>
          <w:p w14:paraId="7F2859C9"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22,227</w:t>
            </w:r>
          </w:p>
        </w:tc>
        <w:tc>
          <w:tcPr>
            <w:tcW w:w="700" w:type="dxa"/>
            <w:tcBorders>
              <w:top w:val="single" w:sz="4" w:space="0" w:color="ADD6EA"/>
              <w:left w:val="nil"/>
              <w:bottom w:val="nil"/>
              <w:right w:val="nil"/>
            </w:tcBorders>
            <w:shd w:val="clear" w:color="auto" w:fill="auto"/>
            <w:vAlign w:val="center"/>
            <w:hideMark/>
          </w:tcPr>
          <w:p w14:paraId="4A097FD6"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17,460</w:t>
            </w:r>
          </w:p>
        </w:tc>
        <w:tc>
          <w:tcPr>
            <w:tcW w:w="700" w:type="dxa"/>
            <w:tcBorders>
              <w:top w:val="single" w:sz="4" w:space="0" w:color="ADD6EA"/>
              <w:left w:val="nil"/>
              <w:bottom w:val="nil"/>
              <w:right w:val="nil"/>
            </w:tcBorders>
            <w:shd w:val="clear" w:color="auto" w:fill="auto"/>
            <w:vAlign w:val="center"/>
            <w:hideMark/>
          </w:tcPr>
          <w:p w14:paraId="697A0C7B"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7,257</w:t>
            </w:r>
          </w:p>
        </w:tc>
        <w:tc>
          <w:tcPr>
            <w:tcW w:w="700" w:type="dxa"/>
            <w:tcBorders>
              <w:top w:val="single" w:sz="4" w:space="0" w:color="ADD6EA"/>
              <w:left w:val="nil"/>
              <w:bottom w:val="nil"/>
              <w:right w:val="nil"/>
            </w:tcBorders>
            <w:shd w:val="clear" w:color="auto" w:fill="auto"/>
            <w:vAlign w:val="center"/>
            <w:hideMark/>
          </w:tcPr>
          <w:p w14:paraId="0A3DBF6D"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8,671</w:t>
            </w:r>
          </w:p>
        </w:tc>
        <w:tc>
          <w:tcPr>
            <w:tcW w:w="700" w:type="dxa"/>
            <w:tcBorders>
              <w:top w:val="single" w:sz="4" w:space="0" w:color="ADD6EA"/>
              <w:left w:val="nil"/>
              <w:bottom w:val="nil"/>
              <w:right w:val="nil"/>
            </w:tcBorders>
            <w:shd w:val="clear" w:color="auto" w:fill="auto"/>
            <w:vAlign w:val="center"/>
            <w:hideMark/>
          </w:tcPr>
          <w:p w14:paraId="7DE56BEC"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3,476</w:t>
            </w:r>
          </w:p>
        </w:tc>
        <w:tc>
          <w:tcPr>
            <w:tcW w:w="700" w:type="dxa"/>
            <w:tcBorders>
              <w:top w:val="single" w:sz="4" w:space="0" w:color="ADD6EA"/>
              <w:left w:val="nil"/>
              <w:bottom w:val="nil"/>
              <w:right w:val="nil"/>
            </w:tcBorders>
            <w:shd w:val="clear" w:color="auto" w:fill="auto"/>
            <w:vAlign w:val="center"/>
            <w:hideMark/>
          </w:tcPr>
          <w:p w14:paraId="656A26D5"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1,889</w:t>
            </w:r>
          </w:p>
        </w:tc>
        <w:tc>
          <w:tcPr>
            <w:tcW w:w="700" w:type="dxa"/>
            <w:tcBorders>
              <w:top w:val="single" w:sz="4" w:space="0" w:color="ADD6EA"/>
              <w:left w:val="nil"/>
              <w:bottom w:val="nil"/>
              <w:right w:val="nil"/>
            </w:tcBorders>
            <w:shd w:val="clear" w:color="auto" w:fill="auto"/>
            <w:vAlign w:val="center"/>
            <w:hideMark/>
          </w:tcPr>
          <w:p w14:paraId="34609B03"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4,257</w:t>
            </w:r>
          </w:p>
        </w:tc>
        <w:tc>
          <w:tcPr>
            <w:tcW w:w="760" w:type="dxa"/>
            <w:tcBorders>
              <w:top w:val="single" w:sz="4" w:space="0" w:color="ADD6EA"/>
              <w:left w:val="nil"/>
              <w:bottom w:val="nil"/>
              <w:right w:val="nil"/>
            </w:tcBorders>
            <w:shd w:val="clear" w:color="auto" w:fill="auto"/>
            <w:vAlign w:val="center"/>
            <w:hideMark/>
          </w:tcPr>
          <w:p w14:paraId="79278F90"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89,462</w:t>
            </w:r>
          </w:p>
        </w:tc>
      </w:tr>
      <w:tr w:rsidR="00660F82" w:rsidRPr="00660F82" w14:paraId="61A7BF29" w14:textId="77777777" w:rsidTr="00660F82">
        <w:trPr>
          <w:trHeight w:val="555"/>
        </w:trPr>
        <w:tc>
          <w:tcPr>
            <w:tcW w:w="2560" w:type="dxa"/>
            <w:tcBorders>
              <w:top w:val="single" w:sz="4" w:space="0" w:color="ADD6EA"/>
              <w:left w:val="nil"/>
              <w:bottom w:val="nil"/>
              <w:right w:val="nil"/>
            </w:tcBorders>
            <w:shd w:val="clear" w:color="auto" w:fill="auto"/>
            <w:vAlign w:val="center"/>
            <w:hideMark/>
          </w:tcPr>
          <w:p w14:paraId="1D3C70DC" w14:textId="77777777" w:rsidR="00660F82" w:rsidRPr="00660F82" w:rsidRDefault="00660F82" w:rsidP="00660F82">
            <w:pPr>
              <w:tabs>
                <w:tab w:val="clear" w:pos="567"/>
              </w:tabs>
              <w:spacing w:before="0" w:line="240" w:lineRule="auto"/>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Distribution under previous arrangements</w:t>
            </w:r>
          </w:p>
        </w:tc>
        <w:tc>
          <w:tcPr>
            <w:tcW w:w="700" w:type="dxa"/>
            <w:tcBorders>
              <w:top w:val="single" w:sz="4" w:space="0" w:color="ADD6EA"/>
              <w:left w:val="nil"/>
              <w:bottom w:val="nil"/>
              <w:right w:val="nil"/>
            </w:tcBorders>
            <w:shd w:val="clear" w:color="auto" w:fill="auto"/>
            <w:vAlign w:val="center"/>
            <w:hideMark/>
          </w:tcPr>
          <w:p w14:paraId="32C265BD"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26,058</w:t>
            </w:r>
          </w:p>
        </w:tc>
        <w:tc>
          <w:tcPr>
            <w:tcW w:w="700" w:type="dxa"/>
            <w:tcBorders>
              <w:top w:val="single" w:sz="4" w:space="0" w:color="ADD6EA"/>
              <w:left w:val="nil"/>
              <w:bottom w:val="nil"/>
              <w:right w:val="nil"/>
            </w:tcBorders>
            <w:shd w:val="clear" w:color="auto" w:fill="auto"/>
            <w:vAlign w:val="center"/>
            <w:hideMark/>
          </w:tcPr>
          <w:p w14:paraId="66C5D7E1"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23,740</w:t>
            </w:r>
          </w:p>
        </w:tc>
        <w:tc>
          <w:tcPr>
            <w:tcW w:w="700" w:type="dxa"/>
            <w:tcBorders>
              <w:top w:val="single" w:sz="4" w:space="0" w:color="ADD6EA"/>
              <w:left w:val="nil"/>
              <w:bottom w:val="nil"/>
              <w:right w:val="nil"/>
            </w:tcBorders>
            <w:shd w:val="clear" w:color="auto" w:fill="auto"/>
            <w:vAlign w:val="center"/>
            <w:hideMark/>
          </w:tcPr>
          <w:p w14:paraId="4EF7B2DF"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18,652</w:t>
            </w:r>
          </w:p>
        </w:tc>
        <w:tc>
          <w:tcPr>
            <w:tcW w:w="700" w:type="dxa"/>
            <w:tcBorders>
              <w:top w:val="single" w:sz="4" w:space="0" w:color="ADD6EA"/>
              <w:left w:val="nil"/>
              <w:bottom w:val="nil"/>
              <w:right w:val="nil"/>
            </w:tcBorders>
            <w:shd w:val="clear" w:color="auto" w:fill="auto"/>
            <w:vAlign w:val="center"/>
            <w:hideMark/>
          </w:tcPr>
          <w:p w14:paraId="0F95F094"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1,098</w:t>
            </w:r>
          </w:p>
        </w:tc>
        <w:tc>
          <w:tcPr>
            <w:tcW w:w="700" w:type="dxa"/>
            <w:tcBorders>
              <w:top w:val="single" w:sz="4" w:space="0" w:color="ADD6EA"/>
              <w:left w:val="nil"/>
              <w:bottom w:val="nil"/>
              <w:right w:val="nil"/>
            </w:tcBorders>
            <w:shd w:val="clear" w:color="auto" w:fill="auto"/>
            <w:vAlign w:val="center"/>
            <w:hideMark/>
          </w:tcPr>
          <w:p w14:paraId="063B0FE6"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9,063</w:t>
            </w:r>
          </w:p>
        </w:tc>
        <w:tc>
          <w:tcPr>
            <w:tcW w:w="700" w:type="dxa"/>
            <w:tcBorders>
              <w:top w:val="single" w:sz="4" w:space="0" w:color="ADD6EA"/>
              <w:left w:val="nil"/>
              <w:bottom w:val="nil"/>
              <w:right w:val="nil"/>
            </w:tcBorders>
            <w:shd w:val="clear" w:color="auto" w:fill="auto"/>
            <w:vAlign w:val="center"/>
            <w:hideMark/>
          </w:tcPr>
          <w:p w14:paraId="22DD8B86"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3,593</w:t>
            </w:r>
          </w:p>
        </w:tc>
        <w:tc>
          <w:tcPr>
            <w:tcW w:w="700" w:type="dxa"/>
            <w:tcBorders>
              <w:top w:val="single" w:sz="4" w:space="0" w:color="ADD6EA"/>
              <w:left w:val="nil"/>
              <w:bottom w:val="nil"/>
              <w:right w:val="nil"/>
            </w:tcBorders>
            <w:shd w:val="clear" w:color="auto" w:fill="auto"/>
            <w:vAlign w:val="center"/>
            <w:hideMark/>
          </w:tcPr>
          <w:p w14:paraId="283E6A86"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1,990</w:t>
            </w:r>
          </w:p>
        </w:tc>
        <w:tc>
          <w:tcPr>
            <w:tcW w:w="700" w:type="dxa"/>
            <w:tcBorders>
              <w:top w:val="single" w:sz="4" w:space="0" w:color="ADD6EA"/>
              <w:left w:val="nil"/>
              <w:bottom w:val="nil"/>
              <w:right w:val="nil"/>
            </w:tcBorders>
            <w:shd w:val="clear" w:color="auto" w:fill="auto"/>
            <w:vAlign w:val="center"/>
            <w:hideMark/>
          </w:tcPr>
          <w:p w14:paraId="7D895E28"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4,296</w:t>
            </w:r>
          </w:p>
        </w:tc>
        <w:tc>
          <w:tcPr>
            <w:tcW w:w="760" w:type="dxa"/>
            <w:tcBorders>
              <w:top w:val="single" w:sz="4" w:space="0" w:color="ADD6EA"/>
              <w:left w:val="nil"/>
              <w:bottom w:val="nil"/>
              <w:right w:val="nil"/>
            </w:tcBorders>
            <w:shd w:val="clear" w:color="auto" w:fill="auto"/>
            <w:vAlign w:val="center"/>
            <w:hideMark/>
          </w:tcPr>
          <w:p w14:paraId="19EE2FAD" w14:textId="77777777" w:rsidR="00660F82" w:rsidRPr="00660F82" w:rsidRDefault="00660F82" w:rsidP="00660F8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660F82">
              <w:rPr>
                <w:rFonts w:ascii="Open Sans Light" w:eastAsia="Times New Roman" w:hAnsi="Open Sans Light" w:cs="Open Sans Light"/>
                <w:color w:val="000000"/>
                <w:sz w:val="16"/>
                <w:szCs w:val="16"/>
                <w:lang w:eastAsia="en-AU"/>
              </w:rPr>
              <w:t>88,490</w:t>
            </w:r>
          </w:p>
        </w:tc>
      </w:tr>
      <w:tr w:rsidR="00660F82" w:rsidRPr="00660F82" w14:paraId="2E09F484" w14:textId="77777777" w:rsidTr="00660F82">
        <w:trPr>
          <w:trHeight w:val="315"/>
        </w:trPr>
        <w:tc>
          <w:tcPr>
            <w:tcW w:w="2560" w:type="dxa"/>
            <w:tcBorders>
              <w:top w:val="single" w:sz="4" w:space="0" w:color="ADD6EA"/>
              <w:left w:val="nil"/>
              <w:bottom w:val="single" w:sz="4" w:space="0" w:color="ADD6EA"/>
              <w:right w:val="nil"/>
            </w:tcBorders>
            <w:shd w:val="clear" w:color="000000" w:fill="D6E7F0"/>
            <w:vAlign w:val="center"/>
            <w:hideMark/>
          </w:tcPr>
          <w:p w14:paraId="7B5D7463" w14:textId="77777777" w:rsidR="00660F82" w:rsidRPr="00660F82" w:rsidRDefault="00660F82" w:rsidP="00660F82">
            <w:pPr>
              <w:tabs>
                <w:tab w:val="clear" w:pos="567"/>
              </w:tabs>
              <w:spacing w:before="0" w:line="240" w:lineRule="auto"/>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Difference</w:t>
            </w:r>
          </w:p>
        </w:tc>
        <w:tc>
          <w:tcPr>
            <w:tcW w:w="700" w:type="dxa"/>
            <w:tcBorders>
              <w:top w:val="single" w:sz="4" w:space="0" w:color="ADD6EA"/>
              <w:left w:val="nil"/>
              <w:bottom w:val="single" w:sz="4" w:space="0" w:color="ADD6EA"/>
              <w:right w:val="nil"/>
            </w:tcBorders>
            <w:shd w:val="clear" w:color="000000" w:fill="D6E7F0"/>
            <w:noWrap/>
            <w:vAlign w:val="center"/>
            <w:hideMark/>
          </w:tcPr>
          <w:p w14:paraId="4B46FAC4"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-1,833</w:t>
            </w:r>
          </w:p>
        </w:tc>
        <w:tc>
          <w:tcPr>
            <w:tcW w:w="700" w:type="dxa"/>
            <w:tcBorders>
              <w:top w:val="single" w:sz="4" w:space="0" w:color="ADD6EA"/>
              <w:left w:val="nil"/>
              <w:bottom w:val="single" w:sz="4" w:space="0" w:color="ADD6EA"/>
              <w:right w:val="nil"/>
            </w:tcBorders>
            <w:shd w:val="clear" w:color="000000" w:fill="D6E7F0"/>
            <w:noWrap/>
            <w:vAlign w:val="center"/>
            <w:hideMark/>
          </w:tcPr>
          <w:p w14:paraId="7D0F1454"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-1,513</w:t>
            </w:r>
          </w:p>
        </w:tc>
        <w:tc>
          <w:tcPr>
            <w:tcW w:w="700" w:type="dxa"/>
            <w:tcBorders>
              <w:top w:val="single" w:sz="4" w:space="0" w:color="ADD6EA"/>
              <w:left w:val="nil"/>
              <w:bottom w:val="single" w:sz="4" w:space="0" w:color="ADD6EA"/>
              <w:right w:val="nil"/>
            </w:tcBorders>
            <w:shd w:val="clear" w:color="000000" w:fill="D6E7F0"/>
            <w:noWrap/>
            <w:vAlign w:val="center"/>
            <w:hideMark/>
          </w:tcPr>
          <w:p w14:paraId="468BE6A2"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-1,192</w:t>
            </w:r>
          </w:p>
        </w:tc>
        <w:tc>
          <w:tcPr>
            <w:tcW w:w="700" w:type="dxa"/>
            <w:tcBorders>
              <w:top w:val="single" w:sz="4" w:space="0" w:color="ADD6EA"/>
              <w:left w:val="nil"/>
              <w:bottom w:val="single" w:sz="4" w:space="0" w:color="ADD6EA"/>
              <w:right w:val="nil"/>
            </w:tcBorders>
            <w:shd w:val="clear" w:color="000000" w:fill="D6E7F0"/>
            <w:noWrap/>
            <w:vAlign w:val="center"/>
            <w:hideMark/>
          </w:tcPr>
          <w:p w14:paraId="001BA21B"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6,159</w:t>
            </w:r>
          </w:p>
        </w:tc>
        <w:tc>
          <w:tcPr>
            <w:tcW w:w="700" w:type="dxa"/>
            <w:tcBorders>
              <w:top w:val="single" w:sz="4" w:space="0" w:color="ADD6EA"/>
              <w:left w:val="nil"/>
              <w:bottom w:val="single" w:sz="4" w:space="0" w:color="ADD6EA"/>
              <w:right w:val="nil"/>
            </w:tcBorders>
            <w:shd w:val="clear" w:color="000000" w:fill="D6E7F0"/>
            <w:noWrap/>
            <w:vAlign w:val="center"/>
            <w:hideMark/>
          </w:tcPr>
          <w:p w14:paraId="3F26A3B3"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-393</w:t>
            </w:r>
          </w:p>
        </w:tc>
        <w:tc>
          <w:tcPr>
            <w:tcW w:w="700" w:type="dxa"/>
            <w:tcBorders>
              <w:top w:val="single" w:sz="4" w:space="0" w:color="ADD6EA"/>
              <w:left w:val="nil"/>
              <w:bottom w:val="single" w:sz="4" w:space="0" w:color="ADD6EA"/>
              <w:right w:val="nil"/>
            </w:tcBorders>
            <w:shd w:val="clear" w:color="000000" w:fill="D6E7F0"/>
            <w:noWrap/>
            <w:vAlign w:val="center"/>
            <w:hideMark/>
          </w:tcPr>
          <w:p w14:paraId="4862E537"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-117</w:t>
            </w:r>
          </w:p>
        </w:tc>
        <w:tc>
          <w:tcPr>
            <w:tcW w:w="700" w:type="dxa"/>
            <w:tcBorders>
              <w:top w:val="single" w:sz="4" w:space="0" w:color="ADD6EA"/>
              <w:left w:val="nil"/>
              <w:bottom w:val="single" w:sz="4" w:space="0" w:color="ADD6EA"/>
              <w:right w:val="nil"/>
            </w:tcBorders>
            <w:shd w:val="clear" w:color="000000" w:fill="D6E7F0"/>
            <w:noWrap/>
            <w:vAlign w:val="center"/>
            <w:hideMark/>
          </w:tcPr>
          <w:p w14:paraId="15005962"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-101</w:t>
            </w:r>
          </w:p>
        </w:tc>
        <w:tc>
          <w:tcPr>
            <w:tcW w:w="700" w:type="dxa"/>
            <w:tcBorders>
              <w:top w:val="single" w:sz="4" w:space="0" w:color="ADD6EA"/>
              <w:left w:val="nil"/>
              <w:bottom w:val="single" w:sz="4" w:space="0" w:color="ADD6EA"/>
              <w:right w:val="nil"/>
            </w:tcBorders>
            <w:shd w:val="clear" w:color="000000" w:fill="D6E7F0"/>
            <w:noWrap/>
            <w:vAlign w:val="center"/>
            <w:hideMark/>
          </w:tcPr>
          <w:p w14:paraId="4971B561"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-39</w:t>
            </w:r>
          </w:p>
        </w:tc>
        <w:tc>
          <w:tcPr>
            <w:tcW w:w="760" w:type="dxa"/>
            <w:tcBorders>
              <w:top w:val="single" w:sz="4" w:space="0" w:color="ADD6EA"/>
              <w:left w:val="nil"/>
              <w:bottom w:val="single" w:sz="4" w:space="0" w:color="ADD6EA"/>
              <w:right w:val="nil"/>
            </w:tcBorders>
            <w:shd w:val="clear" w:color="000000" w:fill="D6E7F0"/>
            <w:noWrap/>
            <w:vAlign w:val="center"/>
            <w:hideMark/>
          </w:tcPr>
          <w:p w14:paraId="2A482D98" w14:textId="77777777" w:rsidR="00660F82" w:rsidRPr="00660F82" w:rsidRDefault="00660F82" w:rsidP="00660F8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660F82">
              <w:rPr>
                <w:rFonts w:ascii="Open Sans Semibold" w:eastAsia="Times New Roman" w:hAnsi="Open Sans Semibold" w:cs="Open Sans Semibold"/>
                <w:color w:val="000000"/>
                <w:sz w:val="16"/>
                <w:szCs w:val="16"/>
                <w:lang w:eastAsia="en-AU"/>
              </w:rPr>
              <w:t>972</w:t>
            </w:r>
          </w:p>
        </w:tc>
      </w:tr>
    </w:tbl>
    <w:p w14:paraId="0D858184" w14:textId="77777777" w:rsidR="0046344D" w:rsidRPr="00310D9B" w:rsidRDefault="0046344D" w:rsidP="0046344D">
      <w:pPr>
        <w:pStyle w:val="Tablefootnote"/>
      </w:pPr>
      <w:r w:rsidRPr="00310D9B">
        <w:t>Source: Commission calculation.</w:t>
      </w:r>
    </w:p>
    <w:p w14:paraId="2C499CBC" w14:textId="2A31C2A9" w:rsidR="00C362BD" w:rsidRPr="00310D9B" w:rsidRDefault="00C362BD" w:rsidP="00C362BD">
      <w:r w:rsidRPr="00310D9B">
        <w:t xml:space="preserve">The Commission has provided indicative estimates of total payments from the GST pool and no worse off payments (see </w:t>
      </w:r>
      <w:r w:rsidR="00FE7980">
        <w:fldChar w:fldCharType="begin"/>
      </w:r>
      <w:r w:rsidR="00FE7980">
        <w:instrText xml:space="preserve"> REF _Ref158838147 \h </w:instrText>
      </w:r>
      <w:r w:rsidR="00FE7980">
        <w:fldChar w:fldCharType="separate"/>
      </w:r>
      <w:r w:rsidR="00047120" w:rsidRPr="00310D9B">
        <w:t xml:space="preserve">Table </w:t>
      </w:r>
      <w:r w:rsidR="00FE7980">
        <w:fldChar w:fldCharType="end"/>
      </w:r>
      <w:r w:rsidR="00C43590">
        <w:t>1-7</w:t>
      </w:r>
      <w:r w:rsidRPr="00310D9B">
        <w:t>).</w:t>
      </w:r>
    </w:p>
    <w:p w14:paraId="1F0E97C3" w14:textId="38401E51" w:rsidR="00C362BD" w:rsidRPr="00310D9B" w:rsidRDefault="00C362BD" w:rsidP="00C362BD">
      <w:r w:rsidRPr="00310D9B">
        <w:t>Changes in the no worse off payments for 2024</w:t>
      </w:r>
      <w:r w:rsidR="00C637FE">
        <w:t>–</w:t>
      </w:r>
      <w:r w:rsidRPr="00310D9B">
        <w:t xml:space="preserve">25 reflect the additional GST Western Australia receives </w:t>
      </w:r>
      <w:proofErr w:type="gramStart"/>
      <w:r w:rsidRPr="00310D9B">
        <w:t>as a result of</w:t>
      </w:r>
      <w:proofErr w:type="gramEnd"/>
      <w:r w:rsidRPr="00310D9B">
        <w:t xml:space="preserve"> the GST relativity floor increasing from 0.7</w:t>
      </w:r>
      <w:r w:rsidR="00307FB6">
        <w:t>0</w:t>
      </w:r>
      <w:r w:rsidRPr="00310D9B">
        <w:t xml:space="preserve"> to 0.75. Funding this from the GST pool has reduced all other states' GST shares and therefore increased their no worse off payments compared </w:t>
      </w:r>
      <w:r w:rsidR="00A25725">
        <w:t>with</w:t>
      </w:r>
      <w:r w:rsidRPr="00310D9B">
        <w:t xml:space="preserve"> last year.</w:t>
      </w:r>
    </w:p>
    <w:p w14:paraId="0DE0E7EA" w14:textId="09E6663D" w:rsidR="00C362BD" w:rsidRPr="00310D9B" w:rsidRDefault="00C362BD" w:rsidP="00C362BD">
      <w:r w:rsidRPr="00310D9B">
        <w:t>These indicative estimates are illustrative. Actual no worse off payments for 2024</w:t>
      </w:r>
      <w:r w:rsidR="00A25725">
        <w:t>–</w:t>
      </w:r>
      <w:r w:rsidRPr="00310D9B">
        <w:t>25 will be calculated by the Commonwealth and will be based on the actual GST pool, pool top</w:t>
      </w:r>
      <w:r w:rsidR="00BF76B0">
        <w:noBreakHyphen/>
      </w:r>
      <w:r w:rsidRPr="00310D9B">
        <w:t>ups and population for 2024</w:t>
      </w:r>
      <w:r w:rsidR="00D662DA">
        <w:t>–</w:t>
      </w:r>
      <w:r w:rsidRPr="00310D9B">
        <w:t>25, which will be determined after the end of that year.</w:t>
      </w:r>
    </w:p>
    <w:p w14:paraId="082DA7D8" w14:textId="60EEA3CB" w:rsidR="00C362BD" w:rsidRPr="00310D9B" w:rsidRDefault="00C362BD" w:rsidP="00C362BD">
      <w:r w:rsidRPr="00310D9B">
        <w:t>All states except Western Australia are estimated to receive a no worse off payment in 2024</w:t>
      </w:r>
      <w:r w:rsidR="00D662DA">
        <w:t>–</w:t>
      </w:r>
      <w:r w:rsidRPr="00310D9B">
        <w:t>25. In 2024</w:t>
      </w:r>
      <w:r w:rsidR="00D662DA">
        <w:t>–</w:t>
      </w:r>
      <w:r w:rsidRPr="00310D9B">
        <w:t>25, New South Wales and Queensland are estimated to receive less in total GST and no worse off payments than they received in 2023</w:t>
      </w:r>
      <w:r w:rsidR="00D662DA">
        <w:t>–</w:t>
      </w:r>
      <w:r w:rsidRPr="00310D9B">
        <w:t>24.</w:t>
      </w:r>
    </w:p>
    <w:p w14:paraId="778968B1" w14:textId="28CD6442" w:rsidR="004C3CEC" w:rsidRPr="00310D9B" w:rsidRDefault="004C3CEC" w:rsidP="00FE7980">
      <w:pPr>
        <w:pStyle w:val="CGCTableHead"/>
        <w:ind w:left="1440" w:hanging="1440"/>
      </w:pPr>
      <w:bookmarkStart w:id="161" w:name="_Ref158838147"/>
      <w:r w:rsidRPr="00310D9B">
        <w:t xml:space="preserve">Table </w:t>
      </w:r>
      <w:bookmarkEnd w:id="161"/>
      <w:r w:rsidRPr="00310D9B">
        <w:t xml:space="preserve">1-7 </w:t>
      </w:r>
      <w:r w:rsidRPr="00310D9B">
        <w:tab/>
        <w:t xml:space="preserve">Estimated total payments to the states from GST distribution and no worse off </w:t>
      </w:r>
      <w:proofErr w:type="gramStart"/>
      <w:r w:rsidRPr="00310D9B">
        <w:t>payments</w:t>
      </w:r>
      <w:proofErr w:type="gramEnd"/>
    </w:p>
    <w:tbl>
      <w:tblPr>
        <w:tblW w:w="8920" w:type="dxa"/>
        <w:tblLook w:val="04A0" w:firstRow="1" w:lastRow="0" w:firstColumn="1" w:lastColumn="0" w:noHBand="0" w:noVBand="1"/>
      </w:tblPr>
      <w:tblGrid>
        <w:gridCol w:w="2512"/>
        <w:gridCol w:w="716"/>
        <w:gridCol w:w="716"/>
        <w:gridCol w:w="716"/>
        <w:gridCol w:w="700"/>
        <w:gridCol w:w="700"/>
        <w:gridCol w:w="700"/>
        <w:gridCol w:w="700"/>
        <w:gridCol w:w="700"/>
        <w:gridCol w:w="760"/>
      </w:tblGrid>
      <w:tr w:rsidR="00FB5EF6" w:rsidRPr="00FB5EF6" w14:paraId="0336E261" w14:textId="77777777" w:rsidTr="00FB5EF6">
        <w:trPr>
          <w:trHeight w:val="375"/>
        </w:trPr>
        <w:tc>
          <w:tcPr>
            <w:tcW w:w="2560" w:type="dxa"/>
            <w:tcBorders>
              <w:top w:val="nil"/>
              <w:left w:val="nil"/>
              <w:bottom w:val="nil"/>
              <w:right w:val="nil"/>
            </w:tcBorders>
            <w:shd w:val="clear" w:color="000000" w:fill="006991"/>
            <w:vAlign w:val="bottom"/>
            <w:hideMark/>
          </w:tcPr>
          <w:p w14:paraId="0F010494" w14:textId="77777777" w:rsidR="00FB5EF6" w:rsidRPr="00FB5EF6" w:rsidRDefault="00FB5EF6" w:rsidP="00FB5EF6">
            <w:pPr>
              <w:tabs>
                <w:tab w:val="clear" w:pos="567"/>
              </w:tabs>
              <w:spacing w:before="0" w:line="240" w:lineRule="auto"/>
              <w:rPr>
                <w:rFonts w:ascii="Open Sans Semibold" w:eastAsia="Times New Roman" w:hAnsi="Open Sans Semibold" w:cs="Open Sans Semibold"/>
                <w:color w:val="FFFFFF"/>
                <w:sz w:val="16"/>
                <w:szCs w:val="16"/>
                <w:lang w:eastAsia="en-AU"/>
              </w:rPr>
            </w:pPr>
            <w:r w:rsidRPr="00FB5EF6">
              <w:rPr>
                <w:rFonts w:ascii="Open Sans Semibold" w:eastAsia="Times New Roman"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35195A0A"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B5EF6">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289FF4EC"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B5EF6">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1B83B98F"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B5EF6">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277262CA"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B5EF6">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6A44AFEE"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B5EF6">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681E216A"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B5EF6">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66F4C52F"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B5EF6">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573D8892"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B5EF6">
              <w:rPr>
                <w:rFonts w:ascii="Open Sans Semibold" w:eastAsia="Times New Roman" w:hAnsi="Open Sans Semibold" w:cs="Open Sans Semibold"/>
                <w:color w:val="FFFFFF"/>
                <w:sz w:val="16"/>
                <w:szCs w:val="16"/>
                <w:lang w:eastAsia="en-AU"/>
              </w:rPr>
              <w:t>NT</w:t>
            </w:r>
          </w:p>
        </w:tc>
        <w:tc>
          <w:tcPr>
            <w:tcW w:w="760" w:type="dxa"/>
            <w:tcBorders>
              <w:top w:val="nil"/>
              <w:left w:val="nil"/>
              <w:bottom w:val="nil"/>
              <w:right w:val="nil"/>
            </w:tcBorders>
            <w:shd w:val="clear" w:color="000000" w:fill="006991"/>
            <w:vAlign w:val="center"/>
            <w:hideMark/>
          </w:tcPr>
          <w:p w14:paraId="6EAD237A"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B5EF6">
              <w:rPr>
                <w:rFonts w:ascii="Open Sans Semibold" w:eastAsia="Times New Roman" w:hAnsi="Open Sans Semibold" w:cs="Open Sans Semibold"/>
                <w:color w:val="FFFFFF"/>
                <w:sz w:val="16"/>
                <w:szCs w:val="16"/>
                <w:lang w:eastAsia="en-AU"/>
              </w:rPr>
              <w:t>Total</w:t>
            </w:r>
          </w:p>
        </w:tc>
      </w:tr>
      <w:tr w:rsidR="00FB5EF6" w:rsidRPr="00FB5EF6" w14:paraId="2C15AF0C" w14:textId="77777777" w:rsidTr="00FB5EF6">
        <w:trPr>
          <w:trHeight w:val="259"/>
        </w:trPr>
        <w:tc>
          <w:tcPr>
            <w:tcW w:w="2560" w:type="dxa"/>
            <w:tcBorders>
              <w:top w:val="single" w:sz="4" w:space="0" w:color="ADD6EA"/>
              <w:left w:val="nil"/>
              <w:bottom w:val="nil"/>
              <w:right w:val="nil"/>
            </w:tcBorders>
            <w:shd w:val="clear" w:color="000000" w:fill="B6D5E4"/>
            <w:vAlign w:val="bottom"/>
            <w:hideMark/>
          </w:tcPr>
          <w:p w14:paraId="6B975BCF" w14:textId="77777777" w:rsidR="00FB5EF6" w:rsidRPr="00FB5EF6" w:rsidRDefault="00FB5EF6" w:rsidP="00FB5EF6">
            <w:pPr>
              <w:tabs>
                <w:tab w:val="clear" w:pos="567"/>
              </w:tabs>
              <w:spacing w:before="0" w:line="240" w:lineRule="auto"/>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 </w:t>
            </w:r>
          </w:p>
        </w:tc>
        <w:tc>
          <w:tcPr>
            <w:tcW w:w="700" w:type="dxa"/>
            <w:tcBorders>
              <w:top w:val="single" w:sz="4" w:space="0" w:color="ADD6EA"/>
              <w:left w:val="nil"/>
              <w:bottom w:val="nil"/>
              <w:right w:val="nil"/>
            </w:tcBorders>
            <w:shd w:val="clear" w:color="000000" w:fill="B6D5E4"/>
            <w:noWrap/>
            <w:vAlign w:val="bottom"/>
            <w:hideMark/>
          </w:tcPr>
          <w:p w14:paraId="28A9F35D"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1AE9F534"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1C708B22"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24965685"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3681E483"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30285846"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16CF3160"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bottom"/>
            <w:hideMark/>
          </w:tcPr>
          <w:p w14:paraId="25A5EF57"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$m</w:t>
            </w:r>
          </w:p>
        </w:tc>
        <w:tc>
          <w:tcPr>
            <w:tcW w:w="760" w:type="dxa"/>
            <w:tcBorders>
              <w:top w:val="single" w:sz="4" w:space="0" w:color="ADD6EA"/>
              <w:left w:val="nil"/>
              <w:bottom w:val="nil"/>
              <w:right w:val="nil"/>
            </w:tcBorders>
            <w:shd w:val="clear" w:color="000000" w:fill="B6D5E4"/>
            <w:noWrap/>
            <w:vAlign w:val="bottom"/>
            <w:hideMark/>
          </w:tcPr>
          <w:p w14:paraId="69DBB0AC"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$m</w:t>
            </w:r>
          </w:p>
        </w:tc>
      </w:tr>
      <w:tr w:rsidR="00FB5EF6" w:rsidRPr="00FB5EF6" w14:paraId="45DA646D" w14:textId="77777777" w:rsidTr="00FB5EF6">
        <w:trPr>
          <w:trHeight w:val="315"/>
        </w:trPr>
        <w:tc>
          <w:tcPr>
            <w:tcW w:w="2560" w:type="dxa"/>
            <w:tcBorders>
              <w:top w:val="single" w:sz="4" w:space="0" w:color="ADD6EA"/>
              <w:left w:val="nil"/>
              <w:bottom w:val="nil"/>
              <w:right w:val="nil"/>
            </w:tcBorders>
            <w:shd w:val="clear" w:color="auto" w:fill="auto"/>
            <w:vAlign w:val="bottom"/>
            <w:hideMark/>
          </w:tcPr>
          <w:p w14:paraId="56E91CCD" w14:textId="13F7DEAF" w:rsidR="00FB5EF6" w:rsidRPr="00FB5EF6" w:rsidRDefault="00FB5EF6" w:rsidP="00FB5EF6">
            <w:pPr>
              <w:tabs>
                <w:tab w:val="clear" w:pos="567"/>
              </w:tabs>
              <w:spacing w:before="0" w:line="240" w:lineRule="auto"/>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2023</w:t>
            </w:r>
            <w:r>
              <w:rPr>
                <w:rFonts w:ascii="Open Sans Light" w:eastAsia="Times New Roman" w:hAnsi="Open Sans Light" w:cs="Open Sans Light"/>
                <w:color w:val="000000"/>
                <w:sz w:val="16"/>
                <w:szCs w:val="16"/>
                <w:lang w:eastAsia="en-AU"/>
              </w:rPr>
              <w:t>–</w:t>
            </w:r>
            <w:r w:rsidRPr="00FB5EF6">
              <w:rPr>
                <w:rFonts w:ascii="Open Sans Light" w:eastAsia="Times New Roman" w:hAnsi="Open Sans Light" w:cs="Open Sans Light"/>
                <w:color w:val="000000"/>
                <w:sz w:val="16"/>
                <w:szCs w:val="16"/>
                <w:lang w:eastAsia="en-AU"/>
              </w:rPr>
              <w:t>24</w:t>
            </w:r>
          </w:p>
        </w:tc>
        <w:tc>
          <w:tcPr>
            <w:tcW w:w="700" w:type="dxa"/>
            <w:tcBorders>
              <w:top w:val="single" w:sz="4" w:space="0" w:color="ADD6EA"/>
              <w:left w:val="nil"/>
              <w:bottom w:val="nil"/>
              <w:right w:val="nil"/>
            </w:tcBorders>
            <w:shd w:val="clear" w:color="auto" w:fill="auto"/>
            <w:noWrap/>
            <w:vAlign w:val="bottom"/>
            <w:hideMark/>
          </w:tcPr>
          <w:p w14:paraId="4802BC37"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2BFB585B"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647974BF"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2280AD7D"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3D8C4FAE"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4AD993B0"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180399BC"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5D2D901F"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60" w:type="dxa"/>
            <w:tcBorders>
              <w:top w:val="single" w:sz="4" w:space="0" w:color="ADD6EA"/>
              <w:left w:val="nil"/>
              <w:bottom w:val="nil"/>
              <w:right w:val="nil"/>
            </w:tcBorders>
            <w:shd w:val="clear" w:color="auto" w:fill="auto"/>
            <w:noWrap/>
            <w:vAlign w:val="bottom"/>
            <w:hideMark/>
          </w:tcPr>
          <w:p w14:paraId="37FED266"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r>
      <w:tr w:rsidR="00FB5EF6" w:rsidRPr="00FB5EF6" w14:paraId="58163169" w14:textId="77777777" w:rsidTr="00FB5EF6">
        <w:trPr>
          <w:trHeight w:val="315"/>
        </w:trPr>
        <w:tc>
          <w:tcPr>
            <w:tcW w:w="2560" w:type="dxa"/>
            <w:tcBorders>
              <w:top w:val="single" w:sz="4" w:space="0" w:color="ADD6EA"/>
              <w:left w:val="nil"/>
              <w:bottom w:val="nil"/>
              <w:right w:val="nil"/>
            </w:tcBorders>
            <w:shd w:val="clear" w:color="auto" w:fill="auto"/>
            <w:vAlign w:val="bottom"/>
            <w:hideMark/>
          </w:tcPr>
          <w:p w14:paraId="664B8D7A" w14:textId="77777777" w:rsidR="00FB5EF6" w:rsidRPr="00FB5EF6" w:rsidRDefault="00FB5EF6" w:rsidP="00FB5EF6">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Total GST distribution</w:t>
            </w:r>
          </w:p>
        </w:tc>
        <w:tc>
          <w:tcPr>
            <w:tcW w:w="700" w:type="dxa"/>
            <w:tcBorders>
              <w:top w:val="single" w:sz="4" w:space="0" w:color="ADD6EA"/>
              <w:left w:val="nil"/>
              <w:bottom w:val="nil"/>
              <w:right w:val="nil"/>
            </w:tcBorders>
            <w:shd w:val="clear" w:color="auto" w:fill="auto"/>
            <w:noWrap/>
            <w:vAlign w:val="bottom"/>
            <w:hideMark/>
          </w:tcPr>
          <w:p w14:paraId="7B7F6007"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24,535</w:t>
            </w:r>
          </w:p>
        </w:tc>
        <w:tc>
          <w:tcPr>
            <w:tcW w:w="700" w:type="dxa"/>
            <w:tcBorders>
              <w:top w:val="single" w:sz="4" w:space="0" w:color="ADD6EA"/>
              <w:left w:val="nil"/>
              <w:bottom w:val="nil"/>
              <w:right w:val="nil"/>
            </w:tcBorders>
            <w:shd w:val="clear" w:color="auto" w:fill="auto"/>
            <w:noWrap/>
            <w:vAlign w:val="bottom"/>
            <w:hideMark/>
          </w:tcPr>
          <w:p w14:paraId="6093DD29"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18,541</w:t>
            </w:r>
          </w:p>
        </w:tc>
        <w:tc>
          <w:tcPr>
            <w:tcW w:w="700" w:type="dxa"/>
            <w:tcBorders>
              <w:top w:val="single" w:sz="4" w:space="0" w:color="ADD6EA"/>
              <w:left w:val="nil"/>
              <w:bottom w:val="nil"/>
              <w:right w:val="nil"/>
            </w:tcBorders>
            <w:shd w:val="clear" w:color="auto" w:fill="auto"/>
            <w:noWrap/>
            <w:vAlign w:val="bottom"/>
            <w:hideMark/>
          </w:tcPr>
          <w:p w14:paraId="23984809"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17,929</w:t>
            </w:r>
          </w:p>
        </w:tc>
        <w:tc>
          <w:tcPr>
            <w:tcW w:w="700" w:type="dxa"/>
            <w:tcBorders>
              <w:top w:val="single" w:sz="4" w:space="0" w:color="ADD6EA"/>
              <w:left w:val="nil"/>
              <w:bottom w:val="nil"/>
              <w:right w:val="nil"/>
            </w:tcBorders>
            <w:shd w:val="clear" w:color="auto" w:fill="auto"/>
            <w:noWrap/>
            <w:vAlign w:val="bottom"/>
            <w:hideMark/>
          </w:tcPr>
          <w:p w14:paraId="24104874"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6,419</w:t>
            </w:r>
          </w:p>
        </w:tc>
        <w:tc>
          <w:tcPr>
            <w:tcW w:w="700" w:type="dxa"/>
            <w:tcBorders>
              <w:top w:val="single" w:sz="4" w:space="0" w:color="ADD6EA"/>
              <w:left w:val="nil"/>
              <w:bottom w:val="nil"/>
              <w:right w:val="nil"/>
            </w:tcBorders>
            <w:shd w:val="clear" w:color="auto" w:fill="auto"/>
            <w:noWrap/>
            <w:vAlign w:val="bottom"/>
            <w:hideMark/>
          </w:tcPr>
          <w:p w14:paraId="1FB8530C"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8,214</w:t>
            </w:r>
          </w:p>
        </w:tc>
        <w:tc>
          <w:tcPr>
            <w:tcW w:w="700" w:type="dxa"/>
            <w:tcBorders>
              <w:top w:val="single" w:sz="4" w:space="0" w:color="ADD6EA"/>
              <w:left w:val="nil"/>
              <w:bottom w:val="nil"/>
              <w:right w:val="nil"/>
            </w:tcBorders>
            <w:shd w:val="clear" w:color="auto" w:fill="auto"/>
            <w:noWrap/>
            <w:vAlign w:val="bottom"/>
            <w:hideMark/>
          </w:tcPr>
          <w:p w14:paraId="7D56C314"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3,257</w:t>
            </w:r>
          </w:p>
        </w:tc>
        <w:tc>
          <w:tcPr>
            <w:tcW w:w="700" w:type="dxa"/>
            <w:tcBorders>
              <w:top w:val="single" w:sz="4" w:space="0" w:color="ADD6EA"/>
              <w:left w:val="nil"/>
              <w:bottom w:val="nil"/>
              <w:right w:val="nil"/>
            </w:tcBorders>
            <w:shd w:val="clear" w:color="auto" w:fill="auto"/>
            <w:noWrap/>
            <w:vAlign w:val="bottom"/>
            <w:hideMark/>
          </w:tcPr>
          <w:p w14:paraId="0486E0AA"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1,778</w:t>
            </w:r>
          </w:p>
        </w:tc>
        <w:tc>
          <w:tcPr>
            <w:tcW w:w="700" w:type="dxa"/>
            <w:tcBorders>
              <w:top w:val="single" w:sz="4" w:space="0" w:color="ADD6EA"/>
              <w:left w:val="nil"/>
              <w:bottom w:val="nil"/>
              <w:right w:val="nil"/>
            </w:tcBorders>
            <w:shd w:val="clear" w:color="auto" w:fill="auto"/>
            <w:noWrap/>
            <w:vAlign w:val="bottom"/>
            <w:hideMark/>
          </w:tcPr>
          <w:p w14:paraId="456579C1"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4,002</w:t>
            </w:r>
          </w:p>
        </w:tc>
        <w:tc>
          <w:tcPr>
            <w:tcW w:w="760" w:type="dxa"/>
            <w:tcBorders>
              <w:top w:val="single" w:sz="4" w:space="0" w:color="ADD6EA"/>
              <w:left w:val="nil"/>
              <w:bottom w:val="nil"/>
              <w:right w:val="nil"/>
            </w:tcBorders>
            <w:shd w:val="clear" w:color="auto" w:fill="auto"/>
            <w:noWrap/>
            <w:vAlign w:val="bottom"/>
            <w:hideMark/>
          </w:tcPr>
          <w:p w14:paraId="60FCAA17"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84,675</w:t>
            </w:r>
          </w:p>
        </w:tc>
      </w:tr>
      <w:tr w:rsidR="00FB5EF6" w:rsidRPr="00FB5EF6" w14:paraId="466241B2" w14:textId="77777777" w:rsidTr="00FB5EF6">
        <w:trPr>
          <w:trHeight w:val="315"/>
        </w:trPr>
        <w:tc>
          <w:tcPr>
            <w:tcW w:w="2560" w:type="dxa"/>
            <w:tcBorders>
              <w:top w:val="single" w:sz="4" w:space="0" w:color="ADD6EA"/>
              <w:left w:val="nil"/>
              <w:bottom w:val="nil"/>
              <w:right w:val="nil"/>
            </w:tcBorders>
            <w:shd w:val="clear" w:color="auto" w:fill="auto"/>
            <w:vAlign w:val="bottom"/>
            <w:hideMark/>
          </w:tcPr>
          <w:p w14:paraId="6672690D" w14:textId="77777777" w:rsidR="00FB5EF6" w:rsidRPr="00FB5EF6" w:rsidRDefault="00FB5EF6" w:rsidP="00FB5EF6">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No worse off payments</w:t>
            </w:r>
          </w:p>
        </w:tc>
        <w:tc>
          <w:tcPr>
            <w:tcW w:w="700" w:type="dxa"/>
            <w:tcBorders>
              <w:top w:val="single" w:sz="4" w:space="0" w:color="ADD6EA"/>
              <w:left w:val="nil"/>
              <w:bottom w:val="nil"/>
              <w:right w:val="nil"/>
            </w:tcBorders>
            <w:shd w:val="clear" w:color="auto" w:fill="auto"/>
            <w:noWrap/>
            <w:vAlign w:val="bottom"/>
            <w:hideMark/>
          </w:tcPr>
          <w:p w14:paraId="4E3504BE"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1,711</w:t>
            </w:r>
          </w:p>
        </w:tc>
        <w:tc>
          <w:tcPr>
            <w:tcW w:w="700" w:type="dxa"/>
            <w:tcBorders>
              <w:top w:val="single" w:sz="4" w:space="0" w:color="ADD6EA"/>
              <w:left w:val="nil"/>
              <w:bottom w:val="nil"/>
              <w:right w:val="nil"/>
            </w:tcBorders>
            <w:shd w:val="clear" w:color="auto" w:fill="auto"/>
            <w:noWrap/>
            <w:vAlign w:val="bottom"/>
            <w:hideMark/>
          </w:tcPr>
          <w:p w14:paraId="6303D1E0"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1,417</w:t>
            </w:r>
          </w:p>
        </w:tc>
        <w:tc>
          <w:tcPr>
            <w:tcW w:w="700" w:type="dxa"/>
            <w:tcBorders>
              <w:top w:val="single" w:sz="4" w:space="0" w:color="ADD6EA"/>
              <w:left w:val="nil"/>
              <w:bottom w:val="nil"/>
              <w:right w:val="nil"/>
            </w:tcBorders>
            <w:shd w:val="clear" w:color="auto" w:fill="auto"/>
            <w:noWrap/>
            <w:vAlign w:val="bottom"/>
            <w:hideMark/>
          </w:tcPr>
          <w:p w14:paraId="24976AF3"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1,108</w:t>
            </w:r>
          </w:p>
        </w:tc>
        <w:tc>
          <w:tcPr>
            <w:tcW w:w="700" w:type="dxa"/>
            <w:tcBorders>
              <w:top w:val="single" w:sz="4" w:space="0" w:color="ADD6EA"/>
              <w:left w:val="nil"/>
              <w:bottom w:val="nil"/>
              <w:right w:val="nil"/>
            </w:tcBorders>
            <w:shd w:val="clear" w:color="auto" w:fill="auto"/>
            <w:noWrap/>
            <w:vAlign w:val="bottom"/>
            <w:hideMark/>
          </w:tcPr>
          <w:p w14:paraId="5FEEA752"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bottom"/>
            <w:hideMark/>
          </w:tcPr>
          <w:p w14:paraId="6195D3B9"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368</w:t>
            </w:r>
          </w:p>
        </w:tc>
        <w:tc>
          <w:tcPr>
            <w:tcW w:w="700" w:type="dxa"/>
            <w:tcBorders>
              <w:top w:val="single" w:sz="4" w:space="0" w:color="ADD6EA"/>
              <w:left w:val="nil"/>
              <w:bottom w:val="nil"/>
              <w:right w:val="nil"/>
            </w:tcBorders>
            <w:shd w:val="clear" w:color="auto" w:fill="auto"/>
            <w:noWrap/>
            <w:vAlign w:val="bottom"/>
            <w:hideMark/>
          </w:tcPr>
          <w:p w14:paraId="4BE83F5E"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110</w:t>
            </w:r>
          </w:p>
        </w:tc>
        <w:tc>
          <w:tcPr>
            <w:tcW w:w="700" w:type="dxa"/>
            <w:tcBorders>
              <w:top w:val="single" w:sz="4" w:space="0" w:color="ADD6EA"/>
              <w:left w:val="nil"/>
              <w:bottom w:val="nil"/>
              <w:right w:val="nil"/>
            </w:tcBorders>
            <w:shd w:val="clear" w:color="auto" w:fill="auto"/>
            <w:noWrap/>
            <w:vAlign w:val="bottom"/>
            <w:hideMark/>
          </w:tcPr>
          <w:p w14:paraId="27D3C6DA"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94</w:t>
            </w:r>
          </w:p>
        </w:tc>
        <w:tc>
          <w:tcPr>
            <w:tcW w:w="700" w:type="dxa"/>
            <w:tcBorders>
              <w:top w:val="single" w:sz="4" w:space="0" w:color="ADD6EA"/>
              <w:left w:val="nil"/>
              <w:bottom w:val="nil"/>
              <w:right w:val="nil"/>
            </w:tcBorders>
            <w:shd w:val="clear" w:color="auto" w:fill="auto"/>
            <w:noWrap/>
            <w:vAlign w:val="bottom"/>
            <w:hideMark/>
          </w:tcPr>
          <w:p w14:paraId="02805A89"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37</w:t>
            </w:r>
          </w:p>
        </w:tc>
        <w:tc>
          <w:tcPr>
            <w:tcW w:w="760" w:type="dxa"/>
            <w:tcBorders>
              <w:top w:val="single" w:sz="4" w:space="0" w:color="ADD6EA"/>
              <w:left w:val="nil"/>
              <w:bottom w:val="nil"/>
              <w:right w:val="nil"/>
            </w:tcBorders>
            <w:shd w:val="clear" w:color="auto" w:fill="auto"/>
            <w:noWrap/>
            <w:vAlign w:val="bottom"/>
            <w:hideMark/>
          </w:tcPr>
          <w:p w14:paraId="111DFC3C"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4,844</w:t>
            </w:r>
          </w:p>
        </w:tc>
      </w:tr>
      <w:tr w:rsidR="00FB5EF6" w:rsidRPr="00FB5EF6" w14:paraId="3AB5BB13" w14:textId="77777777" w:rsidTr="00FB5EF6">
        <w:trPr>
          <w:trHeight w:val="315"/>
        </w:trPr>
        <w:tc>
          <w:tcPr>
            <w:tcW w:w="2560" w:type="dxa"/>
            <w:tcBorders>
              <w:top w:val="single" w:sz="4" w:space="0" w:color="ADD6EA"/>
              <w:left w:val="nil"/>
              <w:bottom w:val="nil"/>
              <w:right w:val="nil"/>
            </w:tcBorders>
            <w:shd w:val="clear" w:color="000000" w:fill="D6E7F0"/>
            <w:vAlign w:val="bottom"/>
            <w:hideMark/>
          </w:tcPr>
          <w:p w14:paraId="427F2779" w14:textId="77777777" w:rsidR="00FB5EF6" w:rsidRPr="00FB5EF6" w:rsidRDefault="00FB5EF6" w:rsidP="00FB5EF6">
            <w:pPr>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Total</w:t>
            </w:r>
          </w:p>
        </w:tc>
        <w:tc>
          <w:tcPr>
            <w:tcW w:w="700" w:type="dxa"/>
            <w:tcBorders>
              <w:top w:val="single" w:sz="4" w:space="0" w:color="ADD6EA"/>
              <w:left w:val="nil"/>
              <w:bottom w:val="nil"/>
              <w:right w:val="nil"/>
            </w:tcBorders>
            <w:shd w:val="clear" w:color="000000" w:fill="D6E7F0"/>
            <w:noWrap/>
            <w:vAlign w:val="bottom"/>
            <w:hideMark/>
          </w:tcPr>
          <w:p w14:paraId="231A36AF"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26,245</w:t>
            </w:r>
          </w:p>
        </w:tc>
        <w:tc>
          <w:tcPr>
            <w:tcW w:w="700" w:type="dxa"/>
            <w:tcBorders>
              <w:top w:val="single" w:sz="4" w:space="0" w:color="ADD6EA"/>
              <w:left w:val="nil"/>
              <w:bottom w:val="nil"/>
              <w:right w:val="nil"/>
            </w:tcBorders>
            <w:shd w:val="clear" w:color="000000" w:fill="D6E7F0"/>
            <w:noWrap/>
            <w:vAlign w:val="bottom"/>
            <w:hideMark/>
          </w:tcPr>
          <w:p w14:paraId="3FB0965D"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19,958</w:t>
            </w:r>
          </w:p>
        </w:tc>
        <w:tc>
          <w:tcPr>
            <w:tcW w:w="700" w:type="dxa"/>
            <w:tcBorders>
              <w:top w:val="single" w:sz="4" w:space="0" w:color="ADD6EA"/>
              <w:left w:val="nil"/>
              <w:bottom w:val="nil"/>
              <w:right w:val="nil"/>
            </w:tcBorders>
            <w:shd w:val="clear" w:color="000000" w:fill="D6E7F0"/>
            <w:noWrap/>
            <w:vAlign w:val="bottom"/>
            <w:hideMark/>
          </w:tcPr>
          <w:p w14:paraId="74854FDD"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19,036</w:t>
            </w:r>
          </w:p>
        </w:tc>
        <w:tc>
          <w:tcPr>
            <w:tcW w:w="700" w:type="dxa"/>
            <w:tcBorders>
              <w:top w:val="single" w:sz="4" w:space="0" w:color="ADD6EA"/>
              <w:left w:val="nil"/>
              <w:bottom w:val="nil"/>
              <w:right w:val="nil"/>
            </w:tcBorders>
            <w:shd w:val="clear" w:color="000000" w:fill="D6E7F0"/>
            <w:noWrap/>
            <w:vAlign w:val="bottom"/>
            <w:hideMark/>
          </w:tcPr>
          <w:p w14:paraId="3955C892"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6,419</w:t>
            </w:r>
          </w:p>
        </w:tc>
        <w:tc>
          <w:tcPr>
            <w:tcW w:w="700" w:type="dxa"/>
            <w:tcBorders>
              <w:top w:val="single" w:sz="4" w:space="0" w:color="ADD6EA"/>
              <w:left w:val="nil"/>
              <w:bottom w:val="nil"/>
              <w:right w:val="nil"/>
            </w:tcBorders>
            <w:shd w:val="clear" w:color="000000" w:fill="D6E7F0"/>
            <w:noWrap/>
            <w:vAlign w:val="bottom"/>
            <w:hideMark/>
          </w:tcPr>
          <w:p w14:paraId="2AFC6979"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8,582</w:t>
            </w:r>
          </w:p>
        </w:tc>
        <w:tc>
          <w:tcPr>
            <w:tcW w:w="700" w:type="dxa"/>
            <w:tcBorders>
              <w:top w:val="single" w:sz="4" w:space="0" w:color="ADD6EA"/>
              <w:left w:val="nil"/>
              <w:bottom w:val="nil"/>
              <w:right w:val="nil"/>
            </w:tcBorders>
            <w:shd w:val="clear" w:color="000000" w:fill="D6E7F0"/>
            <w:noWrap/>
            <w:vAlign w:val="bottom"/>
            <w:hideMark/>
          </w:tcPr>
          <w:p w14:paraId="30671808"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3,367</w:t>
            </w:r>
          </w:p>
        </w:tc>
        <w:tc>
          <w:tcPr>
            <w:tcW w:w="700" w:type="dxa"/>
            <w:tcBorders>
              <w:top w:val="single" w:sz="4" w:space="0" w:color="ADD6EA"/>
              <w:left w:val="nil"/>
              <w:bottom w:val="nil"/>
              <w:right w:val="nil"/>
            </w:tcBorders>
            <w:shd w:val="clear" w:color="000000" w:fill="D6E7F0"/>
            <w:noWrap/>
            <w:vAlign w:val="bottom"/>
            <w:hideMark/>
          </w:tcPr>
          <w:p w14:paraId="7E11B2E9"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1,873</w:t>
            </w:r>
          </w:p>
        </w:tc>
        <w:tc>
          <w:tcPr>
            <w:tcW w:w="700" w:type="dxa"/>
            <w:tcBorders>
              <w:top w:val="single" w:sz="4" w:space="0" w:color="ADD6EA"/>
              <w:left w:val="nil"/>
              <w:bottom w:val="nil"/>
              <w:right w:val="nil"/>
            </w:tcBorders>
            <w:shd w:val="clear" w:color="000000" w:fill="D6E7F0"/>
            <w:noWrap/>
            <w:vAlign w:val="bottom"/>
            <w:hideMark/>
          </w:tcPr>
          <w:p w14:paraId="080983D8"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4,039</w:t>
            </w:r>
          </w:p>
        </w:tc>
        <w:tc>
          <w:tcPr>
            <w:tcW w:w="760" w:type="dxa"/>
            <w:tcBorders>
              <w:top w:val="single" w:sz="4" w:space="0" w:color="ADD6EA"/>
              <w:left w:val="nil"/>
              <w:bottom w:val="nil"/>
              <w:right w:val="nil"/>
            </w:tcBorders>
            <w:shd w:val="clear" w:color="000000" w:fill="D6E7F0"/>
            <w:noWrap/>
            <w:vAlign w:val="bottom"/>
            <w:hideMark/>
          </w:tcPr>
          <w:p w14:paraId="701397DC"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89,519</w:t>
            </w:r>
          </w:p>
        </w:tc>
      </w:tr>
      <w:tr w:rsidR="00FB5EF6" w:rsidRPr="00FB5EF6" w14:paraId="060F3226" w14:textId="77777777" w:rsidTr="00FB5EF6">
        <w:trPr>
          <w:trHeight w:val="315"/>
        </w:trPr>
        <w:tc>
          <w:tcPr>
            <w:tcW w:w="2560" w:type="dxa"/>
            <w:tcBorders>
              <w:top w:val="single" w:sz="4" w:space="0" w:color="ADD6EA"/>
              <w:left w:val="nil"/>
              <w:bottom w:val="nil"/>
              <w:right w:val="nil"/>
            </w:tcBorders>
            <w:shd w:val="clear" w:color="auto" w:fill="auto"/>
            <w:vAlign w:val="bottom"/>
            <w:hideMark/>
          </w:tcPr>
          <w:p w14:paraId="68D68DF5" w14:textId="10CCA9E7" w:rsidR="00FB5EF6" w:rsidRPr="00FB5EF6" w:rsidRDefault="00FB5EF6" w:rsidP="00FB5EF6">
            <w:pPr>
              <w:tabs>
                <w:tab w:val="clear" w:pos="567"/>
              </w:tabs>
              <w:spacing w:before="0" w:line="240" w:lineRule="auto"/>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2024</w:t>
            </w:r>
            <w:r>
              <w:rPr>
                <w:rFonts w:ascii="Open Sans Light" w:eastAsia="Times New Roman" w:hAnsi="Open Sans Light" w:cs="Open Sans Light"/>
                <w:color w:val="000000"/>
                <w:sz w:val="16"/>
                <w:szCs w:val="16"/>
                <w:lang w:eastAsia="en-AU"/>
              </w:rPr>
              <w:t>–</w:t>
            </w:r>
            <w:r w:rsidRPr="00FB5EF6">
              <w:rPr>
                <w:rFonts w:ascii="Open Sans Light" w:eastAsia="Times New Roman" w:hAnsi="Open Sans Light" w:cs="Open Sans Light"/>
                <w:color w:val="000000"/>
                <w:sz w:val="16"/>
                <w:szCs w:val="16"/>
                <w:lang w:eastAsia="en-AU"/>
              </w:rPr>
              <w:t>25</w:t>
            </w:r>
          </w:p>
        </w:tc>
        <w:tc>
          <w:tcPr>
            <w:tcW w:w="700" w:type="dxa"/>
            <w:tcBorders>
              <w:top w:val="single" w:sz="4" w:space="0" w:color="ADD6EA"/>
              <w:left w:val="nil"/>
              <w:bottom w:val="nil"/>
              <w:right w:val="nil"/>
            </w:tcBorders>
            <w:shd w:val="clear" w:color="auto" w:fill="auto"/>
            <w:noWrap/>
            <w:vAlign w:val="bottom"/>
            <w:hideMark/>
          </w:tcPr>
          <w:p w14:paraId="0A10E9D7"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45E79DEB"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61A21EC7"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2383B367"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0E863A9B"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4E830B06"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144AC04C"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noWrap/>
            <w:vAlign w:val="bottom"/>
            <w:hideMark/>
          </w:tcPr>
          <w:p w14:paraId="12BFD24B"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60" w:type="dxa"/>
            <w:tcBorders>
              <w:top w:val="single" w:sz="4" w:space="0" w:color="ADD6EA"/>
              <w:left w:val="nil"/>
              <w:bottom w:val="nil"/>
              <w:right w:val="nil"/>
            </w:tcBorders>
            <w:shd w:val="clear" w:color="auto" w:fill="auto"/>
            <w:noWrap/>
            <w:vAlign w:val="bottom"/>
            <w:hideMark/>
          </w:tcPr>
          <w:p w14:paraId="63F340F0"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r>
      <w:tr w:rsidR="00FB5EF6" w:rsidRPr="00FB5EF6" w14:paraId="1A659E72" w14:textId="77777777" w:rsidTr="00FB5EF6">
        <w:trPr>
          <w:trHeight w:val="315"/>
        </w:trPr>
        <w:tc>
          <w:tcPr>
            <w:tcW w:w="2560" w:type="dxa"/>
            <w:tcBorders>
              <w:top w:val="single" w:sz="4" w:space="0" w:color="ADD6EA"/>
              <w:left w:val="nil"/>
              <w:bottom w:val="nil"/>
              <w:right w:val="nil"/>
            </w:tcBorders>
            <w:shd w:val="clear" w:color="auto" w:fill="auto"/>
            <w:vAlign w:val="bottom"/>
            <w:hideMark/>
          </w:tcPr>
          <w:p w14:paraId="1003920E" w14:textId="77777777" w:rsidR="00FB5EF6" w:rsidRPr="00FB5EF6" w:rsidRDefault="00FB5EF6" w:rsidP="00FB5EF6">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Total GST distribution</w:t>
            </w:r>
          </w:p>
        </w:tc>
        <w:tc>
          <w:tcPr>
            <w:tcW w:w="700" w:type="dxa"/>
            <w:tcBorders>
              <w:top w:val="single" w:sz="4" w:space="0" w:color="ADD6EA"/>
              <w:left w:val="nil"/>
              <w:bottom w:val="nil"/>
              <w:right w:val="nil"/>
            </w:tcBorders>
            <w:shd w:val="clear" w:color="auto" w:fill="auto"/>
            <w:noWrap/>
            <w:vAlign w:val="bottom"/>
            <w:hideMark/>
          </w:tcPr>
          <w:p w14:paraId="7406EA0A"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24,224</w:t>
            </w:r>
          </w:p>
        </w:tc>
        <w:tc>
          <w:tcPr>
            <w:tcW w:w="700" w:type="dxa"/>
            <w:tcBorders>
              <w:top w:val="single" w:sz="4" w:space="0" w:color="ADD6EA"/>
              <w:left w:val="nil"/>
              <w:bottom w:val="nil"/>
              <w:right w:val="nil"/>
            </w:tcBorders>
            <w:shd w:val="clear" w:color="auto" w:fill="auto"/>
            <w:noWrap/>
            <w:vAlign w:val="bottom"/>
            <w:hideMark/>
          </w:tcPr>
          <w:p w14:paraId="484D825C"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22,227</w:t>
            </w:r>
          </w:p>
        </w:tc>
        <w:tc>
          <w:tcPr>
            <w:tcW w:w="700" w:type="dxa"/>
            <w:tcBorders>
              <w:top w:val="single" w:sz="4" w:space="0" w:color="ADD6EA"/>
              <w:left w:val="nil"/>
              <w:bottom w:val="nil"/>
              <w:right w:val="nil"/>
            </w:tcBorders>
            <w:shd w:val="clear" w:color="auto" w:fill="auto"/>
            <w:noWrap/>
            <w:vAlign w:val="bottom"/>
            <w:hideMark/>
          </w:tcPr>
          <w:p w14:paraId="608EDFA8"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17,460</w:t>
            </w:r>
          </w:p>
        </w:tc>
        <w:tc>
          <w:tcPr>
            <w:tcW w:w="700" w:type="dxa"/>
            <w:tcBorders>
              <w:top w:val="single" w:sz="4" w:space="0" w:color="ADD6EA"/>
              <w:left w:val="nil"/>
              <w:bottom w:val="nil"/>
              <w:right w:val="nil"/>
            </w:tcBorders>
            <w:shd w:val="clear" w:color="auto" w:fill="auto"/>
            <w:noWrap/>
            <w:vAlign w:val="bottom"/>
            <w:hideMark/>
          </w:tcPr>
          <w:p w14:paraId="642720DF"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7,257</w:t>
            </w:r>
          </w:p>
        </w:tc>
        <w:tc>
          <w:tcPr>
            <w:tcW w:w="700" w:type="dxa"/>
            <w:tcBorders>
              <w:top w:val="single" w:sz="4" w:space="0" w:color="ADD6EA"/>
              <w:left w:val="nil"/>
              <w:bottom w:val="nil"/>
              <w:right w:val="nil"/>
            </w:tcBorders>
            <w:shd w:val="clear" w:color="auto" w:fill="auto"/>
            <w:noWrap/>
            <w:vAlign w:val="bottom"/>
            <w:hideMark/>
          </w:tcPr>
          <w:p w14:paraId="4C24F9FB"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8,671</w:t>
            </w:r>
          </w:p>
        </w:tc>
        <w:tc>
          <w:tcPr>
            <w:tcW w:w="700" w:type="dxa"/>
            <w:tcBorders>
              <w:top w:val="single" w:sz="4" w:space="0" w:color="ADD6EA"/>
              <w:left w:val="nil"/>
              <w:bottom w:val="nil"/>
              <w:right w:val="nil"/>
            </w:tcBorders>
            <w:shd w:val="clear" w:color="auto" w:fill="auto"/>
            <w:noWrap/>
            <w:vAlign w:val="bottom"/>
            <w:hideMark/>
          </w:tcPr>
          <w:p w14:paraId="4196EC66"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3,476</w:t>
            </w:r>
          </w:p>
        </w:tc>
        <w:tc>
          <w:tcPr>
            <w:tcW w:w="700" w:type="dxa"/>
            <w:tcBorders>
              <w:top w:val="single" w:sz="4" w:space="0" w:color="ADD6EA"/>
              <w:left w:val="nil"/>
              <w:bottom w:val="nil"/>
              <w:right w:val="nil"/>
            </w:tcBorders>
            <w:shd w:val="clear" w:color="auto" w:fill="auto"/>
            <w:noWrap/>
            <w:vAlign w:val="bottom"/>
            <w:hideMark/>
          </w:tcPr>
          <w:p w14:paraId="55F7D334"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1,889</w:t>
            </w:r>
          </w:p>
        </w:tc>
        <w:tc>
          <w:tcPr>
            <w:tcW w:w="700" w:type="dxa"/>
            <w:tcBorders>
              <w:top w:val="single" w:sz="4" w:space="0" w:color="ADD6EA"/>
              <w:left w:val="nil"/>
              <w:bottom w:val="nil"/>
              <w:right w:val="nil"/>
            </w:tcBorders>
            <w:shd w:val="clear" w:color="auto" w:fill="auto"/>
            <w:noWrap/>
            <w:vAlign w:val="bottom"/>
            <w:hideMark/>
          </w:tcPr>
          <w:p w14:paraId="1F6E5D0A"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4,257</w:t>
            </w:r>
          </w:p>
        </w:tc>
        <w:tc>
          <w:tcPr>
            <w:tcW w:w="760" w:type="dxa"/>
            <w:tcBorders>
              <w:top w:val="single" w:sz="4" w:space="0" w:color="ADD6EA"/>
              <w:left w:val="nil"/>
              <w:bottom w:val="nil"/>
              <w:right w:val="nil"/>
            </w:tcBorders>
            <w:shd w:val="clear" w:color="auto" w:fill="auto"/>
            <w:noWrap/>
            <w:vAlign w:val="bottom"/>
            <w:hideMark/>
          </w:tcPr>
          <w:p w14:paraId="67F418BB"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89,462</w:t>
            </w:r>
          </w:p>
        </w:tc>
      </w:tr>
      <w:tr w:rsidR="00FB5EF6" w:rsidRPr="00FB5EF6" w14:paraId="440B37DF" w14:textId="77777777" w:rsidTr="00FB5EF6">
        <w:trPr>
          <w:trHeight w:val="315"/>
        </w:trPr>
        <w:tc>
          <w:tcPr>
            <w:tcW w:w="2560" w:type="dxa"/>
            <w:tcBorders>
              <w:top w:val="single" w:sz="4" w:space="0" w:color="ADD6EA"/>
              <w:left w:val="nil"/>
              <w:bottom w:val="nil"/>
              <w:right w:val="nil"/>
            </w:tcBorders>
            <w:shd w:val="clear" w:color="auto" w:fill="auto"/>
            <w:vAlign w:val="bottom"/>
            <w:hideMark/>
          </w:tcPr>
          <w:p w14:paraId="477C2D17" w14:textId="77777777" w:rsidR="00FB5EF6" w:rsidRPr="00FB5EF6" w:rsidRDefault="00FB5EF6" w:rsidP="00FB5EF6">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No worse off payments</w:t>
            </w:r>
          </w:p>
        </w:tc>
        <w:tc>
          <w:tcPr>
            <w:tcW w:w="700" w:type="dxa"/>
            <w:tcBorders>
              <w:top w:val="single" w:sz="4" w:space="0" w:color="ADD6EA"/>
              <w:left w:val="nil"/>
              <w:bottom w:val="nil"/>
              <w:right w:val="nil"/>
            </w:tcBorders>
            <w:shd w:val="clear" w:color="auto" w:fill="auto"/>
            <w:noWrap/>
            <w:vAlign w:val="bottom"/>
            <w:hideMark/>
          </w:tcPr>
          <w:p w14:paraId="01DAB59C"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1,833</w:t>
            </w:r>
          </w:p>
        </w:tc>
        <w:tc>
          <w:tcPr>
            <w:tcW w:w="700" w:type="dxa"/>
            <w:tcBorders>
              <w:top w:val="single" w:sz="4" w:space="0" w:color="ADD6EA"/>
              <w:left w:val="nil"/>
              <w:bottom w:val="nil"/>
              <w:right w:val="nil"/>
            </w:tcBorders>
            <w:shd w:val="clear" w:color="auto" w:fill="auto"/>
            <w:noWrap/>
            <w:vAlign w:val="bottom"/>
            <w:hideMark/>
          </w:tcPr>
          <w:p w14:paraId="3E75C484"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1,513</w:t>
            </w:r>
          </w:p>
        </w:tc>
        <w:tc>
          <w:tcPr>
            <w:tcW w:w="700" w:type="dxa"/>
            <w:tcBorders>
              <w:top w:val="single" w:sz="4" w:space="0" w:color="ADD6EA"/>
              <w:left w:val="nil"/>
              <w:bottom w:val="nil"/>
              <w:right w:val="nil"/>
            </w:tcBorders>
            <w:shd w:val="clear" w:color="auto" w:fill="auto"/>
            <w:noWrap/>
            <w:vAlign w:val="bottom"/>
            <w:hideMark/>
          </w:tcPr>
          <w:p w14:paraId="4700C130"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1,192</w:t>
            </w:r>
          </w:p>
        </w:tc>
        <w:tc>
          <w:tcPr>
            <w:tcW w:w="700" w:type="dxa"/>
            <w:tcBorders>
              <w:top w:val="single" w:sz="4" w:space="0" w:color="ADD6EA"/>
              <w:left w:val="nil"/>
              <w:bottom w:val="nil"/>
              <w:right w:val="nil"/>
            </w:tcBorders>
            <w:shd w:val="clear" w:color="auto" w:fill="auto"/>
            <w:noWrap/>
            <w:vAlign w:val="bottom"/>
            <w:hideMark/>
          </w:tcPr>
          <w:p w14:paraId="030038FD"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bottom"/>
            <w:hideMark/>
          </w:tcPr>
          <w:p w14:paraId="3A9700A0"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393</w:t>
            </w:r>
          </w:p>
        </w:tc>
        <w:tc>
          <w:tcPr>
            <w:tcW w:w="700" w:type="dxa"/>
            <w:tcBorders>
              <w:top w:val="single" w:sz="4" w:space="0" w:color="ADD6EA"/>
              <w:left w:val="nil"/>
              <w:bottom w:val="nil"/>
              <w:right w:val="nil"/>
            </w:tcBorders>
            <w:shd w:val="clear" w:color="auto" w:fill="auto"/>
            <w:noWrap/>
            <w:vAlign w:val="bottom"/>
            <w:hideMark/>
          </w:tcPr>
          <w:p w14:paraId="4DFFD53D"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117</w:t>
            </w:r>
          </w:p>
        </w:tc>
        <w:tc>
          <w:tcPr>
            <w:tcW w:w="700" w:type="dxa"/>
            <w:tcBorders>
              <w:top w:val="single" w:sz="4" w:space="0" w:color="ADD6EA"/>
              <w:left w:val="nil"/>
              <w:bottom w:val="nil"/>
              <w:right w:val="nil"/>
            </w:tcBorders>
            <w:shd w:val="clear" w:color="auto" w:fill="auto"/>
            <w:noWrap/>
            <w:vAlign w:val="bottom"/>
            <w:hideMark/>
          </w:tcPr>
          <w:p w14:paraId="6AA47134"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101</w:t>
            </w:r>
          </w:p>
        </w:tc>
        <w:tc>
          <w:tcPr>
            <w:tcW w:w="700" w:type="dxa"/>
            <w:tcBorders>
              <w:top w:val="single" w:sz="4" w:space="0" w:color="ADD6EA"/>
              <w:left w:val="nil"/>
              <w:bottom w:val="nil"/>
              <w:right w:val="nil"/>
            </w:tcBorders>
            <w:shd w:val="clear" w:color="auto" w:fill="auto"/>
            <w:noWrap/>
            <w:vAlign w:val="bottom"/>
            <w:hideMark/>
          </w:tcPr>
          <w:p w14:paraId="4197D53F"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39</w:t>
            </w:r>
          </w:p>
        </w:tc>
        <w:tc>
          <w:tcPr>
            <w:tcW w:w="760" w:type="dxa"/>
            <w:tcBorders>
              <w:top w:val="single" w:sz="4" w:space="0" w:color="ADD6EA"/>
              <w:left w:val="nil"/>
              <w:bottom w:val="nil"/>
              <w:right w:val="nil"/>
            </w:tcBorders>
            <w:shd w:val="clear" w:color="auto" w:fill="auto"/>
            <w:noWrap/>
            <w:vAlign w:val="bottom"/>
            <w:hideMark/>
          </w:tcPr>
          <w:p w14:paraId="78DCA74D"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5,188</w:t>
            </w:r>
          </w:p>
        </w:tc>
      </w:tr>
      <w:tr w:rsidR="00FB5EF6" w:rsidRPr="00FB5EF6" w14:paraId="45189DE1" w14:textId="77777777" w:rsidTr="00FB5EF6">
        <w:trPr>
          <w:trHeight w:val="315"/>
        </w:trPr>
        <w:tc>
          <w:tcPr>
            <w:tcW w:w="2560" w:type="dxa"/>
            <w:tcBorders>
              <w:top w:val="single" w:sz="4" w:space="0" w:color="ADD6EA"/>
              <w:left w:val="nil"/>
              <w:bottom w:val="nil"/>
              <w:right w:val="nil"/>
            </w:tcBorders>
            <w:shd w:val="clear" w:color="000000" w:fill="D6E7F0"/>
            <w:vAlign w:val="bottom"/>
            <w:hideMark/>
          </w:tcPr>
          <w:p w14:paraId="7D6B4C6F" w14:textId="77777777" w:rsidR="00FB5EF6" w:rsidRPr="00FB5EF6" w:rsidRDefault="00FB5EF6" w:rsidP="00FB5EF6">
            <w:pPr>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Total</w:t>
            </w:r>
          </w:p>
        </w:tc>
        <w:tc>
          <w:tcPr>
            <w:tcW w:w="700" w:type="dxa"/>
            <w:tcBorders>
              <w:top w:val="single" w:sz="4" w:space="0" w:color="ADD6EA"/>
              <w:left w:val="nil"/>
              <w:bottom w:val="nil"/>
              <w:right w:val="nil"/>
            </w:tcBorders>
            <w:shd w:val="clear" w:color="000000" w:fill="D6E7F0"/>
            <w:noWrap/>
            <w:vAlign w:val="bottom"/>
            <w:hideMark/>
          </w:tcPr>
          <w:p w14:paraId="18604A25"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26,058</w:t>
            </w:r>
          </w:p>
        </w:tc>
        <w:tc>
          <w:tcPr>
            <w:tcW w:w="700" w:type="dxa"/>
            <w:tcBorders>
              <w:top w:val="single" w:sz="4" w:space="0" w:color="ADD6EA"/>
              <w:left w:val="nil"/>
              <w:bottom w:val="nil"/>
              <w:right w:val="nil"/>
            </w:tcBorders>
            <w:shd w:val="clear" w:color="000000" w:fill="D6E7F0"/>
            <w:noWrap/>
            <w:vAlign w:val="bottom"/>
            <w:hideMark/>
          </w:tcPr>
          <w:p w14:paraId="41091ED2"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23,740</w:t>
            </w:r>
          </w:p>
        </w:tc>
        <w:tc>
          <w:tcPr>
            <w:tcW w:w="700" w:type="dxa"/>
            <w:tcBorders>
              <w:top w:val="single" w:sz="4" w:space="0" w:color="ADD6EA"/>
              <w:left w:val="nil"/>
              <w:bottom w:val="nil"/>
              <w:right w:val="nil"/>
            </w:tcBorders>
            <w:shd w:val="clear" w:color="000000" w:fill="D6E7F0"/>
            <w:noWrap/>
            <w:vAlign w:val="bottom"/>
            <w:hideMark/>
          </w:tcPr>
          <w:p w14:paraId="15F02CAB"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18,652</w:t>
            </w:r>
          </w:p>
        </w:tc>
        <w:tc>
          <w:tcPr>
            <w:tcW w:w="700" w:type="dxa"/>
            <w:tcBorders>
              <w:top w:val="single" w:sz="4" w:space="0" w:color="ADD6EA"/>
              <w:left w:val="nil"/>
              <w:bottom w:val="nil"/>
              <w:right w:val="nil"/>
            </w:tcBorders>
            <w:shd w:val="clear" w:color="000000" w:fill="D6E7F0"/>
            <w:noWrap/>
            <w:vAlign w:val="bottom"/>
            <w:hideMark/>
          </w:tcPr>
          <w:p w14:paraId="39EE4F73"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7,257</w:t>
            </w:r>
          </w:p>
        </w:tc>
        <w:tc>
          <w:tcPr>
            <w:tcW w:w="700" w:type="dxa"/>
            <w:tcBorders>
              <w:top w:val="single" w:sz="4" w:space="0" w:color="ADD6EA"/>
              <w:left w:val="nil"/>
              <w:bottom w:val="nil"/>
              <w:right w:val="nil"/>
            </w:tcBorders>
            <w:shd w:val="clear" w:color="000000" w:fill="D6E7F0"/>
            <w:noWrap/>
            <w:vAlign w:val="bottom"/>
            <w:hideMark/>
          </w:tcPr>
          <w:p w14:paraId="066AB284"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9,063</w:t>
            </w:r>
          </w:p>
        </w:tc>
        <w:tc>
          <w:tcPr>
            <w:tcW w:w="700" w:type="dxa"/>
            <w:tcBorders>
              <w:top w:val="single" w:sz="4" w:space="0" w:color="ADD6EA"/>
              <w:left w:val="nil"/>
              <w:bottom w:val="nil"/>
              <w:right w:val="nil"/>
            </w:tcBorders>
            <w:shd w:val="clear" w:color="000000" w:fill="D6E7F0"/>
            <w:noWrap/>
            <w:vAlign w:val="bottom"/>
            <w:hideMark/>
          </w:tcPr>
          <w:p w14:paraId="464F2D39"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3,593</w:t>
            </w:r>
          </w:p>
        </w:tc>
        <w:tc>
          <w:tcPr>
            <w:tcW w:w="700" w:type="dxa"/>
            <w:tcBorders>
              <w:top w:val="single" w:sz="4" w:space="0" w:color="ADD6EA"/>
              <w:left w:val="nil"/>
              <w:bottom w:val="nil"/>
              <w:right w:val="nil"/>
            </w:tcBorders>
            <w:shd w:val="clear" w:color="000000" w:fill="D6E7F0"/>
            <w:noWrap/>
            <w:vAlign w:val="bottom"/>
            <w:hideMark/>
          </w:tcPr>
          <w:p w14:paraId="6686B12E"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1,990</w:t>
            </w:r>
          </w:p>
        </w:tc>
        <w:tc>
          <w:tcPr>
            <w:tcW w:w="700" w:type="dxa"/>
            <w:tcBorders>
              <w:top w:val="single" w:sz="4" w:space="0" w:color="ADD6EA"/>
              <w:left w:val="nil"/>
              <w:bottom w:val="nil"/>
              <w:right w:val="nil"/>
            </w:tcBorders>
            <w:shd w:val="clear" w:color="000000" w:fill="D6E7F0"/>
            <w:noWrap/>
            <w:vAlign w:val="bottom"/>
            <w:hideMark/>
          </w:tcPr>
          <w:p w14:paraId="58482ADE"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4,296</w:t>
            </w:r>
          </w:p>
        </w:tc>
        <w:tc>
          <w:tcPr>
            <w:tcW w:w="760" w:type="dxa"/>
            <w:tcBorders>
              <w:top w:val="single" w:sz="4" w:space="0" w:color="ADD6EA"/>
              <w:left w:val="nil"/>
              <w:bottom w:val="nil"/>
              <w:right w:val="nil"/>
            </w:tcBorders>
            <w:shd w:val="clear" w:color="000000" w:fill="D6E7F0"/>
            <w:noWrap/>
            <w:vAlign w:val="bottom"/>
            <w:hideMark/>
          </w:tcPr>
          <w:p w14:paraId="63A17BD6"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94,649</w:t>
            </w:r>
          </w:p>
        </w:tc>
      </w:tr>
      <w:tr w:rsidR="00FB5EF6" w:rsidRPr="00FB5EF6" w14:paraId="1587E3EC" w14:textId="77777777" w:rsidTr="00FB5EF6">
        <w:trPr>
          <w:trHeight w:val="315"/>
        </w:trPr>
        <w:tc>
          <w:tcPr>
            <w:tcW w:w="2560" w:type="dxa"/>
            <w:tcBorders>
              <w:top w:val="single" w:sz="4" w:space="0" w:color="ADD6EA"/>
              <w:left w:val="nil"/>
              <w:bottom w:val="nil"/>
              <w:right w:val="nil"/>
            </w:tcBorders>
            <w:shd w:val="clear" w:color="auto" w:fill="auto"/>
            <w:vAlign w:val="bottom"/>
            <w:hideMark/>
          </w:tcPr>
          <w:p w14:paraId="5C6D921C" w14:textId="77777777" w:rsidR="00FB5EF6" w:rsidRPr="00FB5EF6" w:rsidRDefault="00FB5EF6" w:rsidP="00FB5EF6">
            <w:pPr>
              <w:tabs>
                <w:tab w:val="clear" w:pos="567"/>
              </w:tabs>
              <w:spacing w:before="0" w:line="240" w:lineRule="auto"/>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xml:space="preserve">Difference </w:t>
            </w:r>
          </w:p>
        </w:tc>
        <w:tc>
          <w:tcPr>
            <w:tcW w:w="700" w:type="dxa"/>
            <w:tcBorders>
              <w:top w:val="single" w:sz="4" w:space="0" w:color="ADD6EA"/>
              <w:left w:val="nil"/>
              <w:bottom w:val="nil"/>
              <w:right w:val="nil"/>
            </w:tcBorders>
            <w:shd w:val="clear" w:color="auto" w:fill="auto"/>
            <w:vAlign w:val="bottom"/>
            <w:hideMark/>
          </w:tcPr>
          <w:p w14:paraId="728B200C"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5E59716E"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28617994"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3E81FCD4"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1BCD3798"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2ADA8F3F"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1DB6333D"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00" w:type="dxa"/>
            <w:tcBorders>
              <w:top w:val="single" w:sz="4" w:space="0" w:color="ADD6EA"/>
              <w:left w:val="nil"/>
              <w:bottom w:val="nil"/>
              <w:right w:val="nil"/>
            </w:tcBorders>
            <w:shd w:val="clear" w:color="auto" w:fill="auto"/>
            <w:vAlign w:val="bottom"/>
            <w:hideMark/>
          </w:tcPr>
          <w:p w14:paraId="71D86C58"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c>
          <w:tcPr>
            <w:tcW w:w="760" w:type="dxa"/>
            <w:tcBorders>
              <w:top w:val="single" w:sz="4" w:space="0" w:color="ADD6EA"/>
              <w:left w:val="nil"/>
              <w:bottom w:val="nil"/>
              <w:right w:val="nil"/>
            </w:tcBorders>
            <w:shd w:val="clear" w:color="auto" w:fill="auto"/>
            <w:vAlign w:val="bottom"/>
            <w:hideMark/>
          </w:tcPr>
          <w:p w14:paraId="16C16D39"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 </w:t>
            </w:r>
          </w:p>
        </w:tc>
      </w:tr>
      <w:tr w:rsidR="00FB5EF6" w:rsidRPr="00FB5EF6" w14:paraId="399AE140" w14:textId="77777777" w:rsidTr="00FB5EF6">
        <w:trPr>
          <w:trHeight w:val="315"/>
        </w:trPr>
        <w:tc>
          <w:tcPr>
            <w:tcW w:w="2560" w:type="dxa"/>
            <w:tcBorders>
              <w:top w:val="single" w:sz="4" w:space="0" w:color="ADD6EA"/>
              <w:left w:val="nil"/>
              <w:bottom w:val="nil"/>
              <w:right w:val="nil"/>
            </w:tcBorders>
            <w:shd w:val="clear" w:color="auto" w:fill="auto"/>
            <w:vAlign w:val="bottom"/>
            <w:hideMark/>
          </w:tcPr>
          <w:p w14:paraId="193FA1C3" w14:textId="77777777" w:rsidR="00FB5EF6" w:rsidRPr="00FB5EF6" w:rsidRDefault="00FB5EF6" w:rsidP="00FB5EF6">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GST distribution</w:t>
            </w:r>
          </w:p>
        </w:tc>
        <w:tc>
          <w:tcPr>
            <w:tcW w:w="700" w:type="dxa"/>
            <w:tcBorders>
              <w:top w:val="single" w:sz="4" w:space="0" w:color="ADD6EA"/>
              <w:left w:val="nil"/>
              <w:bottom w:val="nil"/>
              <w:right w:val="nil"/>
            </w:tcBorders>
            <w:shd w:val="clear" w:color="auto" w:fill="auto"/>
            <w:noWrap/>
            <w:vAlign w:val="bottom"/>
            <w:hideMark/>
          </w:tcPr>
          <w:p w14:paraId="392D8531"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-310</w:t>
            </w:r>
          </w:p>
        </w:tc>
        <w:tc>
          <w:tcPr>
            <w:tcW w:w="700" w:type="dxa"/>
            <w:tcBorders>
              <w:top w:val="single" w:sz="4" w:space="0" w:color="ADD6EA"/>
              <w:left w:val="nil"/>
              <w:bottom w:val="nil"/>
              <w:right w:val="nil"/>
            </w:tcBorders>
            <w:shd w:val="clear" w:color="auto" w:fill="auto"/>
            <w:noWrap/>
            <w:vAlign w:val="bottom"/>
            <w:hideMark/>
          </w:tcPr>
          <w:p w14:paraId="225B69FE"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3,686</w:t>
            </w:r>
          </w:p>
        </w:tc>
        <w:tc>
          <w:tcPr>
            <w:tcW w:w="700" w:type="dxa"/>
            <w:tcBorders>
              <w:top w:val="single" w:sz="4" w:space="0" w:color="ADD6EA"/>
              <w:left w:val="nil"/>
              <w:bottom w:val="nil"/>
              <w:right w:val="nil"/>
            </w:tcBorders>
            <w:shd w:val="clear" w:color="auto" w:fill="auto"/>
            <w:noWrap/>
            <w:vAlign w:val="bottom"/>
            <w:hideMark/>
          </w:tcPr>
          <w:p w14:paraId="27FDE9CD"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-469</w:t>
            </w:r>
          </w:p>
        </w:tc>
        <w:tc>
          <w:tcPr>
            <w:tcW w:w="700" w:type="dxa"/>
            <w:tcBorders>
              <w:top w:val="single" w:sz="4" w:space="0" w:color="ADD6EA"/>
              <w:left w:val="nil"/>
              <w:bottom w:val="nil"/>
              <w:right w:val="nil"/>
            </w:tcBorders>
            <w:shd w:val="clear" w:color="auto" w:fill="auto"/>
            <w:noWrap/>
            <w:vAlign w:val="bottom"/>
            <w:hideMark/>
          </w:tcPr>
          <w:p w14:paraId="52FF1D9C"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838</w:t>
            </w:r>
          </w:p>
        </w:tc>
        <w:tc>
          <w:tcPr>
            <w:tcW w:w="700" w:type="dxa"/>
            <w:tcBorders>
              <w:top w:val="single" w:sz="4" w:space="0" w:color="ADD6EA"/>
              <w:left w:val="nil"/>
              <w:bottom w:val="nil"/>
              <w:right w:val="nil"/>
            </w:tcBorders>
            <w:shd w:val="clear" w:color="auto" w:fill="auto"/>
            <w:noWrap/>
            <w:vAlign w:val="bottom"/>
            <w:hideMark/>
          </w:tcPr>
          <w:p w14:paraId="201FD618"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457</w:t>
            </w:r>
          </w:p>
        </w:tc>
        <w:tc>
          <w:tcPr>
            <w:tcW w:w="700" w:type="dxa"/>
            <w:tcBorders>
              <w:top w:val="single" w:sz="4" w:space="0" w:color="ADD6EA"/>
              <w:left w:val="nil"/>
              <w:bottom w:val="nil"/>
              <w:right w:val="nil"/>
            </w:tcBorders>
            <w:shd w:val="clear" w:color="auto" w:fill="auto"/>
            <w:noWrap/>
            <w:vAlign w:val="bottom"/>
            <w:hideMark/>
          </w:tcPr>
          <w:p w14:paraId="00652A31"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219</w:t>
            </w:r>
          </w:p>
        </w:tc>
        <w:tc>
          <w:tcPr>
            <w:tcW w:w="700" w:type="dxa"/>
            <w:tcBorders>
              <w:top w:val="single" w:sz="4" w:space="0" w:color="ADD6EA"/>
              <w:left w:val="nil"/>
              <w:bottom w:val="nil"/>
              <w:right w:val="nil"/>
            </w:tcBorders>
            <w:shd w:val="clear" w:color="auto" w:fill="auto"/>
            <w:noWrap/>
            <w:vAlign w:val="bottom"/>
            <w:hideMark/>
          </w:tcPr>
          <w:p w14:paraId="44105A9D"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111</w:t>
            </w:r>
          </w:p>
        </w:tc>
        <w:tc>
          <w:tcPr>
            <w:tcW w:w="700" w:type="dxa"/>
            <w:tcBorders>
              <w:top w:val="single" w:sz="4" w:space="0" w:color="ADD6EA"/>
              <w:left w:val="nil"/>
              <w:bottom w:val="nil"/>
              <w:right w:val="nil"/>
            </w:tcBorders>
            <w:shd w:val="clear" w:color="auto" w:fill="auto"/>
            <w:noWrap/>
            <w:vAlign w:val="bottom"/>
            <w:hideMark/>
          </w:tcPr>
          <w:p w14:paraId="42711772"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256</w:t>
            </w:r>
          </w:p>
        </w:tc>
        <w:tc>
          <w:tcPr>
            <w:tcW w:w="760" w:type="dxa"/>
            <w:tcBorders>
              <w:top w:val="single" w:sz="4" w:space="0" w:color="ADD6EA"/>
              <w:left w:val="nil"/>
              <w:bottom w:val="nil"/>
              <w:right w:val="nil"/>
            </w:tcBorders>
            <w:shd w:val="clear" w:color="auto" w:fill="auto"/>
            <w:noWrap/>
            <w:vAlign w:val="bottom"/>
            <w:hideMark/>
          </w:tcPr>
          <w:p w14:paraId="079D538C"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4,787</w:t>
            </w:r>
          </w:p>
        </w:tc>
      </w:tr>
      <w:tr w:rsidR="00FB5EF6" w:rsidRPr="00FB5EF6" w14:paraId="217478E5" w14:textId="77777777" w:rsidTr="00FB5EF6">
        <w:trPr>
          <w:trHeight w:val="315"/>
        </w:trPr>
        <w:tc>
          <w:tcPr>
            <w:tcW w:w="2560" w:type="dxa"/>
            <w:tcBorders>
              <w:top w:val="single" w:sz="4" w:space="0" w:color="ADD6EA"/>
              <w:left w:val="nil"/>
              <w:bottom w:val="nil"/>
              <w:right w:val="nil"/>
            </w:tcBorders>
            <w:shd w:val="clear" w:color="auto" w:fill="auto"/>
            <w:vAlign w:val="bottom"/>
            <w:hideMark/>
          </w:tcPr>
          <w:p w14:paraId="05C0215B" w14:textId="77777777" w:rsidR="00FB5EF6" w:rsidRPr="00FB5EF6" w:rsidRDefault="00FB5EF6" w:rsidP="00FB5EF6">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No worse off payments</w:t>
            </w:r>
          </w:p>
        </w:tc>
        <w:tc>
          <w:tcPr>
            <w:tcW w:w="700" w:type="dxa"/>
            <w:tcBorders>
              <w:top w:val="single" w:sz="4" w:space="0" w:color="ADD6EA"/>
              <w:left w:val="nil"/>
              <w:bottom w:val="nil"/>
              <w:right w:val="nil"/>
            </w:tcBorders>
            <w:shd w:val="clear" w:color="auto" w:fill="auto"/>
            <w:noWrap/>
            <w:vAlign w:val="bottom"/>
            <w:hideMark/>
          </w:tcPr>
          <w:p w14:paraId="36CC5003"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122</w:t>
            </w:r>
          </w:p>
        </w:tc>
        <w:tc>
          <w:tcPr>
            <w:tcW w:w="700" w:type="dxa"/>
            <w:tcBorders>
              <w:top w:val="single" w:sz="4" w:space="0" w:color="ADD6EA"/>
              <w:left w:val="nil"/>
              <w:bottom w:val="nil"/>
              <w:right w:val="nil"/>
            </w:tcBorders>
            <w:shd w:val="clear" w:color="auto" w:fill="auto"/>
            <w:noWrap/>
            <w:vAlign w:val="bottom"/>
            <w:hideMark/>
          </w:tcPr>
          <w:p w14:paraId="57266685"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96</w:t>
            </w:r>
          </w:p>
        </w:tc>
        <w:tc>
          <w:tcPr>
            <w:tcW w:w="700" w:type="dxa"/>
            <w:tcBorders>
              <w:top w:val="single" w:sz="4" w:space="0" w:color="ADD6EA"/>
              <w:left w:val="nil"/>
              <w:bottom w:val="nil"/>
              <w:right w:val="nil"/>
            </w:tcBorders>
            <w:shd w:val="clear" w:color="auto" w:fill="auto"/>
            <w:noWrap/>
            <w:vAlign w:val="bottom"/>
            <w:hideMark/>
          </w:tcPr>
          <w:p w14:paraId="7737D793"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85</w:t>
            </w:r>
          </w:p>
        </w:tc>
        <w:tc>
          <w:tcPr>
            <w:tcW w:w="700" w:type="dxa"/>
            <w:tcBorders>
              <w:top w:val="single" w:sz="4" w:space="0" w:color="ADD6EA"/>
              <w:left w:val="nil"/>
              <w:bottom w:val="nil"/>
              <w:right w:val="nil"/>
            </w:tcBorders>
            <w:shd w:val="clear" w:color="auto" w:fill="auto"/>
            <w:noWrap/>
            <w:vAlign w:val="bottom"/>
            <w:hideMark/>
          </w:tcPr>
          <w:p w14:paraId="34562BBF"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bottom"/>
            <w:hideMark/>
          </w:tcPr>
          <w:p w14:paraId="68D91647"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25</w:t>
            </w:r>
          </w:p>
        </w:tc>
        <w:tc>
          <w:tcPr>
            <w:tcW w:w="700" w:type="dxa"/>
            <w:tcBorders>
              <w:top w:val="single" w:sz="4" w:space="0" w:color="ADD6EA"/>
              <w:left w:val="nil"/>
              <w:bottom w:val="nil"/>
              <w:right w:val="nil"/>
            </w:tcBorders>
            <w:shd w:val="clear" w:color="auto" w:fill="auto"/>
            <w:noWrap/>
            <w:vAlign w:val="bottom"/>
            <w:hideMark/>
          </w:tcPr>
          <w:p w14:paraId="6B387E1A"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7</w:t>
            </w:r>
          </w:p>
        </w:tc>
        <w:tc>
          <w:tcPr>
            <w:tcW w:w="700" w:type="dxa"/>
            <w:tcBorders>
              <w:top w:val="single" w:sz="4" w:space="0" w:color="ADD6EA"/>
              <w:left w:val="nil"/>
              <w:bottom w:val="nil"/>
              <w:right w:val="nil"/>
            </w:tcBorders>
            <w:shd w:val="clear" w:color="auto" w:fill="auto"/>
            <w:noWrap/>
            <w:vAlign w:val="bottom"/>
            <w:hideMark/>
          </w:tcPr>
          <w:p w14:paraId="714AA341"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7</w:t>
            </w:r>
          </w:p>
        </w:tc>
        <w:tc>
          <w:tcPr>
            <w:tcW w:w="700" w:type="dxa"/>
            <w:tcBorders>
              <w:top w:val="single" w:sz="4" w:space="0" w:color="ADD6EA"/>
              <w:left w:val="nil"/>
              <w:bottom w:val="nil"/>
              <w:right w:val="nil"/>
            </w:tcBorders>
            <w:shd w:val="clear" w:color="auto" w:fill="auto"/>
            <w:noWrap/>
            <w:vAlign w:val="bottom"/>
            <w:hideMark/>
          </w:tcPr>
          <w:p w14:paraId="5765DF89"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2</w:t>
            </w:r>
          </w:p>
        </w:tc>
        <w:tc>
          <w:tcPr>
            <w:tcW w:w="760" w:type="dxa"/>
            <w:tcBorders>
              <w:top w:val="single" w:sz="4" w:space="0" w:color="ADD6EA"/>
              <w:left w:val="nil"/>
              <w:bottom w:val="nil"/>
              <w:right w:val="nil"/>
            </w:tcBorders>
            <w:shd w:val="clear" w:color="auto" w:fill="auto"/>
            <w:noWrap/>
            <w:vAlign w:val="bottom"/>
            <w:hideMark/>
          </w:tcPr>
          <w:p w14:paraId="7A3D6C66" w14:textId="77777777" w:rsidR="00FB5EF6" w:rsidRPr="00FB5EF6" w:rsidRDefault="00FB5EF6" w:rsidP="00FB5EF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B5EF6">
              <w:rPr>
                <w:rFonts w:ascii="Open Sans Light" w:eastAsia="Times New Roman" w:hAnsi="Open Sans Light" w:cs="Open Sans Light"/>
                <w:color w:val="000000"/>
                <w:sz w:val="16"/>
                <w:szCs w:val="16"/>
                <w:lang w:eastAsia="en-AU"/>
              </w:rPr>
              <w:t>344</w:t>
            </w:r>
          </w:p>
        </w:tc>
      </w:tr>
      <w:tr w:rsidR="00FB5EF6" w:rsidRPr="00FB5EF6" w14:paraId="1A60C46D" w14:textId="77777777" w:rsidTr="00FB5EF6">
        <w:trPr>
          <w:trHeight w:val="315"/>
        </w:trPr>
        <w:tc>
          <w:tcPr>
            <w:tcW w:w="2560" w:type="dxa"/>
            <w:tcBorders>
              <w:top w:val="single" w:sz="4" w:space="0" w:color="ADD6EA"/>
              <w:left w:val="nil"/>
              <w:bottom w:val="single" w:sz="4" w:space="0" w:color="ADD6EA"/>
              <w:right w:val="nil"/>
            </w:tcBorders>
            <w:shd w:val="clear" w:color="000000" w:fill="D6E7F0"/>
            <w:vAlign w:val="bottom"/>
            <w:hideMark/>
          </w:tcPr>
          <w:p w14:paraId="0C4EBC24" w14:textId="77777777" w:rsidR="00FB5EF6" w:rsidRPr="00FB5EF6" w:rsidRDefault="00FB5EF6" w:rsidP="00FB5EF6">
            <w:pPr>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Total ($m)</w:t>
            </w:r>
          </w:p>
        </w:tc>
        <w:tc>
          <w:tcPr>
            <w:tcW w:w="700" w:type="dxa"/>
            <w:tcBorders>
              <w:top w:val="single" w:sz="4" w:space="0" w:color="ADD6EA"/>
              <w:left w:val="nil"/>
              <w:bottom w:val="single" w:sz="4" w:space="0" w:color="ADD6EA"/>
              <w:right w:val="nil"/>
            </w:tcBorders>
            <w:shd w:val="clear" w:color="000000" w:fill="D6E7F0"/>
            <w:noWrap/>
            <w:vAlign w:val="bottom"/>
            <w:hideMark/>
          </w:tcPr>
          <w:p w14:paraId="4394677A"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-188</w:t>
            </w:r>
          </w:p>
        </w:tc>
        <w:tc>
          <w:tcPr>
            <w:tcW w:w="700" w:type="dxa"/>
            <w:tcBorders>
              <w:top w:val="single" w:sz="4" w:space="0" w:color="ADD6EA"/>
              <w:left w:val="nil"/>
              <w:bottom w:val="single" w:sz="4" w:space="0" w:color="ADD6EA"/>
              <w:right w:val="nil"/>
            </w:tcBorders>
            <w:shd w:val="clear" w:color="000000" w:fill="D6E7F0"/>
            <w:noWrap/>
            <w:vAlign w:val="bottom"/>
            <w:hideMark/>
          </w:tcPr>
          <w:p w14:paraId="2F528837"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3,782</w:t>
            </w:r>
          </w:p>
        </w:tc>
        <w:tc>
          <w:tcPr>
            <w:tcW w:w="700" w:type="dxa"/>
            <w:tcBorders>
              <w:top w:val="single" w:sz="4" w:space="0" w:color="ADD6EA"/>
              <w:left w:val="nil"/>
              <w:bottom w:val="single" w:sz="4" w:space="0" w:color="ADD6EA"/>
              <w:right w:val="nil"/>
            </w:tcBorders>
            <w:shd w:val="clear" w:color="000000" w:fill="D6E7F0"/>
            <w:noWrap/>
            <w:vAlign w:val="bottom"/>
            <w:hideMark/>
          </w:tcPr>
          <w:p w14:paraId="0C40781B"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-384</w:t>
            </w:r>
          </w:p>
        </w:tc>
        <w:tc>
          <w:tcPr>
            <w:tcW w:w="700" w:type="dxa"/>
            <w:tcBorders>
              <w:top w:val="single" w:sz="4" w:space="0" w:color="ADD6EA"/>
              <w:left w:val="nil"/>
              <w:bottom w:val="single" w:sz="4" w:space="0" w:color="ADD6EA"/>
              <w:right w:val="nil"/>
            </w:tcBorders>
            <w:shd w:val="clear" w:color="000000" w:fill="D6E7F0"/>
            <w:noWrap/>
            <w:vAlign w:val="bottom"/>
            <w:hideMark/>
          </w:tcPr>
          <w:p w14:paraId="204C5A49"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838</w:t>
            </w:r>
          </w:p>
        </w:tc>
        <w:tc>
          <w:tcPr>
            <w:tcW w:w="700" w:type="dxa"/>
            <w:tcBorders>
              <w:top w:val="single" w:sz="4" w:space="0" w:color="ADD6EA"/>
              <w:left w:val="nil"/>
              <w:bottom w:val="single" w:sz="4" w:space="0" w:color="ADD6EA"/>
              <w:right w:val="nil"/>
            </w:tcBorders>
            <w:shd w:val="clear" w:color="000000" w:fill="D6E7F0"/>
            <w:noWrap/>
            <w:vAlign w:val="bottom"/>
            <w:hideMark/>
          </w:tcPr>
          <w:p w14:paraId="2C305805"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481</w:t>
            </w:r>
          </w:p>
        </w:tc>
        <w:tc>
          <w:tcPr>
            <w:tcW w:w="700" w:type="dxa"/>
            <w:tcBorders>
              <w:top w:val="single" w:sz="4" w:space="0" w:color="ADD6EA"/>
              <w:left w:val="nil"/>
              <w:bottom w:val="single" w:sz="4" w:space="0" w:color="ADD6EA"/>
              <w:right w:val="nil"/>
            </w:tcBorders>
            <w:shd w:val="clear" w:color="000000" w:fill="D6E7F0"/>
            <w:noWrap/>
            <w:vAlign w:val="bottom"/>
            <w:hideMark/>
          </w:tcPr>
          <w:p w14:paraId="55AD85D1"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226</w:t>
            </w:r>
          </w:p>
        </w:tc>
        <w:tc>
          <w:tcPr>
            <w:tcW w:w="700" w:type="dxa"/>
            <w:tcBorders>
              <w:top w:val="single" w:sz="4" w:space="0" w:color="ADD6EA"/>
              <w:left w:val="nil"/>
              <w:bottom w:val="single" w:sz="4" w:space="0" w:color="ADD6EA"/>
              <w:right w:val="nil"/>
            </w:tcBorders>
            <w:shd w:val="clear" w:color="000000" w:fill="D6E7F0"/>
            <w:noWrap/>
            <w:vAlign w:val="bottom"/>
            <w:hideMark/>
          </w:tcPr>
          <w:p w14:paraId="7CF38022"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118</w:t>
            </w:r>
          </w:p>
        </w:tc>
        <w:tc>
          <w:tcPr>
            <w:tcW w:w="700" w:type="dxa"/>
            <w:tcBorders>
              <w:top w:val="single" w:sz="4" w:space="0" w:color="ADD6EA"/>
              <w:left w:val="nil"/>
              <w:bottom w:val="single" w:sz="4" w:space="0" w:color="ADD6EA"/>
              <w:right w:val="nil"/>
            </w:tcBorders>
            <w:shd w:val="clear" w:color="000000" w:fill="D6E7F0"/>
            <w:noWrap/>
            <w:vAlign w:val="bottom"/>
            <w:hideMark/>
          </w:tcPr>
          <w:p w14:paraId="2487970F"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258</w:t>
            </w:r>
          </w:p>
        </w:tc>
        <w:tc>
          <w:tcPr>
            <w:tcW w:w="760" w:type="dxa"/>
            <w:tcBorders>
              <w:top w:val="single" w:sz="4" w:space="0" w:color="ADD6EA"/>
              <w:left w:val="nil"/>
              <w:bottom w:val="single" w:sz="4" w:space="0" w:color="ADD6EA"/>
              <w:right w:val="nil"/>
            </w:tcBorders>
            <w:shd w:val="clear" w:color="000000" w:fill="D6E7F0"/>
            <w:noWrap/>
            <w:vAlign w:val="bottom"/>
            <w:hideMark/>
          </w:tcPr>
          <w:p w14:paraId="00BAD3EC"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5,131</w:t>
            </w:r>
          </w:p>
        </w:tc>
      </w:tr>
      <w:tr w:rsidR="00FB5EF6" w:rsidRPr="00FB5EF6" w14:paraId="2EFE56C5" w14:textId="77777777" w:rsidTr="00FB5EF6">
        <w:trPr>
          <w:trHeight w:val="315"/>
        </w:trPr>
        <w:tc>
          <w:tcPr>
            <w:tcW w:w="2560" w:type="dxa"/>
            <w:tcBorders>
              <w:top w:val="nil"/>
              <w:left w:val="nil"/>
              <w:bottom w:val="single" w:sz="4" w:space="0" w:color="ADD6EA"/>
              <w:right w:val="nil"/>
            </w:tcBorders>
            <w:shd w:val="clear" w:color="000000" w:fill="D6E7F0"/>
            <w:vAlign w:val="bottom"/>
            <w:hideMark/>
          </w:tcPr>
          <w:p w14:paraId="0D5C4C37" w14:textId="77777777" w:rsidR="00FB5EF6" w:rsidRPr="00FB5EF6" w:rsidRDefault="00FB5EF6" w:rsidP="00FB5EF6">
            <w:pPr>
              <w:tabs>
                <w:tab w:val="clear" w:pos="567"/>
              </w:tabs>
              <w:spacing w:before="0" w:line="240" w:lineRule="auto"/>
              <w:ind w:firstLineChars="100" w:firstLine="160"/>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Total ($pc)</w:t>
            </w:r>
          </w:p>
        </w:tc>
        <w:tc>
          <w:tcPr>
            <w:tcW w:w="700" w:type="dxa"/>
            <w:tcBorders>
              <w:top w:val="nil"/>
              <w:left w:val="nil"/>
              <w:bottom w:val="single" w:sz="4" w:space="0" w:color="ADD6EA"/>
              <w:right w:val="nil"/>
            </w:tcBorders>
            <w:shd w:val="clear" w:color="000000" w:fill="D6E7F0"/>
            <w:noWrap/>
            <w:vAlign w:val="bottom"/>
            <w:hideMark/>
          </w:tcPr>
          <w:p w14:paraId="28E484F4"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-22</w:t>
            </w:r>
          </w:p>
        </w:tc>
        <w:tc>
          <w:tcPr>
            <w:tcW w:w="700" w:type="dxa"/>
            <w:tcBorders>
              <w:top w:val="nil"/>
              <w:left w:val="nil"/>
              <w:bottom w:val="single" w:sz="4" w:space="0" w:color="ADD6EA"/>
              <w:right w:val="nil"/>
            </w:tcBorders>
            <w:shd w:val="clear" w:color="000000" w:fill="D6E7F0"/>
            <w:noWrap/>
            <w:vAlign w:val="bottom"/>
            <w:hideMark/>
          </w:tcPr>
          <w:p w14:paraId="61CD51DA"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537</w:t>
            </w:r>
          </w:p>
        </w:tc>
        <w:tc>
          <w:tcPr>
            <w:tcW w:w="700" w:type="dxa"/>
            <w:tcBorders>
              <w:top w:val="nil"/>
              <w:left w:val="nil"/>
              <w:bottom w:val="single" w:sz="4" w:space="0" w:color="ADD6EA"/>
              <w:right w:val="nil"/>
            </w:tcBorders>
            <w:shd w:val="clear" w:color="000000" w:fill="D6E7F0"/>
            <w:noWrap/>
            <w:vAlign w:val="bottom"/>
            <w:hideMark/>
          </w:tcPr>
          <w:p w14:paraId="1CCA0C26"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-69</w:t>
            </w:r>
          </w:p>
        </w:tc>
        <w:tc>
          <w:tcPr>
            <w:tcW w:w="700" w:type="dxa"/>
            <w:tcBorders>
              <w:top w:val="nil"/>
              <w:left w:val="nil"/>
              <w:bottom w:val="single" w:sz="4" w:space="0" w:color="ADD6EA"/>
              <w:right w:val="nil"/>
            </w:tcBorders>
            <w:shd w:val="clear" w:color="000000" w:fill="D6E7F0"/>
            <w:noWrap/>
            <w:vAlign w:val="bottom"/>
            <w:hideMark/>
          </w:tcPr>
          <w:p w14:paraId="0E40D7D6"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283</w:t>
            </w:r>
          </w:p>
        </w:tc>
        <w:tc>
          <w:tcPr>
            <w:tcW w:w="700" w:type="dxa"/>
            <w:tcBorders>
              <w:top w:val="nil"/>
              <w:left w:val="nil"/>
              <w:bottom w:val="single" w:sz="4" w:space="0" w:color="ADD6EA"/>
              <w:right w:val="nil"/>
            </w:tcBorders>
            <w:shd w:val="clear" w:color="000000" w:fill="D6E7F0"/>
            <w:noWrap/>
            <w:vAlign w:val="bottom"/>
            <w:hideMark/>
          </w:tcPr>
          <w:p w14:paraId="68A4F1E6"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255</w:t>
            </w:r>
          </w:p>
        </w:tc>
        <w:tc>
          <w:tcPr>
            <w:tcW w:w="700" w:type="dxa"/>
            <w:tcBorders>
              <w:top w:val="nil"/>
              <w:left w:val="nil"/>
              <w:bottom w:val="single" w:sz="4" w:space="0" w:color="ADD6EA"/>
              <w:right w:val="nil"/>
            </w:tcBorders>
            <w:shd w:val="clear" w:color="000000" w:fill="D6E7F0"/>
            <w:noWrap/>
            <w:vAlign w:val="bottom"/>
            <w:hideMark/>
          </w:tcPr>
          <w:p w14:paraId="1AE0F77F"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389</w:t>
            </w:r>
          </w:p>
        </w:tc>
        <w:tc>
          <w:tcPr>
            <w:tcW w:w="700" w:type="dxa"/>
            <w:tcBorders>
              <w:top w:val="nil"/>
              <w:left w:val="nil"/>
              <w:bottom w:val="single" w:sz="4" w:space="0" w:color="ADD6EA"/>
              <w:right w:val="nil"/>
            </w:tcBorders>
            <w:shd w:val="clear" w:color="000000" w:fill="D6E7F0"/>
            <w:noWrap/>
            <w:vAlign w:val="bottom"/>
            <w:hideMark/>
          </w:tcPr>
          <w:p w14:paraId="43838F0A"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245</w:t>
            </w:r>
          </w:p>
        </w:tc>
        <w:tc>
          <w:tcPr>
            <w:tcW w:w="700" w:type="dxa"/>
            <w:tcBorders>
              <w:top w:val="nil"/>
              <w:left w:val="nil"/>
              <w:bottom w:val="single" w:sz="4" w:space="0" w:color="ADD6EA"/>
              <w:right w:val="nil"/>
            </w:tcBorders>
            <w:shd w:val="clear" w:color="000000" w:fill="D6E7F0"/>
            <w:noWrap/>
            <w:vAlign w:val="bottom"/>
            <w:hideMark/>
          </w:tcPr>
          <w:p w14:paraId="29134C8C"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1,003</w:t>
            </w:r>
          </w:p>
        </w:tc>
        <w:tc>
          <w:tcPr>
            <w:tcW w:w="760" w:type="dxa"/>
            <w:tcBorders>
              <w:top w:val="nil"/>
              <w:left w:val="nil"/>
              <w:bottom w:val="single" w:sz="4" w:space="0" w:color="ADD6EA"/>
              <w:right w:val="nil"/>
            </w:tcBorders>
            <w:shd w:val="clear" w:color="000000" w:fill="D6E7F0"/>
            <w:noWrap/>
            <w:vAlign w:val="bottom"/>
            <w:hideMark/>
          </w:tcPr>
          <w:p w14:paraId="646C6F7F" w14:textId="77777777" w:rsidR="00FB5EF6" w:rsidRPr="00FB5EF6" w:rsidRDefault="00FB5EF6" w:rsidP="00FB5EF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B5EF6">
              <w:rPr>
                <w:rFonts w:ascii="Open Sans Semibold" w:eastAsia="Times New Roman" w:hAnsi="Open Sans Semibold" w:cs="Open Sans Semibold"/>
                <w:color w:val="000000"/>
                <w:sz w:val="16"/>
                <w:szCs w:val="16"/>
                <w:lang w:eastAsia="en-AU"/>
              </w:rPr>
              <w:t>188</w:t>
            </w:r>
          </w:p>
        </w:tc>
      </w:tr>
    </w:tbl>
    <w:p w14:paraId="3B2FDADB" w14:textId="77777777" w:rsidR="004C3CEC" w:rsidRPr="00310D9B" w:rsidRDefault="004C3CEC" w:rsidP="004C3CEC">
      <w:pPr>
        <w:pStyle w:val="Tablefootnote"/>
      </w:pPr>
      <w:r w:rsidRPr="00310D9B">
        <w:t>Source: Commission calculation.</w:t>
      </w:r>
    </w:p>
    <w:p w14:paraId="121D42B4" w14:textId="77777777" w:rsidR="0009659F" w:rsidRDefault="0009659F">
      <w:pPr>
        <w:tabs>
          <w:tab w:val="clear" w:pos="567"/>
        </w:tabs>
        <w:spacing w:before="0" w:line="240" w:lineRule="auto"/>
        <w:rPr>
          <w:rFonts w:eastAsiaTheme="majorEastAsia" w:cs="Open Sans"/>
          <w:bCs/>
          <w:color w:val="006991"/>
          <w:sz w:val="40"/>
          <w:szCs w:val="40"/>
        </w:rPr>
      </w:pPr>
      <w:r>
        <w:br w:type="page"/>
      </w:r>
    </w:p>
    <w:bookmarkStart w:id="162" w:name="_Drivers_of_GST"/>
    <w:bookmarkStart w:id="163" w:name="_Ref159428160"/>
    <w:bookmarkStart w:id="164" w:name="_Toc159676106"/>
    <w:bookmarkEnd w:id="162"/>
    <w:p w14:paraId="5E0FC5FC" w14:textId="0E2886EF" w:rsidR="00A07D38" w:rsidRPr="00A07D38" w:rsidRDefault="00F66324" w:rsidP="00391E52">
      <w:pPr>
        <w:pStyle w:val="Heading1"/>
        <w:numPr>
          <w:ilvl w:val="0"/>
          <w:numId w:val="30"/>
        </w:numPr>
        <w:ind w:hanging="720"/>
      </w:pPr>
      <w:r>
        <w:rPr>
          <w:noProof/>
        </w:rPr>
        <w:lastRenderedPageBreak/>
        <mc:AlternateContent>
          <mc:Choice Requires="wps">
            <w:drawing>
              <wp:anchor distT="45720" distB="45720" distL="114300" distR="114300" simplePos="0" relativeHeight="251658252" behindDoc="0" locked="0" layoutInCell="1" allowOverlap="1" wp14:anchorId="6A2C7B89" wp14:editId="07A22CD7">
                <wp:simplePos x="0" y="0"/>
                <wp:positionH relativeFrom="margin">
                  <wp:align>left</wp:align>
                </wp:positionH>
                <wp:positionV relativeFrom="paragraph">
                  <wp:posOffset>472440</wp:posOffset>
                </wp:positionV>
                <wp:extent cx="5853430" cy="5632450"/>
                <wp:effectExtent l="0" t="0" r="13970" b="25400"/>
                <wp:wrapSquare wrapText="bothSides"/>
                <wp:docPr id="1759370897" name="Text Box 1759370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5632450"/>
                        </a:xfrm>
                        <a:prstGeom prst="rect">
                          <a:avLst/>
                        </a:prstGeom>
                        <a:solidFill>
                          <a:srgbClr val="E5F8FF"/>
                        </a:solidFill>
                        <a:ln w="9525">
                          <a:solidFill>
                            <a:schemeClr val="bg1"/>
                          </a:solidFill>
                          <a:miter lim="800000"/>
                          <a:headEnd/>
                          <a:tailEnd/>
                        </a:ln>
                      </wps:spPr>
                      <wps:txbx>
                        <w:txbxContent>
                          <w:p w14:paraId="0961D1DC" w14:textId="77777777" w:rsidR="00A07D38" w:rsidRPr="00607566" w:rsidRDefault="00A07D38" w:rsidP="00A07D38">
                            <w:pPr>
                              <w:pStyle w:val="Heading2"/>
                            </w:pPr>
                            <w:r w:rsidRPr="00607566">
                              <w:t>Key points</w:t>
                            </w:r>
                          </w:p>
                          <w:p w14:paraId="062BD71C" w14:textId="4615D2A0" w:rsidR="00680989" w:rsidRPr="00DC23FC" w:rsidRDefault="00680989" w:rsidP="00680989">
                            <w:pPr>
                              <w:pStyle w:val="BulletPoints"/>
                            </w:pPr>
                            <w:r w:rsidRPr="00DC23FC">
                              <w:t>Changes in state revenue raising capacities had the largest influence on assessed GST needs in 2024</w:t>
                            </w:r>
                            <w:r w:rsidR="00D747FC">
                              <w:t>–</w:t>
                            </w:r>
                            <w:r w:rsidRPr="00DC23FC">
                              <w:t>25 compared with 2023</w:t>
                            </w:r>
                            <w:r w:rsidR="00D747FC">
                              <w:t>–</w:t>
                            </w:r>
                            <w:r w:rsidRPr="00DC23FC">
                              <w:t xml:space="preserve">24. An increase in the value of coal production significantly reduced the assessed GST needs of New South Wales and Queensland and increased those of other states. Additionally, slower growth in the value of iron ore production </w:t>
                            </w:r>
                            <w:r w:rsidR="003B4242" w:rsidRPr="0095123E">
                              <w:t xml:space="preserve">contributed to </w:t>
                            </w:r>
                            <w:r w:rsidR="00080FAE" w:rsidRPr="0095123E">
                              <w:t xml:space="preserve">an </w:t>
                            </w:r>
                            <w:r w:rsidRPr="0095123E">
                              <w:t>increase</w:t>
                            </w:r>
                            <w:r w:rsidR="00080FAE" w:rsidRPr="0095123E">
                              <w:t xml:space="preserve"> in</w:t>
                            </w:r>
                            <w:r w:rsidRPr="0095123E">
                              <w:t xml:space="preserve"> Western Australia’s assessed GST needs. Above-average growth in taxable land values in New South Wales and Tasmania reduced their assessed</w:t>
                            </w:r>
                            <w:r w:rsidRPr="00DC23FC">
                              <w:t xml:space="preserve"> GST needs. Above-average growth in property sales in Queensland, Western Australia and the ACT reduced their assessed GST needs.</w:t>
                            </w:r>
                          </w:p>
                          <w:p w14:paraId="5AE7FB40" w14:textId="20CB4034" w:rsidR="00680989" w:rsidRPr="004B3CA7" w:rsidRDefault="00680989" w:rsidP="00680989">
                            <w:pPr>
                              <w:pStyle w:val="BulletPoints"/>
                            </w:pPr>
                            <w:r w:rsidRPr="004B3CA7">
                              <w:t>A range of factors</w:t>
                            </w:r>
                            <w:r w:rsidR="00C23E60" w:rsidRPr="004B3CA7">
                              <w:t>, some offsetting,</w:t>
                            </w:r>
                            <w:r w:rsidRPr="004B3CA7">
                              <w:t xml:space="preserve"> affected states’</w:t>
                            </w:r>
                            <w:r w:rsidR="00F31348">
                              <w:t xml:space="preserve"> assessed</w:t>
                            </w:r>
                            <w:r w:rsidRPr="004B3CA7">
                              <w:t xml:space="preserve"> GST needs for urban transport expenditure. New data from the 2021 Census on urban centre characteristics increased the</w:t>
                            </w:r>
                            <w:r w:rsidR="00483414">
                              <w:t xml:space="preserve"> assessed</w:t>
                            </w:r>
                            <w:r w:rsidRPr="004B3CA7">
                              <w:t xml:space="preserve"> GST needs of Victoria and the ACT and reduced the</w:t>
                            </w:r>
                            <w:r w:rsidR="00483414">
                              <w:t xml:space="preserve"> assessed</w:t>
                            </w:r>
                            <w:r w:rsidRPr="004B3CA7">
                              <w:t xml:space="preserve"> GST needs of other states. Queensland’s population and population</w:t>
                            </w:r>
                            <w:r w:rsidR="00BA788E">
                              <w:noBreakHyphen/>
                            </w:r>
                            <w:r w:rsidRPr="004B3CA7">
                              <w:t>weighted density grew faster than the national average between 2019</w:t>
                            </w:r>
                            <w:r w:rsidR="006263C3">
                              <w:t>–</w:t>
                            </w:r>
                            <w:r w:rsidR="006263C3">
                              <w:rPr>
                                <w:rFonts w:ascii="Times New Roman" w:hAnsi="Times New Roman" w:cs="Times New Roman" w:hint="eastAsia"/>
                                <w:rtl/>
                              </w:rPr>
                              <w:t>‍</w:t>
                            </w:r>
                            <w:r w:rsidRPr="004B3CA7">
                              <w:t>20 and 2022</w:t>
                            </w:r>
                            <w:r w:rsidR="006263C3">
                              <w:t>–</w:t>
                            </w:r>
                            <w:r w:rsidR="006263C3">
                              <w:rPr>
                                <w:rFonts w:ascii="Times New Roman" w:hAnsi="Times New Roman" w:cs="Times New Roman" w:hint="eastAsia"/>
                                <w:rtl/>
                              </w:rPr>
                              <w:t>‍</w:t>
                            </w:r>
                            <w:r w:rsidRPr="004B3CA7">
                              <w:t>23, so when 2019</w:t>
                            </w:r>
                            <w:r w:rsidR="006263C3">
                              <w:t>–</w:t>
                            </w:r>
                            <w:r w:rsidRPr="004B3CA7">
                              <w:t>20 data were replaced with 2022</w:t>
                            </w:r>
                            <w:r w:rsidR="006263C3">
                              <w:t>–</w:t>
                            </w:r>
                            <w:r w:rsidRPr="004B3CA7">
                              <w:t>23 data, its</w:t>
                            </w:r>
                            <w:r w:rsidR="006263C3">
                              <w:t xml:space="preserve"> assessed</w:t>
                            </w:r>
                            <w:r w:rsidRPr="004B3CA7">
                              <w:t xml:space="preserve"> GST needs increased. Relatively slow growth in </w:t>
                            </w:r>
                            <w:r w:rsidR="0070667E" w:rsidRPr="004B3CA7">
                              <w:t xml:space="preserve">recurrent </w:t>
                            </w:r>
                            <w:r w:rsidRPr="004B3CA7">
                              <w:t>urban transport expenditure reduced the assessed GST needs of New South Wales and Victoria. A large downward revision in investment for 2021</w:t>
                            </w:r>
                            <w:r w:rsidR="00C00B5F">
                              <w:t>–</w:t>
                            </w:r>
                            <w:r w:rsidRPr="004B3CA7">
                              <w:t>22 reduced the assessed</w:t>
                            </w:r>
                            <w:r w:rsidR="00C00B5F">
                              <w:t xml:space="preserve"> GST</w:t>
                            </w:r>
                            <w:r w:rsidRPr="004B3CA7">
                              <w:t xml:space="preserve"> needs of New South Wales and Victoria</w:t>
                            </w:r>
                            <w:r w:rsidR="00C00B5F">
                              <w:t>,</w:t>
                            </w:r>
                            <w:r w:rsidRPr="004B3CA7">
                              <w:t xml:space="preserve"> but this was partly offset by a large increase in investment between 2019</w:t>
                            </w:r>
                            <w:r w:rsidR="00C00B5F">
                              <w:t>–</w:t>
                            </w:r>
                            <w:r w:rsidRPr="004B3CA7">
                              <w:t>20 and 2022</w:t>
                            </w:r>
                            <w:r w:rsidR="00C00B5F">
                              <w:t>–</w:t>
                            </w:r>
                            <w:r w:rsidRPr="004B3CA7">
                              <w:t>23.</w:t>
                            </w:r>
                          </w:p>
                          <w:p w14:paraId="109EBB4B" w14:textId="2B55E920" w:rsidR="00680989" w:rsidRPr="00DC23FC" w:rsidRDefault="00680989" w:rsidP="00680989">
                            <w:pPr>
                              <w:pStyle w:val="BulletPoints"/>
                            </w:pPr>
                            <w:r w:rsidRPr="0068798B">
                              <w:t>The release of new data from the 2021 Census also resulted in revisions. This</w:t>
                            </w:r>
                            <w:r w:rsidRPr="00DC23FC">
                              <w:t xml:space="preserve"> particularly affected the expenditure drivers of population dispersion and socio</w:t>
                            </w:r>
                            <w:r w:rsidR="0070667E">
                              <w:noBreakHyphen/>
                            </w:r>
                            <w:r w:rsidRPr="00DC23FC">
                              <w:t>economic status.</w:t>
                            </w:r>
                          </w:p>
                          <w:p w14:paraId="3483D515" w14:textId="248800CA" w:rsidR="00680989" w:rsidRPr="00DC23FC" w:rsidRDefault="00680989" w:rsidP="00680989">
                            <w:pPr>
                              <w:pStyle w:val="BulletPoints"/>
                            </w:pPr>
                            <w:r w:rsidRPr="00DC23FC">
                              <w:t>Under the 2018</w:t>
                            </w:r>
                            <w:r w:rsidR="0070667E">
                              <w:t> </w:t>
                            </w:r>
                            <w:r w:rsidRPr="00DC23FC">
                              <w:t>legislated arrangements, this is the fourth year in which the blending of assessed and standard state relativities is used to calculate GST relativities. It is the first year in which the GST relativity floor will be 0.75. The blending of relativities from the previous and current arrangements, together with the floor of 0.75, has a significant impact on GST distribution outcomes.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C7B89" id="Text Box 1759370897" o:spid="_x0000_s1036" type="#_x0000_t202" style="position:absolute;left:0;text-align:left;margin-left:0;margin-top:37.2pt;width:460.9pt;height:443.5pt;z-index:2516582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" fillcolor="#e5f8ff" strokecolor="white [3212]">
                <v:textbox>
                  <w:txbxContent>
                    <w:p w14:paraId="0961D1DC" w14:textId="77777777" w:rsidR="00A07D38" w:rsidRPr="00607566" w:rsidRDefault="00A07D38" w:rsidP="00A07D38">
                      <w:pPr>
                        <w:pStyle w:val="Heading2"/>
                      </w:pPr>
                      <w:r w:rsidRPr="00607566">
                        <w:t>Key points</w:t>
                      </w:r>
                    </w:p>
                    <w:p w14:paraId="062BD71C" w14:textId="4615D2A0" w:rsidR="00680989" w:rsidRPr="00DC23FC" w:rsidRDefault="00680989" w:rsidP="00680989">
                      <w:pPr>
                        <w:pStyle w:val="BulletPoints"/>
                      </w:pPr>
                      <w:r w:rsidRPr="00DC23FC">
                        <w:t>Changes in state revenue raising capacities had the largest influence on assessed GST needs in 2024</w:t>
                      </w:r>
                      <w:r w:rsidR="00D747FC">
                        <w:t>–</w:t>
                      </w:r>
                      <w:r w:rsidRPr="00DC23FC">
                        <w:t>25 compared with 2023</w:t>
                      </w:r>
                      <w:r w:rsidR="00D747FC">
                        <w:t>–</w:t>
                      </w:r>
                      <w:r w:rsidRPr="00DC23FC">
                        <w:t xml:space="preserve">24. An increase in the value of coal production significantly reduced the assessed GST needs of New South Wales and Queensland and increased those of other states. Additionally, slower growth in the value of iron ore production </w:t>
                      </w:r>
                      <w:r w:rsidR="003B4242" w:rsidRPr="0095123E">
                        <w:t xml:space="preserve">contributed to </w:t>
                      </w:r>
                      <w:r w:rsidR="00080FAE" w:rsidRPr="0095123E">
                        <w:t xml:space="preserve">an </w:t>
                      </w:r>
                      <w:r w:rsidRPr="0095123E">
                        <w:t>increase</w:t>
                      </w:r>
                      <w:r w:rsidR="00080FAE" w:rsidRPr="0095123E">
                        <w:t xml:space="preserve"> in</w:t>
                      </w:r>
                      <w:r w:rsidRPr="0095123E">
                        <w:t xml:space="preserve"> Western Australia’s assessed GST needs. Above-average growth in taxable land values in New South Wales and Tasmania reduced their assessed</w:t>
                      </w:r>
                      <w:r w:rsidRPr="00DC23FC">
                        <w:t xml:space="preserve"> GST needs. Above-average growth in property sales in Queensland, Western Australia and the ACT reduced their assessed GST needs.</w:t>
                      </w:r>
                    </w:p>
                    <w:p w14:paraId="5AE7FB40" w14:textId="20CB4034" w:rsidR="00680989" w:rsidRPr="004B3CA7" w:rsidRDefault="00680989" w:rsidP="00680989">
                      <w:pPr>
                        <w:pStyle w:val="BulletPoints"/>
                      </w:pPr>
                      <w:r w:rsidRPr="004B3CA7">
                        <w:t>A range of factors</w:t>
                      </w:r>
                      <w:r w:rsidR="00C23E60" w:rsidRPr="004B3CA7">
                        <w:t>, some offsetting,</w:t>
                      </w:r>
                      <w:r w:rsidRPr="004B3CA7">
                        <w:t xml:space="preserve"> affected states’</w:t>
                      </w:r>
                      <w:r w:rsidR="00F31348">
                        <w:t xml:space="preserve"> assessed</w:t>
                      </w:r>
                      <w:r w:rsidRPr="004B3CA7">
                        <w:t xml:space="preserve"> GST needs for urban transport expenditure. New data from the 2021 Census on urban centre characteristics increased the</w:t>
                      </w:r>
                      <w:r w:rsidR="00483414">
                        <w:t xml:space="preserve"> assessed</w:t>
                      </w:r>
                      <w:r w:rsidRPr="004B3CA7">
                        <w:t xml:space="preserve"> GST needs of Victoria and the ACT and reduced the</w:t>
                      </w:r>
                      <w:r w:rsidR="00483414">
                        <w:t xml:space="preserve"> assessed</w:t>
                      </w:r>
                      <w:r w:rsidRPr="004B3CA7">
                        <w:t xml:space="preserve"> GST needs of other states. Queensland’s population and population</w:t>
                      </w:r>
                      <w:r w:rsidR="00BA788E">
                        <w:noBreakHyphen/>
                      </w:r>
                      <w:r w:rsidRPr="004B3CA7">
                        <w:t>weighted density grew faster than the national average between 2019</w:t>
                      </w:r>
                      <w:r w:rsidR="006263C3">
                        <w:t>–</w:t>
                      </w:r>
                      <w:r w:rsidR="006263C3">
                        <w:rPr>
                          <w:rFonts w:ascii="Times New Roman" w:hAnsi="Times New Roman" w:cs="Times New Roman" w:hint="eastAsia"/>
                          <w:rtl/>
                        </w:rPr>
                        <w:t>‍</w:t>
                      </w:r>
                      <w:r w:rsidRPr="004B3CA7">
                        <w:t>20 and 2022</w:t>
                      </w:r>
                      <w:r w:rsidR="006263C3">
                        <w:t>–</w:t>
                      </w:r>
                      <w:r w:rsidR="006263C3">
                        <w:rPr>
                          <w:rFonts w:ascii="Times New Roman" w:hAnsi="Times New Roman" w:cs="Times New Roman" w:hint="eastAsia"/>
                          <w:rtl/>
                        </w:rPr>
                        <w:t>‍</w:t>
                      </w:r>
                      <w:r w:rsidRPr="004B3CA7">
                        <w:t>23, so when 2019</w:t>
                      </w:r>
                      <w:r w:rsidR="006263C3">
                        <w:t>–</w:t>
                      </w:r>
                      <w:r w:rsidRPr="004B3CA7">
                        <w:t>20 data were replaced with 2022</w:t>
                      </w:r>
                      <w:r w:rsidR="006263C3">
                        <w:t>–</w:t>
                      </w:r>
                      <w:r w:rsidRPr="004B3CA7">
                        <w:t>23 data, its</w:t>
                      </w:r>
                      <w:r w:rsidR="006263C3">
                        <w:t xml:space="preserve"> assessed</w:t>
                      </w:r>
                      <w:r w:rsidRPr="004B3CA7">
                        <w:t xml:space="preserve"> GST needs increased. Relatively slow growth in </w:t>
                      </w:r>
                      <w:r w:rsidR="0070667E" w:rsidRPr="004B3CA7">
                        <w:t xml:space="preserve">recurrent </w:t>
                      </w:r>
                      <w:r w:rsidRPr="004B3CA7">
                        <w:t>urban transport expenditure reduced the assessed GST needs of New South Wales and Victoria. A large downward revision in investment for 2021</w:t>
                      </w:r>
                      <w:r w:rsidR="00C00B5F">
                        <w:t>–</w:t>
                      </w:r>
                      <w:r w:rsidRPr="004B3CA7">
                        <w:t>22 reduced the assessed</w:t>
                      </w:r>
                      <w:r w:rsidR="00C00B5F">
                        <w:t xml:space="preserve"> GST</w:t>
                      </w:r>
                      <w:r w:rsidRPr="004B3CA7">
                        <w:t xml:space="preserve"> needs of New South Wales and Victoria</w:t>
                      </w:r>
                      <w:r w:rsidR="00C00B5F">
                        <w:t>,</w:t>
                      </w:r>
                      <w:r w:rsidRPr="004B3CA7">
                        <w:t xml:space="preserve"> but this was partly offset by a large increase in investment between 2019</w:t>
                      </w:r>
                      <w:r w:rsidR="00C00B5F">
                        <w:t>–</w:t>
                      </w:r>
                      <w:r w:rsidRPr="004B3CA7">
                        <w:t>20 and 2022</w:t>
                      </w:r>
                      <w:r w:rsidR="00C00B5F">
                        <w:t>–</w:t>
                      </w:r>
                      <w:r w:rsidRPr="004B3CA7">
                        <w:t>23.</w:t>
                      </w:r>
                    </w:p>
                    <w:p w14:paraId="109EBB4B" w14:textId="2B55E920" w:rsidR="00680989" w:rsidRPr="00DC23FC" w:rsidRDefault="00680989" w:rsidP="00680989">
                      <w:pPr>
                        <w:pStyle w:val="BulletPoints"/>
                      </w:pPr>
                      <w:r w:rsidRPr="0068798B">
                        <w:t>The release of new data from the 2021 Census also resulted in revisions. This</w:t>
                      </w:r>
                      <w:r w:rsidRPr="00DC23FC">
                        <w:t xml:space="preserve"> particularly affected the expenditure drivers of population dispersion and socio</w:t>
                      </w:r>
                      <w:r w:rsidR="0070667E">
                        <w:noBreakHyphen/>
                      </w:r>
                      <w:r w:rsidRPr="00DC23FC">
                        <w:t>economic status.</w:t>
                      </w:r>
                    </w:p>
                    <w:p w14:paraId="3483D515" w14:textId="248800CA" w:rsidR="00680989" w:rsidRPr="00DC23FC" w:rsidRDefault="00680989" w:rsidP="00680989">
                      <w:pPr>
                        <w:pStyle w:val="BulletPoints"/>
                      </w:pPr>
                      <w:r w:rsidRPr="00DC23FC">
                        <w:t>Under the 2018</w:t>
                      </w:r>
                      <w:r w:rsidR="0070667E">
                        <w:t> </w:t>
                      </w:r>
                      <w:r w:rsidRPr="00DC23FC">
                        <w:t>legislated arrangements, this is the fourth year in which the blending of assessed and standard state relativities is used to calculate GST relativities. It is the first year in which the GST relativity floor will be 0.75. The blending of relativities from the previous and current arrangements, together with the floor of 0.75, has a significant impact on GST distribution outcomes.</w:t>
                      </w:r>
                    </w:p>
                  </w:txbxContent>
                </v:textbox>
                <w10:wrap type="square" anchorx="margin"/>
              </v:shape>
            </w:pict>
          </mc:Fallback>
        </mc:AlternateContent>
      </w:r>
      <w:r w:rsidR="0009659F">
        <w:t xml:space="preserve">Drivers of </w:t>
      </w:r>
      <w:r w:rsidR="00A07D38">
        <w:t>GST distribution</w:t>
      </w:r>
      <w:bookmarkEnd w:id="163"/>
      <w:bookmarkEnd w:id="164"/>
    </w:p>
    <w:p w14:paraId="4E467C64" w14:textId="77777777" w:rsidR="00680989" w:rsidRDefault="00680989">
      <w:pPr>
        <w:tabs>
          <w:tab w:val="clear" w:pos="567"/>
        </w:tabs>
        <w:spacing w:before="0" w:line="240" w:lineRule="auto"/>
        <w:rPr>
          <w:rFonts w:eastAsiaTheme="majorEastAsia" w:cs="Open Sans"/>
          <w:bCs/>
          <w:color w:val="006991"/>
          <w:sz w:val="40"/>
          <w:szCs w:val="40"/>
        </w:rPr>
      </w:pPr>
      <w:r>
        <w:br w:type="page"/>
      </w:r>
    </w:p>
    <w:p w14:paraId="2F1DF673" w14:textId="77777777" w:rsidR="005A1D93" w:rsidRPr="00DC23FC" w:rsidRDefault="005A1D93" w:rsidP="00897E49">
      <w:pPr>
        <w:pStyle w:val="Heading2"/>
      </w:pPr>
      <w:r w:rsidRPr="00DC23FC">
        <w:lastRenderedPageBreak/>
        <w:t xml:space="preserve">Why GST shares have </w:t>
      </w:r>
      <w:proofErr w:type="gramStart"/>
      <w:r w:rsidRPr="00DC23FC">
        <w:t>changed</w:t>
      </w:r>
      <w:proofErr w:type="gramEnd"/>
    </w:p>
    <w:p w14:paraId="2B846A7A" w14:textId="52F0D2B7" w:rsidR="005A1D93" w:rsidRPr="00DC23FC" w:rsidRDefault="005A1D93" w:rsidP="005A1D93">
      <w:r w:rsidRPr="00DC23FC">
        <w:t xml:space="preserve">In this update, the Commission has used the latest available data to estimate the fiscal capacities of states. As required by the </w:t>
      </w:r>
      <w:r w:rsidRPr="0068798B">
        <w:t>terms of reference, it has applied the methods developed in the 2020</w:t>
      </w:r>
      <w:r w:rsidR="00062054" w:rsidRPr="0068798B">
        <w:t> </w:t>
      </w:r>
      <w:r w:rsidRPr="0068798B">
        <w:t xml:space="preserve">Review </w:t>
      </w:r>
      <w:r w:rsidRPr="005F19FE">
        <w:t>and used in subsequent updates</w:t>
      </w:r>
      <w:r w:rsidRPr="0068798B">
        <w:t>. It</w:t>
      </w:r>
      <w:r w:rsidRPr="00DC23FC">
        <w:t xml:space="preserve"> has continued the phased implementation of the 2018</w:t>
      </w:r>
      <w:r w:rsidR="00062054">
        <w:t> </w:t>
      </w:r>
      <w:r w:rsidRPr="00DC23FC">
        <w:t>legislated arrangements.</w:t>
      </w:r>
    </w:p>
    <w:p w14:paraId="11F595DA" w14:textId="6B0ECF23" w:rsidR="005A1D93" w:rsidRPr="00DC23FC" w:rsidRDefault="005A1D93" w:rsidP="005A1D93">
      <w:r w:rsidRPr="00DC23FC">
        <w:t>Changes in states’ assessed GST needs mainly related to changes in revenue</w:t>
      </w:r>
      <w:r w:rsidR="00F229E9">
        <w:t xml:space="preserve"> </w:t>
      </w:r>
      <w:r w:rsidRPr="00DC23FC">
        <w:t>raising capacity, which tends to be more volatile than expenditure needs (see</w:t>
      </w:r>
      <w:r w:rsidR="00A02319">
        <w:t xml:space="preserve"> Table 2-1</w:t>
      </w:r>
      <w:r w:rsidRPr="00DC23FC">
        <w:t>).</w:t>
      </w:r>
    </w:p>
    <w:p w14:paraId="15828345" w14:textId="471A253D" w:rsidR="005A1D93" w:rsidRPr="00DC23FC" w:rsidRDefault="005A1D93" w:rsidP="00897E49">
      <w:pPr>
        <w:pStyle w:val="CGCTableHead"/>
      </w:pPr>
      <w:r w:rsidRPr="00DC23FC">
        <w:t>Table 2-1</w:t>
      </w:r>
      <w:r w:rsidRPr="00DC23FC">
        <w:tab/>
        <w:t>Composition of estimated changes in GST distribution, 2023</w:t>
      </w:r>
      <w:r w:rsidR="00977224">
        <w:t>–</w:t>
      </w:r>
      <w:r w:rsidRPr="00DC23FC">
        <w:t>24 to 2024</w:t>
      </w:r>
      <w:r w:rsidR="00977224">
        <w:t>–</w:t>
      </w:r>
      <w:r w:rsidRPr="00DC23FC">
        <w:t>25</w:t>
      </w:r>
    </w:p>
    <w:tbl>
      <w:tblPr>
        <w:tblW w:w="8980" w:type="dxa"/>
        <w:tblLook w:val="04A0" w:firstRow="1" w:lastRow="0" w:firstColumn="1" w:lastColumn="0" w:noHBand="0" w:noVBand="1"/>
      </w:tblPr>
      <w:tblGrid>
        <w:gridCol w:w="2760"/>
        <w:gridCol w:w="700"/>
        <w:gridCol w:w="660"/>
        <w:gridCol w:w="700"/>
        <w:gridCol w:w="660"/>
        <w:gridCol w:w="660"/>
        <w:gridCol w:w="660"/>
        <w:gridCol w:w="660"/>
        <w:gridCol w:w="660"/>
        <w:gridCol w:w="860"/>
      </w:tblGrid>
      <w:tr w:rsidR="00962DF1" w:rsidRPr="00962DF1" w14:paraId="01854385" w14:textId="77777777" w:rsidTr="00962DF1">
        <w:trPr>
          <w:trHeight w:val="555"/>
        </w:trPr>
        <w:tc>
          <w:tcPr>
            <w:tcW w:w="2760" w:type="dxa"/>
            <w:tcBorders>
              <w:top w:val="nil"/>
              <w:left w:val="nil"/>
              <w:bottom w:val="nil"/>
              <w:right w:val="nil"/>
            </w:tcBorders>
            <w:shd w:val="clear" w:color="000000" w:fill="006991"/>
            <w:vAlign w:val="center"/>
            <w:hideMark/>
          </w:tcPr>
          <w:p w14:paraId="0C4E3AC0" w14:textId="77777777" w:rsidR="00962DF1" w:rsidRPr="00962DF1" w:rsidRDefault="00962DF1" w:rsidP="00962DF1">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165" w:name="Table_2_1"/>
            <w:r w:rsidRPr="00962DF1">
              <w:rPr>
                <w:rFonts w:ascii="Open Sans Semibold" w:eastAsia="Times New Roman" w:hAnsi="Open Sans Semibold" w:cs="Open Sans Semibold"/>
                <w:color w:val="FFFFFF"/>
                <w:sz w:val="16"/>
                <w:szCs w:val="16"/>
                <w:lang w:eastAsia="en-AU"/>
              </w:rPr>
              <w:t> </w:t>
            </w:r>
            <w:bookmarkEnd w:id="165"/>
          </w:p>
        </w:tc>
        <w:tc>
          <w:tcPr>
            <w:tcW w:w="700" w:type="dxa"/>
            <w:tcBorders>
              <w:top w:val="nil"/>
              <w:left w:val="nil"/>
              <w:bottom w:val="nil"/>
              <w:right w:val="nil"/>
            </w:tcBorders>
            <w:shd w:val="clear" w:color="000000" w:fill="006991"/>
            <w:vAlign w:val="center"/>
            <w:hideMark/>
          </w:tcPr>
          <w:p w14:paraId="30309C29"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2DF1">
              <w:rPr>
                <w:rFonts w:ascii="Open Sans Semibold" w:eastAsia="Times New Roman" w:hAnsi="Open Sans Semibold" w:cs="Open Sans Semibold"/>
                <w:color w:val="FFFFFF"/>
                <w:sz w:val="16"/>
                <w:szCs w:val="16"/>
                <w:lang w:eastAsia="en-AU"/>
              </w:rPr>
              <w:t>NSW</w:t>
            </w:r>
          </w:p>
        </w:tc>
        <w:tc>
          <w:tcPr>
            <w:tcW w:w="660" w:type="dxa"/>
            <w:tcBorders>
              <w:top w:val="nil"/>
              <w:left w:val="nil"/>
              <w:bottom w:val="nil"/>
              <w:right w:val="nil"/>
            </w:tcBorders>
            <w:shd w:val="clear" w:color="000000" w:fill="006991"/>
            <w:vAlign w:val="center"/>
            <w:hideMark/>
          </w:tcPr>
          <w:p w14:paraId="53E3A483"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2DF1">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5F2B2AB4"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2DF1">
              <w:rPr>
                <w:rFonts w:ascii="Open Sans Semibold" w:eastAsia="Times New Roman" w:hAnsi="Open Sans Semibold" w:cs="Open Sans Semibold"/>
                <w:color w:val="FFFFFF"/>
                <w:sz w:val="16"/>
                <w:szCs w:val="16"/>
                <w:lang w:eastAsia="en-AU"/>
              </w:rPr>
              <w:t>Qld</w:t>
            </w:r>
          </w:p>
        </w:tc>
        <w:tc>
          <w:tcPr>
            <w:tcW w:w="660" w:type="dxa"/>
            <w:tcBorders>
              <w:top w:val="nil"/>
              <w:left w:val="nil"/>
              <w:bottom w:val="nil"/>
              <w:right w:val="nil"/>
            </w:tcBorders>
            <w:shd w:val="clear" w:color="000000" w:fill="006991"/>
            <w:vAlign w:val="center"/>
            <w:hideMark/>
          </w:tcPr>
          <w:p w14:paraId="16121190"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2DF1">
              <w:rPr>
                <w:rFonts w:ascii="Open Sans Semibold" w:eastAsia="Times New Roman" w:hAnsi="Open Sans Semibold" w:cs="Open Sans Semibold"/>
                <w:color w:val="FFFFFF"/>
                <w:sz w:val="16"/>
                <w:szCs w:val="16"/>
                <w:lang w:eastAsia="en-AU"/>
              </w:rPr>
              <w:t>WA</w:t>
            </w:r>
          </w:p>
        </w:tc>
        <w:tc>
          <w:tcPr>
            <w:tcW w:w="660" w:type="dxa"/>
            <w:tcBorders>
              <w:top w:val="nil"/>
              <w:left w:val="nil"/>
              <w:bottom w:val="nil"/>
              <w:right w:val="nil"/>
            </w:tcBorders>
            <w:shd w:val="clear" w:color="000000" w:fill="006991"/>
            <w:vAlign w:val="center"/>
            <w:hideMark/>
          </w:tcPr>
          <w:p w14:paraId="4E387071"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2DF1">
              <w:rPr>
                <w:rFonts w:ascii="Open Sans Semibold" w:eastAsia="Times New Roman" w:hAnsi="Open Sans Semibold" w:cs="Open Sans Semibold"/>
                <w:color w:val="FFFFFF"/>
                <w:sz w:val="16"/>
                <w:szCs w:val="16"/>
                <w:lang w:eastAsia="en-AU"/>
              </w:rPr>
              <w:t>SA</w:t>
            </w:r>
          </w:p>
        </w:tc>
        <w:tc>
          <w:tcPr>
            <w:tcW w:w="660" w:type="dxa"/>
            <w:tcBorders>
              <w:top w:val="nil"/>
              <w:left w:val="nil"/>
              <w:bottom w:val="nil"/>
              <w:right w:val="nil"/>
            </w:tcBorders>
            <w:shd w:val="clear" w:color="000000" w:fill="006991"/>
            <w:vAlign w:val="center"/>
            <w:hideMark/>
          </w:tcPr>
          <w:p w14:paraId="663E828E"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2DF1">
              <w:rPr>
                <w:rFonts w:ascii="Open Sans Semibold" w:eastAsia="Times New Roman" w:hAnsi="Open Sans Semibold" w:cs="Open Sans Semibold"/>
                <w:color w:val="FFFFFF"/>
                <w:sz w:val="16"/>
                <w:szCs w:val="16"/>
                <w:lang w:eastAsia="en-AU"/>
              </w:rPr>
              <w:t>Tas</w:t>
            </w:r>
          </w:p>
        </w:tc>
        <w:tc>
          <w:tcPr>
            <w:tcW w:w="660" w:type="dxa"/>
            <w:tcBorders>
              <w:top w:val="nil"/>
              <w:left w:val="nil"/>
              <w:bottom w:val="nil"/>
              <w:right w:val="nil"/>
            </w:tcBorders>
            <w:shd w:val="clear" w:color="000000" w:fill="006991"/>
            <w:vAlign w:val="center"/>
            <w:hideMark/>
          </w:tcPr>
          <w:p w14:paraId="072363D2"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2DF1">
              <w:rPr>
                <w:rFonts w:ascii="Open Sans Semibold" w:eastAsia="Times New Roman" w:hAnsi="Open Sans Semibold" w:cs="Open Sans Semibold"/>
                <w:color w:val="FFFFFF"/>
                <w:sz w:val="16"/>
                <w:szCs w:val="16"/>
                <w:lang w:eastAsia="en-AU"/>
              </w:rPr>
              <w:t>ACT</w:t>
            </w:r>
          </w:p>
        </w:tc>
        <w:tc>
          <w:tcPr>
            <w:tcW w:w="660" w:type="dxa"/>
            <w:tcBorders>
              <w:top w:val="nil"/>
              <w:left w:val="nil"/>
              <w:bottom w:val="nil"/>
              <w:right w:val="nil"/>
            </w:tcBorders>
            <w:shd w:val="clear" w:color="000000" w:fill="006991"/>
            <w:vAlign w:val="center"/>
            <w:hideMark/>
          </w:tcPr>
          <w:p w14:paraId="73B927C8"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2DF1">
              <w:rPr>
                <w:rFonts w:ascii="Open Sans Semibold" w:eastAsia="Times New Roman" w:hAnsi="Open Sans Semibold" w:cs="Open Sans Semibold"/>
                <w:color w:val="FFFFFF"/>
                <w:sz w:val="16"/>
                <w:szCs w:val="16"/>
                <w:lang w:eastAsia="en-AU"/>
              </w:rPr>
              <w:t>NT</w:t>
            </w:r>
          </w:p>
        </w:tc>
        <w:tc>
          <w:tcPr>
            <w:tcW w:w="860" w:type="dxa"/>
            <w:tcBorders>
              <w:top w:val="nil"/>
              <w:left w:val="nil"/>
              <w:bottom w:val="nil"/>
              <w:right w:val="nil"/>
            </w:tcBorders>
            <w:shd w:val="clear" w:color="000000" w:fill="006991"/>
            <w:vAlign w:val="center"/>
            <w:hideMark/>
          </w:tcPr>
          <w:p w14:paraId="21382236"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962DF1">
              <w:rPr>
                <w:rFonts w:ascii="Open Sans Semibold" w:eastAsia="Times New Roman" w:hAnsi="Open Sans Semibold" w:cs="Open Sans Semibold"/>
                <w:color w:val="FFFFFF"/>
                <w:sz w:val="16"/>
                <w:szCs w:val="16"/>
                <w:lang w:eastAsia="en-AU"/>
              </w:rPr>
              <w:t>Total Effect</w:t>
            </w:r>
          </w:p>
        </w:tc>
      </w:tr>
      <w:tr w:rsidR="00962DF1" w:rsidRPr="00962DF1" w14:paraId="3A2FFEDC" w14:textId="77777777" w:rsidTr="00962DF1">
        <w:trPr>
          <w:trHeight w:val="259"/>
        </w:trPr>
        <w:tc>
          <w:tcPr>
            <w:tcW w:w="2760" w:type="dxa"/>
            <w:tcBorders>
              <w:top w:val="single" w:sz="4" w:space="0" w:color="ADD6EA"/>
              <w:left w:val="nil"/>
              <w:bottom w:val="nil"/>
              <w:right w:val="nil"/>
            </w:tcBorders>
            <w:shd w:val="clear" w:color="000000" w:fill="B6D5E4"/>
            <w:vAlign w:val="center"/>
            <w:hideMark/>
          </w:tcPr>
          <w:p w14:paraId="707BE6E2" w14:textId="77777777" w:rsidR="00962DF1" w:rsidRPr="00962DF1" w:rsidRDefault="00962DF1" w:rsidP="00962DF1">
            <w:pPr>
              <w:tabs>
                <w:tab w:val="clear" w:pos="567"/>
              </w:tabs>
              <w:spacing w:before="0" w:line="240" w:lineRule="auto"/>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 </w:t>
            </w:r>
          </w:p>
        </w:tc>
        <w:tc>
          <w:tcPr>
            <w:tcW w:w="700" w:type="dxa"/>
            <w:tcBorders>
              <w:top w:val="single" w:sz="4" w:space="0" w:color="ADD6EA"/>
              <w:left w:val="nil"/>
              <w:bottom w:val="nil"/>
              <w:right w:val="nil"/>
            </w:tcBorders>
            <w:shd w:val="clear" w:color="000000" w:fill="B6D5E4"/>
            <w:noWrap/>
            <w:vAlign w:val="center"/>
            <w:hideMark/>
          </w:tcPr>
          <w:p w14:paraId="5C555454"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$m</w:t>
            </w:r>
          </w:p>
        </w:tc>
        <w:tc>
          <w:tcPr>
            <w:tcW w:w="660" w:type="dxa"/>
            <w:tcBorders>
              <w:top w:val="single" w:sz="4" w:space="0" w:color="ADD6EA"/>
              <w:left w:val="nil"/>
              <w:bottom w:val="nil"/>
              <w:right w:val="nil"/>
            </w:tcBorders>
            <w:shd w:val="clear" w:color="000000" w:fill="B6D5E4"/>
            <w:noWrap/>
            <w:vAlign w:val="center"/>
            <w:hideMark/>
          </w:tcPr>
          <w:p w14:paraId="5090F301"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63C75B0E"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$m</w:t>
            </w:r>
          </w:p>
        </w:tc>
        <w:tc>
          <w:tcPr>
            <w:tcW w:w="660" w:type="dxa"/>
            <w:tcBorders>
              <w:top w:val="single" w:sz="4" w:space="0" w:color="ADD6EA"/>
              <w:left w:val="nil"/>
              <w:bottom w:val="nil"/>
              <w:right w:val="nil"/>
            </w:tcBorders>
            <w:shd w:val="clear" w:color="000000" w:fill="B6D5E4"/>
            <w:noWrap/>
            <w:vAlign w:val="center"/>
            <w:hideMark/>
          </w:tcPr>
          <w:p w14:paraId="71FD254A"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$m</w:t>
            </w:r>
          </w:p>
        </w:tc>
        <w:tc>
          <w:tcPr>
            <w:tcW w:w="660" w:type="dxa"/>
            <w:tcBorders>
              <w:top w:val="single" w:sz="4" w:space="0" w:color="ADD6EA"/>
              <w:left w:val="nil"/>
              <w:bottom w:val="nil"/>
              <w:right w:val="nil"/>
            </w:tcBorders>
            <w:shd w:val="clear" w:color="000000" w:fill="B6D5E4"/>
            <w:noWrap/>
            <w:vAlign w:val="center"/>
            <w:hideMark/>
          </w:tcPr>
          <w:p w14:paraId="178C75BB"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$m</w:t>
            </w:r>
          </w:p>
        </w:tc>
        <w:tc>
          <w:tcPr>
            <w:tcW w:w="660" w:type="dxa"/>
            <w:tcBorders>
              <w:top w:val="single" w:sz="4" w:space="0" w:color="ADD6EA"/>
              <w:left w:val="nil"/>
              <w:bottom w:val="nil"/>
              <w:right w:val="nil"/>
            </w:tcBorders>
            <w:shd w:val="clear" w:color="000000" w:fill="B6D5E4"/>
            <w:noWrap/>
            <w:vAlign w:val="center"/>
            <w:hideMark/>
          </w:tcPr>
          <w:p w14:paraId="028D4581"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$m</w:t>
            </w:r>
          </w:p>
        </w:tc>
        <w:tc>
          <w:tcPr>
            <w:tcW w:w="660" w:type="dxa"/>
            <w:tcBorders>
              <w:top w:val="single" w:sz="4" w:space="0" w:color="ADD6EA"/>
              <w:left w:val="nil"/>
              <w:bottom w:val="nil"/>
              <w:right w:val="nil"/>
            </w:tcBorders>
            <w:shd w:val="clear" w:color="000000" w:fill="B6D5E4"/>
            <w:noWrap/>
            <w:vAlign w:val="center"/>
            <w:hideMark/>
          </w:tcPr>
          <w:p w14:paraId="00B00CAE"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$m</w:t>
            </w:r>
          </w:p>
        </w:tc>
        <w:tc>
          <w:tcPr>
            <w:tcW w:w="660" w:type="dxa"/>
            <w:tcBorders>
              <w:top w:val="single" w:sz="4" w:space="0" w:color="ADD6EA"/>
              <w:left w:val="nil"/>
              <w:bottom w:val="nil"/>
              <w:right w:val="nil"/>
            </w:tcBorders>
            <w:shd w:val="clear" w:color="000000" w:fill="B6D5E4"/>
            <w:noWrap/>
            <w:vAlign w:val="center"/>
            <w:hideMark/>
          </w:tcPr>
          <w:p w14:paraId="7CE32622"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$m</w:t>
            </w:r>
          </w:p>
        </w:tc>
        <w:tc>
          <w:tcPr>
            <w:tcW w:w="860" w:type="dxa"/>
            <w:tcBorders>
              <w:top w:val="single" w:sz="4" w:space="0" w:color="ADD6EA"/>
              <w:left w:val="nil"/>
              <w:bottom w:val="nil"/>
              <w:right w:val="nil"/>
            </w:tcBorders>
            <w:shd w:val="clear" w:color="000000" w:fill="B6D5E4"/>
            <w:noWrap/>
            <w:vAlign w:val="center"/>
            <w:hideMark/>
          </w:tcPr>
          <w:p w14:paraId="313ADCA9"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$m</w:t>
            </w:r>
          </w:p>
        </w:tc>
      </w:tr>
      <w:tr w:rsidR="00962DF1" w:rsidRPr="00962DF1" w14:paraId="2A10C73D" w14:textId="77777777" w:rsidTr="00962DF1">
        <w:trPr>
          <w:trHeight w:val="315"/>
        </w:trPr>
        <w:tc>
          <w:tcPr>
            <w:tcW w:w="2760" w:type="dxa"/>
            <w:tcBorders>
              <w:top w:val="single" w:sz="4" w:space="0" w:color="ADD6EA"/>
              <w:left w:val="nil"/>
              <w:bottom w:val="nil"/>
              <w:right w:val="nil"/>
            </w:tcBorders>
            <w:shd w:val="clear" w:color="auto" w:fill="auto"/>
            <w:vAlign w:val="center"/>
            <w:hideMark/>
          </w:tcPr>
          <w:p w14:paraId="5E5111FD" w14:textId="77777777" w:rsidR="00962DF1" w:rsidRPr="00962DF1" w:rsidRDefault="00962DF1" w:rsidP="00962DF1">
            <w:pPr>
              <w:tabs>
                <w:tab w:val="clear" w:pos="567"/>
              </w:tabs>
              <w:spacing w:before="0" w:line="240" w:lineRule="auto"/>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Expense needs</w:t>
            </w:r>
          </w:p>
        </w:tc>
        <w:tc>
          <w:tcPr>
            <w:tcW w:w="700" w:type="dxa"/>
            <w:tcBorders>
              <w:top w:val="single" w:sz="4" w:space="0" w:color="ADD6EA"/>
              <w:left w:val="nil"/>
              <w:bottom w:val="nil"/>
              <w:right w:val="nil"/>
            </w:tcBorders>
            <w:shd w:val="clear" w:color="auto" w:fill="auto"/>
            <w:noWrap/>
            <w:vAlign w:val="center"/>
            <w:hideMark/>
          </w:tcPr>
          <w:p w14:paraId="672C0F78"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-336</w:t>
            </w:r>
          </w:p>
        </w:tc>
        <w:tc>
          <w:tcPr>
            <w:tcW w:w="660" w:type="dxa"/>
            <w:tcBorders>
              <w:top w:val="single" w:sz="4" w:space="0" w:color="ADD6EA"/>
              <w:left w:val="nil"/>
              <w:bottom w:val="nil"/>
              <w:right w:val="nil"/>
            </w:tcBorders>
            <w:shd w:val="clear" w:color="auto" w:fill="auto"/>
            <w:noWrap/>
            <w:vAlign w:val="center"/>
            <w:hideMark/>
          </w:tcPr>
          <w:p w14:paraId="205A5267"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430</w:t>
            </w:r>
          </w:p>
        </w:tc>
        <w:tc>
          <w:tcPr>
            <w:tcW w:w="700" w:type="dxa"/>
            <w:tcBorders>
              <w:top w:val="single" w:sz="4" w:space="0" w:color="ADD6EA"/>
              <w:left w:val="nil"/>
              <w:bottom w:val="nil"/>
              <w:right w:val="nil"/>
            </w:tcBorders>
            <w:shd w:val="clear" w:color="auto" w:fill="auto"/>
            <w:noWrap/>
            <w:vAlign w:val="center"/>
            <w:hideMark/>
          </w:tcPr>
          <w:p w14:paraId="4417EACC"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182</w:t>
            </w:r>
          </w:p>
        </w:tc>
        <w:tc>
          <w:tcPr>
            <w:tcW w:w="660" w:type="dxa"/>
            <w:tcBorders>
              <w:top w:val="single" w:sz="4" w:space="0" w:color="ADD6EA"/>
              <w:left w:val="nil"/>
              <w:bottom w:val="nil"/>
              <w:right w:val="nil"/>
            </w:tcBorders>
            <w:shd w:val="clear" w:color="auto" w:fill="auto"/>
            <w:noWrap/>
            <w:vAlign w:val="center"/>
            <w:hideMark/>
          </w:tcPr>
          <w:p w14:paraId="6497627C"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-10</w:t>
            </w:r>
          </w:p>
        </w:tc>
        <w:tc>
          <w:tcPr>
            <w:tcW w:w="660" w:type="dxa"/>
            <w:tcBorders>
              <w:top w:val="single" w:sz="4" w:space="0" w:color="ADD6EA"/>
              <w:left w:val="nil"/>
              <w:bottom w:val="nil"/>
              <w:right w:val="nil"/>
            </w:tcBorders>
            <w:shd w:val="clear" w:color="auto" w:fill="auto"/>
            <w:noWrap/>
            <w:vAlign w:val="center"/>
            <w:hideMark/>
          </w:tcPr>
          <w:p w14:paraId="1EAA08BD"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-203</w:t>
            </w:r>
          </w:p>
        </w:tc>
        <w:tc>
          <w:tcPr>
            <w:tcW w:w="660" w:type="dxa"/>
            <w:tcBorders>
              <w:top w:val="single" w:sz="4" w:space="0" w:color="ADD6EA"/>
              <w:left w:val="nil"/>
              <w:bottom w:val="nil"/>
              <w:right w:val="nil"/>
            </w:tcBorders>
            <w:shd w:val="clear" w:color="auto" w:fill="auto"/>
            <w:noWrap/>
            <w:vAlign w:val="center"/>
            <w:hideMark/>
          </w:tcPr>
          <w:p w14:paraId="7C1DFE64"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-36</w:t>
            </w:r>
          </w:p>
        </w:tc>
        <w:tc>
          <w:tcPr>
            <w:tcW w:w="660" w:type="dxa"/>
            <w:tcBorders>
              <w:top w:val="single" w:sz="4" w:space="0" w:color="ADD6EA"/>
              <w:left w:val="nil"/>
              <w:bottom w:val="nil"/>
              <w:right w:val="nil"/>
            </w:tcBorders>
            <w:shd w:val="clear" w:color="auto" w:fill="auto"/>
            <w:noWrap/>
            <w:vAlign w:val="center"/>
            <w:hideMark/>
          </w:tcPr>
          <w:p w14:paraId="25B54A53"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-29</w:t>
            </w:r>
          </w:p>
        </w:tc>
        <w:tc>
          <w:tcPr>
            <w:tcW w:w="660" w:type="dxa"/>
            <w:tcBorders>
              <w:top w:val="single" w:sz="4" w:space="0" w:color="ADD6EA"/>
              <w:left w:val="nil"/>
              <w:bottom w:val="nil"/>
              <w:right w:val="nil"/>
            </w:tcBorders>
            <w:shd w:val="clear" w:color="auto" w:fill="auto"/>
            <w:noWrap/>
            <w:vAlign w:val="center"/>
            <w:hideMark/>
          </w:tcPr>
          <w:p w14:paraId="36F11FB4"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w:t>
            </w:r>
          </w:p>
        </w:tc>
        <w:tc>
          <w:tcPr>
            <w:tcW w:w="860" w:type="dxa"/>
            <w:tcBorders>
              <w:top w:val="single" w:sz="4" w:space="0" w:color="ADD6EA"/>
              <w:left w:val="nil"/>
              <w:bottom w:val="nil"/>
              <w:right w:val="nil"/>
            </w:tcBorders>
            <w:shd w:val="clear" w:color="auto" w:fill="auto"/>
            <w:noWrap/>
            <w:vAlign w:val="center"/>
            <w:hideMark/>
          </w:tcPr>
          <w:p w14:paraId="5B5A1627"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613</w:t>
            </w:r>
          </w:p>
        </w:tc>
      </w:tr>
      <w:tr w:rsidR="00962DF1" w:rsidRPr="00962DF1" w14:paraId="67A641FE" w14:textId="77777777" w:rsidTr="00962DF1">
        <w:trPr>
          <w:trHeight w:val="315"/>
        </w:trPr>
        <w:tc>
          <w:tcPr>
            <w:tcW w:w="2760" w:type="dxa"/>
            <w:tcBorders>
              <w:top w:val="single" w:sz="4" w:space="0" w:color="ADD6EA"/>
              <w:left w:val="nil"/>
              <w:bottom w:val="nil"/>
              <w:right w:val="nil"/>
            </w:tcBorders>
            <w:shd w:val="clear" w:color="auto" w:fill="auto"/>
            <w:vAlign w:val="center"/>
            <w:hideMark/>
          </w:tcPr>
          <w:p w14:paraId="60B8264E" w14:textId="77777777" w:rsidR="00962DF1" w:rsidRPr="00962DF1" w:rsidRDefault="00962DF1" w:rsidP="00962DF1">
            <w:pPr>
              <w:tabs>
                <w:tab w:val="clear" w:pos="567"/>
              </w:tabs>
              <w:spacing w:before="0" w:line="240" w:lineRule="auto"/>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Investment needs</w:t>
            </w:r>
          </w:p>
        </w:tc>
        <w:tc>
          <w:tcPr>
            <w:tcW w:w="700" w:type="dxa"/>
            <w:tcBorders>
              <w:top w:val="single" w:sz="4" w:space="0" w:color="ADD6EA"/>
              <w:left w:val="nil"/>
              <w:bottom w:val="nil"/>
              <w:right w:val="nil"/>
            </w:tcBorders>
            <w:shd w:val="clear" w:color="auto" w:fill="auto"/>
            <w:noWrap/>
            <w:vAlign w:val="center"/>
            <w:hideMark/>
          </w:tcPr>
          <w:p w14:paraId="13A2728E"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-82</w:t>
            </w:r>
          </w:p>
        </w:tc>
        <w:tc>
          <w:tcPr>
            <w:tcW w:w="660" w:type="dxa"/>
            <w:tcBorders>
              <w:top w:val="single" w:sz="4" w:space="0" w:color="ADD6EA"/>
              <w:left w:val="nil"/>
              <w:bottom w:val="nil"/>
              <w:right w:val="nil"/>
            </w:tcBorders>
            <w:shd w:val="clear" w:color="auto" w:fill="auto"/>
            <w:noWrap/>
            <w:vAlign w:val="center"/>
            <w:hideMark/>
          </w:tcPr>
          <w:p w14:paraId="5A115A7F"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555</w:t>
            </w:r>
          </w:p>
        </w:tc>
        <w:tc>
          <w:tcPr>
            <w:tcW w:w="700" w:type="dxa"/>
            <w:tcBorders>
              <w:top w:val="single" w:sz="4" w:space="0" w:color="ADD6EA"/>
              <w:left w:val="nil"/>
              <w:bottom w:val="nil"/>
              <w:right w:val="nil"/>
            </w:tcBorders>
            <w:shd w:val="clear" w:color="auto" w:fill="auto"/>
            <w:noWrap/>
            <w:vAlign w:val="center"/>
            <w:hideMark/>
          </w:tcPr>
          <w:p w14:paraId="66C99AB8"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-7</w:t>
            </w:r>
          </w:p>
        </w:tc>
        <w:tc>
          <w:tcPr>
            <w:tcW w:w="660" w:type="dxa"/>
            <w:tcBorders>
              <w:top w:val="single" w:sz="4" w:space="0" w:color="ADD6EA"/>
              <w:left w:val="nil"/>
              <w:bottom w:val="nil"/>
              <w:right w:val="nil"/>
            </w:tcBorders>
            <w:shd w:val="clear" w:color="auto" w:fill="auto"/>
            <w:noWrap/>
            <w:vAlign w:val="center"/>
            <w:hideMark/>
          </w:tcPr>
          <w:p w14:paraId="5F4163DA"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-237</w:t>
            </w:r>
          </w:p>
        </w:tc>
        <w:tc>
          <w:tcPr>
            <w:tcW w:w="660" w:type="dxa"/>
            <w:tcBorders>
              <w:top w:val="single" w:sz="4" w:space="0" w:color="ADD6EA"/>
              <w:left w:val="nil"/>
              <w:bottom w:val="nil"/>
              <w:right w:val="nil"/>
            </w:tcBorders>
            <w:shd w:val="clear" w:color="auto" w:fill="auto"/>
            <w:noWrap/>
            <w:vAlign w:val="center"/>
            <w:hideMark/>
          </w:tcPr>
          <w:p w14:paraId="6AA08852"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-211</w:t>
            </w:r>
          </w:p>
        </w:tc>
        <w:tc>
          <w:tcPr>
            <w:tcW w:w="660" w:type="dxa"/>
            <w:tcBorders>
              <w:top w:val="single" w:sz="4" w:space="0" w:color="ADD6EA"/>
              <w:left w:val="nil"/>
              <w:bottom w:val="nil"/>
              <w:right w:val="nil"/>
            </w:tcBorders>
            <w:shd w:val="clear" w:color="auto" w:fill="auto"/>
            <w:noWrap/>
            <w:vAlign w:val="center"/>
            <w:hideMark/>
          </w:tcPr>
          <w:p w14:paraId="2B9AA1BC"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3</w:t>
            </w:r>
          </w:p>
        </w:tc>
        <w:tc>
          <w:tcPr>
            <w:tcW w:w="660" w:type="dxa"/>
            <w:tcBorders>
              <w:top w:val="single" w:sz="4" w:space="0" w:color="ADD6EA"/>
              <w:left w:val="nil"/>
              <w:bottom w:val="nil"/>
              <w:right w:val="nil"/>
            </w:tcBorders>
            <w:shd w:val="clear" w:color="auto" w:fill="auto"/>
            <w:noWrap/>
            <w:vAlign w:val="center"/>
            <w:hideMark/>
          </w:tcPr>
          <w:p w14:paraId="663B6B02"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18</w:t>
            </w:r>
          </w:p>
        </w:tc>
        <w:tc>
          <w:tcPr>
            <w:tcW w:w="660" w:type="dxa"/>
            <w:tcBorders>
              <w:top w:val="single" w:sz="4" w:space="0" w:color="ADD6EA"/>
              <w:left w:val="nil"/>
              <w:bottom w:val="nil"/>
              <w:right w:val="nil"/>
            </w:tcBorders>
            <w:shd w:val="clear" w:color="auto" w:fill="auto"/>
            <w:noWrap/>
            <w:vAlign w:val="center"/>
            <w:hideMark/>
          </w:tcPr>
          <w:p w14:paraId="10851108"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-39</w:t>
            </w:r>
          </w:p>
        </w:tc>
        <w:tc>
          <w:tcPr>
            <w:tcW w:w="860" w:type="dxa"/>
            <w:tcBorders>
              <w:top w:val="single" w:sz="4" w:space="0" w:color="ADD6EA"/>
              <w:left w:val="nil"/>
              <w:bottom w:val="nil"/>
              <w:right w:val="nil"/>
            </w:tcBorders>
            <w:shd w:val="clear" w:color="auto" w:fill="auto"/>
            <w:noWrap/>
            <w:vAlign w:val="center"/>
            <w:hideMark/>
          </w:tcPr>
          <w:p w14:paraId="5BEB298F"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576</w:t>
            </w:r>
          </w:p>
        </w:tc>
      </w:tr>
      <w:tr w:rsidR="00962DF1" w:rsidRPr="00962DF1" w14:paraId="36694F55" w14:textId="77777777" w:rsidTr="00962DF1">
        <w:trPr>
          <w:trHeight w:val="315"/>
        </w:trPr>
        <w:tc>
          <w:tcPr>
            <w:tcW w:w="2760" w:type="dxa"/>
            <w:tcBorders>
              <w:top w:val="single" w:sz="4" w:space="0" w:color="ADD6EA"/>
              <w:left w:val="nil"/>
              <w:bottom w:val="nil"/>
              <w:right w:val="nil"/>
            </w:tcBorders>
            <w:shd w:val="clear" w:color="auto" w:fill="auto"/>
            <w:vAlign w:val="center"/>
            <w:hideMark/>
          </w:tcPr>
          <w:p w14:paraId="703E8E74" w14:textId="77777777" w:rsidR="00962DF1" w:rsidRPr="00962DF1" w:rsidRDefault="00962DF1" w:rsidP="00962DF1">
            <w:pPr>
              <w:tabs>
                <w:tab w:val="clear" w:pos="567"/>
              </w:tabs>
              <w:spacing w:before="0" w:line="240" w:lineRule="auto"/>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Net borrowing</w:t>
            </w:r>
          </w:p>
        </w:tc>
        <w:tc>
          <w:tcPr>
            <w:tcW w:w="700" w:type="dxa"/>
            <w:tcBorders>
              <w:top w:val="single" w:sz="4" w:space="0" w:color="ADD6EA"/>
              <w:left w:val="nil"/>
              <w:bottom w:val="nil"/>
              <w:right w:val="nil"/>
            </w:tcBorders>
            <w:shd w:val="clear" w:color="auto" w:fill="auto"/>
            <w:noWrap/>
            <w:vAlign w:val="center"/>
            <w:hideMark/>
          </w:tcPr>
          <w:p w14:paraId="2AEBE889"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-45</w:t>
            </w:r>
          </w:p>
        </w:tc>
        <w:tc>
          <w:tcPr>
            <w:tcW w:w="660" w:type="dxa"/>
            <w:tcBorders>
              <w:top w:val="single" w:sz="4" w:space="0" w:color="ADD6EA"/>
              <w:left w:val="nil"/>
              <w:bottom w:val="nil"/>
              <w:right w:val="nil"/>
            </w:tcBorders>
            <w:shd w:val="clear" w:color="auto" w:fill="auto"/>
            <w:noWrap/>
            <w:vAlign w:val="center"/>
            <w:hideMark/>
          </w:tcPr>
          <w:p w14:paraId="374494EE"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-70</w:t>
            </w:r>
          </w:p>
        </w:tc>
        <w:tc>
          <w:tcPr>
            <w:tcW w:w="700" w:type="dxa"/>
            <w:tcBorders>
              <w:top w:val="single" w:sz="4" w:space="0" w:color="ADD6EA"/>
              <w:left w:val="nil"/>
              <w:bottom w:val="nil"/>
              <w:right w:val="nil"/>
            </w:tcBorders>
            <w:shd w:val="clear" w:color="auto" w:fill="auto"/>
            <w:noWrap/>
            <w:vAlign w:val="center"/>
            <w:hideMark/>
          </w:tcPr>
          <w:p w14:paraId="5D123B09"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44</w:t>
            </w:r>
          </w:p>
        </w:tc>
        <w:tc>
          <w:tcPr>
            <w:tcW w:w="660" w:type="dxa"/>
            <w:tcBorders>
              <w:top w:val="single" w:sz="4" w:space="0" w:color="ADD6EA"/>
              <w:left w:val="nil"/>
              <w:bottom w:val="nil"/>
              <w:right w:val="nil"/>
            </w:tcBorders>
            <w:shd w:val="clear" w:color="auto" w:fill="auto"/>
            <w:noWrap/>
            <w:vAlign w:val="center"/>
            <w:hideMark/>
          </w:tcPr>
          <w:p w14:paraId="1F6FBA8A"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12</w:t>
            </w:r>
          </w:p>
        </w:tc>
        <w:tc>
          <w:tcPr>
            <w:tcW w:w="660" w:type="dxa"/>
            <w:tcBorders>
              <w:top w:val="single" w:sz="4" w:space="0" w:color="ADD6EA"/>
              <w:left w:val="nil"/>
              <w:bottom w:val="nil"/>
              <w:right w:val="nil"/>
            </w:tcBorders>
            <w:shd w:val="clear" w:color="auto" w:fill="auto"/>
            <w:noWrap/>
            <w:vAlign w:val="center"/>
            <w:hideMark/>
          </w:tcPr>
          <w:p w14:paraId="1C53F3B0"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20</w:t>
            </w:r>
          </w:p>
        </w:tc>
        <w:tc>
          <w:tcPr>
            <w:tcW w:w="660" w:type="dxa"/>
            <w:tcBorders>
              <w:top w:val="single" w:sz="4" w:space="0" w:color="ADD6EA"/>
              <w:left w:val="nil"/>
              <w:bottom w:val="nil"/>
              <w:right w:val="nil"/>
            </w:tcBorders>
            <w:shd w:val="clear" w:color="auto" w:fill="auto"/>
            <w:noWrap/>
            <w:vAlign w:val="center"/>
            <w:hideMark/>
          </w:tcPr>
          <w:p w14:paraId="5BB85937"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38</w:t>
            </w:r>
          </w:p>
        </w:tc>
        <w:tc>
          <w:tcPr>
            <w:tcW w:w="660" w:type="dxa"/>
            <w:tcBorders>
              <w:top w:val="single" w:sz="4" w:space="0" w:color="ADD6EA"/>
              <w:left w:val="nil"/>
              <w:bottom w:val="nil"/>
              <w:right w:val="nil"/>
            </w:tcBorders>
            <w:shd w:val="clear" w:color="auto" w:fill="auto"/>
            <w:noWrap/>
            <w:vAlign w:val="center"/>
            <w:hideMark/>
          </w:tcPr>
          <w:p w14:paraId="4A436840"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3</w:t>
            </w:r>
          </w:p>
        </w:tc>
        <w:tc>
          <w:tcPr>
            <w:tcW w:w="660" w:type="dxa"/>
            <w:tcBorders>
              <w:top w:val="single" w:sz="4" w:space="0" w:color="ADD6EA"/>
              <w:left w:val="nil"/>
              <w:bottom w:val="nil"/>
              <w:right w:val="nil"/>
            </w:tcBorders>
            <w:shd w:val="clear" w:color="auto" w:fill="auto"/>
            <w:noWrap/>
            <w:vAlign w:val="center"/>
            <w:hideMark/>
          </w:tcPr>
          <w:p w14:paraId="17032DDA"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-3</w:t>
            </w:r>
          </w:p>
        </w:tc>
        <w:tc>
          <w:tcPr>
            <w:tcW w:w="860" w:type="dxa"/>
            <w:tcBorders>
              <w:top w:val="single" w:sz="4" w:space="0" w:color="ADD6EA"/>
              <w:left w:val="nil"/>
              <w:bottom w:val="nil"/>
              <w:right w:val="nil"/>
            </w:tcBorders>
            <w:shd w:val="clear" w:color="auto" w:fill="auto"/>
            <w:noWrap/>
            <w:vAlign w:val="center"/>
            <w:hideMark/>
          </w:tcPr>
          <w:p w14:paraId="7002CC6C"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118</w:t>
            </w:r>
          </w:p>
        </w:tc>
      </w:tr>
      <w:tr w:rsidR="00962DF1" w:rsidRPr="00962DF1" w14:paraId="4D6FE5FD" w14:textId="77777777" w:rsidTr="00962DF1">
        <w:trPr>
          <w:trHeight w:val="315"/>
        </w:trPr>
        <w:tc>
          <w:tcPr>
            <w:tcW w:w="2760" w:type="dxa"/>
            <w:tcBorders>
              <w:top w:val="single" w:sz="4" w:space="0" w:color="ADD6EA"/>
              <w:left w:val="nil"/>
              <w:bottom w:val="nil"/>
              <w:right w:val="nil"/>
            </w:tcBorders>
            <w:shd w:val="clear" w:color="auto" w:fill="auto"/>
            <w:vAlign w:val="center"/>
            <w:hideMark/>
          </w:tcPr>
          <w:p w14:paraId="011552B7" w14:textId="77777777" w:rsidR="00962DF1" w:rsidRPr="00962DF1" w:rsidRDefault="00962DF1" w:rsidP="00962DF1">
            <w:pPr>
              <w:tabs>
                <w:tab w:val="clear" w:pos="567"/>
              </w:tabs>
              <w:spacing w:before="0" w:line="240" w:lineRule="auto"/>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Revenue raising capacity</w:t>
            </w:r>
          </w:p>
        </w:tc>
        <w:tc>
          <w:tcPr>
            <w:tcW w:w="700" w:type="dxa"/>
            <w:tcBorders>
              <w:top w:val="single" w:sz="4" w:space="0" w:color="ADD6EA"/>
              <w:left w:val="nil"/>
              <w:bottom w:val="nil"/>
              <w:right w:val="nil"/>
            </w:tcBorders>
            <w:shd w:val="clear" w:color="auto" w:fill="auto"/>
            <w:vAlign w:val="center"/>
            <w:hideMark/>
          </w:tcPr>
          <w:p w14:paraId="2A12DA00"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-1,149</w:t>
            </w:r>
          </w:p>
        </w:tc>
        <w:tc>
          <w:tcPr>
            <w:tcW w:w="660" w:type="dxa"/>
            <w:tcBorders>
              <w:top w:val="single" w:sz="4" w:space="0" w:color="ADD6EA"/>
              <w:left w:val="nil"/>
              <w:bottom w:val="nil"/>
              <w:right w:val="nil"/>
            </w:tcBorders>
            <w:shd w:val="clear" w:color="auto" w:fill="auto"/>
            <w:vAlign w:val="center"/>
            <w:hideMark/>
          </w:tcPr>
          <w:p w14:paraId="3041E93A"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1,642</w:t>
            </w:r>
          </w:p>
        </w:tc>
        <w:tc>
          <w:tcPr>
            <w:tcW w:w="700" w:type="dxa"/>
            <w:tcBorders>
              <w:top w:val="single" w:sz="4" w:space="0" w:color="ADD6EA"/>
              <w:left w:val="nil"/>
              <w:bottom w:val="nil"/>
              <w:right w:val="nil"/>
            </w:tcBorders>
            <w:shd w:val="clear" w:color="auto" w:fill="auto"/>
            <w:vAlign w:val="center"/>
            <w:hideMark/>
          </w:tcPr>
          <w:p w14:paraId="6B9D1006"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-1,754</w:t>
            </w:r>
          </w:p>
        </w:tc>
        <w:tc>
          <w:tcPr>
            <w:tcW w:w="660" w:type="dxa"/>
            <w:tcBorders>
              <w:top w:val="single" w:sz="4" w:space="0" w:color="ADD6EA"/>
              <w:left w:val="nil"/>
              <w:bottom w:val="nil"/>
              <w:right w:val="nil"/>
            </w:tcBorders>
            <w:shd w:val="clear" w:color="auto" w:fill="auto"/>
            <w:vAlign w:val="center"/>
            <w:hideMark/>
          </w:tcPr>
          <w:p w14:paraId="037CB659"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565</w:t>
            </w:r>
          </w:p>
        </w:tc>
        <w:tc>
          <w:tcPr>
            <w:tcW w:w="660" w:type="dxa"/>
            <w:tcBorders>
              <w:top w:val="single" w:sz="4" w:space="0" w:color="ADD6EA"/>
              <w:left w:val="nil"/>
              <w:bottom w:val="nil"/>
              <w:right w:val="nil"/>
            </w:tcBorders>
            <w:shd w:val="clear" w:color="auto" w:fill="auto"/>
            <w:vAlign w:val="center"/>
            <w:hideMark/>
          </w:tcPr>
          <w:p w14:paraId="626C2F73"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468</w:t>
            </w:r>
          </w:p>
        </w:tc>
        <w:tc>
          <w:tcPr>
            <w:tcW w:w="660" w:type="dxa"/>
            <w:tcBorders>
              <w:top w:val="single" w:sz="4" w:space="0" w:color="ADD6EA"/>
              <w:left w:val="nil"/>
              <w:bottom w:val="nil"/>
              <w:right w:val="nil"/>
            </w:tcBorders>
            <w:shd w:val="clear" w:color="auto" w:fill="auto"/>
            <w:vAlign w:val="center"/>
            <w:hideMark/>
          </w:tcPr>
          <w:p w14:paraId="6B6534AD"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124</w:t>
            </w:r>
          </w:p>
        </w:tc>
        <w:tc>
          <w:tcPr>
            <w:tcW w:w="660" w:type="dxa"/>
            <w:tcBorders>
              <w:top w:val="single" w:sz="4" w:space="0" w:color="ADD6EA"/>
              <w:left w:val="nil"/>
              <w:bottom w:val="nil"/>
              <w:right w:val="nil"/>
            </w:tcBorders>
            <w:shd w:val="clear" w:color="auto" w:fill="auto"/>
            <w:vAlign w:val="center"/>
            <w:hideMark/>
          </w:tcPr>
          <w:p w14:paraId="24A2D240"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19</w:t>
            </w:r>
          </w:p>
        </w:tc>
        <w:tc>
          <w:tcPr>
            <w:tcW w:w="660" w:type="dxa"/>
            <w:tcBorders>
              <w:top w:val="single" w:sz="4" w:space="0" w:color="ADD6EA"/>
              <w:left w:val="nil"/>
              <w:bottom w:val="nil"/>
              <w:right w:val="nil"/>
            </w:tcBorders>
            <w:shd w:val="clear" w:color="auto" w:fill="auto"/>
            <w:vAlign w:val="center"/>
            <w:hideMark/>
          </w:tcPr>
          <w:p w14:paraId="1568AF67"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84</w:t>
            </w:r>
          </w:p>
        </w:tc>
        <w:tc>
          <w:tcPr>
            <w:tcW w:w="860" w:type="dxa"/>
            <w:tcBorders>
              <w:top w:val="single" w:sz="4" w:space="0" w:color="ADD6EA"/>
              <w:left w:val="nil"/>
              <w:bottom w:val="nil"/>
              <w:right w:val="nil"/>
            </w:tcBorders>
            <w:shd w:val="clear" w:color="auto" w:fill="auto"/>
            <w:vAlign w:val="center"/>
            <w:hideMark/>
          </w:tcPr>
          <w:p w14:paraId="6C1DC733"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2,903</w:t>
            </w:r>
          </w:p>
        </w:tc>
      </w:tr>
      <w:tr w:rsidR="00962DF1" w:rsidRPr="00962DF1" w14:paraId="0DBCEBCB" w14:textId="77777777" w:rsidTr="00962DF1">
        <w:trPr>
          <w:trHeight w:val="315"/>
        </w:trPr>
        <w:tc>
          <w:tcPr>
            <w:tcW w:w="2760" w:type="dxa"/>
            <w:tcBorders>
              <w:top w:val="single" w:sz="4" w:space="0" w:color="ADD6EA"/>
              <w:left w:val="nil"/>
              <w:bottom w:val="nil"/>
              <w:right w:val="nil"/>
            </w:tcBorders>
            <w:shd w:val="clear" w:color="auto" w:fill="auto"/>
            <w:vAlign w:val="center"/>
            <w:hideMark/>
          </w:tcPr>
          <w:p w14:paraId="58D6FB7E" w14:textId="77777777" w:rsidR="00962DF1" w:rsidRPr="00962DF1" w:rsidRDefault="00962DF1" w:rsidP="00962DF1">
            <w:pPr>
              <w:tabs>
                <w:tab w:val="clear" w:pos="567"/>
              </w:tabs>
              <w:spacing w:before="0" w:line="240" w:lineRule="auto"/>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Commonwealth payments</w:t>
            </w:r>
          </w:p>
        </w:tc>
        <w:tc>
          <w:tcPr>
            <w:tcW w:w="700" w:type="dxa"/>
            <w:tcBorders>
              <w:top w:val="single" w:sz="4" w:space="0" w:color="ADD6EA"/>
              <w:left w:val="nil"/>
              <w:bottom w:val="nil"/>
              <w:right w:val="nil"/>
            </w:tcBorders>
            <w:shd w:val="clear" w:color="auto" w:fill="auto"/>
            <w:noWrap/>
            <w:vAlign w:val="center"/>
            <w:hideMark/>
          </w:tcPr>
          <w:p w14:paraId="4A7AEFC8"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63</w:t>
            </w:r>
          </w:p>
        </w:tc>
        <w:tc>
          <w:tcPr>
            <w:tcW w:w="660" w:type="dxa"/>
            <w:tcBorders>
              <w:top w:val="single" w:sz="4" w:space="0" w:color="ADD6EA"/>
              <w:left w:val="nil"/>
              <w:bottom w:val="nil"/>
              <w:right w:val="nil"/>
            </w:tcBorders>
            <w:shd w:val="clear" w:color="auto" w:fill="auto"/>
            <w:noWrap/>
            <w:vAlign w:val="center"/>
            <w:hideMark/>
          </w:tcPr>
          <w:p w14:paraId="694DB1C8"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74</w:t>
            </w:r>
          </w:p>
        </w:tc>
        <w:tc>
          <w:tcPr>
            <w:tcW w:w="700" w:type="dxa"/>
            <w:tcBorders>
              <w:top w:val="single" w:sz="4" w:space="0" w:color="ADD6EA"/>
              <w:left w:val="nil"/>
              <w:bottom w:val="nil"/>
              <w:right w:val="nil"/>
            </w:tcBorders>
            <w:shd w:val="clear" w:color="auto" w:fill="auto"/>
            <w:noWrap/>
            <w:vAlign w:val="center"/>
            <w:hideMark/>
          </w:tcPr>
          <w:p w14:paraId="64AA3599"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95</w:t>
            </w:r>
          </w:p>
        </w:tc>
        <w:tc>
          <w:tcPr>
            <w:tcW w:w="660" w:type="dxa"/>
            <w:tcBorders>
              <w:top w:val="single" w:sz="4" w:space="0" w:color="ADD6EA"/>
              <w:left w:val="nil"/>
              <w:bottom w:val="nil"/>
              <w:right w:val="nil"/>
            </w:tcBorders>
            <w:shd w:val="clear" w:color="auto" w:fill="auto"/>
            <w:noWrap/>
            <w:vAlign w:val="center"/>
            <w:hideMark/>
          </w:tcPr>
          <w:p w14:paraId="70D716A8"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-155</w:t>
            </w:r>
          </w:p>
        </w:tc>
        <w:tc>
          <w:tcPr>
            <w:tcW w:w="660" w:type="dxa"/>
            <w:tcBorders>
              <w:top w:val="single" w:sz="4" w:space="0" w:color="ADD6EA"/>
              <w:left w:val="nil"/>
              <w:bottom w:val="nil"/>
              <w:right w:val="nil"/>
            </w:tcBorders>
            <w:shd w:val="clear" w:color="auto" w:fill="auto"/>
            <w:noWrap/>
            <w:vAlign w:val="center"/>
            <w:hideMark/>
          </w:tcPr>
          <w:p w14:paraId="068D1057"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-29</w:t>
            </w:r>
          </w:p>
        </w:tc>
        <w:tc>
          <w:tcPr>
            <w:tcW w:w="660" w:type="dxa"/>
            <w:tcBorders>
              <w:top w:val="single" w:sz="4" w:space="0" w:color="ADD6EA"/>
              <w:left w:val="nil"/>
              <w:bottom w:val="nil"/>
              <w:right w:val="nil"/>
            </w:tcBorders>
            <w:shd w:val="clear" w:color="auto" w:fill="auto"/>
            <w:noWrap/>
            <w:vAlign w:val="center"/>
            <w:hideMark/>
          </w:tcPr>
          <w:p w14:paraId="6CB87CE5"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-62</w:t>
            </w:r>
          </w:p>
        </w:tc>
        <w:tc>
          <w:tcPr>
            <w:tcW w:w="660" w:type="dxa"/>
            <w:tcBorders>
              <w:top w:val="single" w:sz="4" w:space="0" w:color="ADD6EA"/>
              <w:left w:val="nil"/>
              <w:bottom w:val="nil"/>
              <w:right w:val="nil"/>
            </w:tcBorders>
            <w:shd w:val="clear" w:color="auto" w:fill="auto"/>
            <w:noWrap/>
            <w:vAlign w:val="center"/>
            <w:hideMark/>
          </w:tcPr>
          <w:p w14:paraId="7C9C4C3B"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w:t>
            </w:r>
          </w:p>
        </w:tc>
        <w:tc>
          <w:tcPr>
            <w:tcW w:w="660" w:type="dxa"/>
            <w:tcBorders>
              <w:top w:val="single" w:sz="4" w:space="0" w:color="ADD6EA"/>
              <w:left w:val="nil"/>
              <w:bottom w:val="nil"/>
              <w:right w:val="nil"/>
            </w:tcBorders>
            <w:shd w:val="clear" w:color="auto" w:fill="auto"/>
            <w:noWrap/>
            <w:vAlign w:val="center"/>
            <w:hideMark/>
          </w:tcPr>
          <w:p w14:paraId="13257B22"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11</w:t>
            </w:r>
          </w:p>
        </w:tc>
        <w:tc>
          <w:tcPr>
            <w:tcW w:w="860" w:type="dxa"/>
            <w:tcBorders>
              <w:top w:val="single" w:sz="4" w:space="0" w:color="ADD6EA"/>
              <w:left w:val="nil"/>
              <w:bottom w:val="nil"/>
              <w:right w:val="nil"/>
            </w:tcBorders>
            <w:shd w:val="clear" w:color="auto" w:fill="auto"/>
            <w:noWrap/>
            <w:vAlign w:val="center"/>
            <w:hideMark/>
          </w:tcPr>
          <w:p w14:paraId="1FF17908"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245</w:t>
            </w:r>
          </w:p>
        </w:tc>
      </w:tr>
      <w:tr w:rsidR="00962DF1" w:rsidRPr="00962DF1" w14:paraId="051D6BAA" w14:textId="77777777" w:rsidTr="00962DF1">
        <w:trPr>
          <w:trHeight w:val="315"/>
        </w:trPr>
        <w:tc>
          <w:tcPr>
            <w:tcW w:w="2760" w:type="dxa"/>
            <w:tcBorders>
              <w:top w:val="single" w:sz="4" w:space="0" w:color="ADD6EA"/>
              <w:left w:val="nil"/>
              <w:bottom w:val="single" w:sz="4" w:space="0" w:color="ADD6EA"/>
              <w:right w:val="nil"/>
            </w:tcBorders>
            <w:shd w:val="clear" w:color="000000" w:fill="D6E7F0"/>
            <w:vAlign w:val="center"/>
            <w:hideMark/>
          </w:tcPr>
          <w:p w14:paraId="23AE93F4" w14:textId="77777777" w:rsidR="00962DF1" w:rsidRPr="00962DF1" w:rsidRDefault="00962DF1" w:rsidP="00962DF1">
            <w:pPr>
              <w:tabs>
                <w:tab w:val="clear" w:pos="567"/>
              </w:tabs>
              <w:spacing w:before="0" w:line="240" w:lineRule="auto"/>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Change in assessed relativities</w:t>
            </w:r>
          </w:p>
        </w:tc>
        <w:tc>
          <w:tcPr>
            <w:tcW w:w="700" w:type="dxa"/>
            <w:tcBorders>
              <w:top w:val="single" w:sz="4" w:space="0" w:color="ADD6EA"/>
              <w:left w:val="nil"/>
              <w:bottom w:val="single" w:sz="4" w:space="0" w:color="ADD6EA"/>
              <w:right w:val="nil"/>
            </w:tcBorders>
            <w:shd w:val="clear" w:color="000000" w:fill="D6E7F0"/>
            <w:noWrap/>
            <w:vAlign w:val="center"/>
            <w:hideMark/>
          </w:tcPr>
          <w:p w14:paraId="7B6EBCDF"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-1,551</w:t>
            </w:r>
          </w:p>
        </w:tc>
        <w:tc>
          <w:tcPr>
            <w:tcW w:w="660" w:type="dxa"/>
            <w:tcBorders>
              <w:top w:val="single" w:sz="4" w:space="0" w:color="ADD6EA"/>
              <w:left w:val="nil"/>
              <w:bottom w:val="single" w:sz="4" w:space="0" w:color="ADD6EA"/>
              <w:right w:val="nil"/>
            </w:tcBorders>
            <w:shd w:val="clear" w:color="000000" w:fill="D6E7F0"/>
            <w:noWrap/>
            <w:vAlign w:val="center"/>
            <w:hideMark/>
          </w:tcPr>
          <w:p w14:paraId="6250B0EB"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2,633</w:t>
            </w:r>
          </w:p>
        </w:tc>
        <w:tc>
          <w:tcPr>
            <w:tcW w:w="700" w:type="dxa"/>
            <w:tcBorders>
              <w:top w:val="single" w:sz="4" w:space="0" w:color="ADD6EA"/>
              <w:left w:val="nil"/>
              <w:bottom w:val="single" w:sz="4" w:space="0" w:color="ADD6EA"/>
              <w:right w:val="nil"/>
            </w:tcBorders>
            <w:shd w:val="clear" w:color="000000" w:fill="D6E7F0"/>
            <w:noWrap/>
            <w:vAlign w:val="center"/>
            <w:hideMark/>
          </w:tcPr>
          <w:p w14:paraId="4CA01597"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-1,442</w:t>
            </w:r>
          </w:p>
        </w:tc>
        <w:tc>
          <w:tcPr>
            <w:tcW w:w="660" w:type="dxa"/>
            <w:tcBorders>
              <w:top w:val="single" w:sz="4" w:space="0" w:color="ADD6EA"/>
              <w:left w:val="nil"/>
              <w:bottom w:val="single" w:sz="4" w:space="0" w:color="ADD6EA"/>
              <w:right w:val="nil"/>
            </w:tcBorders>
            <w:shd w:val="clear" w:color="000000" w:fill="D6E7F0"/>
            <w:noWrap/>
            <w:vAlign w:val="center"/>
            <w:hideMark/>
          </w:tcPr>
          <w:p w14:paraId="3469231D"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178</w:t>
            </w:r>
          </w:p>
        </w:tc>
        <w:tc>
          <w:tcPr>
            <w:tcW w:w="660" w:type="dxa"/>
            <w:tcBorders>
              <w:top w:val="single" w:sz="4" w:space="0" w:color="ADD6EA"/>
              <w:left w:val="nil"/>
              <w:bottom w:val="single" w:sz="4" w:space="0" w:color="ADD6EA"/>
              <w:right w:val="nil"/>
            </w:tcBorders>
            <w:shd w:val="clear" w:color="000000" w:fill="D6E7F0"/>
            <w:noWrap/>
            <w:vAlign w:val="center"/>
            <w:hideMark/>
          </w:tcPr>
          <w:p w14:paraId="4074E088"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46</w:t>
            </w:r>
          </w:p>
        </w:tc>
        <w:tc>
          <w:tcPr>
            <w:tcW w:w="660" w:type="dxa"/>
            <w:tcBorders>
              <w:top w:val="single" w:sz="4" w:space="0" w:color="ADD6EA"/>
              <w:left w:val="nil"/>
              <w:bottom w:val="single" w:sz="4" w:space="0" w:color="ADD6EA"/>
              <w:right w:val="nil"/>
            </w:tcBorders>
            <w:shd w:val="clear" w:color="000000" w:fill="D6E7F0"/>
            <w:noWrap/>
            <w:vAlign w:val="center"/>
            <w:hideMark/>
          </w:tcPr>
          <w:p w14:paraId="5ED6A8CE"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67</w:t>
            </w:r>
          </w:p>
        </w:tc>
        <w:tc>
          <w:tcPr>
            <w:tcW w:w="660" w:type="dxa"/>
            <w:tcBorders>
              <w:top w:val="single" w:sz="4" w:space="0" w:color="ADD6EA"/>
              <w:left w:val="nil"/>
              <w:bottom w:val="single" w:sz="4" w:space="0" w:color="ADD6EA"/>
              <w:right w:val="nil"/>
            </w:tcBorders>
            <w:shd w:val="clear" w:color="000000" w:fill="D6E7F0"/>
            <w:noWrap/>
            <w:vAlign w:val="center"/>
            <w:hideMark/>
          </w:tcPr>
          <w:p w14:paraId="6C16DA26"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13</w:t>
            </w:r>
          </w:p>
        </w:tc>
        <w:tc>
          <w:tcPr>
            <w:tcW w:w="660" w:type="dxa"/>
            <w:tcBorders>
              <w:top w:val="single" w:sz="4" w:space="0" w:color="ADD6EA"/>
              <w:left w:val="nil"/>
              <w:bottom w:val="single" w:sz="4" w:space="0" w:color="ADD6EA"/>
              <w:right w:val="nil"/>
            </w:tcBorders>
            <w:shd w:val="clear" w:color="000000" w:fill="D6E7F0"/>
            <w:noWrap/>
            <w:vAlign w:val="center"/>
            <w:hideMark/>
          </w:tcPr>
          <w:p w14:paraId="43BBD28C"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56</w:t>
            </w:r>
          </w:p>
        </w:tc>
        <w:tc>
          <w:tcPr>
            <w:tcW w:w="860" w:type="dxa"/>
            <w:tcBorders>
              <w:top w:val="single" w:sz="4" w:space="0" w:color="ADD6EA"/>
              <w:left w:val="nil"/>
              <w:bottom w:val="single" w:sz="4" w:space="0" w:color="ADD6EA"/>
              <w:right w:val="nil"/>
            </w:tcBorders>
            <w:shd w:val="clear" w:color="000000" w:fill="D6E7F0"/>
            <w:noWrap/>
            <w:vAlign w:val="center"/>
            <w:hideMark/>
          </w:tcPr>
          <w:p w14:paraId="178930AF"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2,992</w:t>
            </w:r>
          </w:p>
        </w:tc>
      </w:tr>
      <w:tr w:rsidR="00962DF1" w:rsidRPr="00962DF1" w14:paraId="35EC6E4D" w14:textId="77777777" w:rsidTr="00962DF1">
        <w:trPr>
          <w:trHeight w:val="315"/>
        </w:trPr>
        <w:tc>
          <w:tcPr>
            <w:tcW w:w="2760" w:type="dxa"/>
            <w:tcBorders>
              <w:top w:val="nil"/>
              <w:left w:val="nil"/>
              <w:bottom w:val="nil"/>
              <w:right w:val="nil"/>
            </w:tcBorders>
            <w:shd w:val="clear" w:color="auto" w:fill="auto"/>
            <w:vAlign w:val="center"/>
            <w:hideMark/>
          </w:tcPr>
          <w:p w14:paraId="54B8142D" w14:textId="77777777" w:rsidR="00962DF1" w:rsidRPr="00962DF1" w:rsidRDefault="00962DF1" w:rsidP="00962DF1">
            <w:pPr>
              <w:tabs>
                <w:tab w:val="clear" w:pos="567"/>
              </w:tabs>
              <w:spacing w:before="0" w:line="240" w:lineRule="auto"/>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Blended relativities and GST floor</w:t>
            </w:r>
          </w:p>
        </w:tc>
        <w:tc>
          <w:tcPr>
            <w:tcW w:w="700" w:type="dxa"/>
            <w:tcBorders>
              <w:top w:val="nil"/>
              <w:left w:val="nil"/>
              <w:bottom w:val="nil"/>
              <w:right w:val="nil"/>
            </w:tcBorders>
            <w:shd w:val="clear" w:color="auto" w:fill="auto"/>
            <w:vAlign w:val="center"/>
            <w:hideMark/>
          </w:tcPr>
          <w:p w14:paraId="34EADDC3"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-99</w:t>
            </w:r>
          </w:p>
        </w:tc>
        <w:tc>
          <w:tcPr>
            <w:tcW w:w="660" w:type="dxa"/>
            <w:tcBorders>
              <w:top w:val="nil"/>
              <w:left w:val="nil"/>
              <w:bottom w:val="nil"/>
              <w:right w:val="nil"/>
            </w:tcBorders>
            <w:shd w:val="clear" w:color="auto" w:fill="auto"/>
            <w:vAlign w:val="center"/>
            <w:hideMark/>
          </w:tcPr>
          <w:p w14:paraId="314A4C65"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-85</w:t>
            </w:r>
          </w:p>
        </w:tc>
        <w:tc>
          <w:tcPr>
            <w:tcW w:w="700" w:type="dxa"/>
            <w:tcBorders>
              <w:top w:val="nil"/>
              <w:left w:val="nil"/>
              <w:bottom w:val="nil"/>
              <w:right w:val="nil"/>
            </w:tcBorders>
            <w:shd w:val="clear" w:color="auto" w:fill="auto"/>
            <w:vAlign w:val="center"/>
            <w:hideMark/>
          </w:tcPr>
          <w:p w14:paraId="0A618E45"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-65</w:t>
            </w:r>
          </w:p>
        </w:tc>
        <w:tc>
          <w:tcPr>
            <w:tcW w:w="660" w:type="dxa"/>
            <w:tcBorders>
              <w:top w:val="nil"/>
              <w:left w:val="nil"/>
              <w:bottom w:val="nil"/>
              <w:right w:val="nil"/>
            </w:tcBorders>
            <w:shd w:val="clear" w:color="auto" w:fill="auto"/>
            <w:vAlign w:val="center"/>
            <w:hideMark/>
          </w:tcPr>
          <w:p w14:paraId="5B9B9CCB"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285</w:t>
            </w:r>
          </w:p>
        </w:tc>
        <w:tc>
          <w:tcPr>
            <w:tcW w:w="660" w:type="dxa"/>
            <w:tcBorders>
              <w:top w:val="nil"/>
              <w:left w:val="nil"/>
              <w:bottom w:val="nil"/>
              <w:right w:val="nil"/>
            </w:tcBorders>
            <w:shd w:val="clear" w:color="auto" w:fill="auto"/>
            <w:vAlign w:val="center"/>
            <w:hideMark/>
          </w:tcPr>
          <w:p w14:paraId="7BDB0CA2"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-21</w:t>
            </w:r>
          </w:p>
        </w:tc>
        <w:tc>
          <w:tcPr>
            <w:tcW w:w="660" w:type="dxa"/>
            <w:tcBorders>
              <w:top w:val="nil"/>
              <w:left w:val="nil"/>
              <w:bottom w:val="nil"/>
              <w:right w:val="nil"/>
            </w:tcBorders>
            <w:shd w:val="clear" w:color="auto" w:fill="auto"/>
            <w:vAlign w:val="center"/>
            <w:hideMark/>
          </w:tcPr>
          <w:p w14:paraId="1D808A7B"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-6</w:t>
            </w:r>
          </w:p>
        </w:tc>
        <w:tc>
          <w:tcPr>
            <w:tcW w:w="660" w:type="dxa"/>
            <w:tcBorders>
              <w:top w:val="nil"/>
              <w:left w:val="nil"/>
              <w:bottom w:val="nil"/>
              <w:right w:val="nil"/>
            </w:tcBorders>
            <w:shd w:val="clear" w:color="auto" w:fill="auto"/>
            <w:vAlign w:val="center"/>
            <w:hideMark/>
          </w:tcPr>
          <w:p w14:paraId="674D4C40"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-6</w:t>
            </w:r>
          </w:p>
        </w:tc>
        <w:tc>
          <w:tcPr>
            <w:tcW w:w="660" w:type="dxa"/>
            <w:tcBorders>
              <w:top w:val="nil"/>
              <w:left w:val="nil"/>
              <w:bottom w:val="nil"/>
              <w:right w:val="nil"/>
            </w:tcBorders>
            <w:shd w:val="clear" w:color="auto" w:fill="auto"/>
            <w:vAlign w:val="center"/>
            <w:hideMark/>
          </w:tcPr>
          <w:p w14:paraId="1B731C9A"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w:t>
            </w:r>
          </w:p>
        </w:tc>
        <w:tc>
          <w:tcPr>
            <w:tcW w:w="860" w:type="dxa"/>
            <w:tcBorders>
              <w:top w:val="nil"/>
              <w:left w:val="nil"/>
              <w:bottom w:val="nil"/>
              <w:right w:val="nil"/>
            </w:tcBorders>
            <w:shd w:val="clear" w:color="auto" w:fill="auto"/>
            <w:vAlign w:val="center"/>
            <w:hideMark/>
          </w:tcPr>
          <w:p w14:paraId="2A1D0242" w14:textId="77777777" w:rsidR="00962DF1" w:rsidRPr="00962DF1" w:rsidRDefault="00962DF1" w:rsidP="00962DF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962DF1">
              <w:rPr>
                <w:rFonts w:ascii="Open Sans Light" w:eastAsia="Times New Roman" w:hAnsi="Open Sans Light" w:cs="Open Sans Light"/>
                <w:color w:val="000000"/>
                <w:sz w:val="16"/>
                <w:szCs w:val="16"/>
                <w:lang w:eastAsia="en-AU"/>
              </w:rPr>
              <w:t>285</w:t>
            </w:r>
          </w:p>
        </w:tc>
      </w:tr>
      <w:tr w:rsidR="00962DF1" w:rsidRPr="00962DF1" w14:paraId="5BDCC32B" w14:textId="77777777" w:rsidTr="00962DF1">
        <w:trPr>
          <w:trHeight w:val="315"/>
        </w:trPr>
        <w:tc>
          <w:tcPr>
            <w:tcW w:w="2760" w:type="dxa"/>
            <w:tcBorders>
              <w:top w:val="single" w:sz="4" w:space="0" w:color="ADD6EA"/>
              <w:left w:val="nil"/>
              <w:bottom w:val="single" w:sz="4" w:space="0" w:color="ADD6EA"/>
              <w:right w:val="nil"/>
            </w:tcBorders>
            <w:shd w:val="clear" w:color="000000" w:fill="D6E7F0"/>
            <w:vAlign w:val="center"/>
            <w:hideMark/>
          </w:tcPr>
          <w:p w14:paraId="4A504F06" w14:textId="77777777" w:rsidR="00962DF1" w:rsidRPr="00962DF1" w:rsidRDefault="00962DF1" w:rsidP="00962DF1">
            <w:pPr>
              <w:tabs>
                <w:tab w:val="clear" w:pos="567"/>
              </w:tabs>
              <w:spacing w:before="0" w:line="240" w:lineRule="auto"/>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Change in GST relativities</w:t>
            </w:r>
          </w:p>
        </w:tc>
        <w:tc>
          <w:tcPr>
            <w:tcW w:w="700" w:type="dxa"/>
            <w:tcBorders>
              <w:top w:val="single" w:sz="4" w:space="0" w:color="ADD6EA"/>
              <w:left w:val="nil"/>
              <w:bottom w:val="single" w:sz="4" w:space="0" w:color="ADD6EA"/>
              <w:right w:val="nil"/>
            </w:tcBorders>
            <w:shd w:val="clear" w:color="000000" w:fill="D6E7F0"/>
            <w:noWrap/>
            <w:vAlign w:val="center"/>
            <w:hideMark/>
          </w:tcPr>
          <w:p w14:paraId="05F464DC"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-1,650</w:t>
            </w:r>
          </w:p>
        </w:tc>
        <w:tc>
          <w:tcPr>
            <w:tcW w:w="660" w:type="dxa"/>
            <w:tcBorders>
              <w:top w:val="single" w:sz="4" w:space="0" w:color="ADD6EA"/>
              <w:left w:val="nil"/>
              <w:bottom w:val="single" w:sz="4" w:space="0" w:color="ADD6EA"/>
              <w:right w:val="nil"/>
            </w:tcBorders>
            <w:shd w:val="clear" w:color="000000" w:fill="D6E7F0"/>
            <w:noWrap/>
            <w:vAlign w:val="center"/>
            <w:hideMark/>
          </w:tcPr>
          <w:p w14:paraId="0BCE10EF"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2,548</w:t>
            </w:r>
          </w:p>
        </w:tc>
        <w:tc>
          <w:tcPr>
            <w:tcW w:w="700" w:type="dxa"/>
            <w:tcBorders>
              <w:top w:val="single" w:sz="4" w:space="0" w:color="ADD6EA"/>
              <w:left w:val="nil"/>
              <w:bottom w:val="single" w:sz="4" w:space="0" w:color="ADD6EA"/>
              <w:right w:val="nil"/>
            </w:tcBorders>
            <w:shd w:val="clear" w:color="000000" w:fill="D6E7F0"/>
            <w:noWrap/>
            <w:vAlign w:val="center"/>
            <w:hideMark/>
          </w:tcPr>
          <w:p w14:paraId="7B6C5F76"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-1,506</w:t>
            </w:r>
          </w:p>
        </w:tc>
        <w:tc>
          <w:tcPr>
            <w:tcW w:w="660" w:type="dxa"/>
            <w:tcBorders>
              <w:top w:val="single" w:sz="4" w:space="0" w:color="ADD6EA"/>
              <w:left w:val="nil"/>
              <w:bottom w:val="single" w:sz="4" w:space="0" w:color="ADD6EA"/>
              <w:right w:val="nil"/>
            </w:tcBorders>
            <w:shd w:val="clear" w:color="000000" w:fill="D6E7F0"/>
            <w:noWrap/>
            <w:vAlign w:val="center"/>
            <w:hideMark/>
          </w:tcPr>
          <w:p w14:paraId="07972C61"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462</w:t>
            </w:r>
          </w:p>
        </w:tc>
        <w:tc>
          <w:tcPr>
            <w:tcW w:w="660" w:type="dxa"/>
            <w:tcBorders>
              <w:top w:val="single" w:sz="4" w:space="0" w:color="ADD6EA"/>
              <w:left w:val="nil"/>
              <w:bottom w:val="single" w:sz="4" w:space="0" w:color="ADD6EA"/>
              <w:right w:val="nil"/>
            </w:tcBorders>
            <w:shd w:val="clear" w:color="000000" w:fill="D6E7F0"/>
            <w:noWrap/>
            <w:vAlign w:val="center"/>
            <w:hideMark/>
          </w:tcPr>
          <w:p w14:paraId="4D8E381D"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25</w:t>
            </w:r>
          </w:p>
        </w:tc>
        <w:tc>
          <w:tcPr>
            <w:tcW w:w="660" w:type="dxa"/>
            <w:tcBorders>
              <w:top w:val="single" w:sz="4" w:space="0" w:color="ADD6EA"/>
              <w:left w:val="nil"/>
              <w:bottom w:val="single" w:sz="4" w:space="0" w:color="ADD6EA"/>
              <w:right w:val="nil"/>
            </w:tcBorders>
            <w:shd w:val="clear" w:color="000000" w:fill="D6E7F0"/>
            <w:noWrap/>
            <w:vAlign w:val="center"/>
            <w:hideMark/>
          </w:tcPr>
          <w:p w14:paraId="640B972F"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60</w:t>
            </w:r>
          </w:p>
        </w:tc>
        <w:tc>
          <w:tcPr>
            <w:tcW w:w="660" w:type="dxa"/>
            <w:tcBorders>
              <w:top w:val="single" w:sz="4" w:space="0" w:color="ADD6EA"/>
              <w:left w:val="nil"/>
              <w:bottom w:val="single" w:sz="4" w:space="0" w:color="ADD6EA"/>
              <w:right w:val="nil"/>
            </w:tcBorders>
            <w:shd w:val="clear" w:color="000000" w:fill="D6E7F0"/>
            <w:noWrap/>
            <w:vAlign w:val="center"/>
            <w:hideMark/>
          </w:tcPr>
          <w:p w14:paraId="2BB3E06F"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8</w:t>
            </w:r>
          </w:p>
        </w:tc>
        <w:tc>
          <w:tcPr>
            <w:tcW w:w="660" w:type="dxa"/>
            <w:tcBorders>
              <w:top w:val="single" w:sz="4" w:space="0" w:color="ADD6EA"/>
              <w:left w:val="nil"/>
              <w:bottom w:val="single" w:sz="4" w:space="0" w:color="ADD6EA"/>
              <w:right w:val="nil"/>
            </w:tcBorders>
            <w:shd w:val="clear" w:color="000000" w:fill="D6E7F0"/>
            <w:noWrap/>
            <w:vAlign w:val="center"/>
            <w:hideMark/>
          </w:tcPr>
          <w:p w14:paraId="2EB5CD8E"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53</w:t>
            </w:r>
          </w:p>
        </w:tc>
        <w:tc>
          <w:tcPr>
            <w:tcW w:w="860" w:type="dxa"/>
            <w:tcBorders>
              <w:top w:val="single" w:sz="4" w:space="0" w:color="ADD6EA"/>
              <w:left w:val="nil"/>
              <w:bottom w:val="single" w:sz="4" w:space="0" w:color="ADD6EA"/>
              <w:right w:val="nil"/>
            </w:tcBorders>
            <w:shd w:val="clear" w:color="000000" w:fill="D6E7F0"/>
            <w:noWrap/>
            <w:vAlign w:val="center"/>
            <w:hideMark/>
          </w:tcPr>
          <w:p w14:paraId="0F9B8227" w14:textId="77777777" w:rsidR="00962DF1" w:rsidRPr="00962DF1" w:rsidRDefault="00962DF1" w:rsidP="00962DF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962DF1">
              <w:rPr>
                <w:rFonts w:ascii="Open Sans Semibold" w:eastAsia="Times New Roman" w:hAnsi="Open Sans Semibold" w:cs="Open Sans Semibold"/>
                <w:color w:val="000000"/>
                <w:sz w:val="16"/>
                <w:szCs w:val="16"/>
                <w:lang w:eastAsia="en-AU"/>
              </w:rPr>
              <w:t>3,156</w:t>
            </w:r>
          </w:p>
        </w:tc>
      </w:tr>
    </w:tbl>
    <w:p w14:paraId="2F7F873B" w14:textId="7A181A71" w:rsidR="005A1D93" w:rsidRPr="00DC23FC" w:rsidRDefault="005A1D93" w:rsidP="00897E49">
      <w:pPr>
        <w:pStyle w:val="CGCTablenote"/>
      </w:pPr>
      <w:r w:rsidRPr="00DC23FC">
        <w:t>Source: Commission calculation.</w:t>
      </w:r>
    </w:p>
    <w:p w14:paraId="4A73A08D" w14:textId="77777777" w:rsidR="005A1D93" w:rsidRPr="00DC23FC" w:rsidRDefault="005A1D93" w:rsidP="005A1D93">
      <w:r w:rsidRPr="00DC23FC">
        <w:t>Changes in states’ GST shares occurred for 3 reasons.</w:t>
      </w:r>
    </w:p>
    <w:p w14:paraId="50E30AF4" w14:textId="153AE819" w:rsidR="005A1D93" w:rsidRPr="00DC23FC" w:rsidRDefault="005A1D93" w:rsidP="00392E97">
      <w:pPr>
        <w:pStyle w:val="BulletPoints"/>
      </w:pPr>
      <w:r w:rsidRPr="00DC23FC">
        <w:t>Since the 2023 Update some data have been revised. Most notably, data revisions in this update include revised demographic and geographic data from the 2021</w:t>
      </w:r>
      <w:r w:rsidR="00DC5635">
        <w:t> </w:t>
      </w:r>
      <w:r w:rsidRPr="00DC23FC">
        <w:t>Census.</w:t>
      </w:r>
    </w:p>
    <w:p w14:paraId="3128024A" w14:textId="4B5AEA10" w:rsidR="005A1D93" w:rsidRPr="00DC23FC" w:rsidRDefault="005A1D93" w:rsidP="00392E97">
      <w:pPr>
        <w:pStyle w:val="BulletPoints"/>
      </w:pPr>
      <w:r w:rsidRPr="00DC23FC">
        <w:t>States’ economic and socio-demographic circumstances change over time. The 2024</w:t>
      </w:r>
      <w:r w:rsidR="00DC5635">
        <w:t> </w:t>
      </w:r>
      <w:r w:rsidRPr="00DC23FC">
        <w:t>Update assessed states’ GST needs using an average of data for the 3 years 2020</w:t>
      </w:r>
      <w:r w:rsidR="004E34A2">
        <w:t>–</w:t>
      </w:r>
      <w:r w:rsidRPr="00DC23FC">
        <w:t>21 to 2022</w:t>
      </w:r>
      <w:r w:rsidR="004E34A2">
        <w:t>–</w:t>
      </w:r>
      <w:r w:rsidRPr="00DC23FC">
        <w:t>23. The 2023 Update assessed states’</w:t>
      </w:r>
      <w:r w:rsidR="00640565">
        <w:t xml:space="preserve"> GST</w:t>
      </w:r>
      <w:r w:rsidRPr="00DC23FC">
        <w:t xml:space="preserve"> needs using an average of data for the 3 years 2019</w:t>
      </w:r>
      <w:r w:rsidR="004E34A2">
        <w:t>–</w:t>
      </w:r>
      <w:r w:rsidRPr="00DC23FC">
        <w:t>20 to 2021</w:t>
      </w:r>
      <w:r w:rsidR="004E34A2">
        <w:t>–</w:t>
      </w:r>
      <w:r w:rsidRPr="00DC23FC">
        <w:t xml:space="preserve">22. Differences </w:t>
      </w:r>
      <w:r w:rsidR="009337EC">
        <w:t>in state ci</w:t>
      </w:r>
      <w:r w:rsidR="00CE2B4F">
        <w:t xml:space="preserve">rcumstances </w:t>
      </w:r>
      <w:r w:rsidRPr="00DC23FC">
        <w:t>between the year brought into the 3-year average (2022</w:t>
      </w:r>
      <w:r w:rsidR="004E34A2">
        <w:t>–</w:t>
      </w:r>
      <w:r w:rsidRPr="00DC23FC">
        <w:t>23) and the year removed (2019</w:t>
      </w:r>
      <w:r w:rsidR="004E34A2">
        <w:t>–</w:t>
      </w:r>
      <w:r w:rsidRPr="00DC23FC">
        <w:t>20) changed states’ relative needs.</w:t>
      </w:r>
    </w:p>
    <w:p w14:paraId="66ECADF1" w14:textId="1E83431C" w:rsidR="005A1D93" w:rsidRPr="00DC23FC" w:rsidRDefault="005A1D93" w:rsidP="00392E97">
      <w:pPr>
        <w:pStyle w:val="BulletPoints"/>
      </w:pPr>
      <w:r w:rsidRPr="00DC23FC">
        <w:t xml:space="preserve">Legislated arrangements for GST distribution are also being phased in. The transition to using </w:t>
      </w:r>
      <w:r w:rsidRPr="0095123E">
        <w:t>standard state relativities is now two-thirds complete, with blended relativities based on two</w:t>
      </w:r>
      <w:r w:rsidR="007D5B03">
        <w:t>-</w:t>
      </w:r>
      <w:r w:rsidRPr="0095123E">
        <w:t>thirds standard state relativities and one</w:t>
      </w:r>
      <w:r w:rsidR="007D5B03">
        <w:t>-</w:t>
      </w:r>
      <w:r w:rsidRPr="0095123E">
        <w:t>third assessed relativities. Each state’s</w:t>
      </w:r>
      <w:r w:rsidRPr="00DC23FC">
        <w:t xml:space="preserve"> GST relativity must also be at least 0.75.</w:t>
      </w:r>
    </w:p>
    <w:p w14:paraId="20D9E752" w14:textId="322D68A1" w:rsidR="005A1D93" w:rsidRPr="00DC23FC" w:rsidRDefault="005A1D93" w:rsidP="005A1D93">
      <w:r w:rsidRPr="00DC23FC">
        <w:t>Data revisions and changes in state circumstances changed the assessed</w:t>
      </w:r>
      <w:r w:rsidR="00D00794">
        <w:t xml:space="preserve"> GST</w:t>
      </w:r>
      <w:r w:rsidRPr="00DC23FC">
        <w:t xml:space="preserve"> needs of states in 2024</w:t>
      </w:r>
      <w:r w:rsidR="00560607">
        <w:t>–</w:t>
      </w:r>
      <w:r w:rsidRPr="00DC23FC">
        <w:t>25 compared with 2023</w:t>
      </w:r>
      <w:r w:rsidR="00560607">
        <w:t>–</w:t>
      </w:r>
      <w:r w:rsidRPr="00DC23FC">
        <w:t>24 (see</w:t>
      </w:r>
      <w:r w:rsidR="003B431D">
        <w:t xml:space="preserve"> Table 2-2</w:t>
      </w:r>
      <w:r w:rsidRPr="00DC23FC">
        <w:t>). The main drivers are discussed below.</w:t>
      </w:r>
    </w:p>
    <w:p w14:paraId="628BF66D" w14:textId="4336B191" w:rsidR="005A1D93" w:rsidRDefault="005A1D93" w:rsidP="00897E49">
      <w:pPr>
        <w:pStyle w:val="CGCTableHead"/>
      </w:pPr>
      <w:r w:rsidRPr="00DC23FC">
        <w:t xml:space="preserve">Table 2-2 </w:t>
      </w:r>
      <w:r w:rsidRPr="00DC23FC">
        <w:tab/>
        <w:t>Change in assessed GST needs by source of change, 2023</w:t>
      </w:r>
      <w:r w:rsidR="00C54AB7">
        <w:t>–</w:t>
      </w:r>
      <w:r w:rsidRPr="00DC23FC">
        <w:t>24 to 2024</w:t>
      </w:r>
      <w:r w:rsidR="00C54AB7">
        <w:t>–</w:t>
      </w:r>
      <w:proofErr w:type="gramStart"/>
      <w:r w:rsidRPr="00DC23FC">
        <w:t>25</w:t>
      </w:r>
      <w:proofErr w:type="gramEnd"/>
    </w:p>
    <w:tbl>
      <w:tblPr>
        <w:tblW w:w="8860" w:type="dxa"/>
        <w:tblLook w:val="04A0" w:firstRow="1" w:lastRow="0" w:firstColumn="1" w:lastColumn="0" w:noHBand="0" w:noVBand="1"/>
      </w:tblPr>
      <w:tblGrid>
        <w:gridCol w:w="2780"/>
        <w:gridCol w:w="680"/>
        <w:gridCol w:w="640"/>
        <w:gridCol w:w="680"/>
        <w:gridCol w:w="640"/>
        <w:gridCol w:w="640"/>
        <w:gridCol w:w="640"/>
        <w:gridCol w:w="640"/>
        <w:gridCol w:w="640"/>
        <w:gridCol w:w="880"/>
      </w:tblGrid>
      <w:tr w:rsidR="00CD23B2" w:rsidRPr="00CD23B2" w14:paraId="014B8826" w14:textId="77777777" w:rsidTr="00CD23B2">
        <w:trPr>
          <w:trHeight w:val="555"/>
        </w:trPr>
        <w:tc>
          <w:tcPr>
            <w:tcW w:w="2780" w:type="dxa"/>
            <w:tcBorders>
              <w:top w:val="nil"/>
              <w:left w:val="nil"/>
              <w:bottom w:val="nil"/>
              <w:right w:val="nil"/>
            </w:tcBorders>
            <w:shd w:val="clear" w:color="000000" w:fill="006991"/>
            <w:vAlign w:val="center"/>
            <w:hideMark/>
          </w:tcPr>
          <w:p w14:paraId="0DFC3978" w14:textId="77777777" w:rsidR="00CD23B2" w:rsidRPr="00CD23B2" w:rsidRDefault="00CD23B2" w:rsidP="00CD23B2">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166" w:name="Table_2_2"/>
            <w:r w:rsidRPr="00CD23B2">
              <w:rPr>
                <w:rFonts w:ascii="Open Sans Semibold" w:eastAsia="Times New Roman" w:hAnsi="Open Sans Semibold" w:cs="Open Sans Semibold"/>
                <w:color w:val="FFFFFF"/>
                <w:sz w:val="16"/>
                <w:szCs w:val="16"/>
                <w:lang w:eastAsia="en-AU"/>
              </w:rPr>
              <w:t> </w:t>
            </w:r>
            <w:bookmarkEnd w:id="166"/>
          </w:p>
        </w:tc>
        <w:tc>
          <w:tcPr>
            <w:tcW w:w="680" w:type="dxa"/>
            <w:tcBorders>
              <w:top w:val="nil"/>
              <w:left w:val="nil"/>
              <w:bottom w:val="nil"/>
              <w:right w:val="nil"/>
            </w:tcBorders>
            <w:shd w:val="clear" w:color="000000" w:fill="006991"/>
            <w:vAlign w:val="center"/>
            <w:hideMark/>
          </w:tcPr>
          <w:p w14:paraId="20356F50"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3B2">
              <w:rPr>
                <w:rFonts w:ascii="Open Sans Semibold" w:eastAsia="Times New Roman" w:hAnsi="Open Sans Semibold" w:cs="Open Sans Semibold"/>
                <w:color w:val="FFFFFF"/>
                <w:sz w:val="16"/>
                <w:szCs w:val="16"/>
                <w:lang w:eastAsia="en-AU"/>
              </w:rPr>
              <w:t>NSW</w:t>
            </w:r>
          </w:p>
        </w:tc>
        <w:tc>
          <w:tcPr>
            <w:tcW w:w="640" w:type="dxa"/>
            <w:tcBorders>
              <w:top w:val="nil"/>
              <w:left w:val="nil"/>
              <w:bottom w:val="nil"/>
              <w:right w:val="nil"/>
            </w:tcBorders>
            <w:shd w:val="clear" w:color="000000" w:fill="006991"/>
            <w:vAlign w:val="center"/>
            <w:hideMark/>
          </w:tcPr>
          <w:p w14:paraId="3CFC04D0"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3B2">
              <w:rPr>
                <w:rFonts w:ascii="Open Sans Semibold" w:eastAsia="Times New Roman" w:hAnsi="Open Sans Semibold" w:cs="Open Sans Semibold"/>
                <w:color w:val="FFFFFF"/>
                <w:sz w:val="16"/>
                <w:szCs w:val="16"/>
                <w:lang w:eastAsia="en-AU"/>
              </w:rPr>
              <w:t>Vic</w:t>
            </w:r>
          </w:p>
        </w:tc>
        <w:tc>
          <w:tcPr>
            <w:tcW w:w="680" w:type="dxa"/>
            <w:tcBorders>
              <w:top w:val="nil"/>
              <w:left w:val="nil"/>
              <w:bottom w:val="nil"/>
              <w:right w:val="nil"/>
            </w:tcBorders>
            <w:shd w:val="clear" w:color="000000" w:fill="006991"/>
            <w:vAlign w:val="center"/>
            <w:hideMark/>
          </w:tcPr>
          <w:p w14:paraId="2B51749C"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3B2">
              <w:rPr>
                <w:rFonts w:ascii="Open Sans Semibold" w:eastAsia="Times New Roman" w:hAnsi="Open Sans Semibold" w:cs="Open Sans Semibold"/>
                <w:color w:val="FFFFFF"/>
                <w:sz w:val="16"/>
                <w:szCs w:val="16"/>
                <w:lang w:eastAsia="en-AU"/>
              </w:rPr>
              <w:t>Qld</w:t>
            </w:r>
          </w:p>
        </w:tc>
        <w:tc>
          <w:tcPr>
            <w:tcW w:w="640" w:type="dxa"/>
            <w:tcBorders>
              <w:top w:val="nil"/>
              <w:left w:val="nil"/>
              <w:bottom w:val="nil"/>
              <w:right w:val="nil"/>
            </w:tcBorders>
            <w:shd w:val="clear" w:color="000000" w:fill="006991"/>
            <w:vAlign w:val="center"/>
            <w:hideMark/>
          </w:tcPr>
          <w:p w14:paraId="6EF33E5D"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3B2">
              <w:rPr>
                <w:rFonts w:ascii="Open Sans Semibold" w:eastAsia="Times New Roman" w:hAnsi="Open Sans Semibold" w:cs="Open Sans Semibold"/>
                <w:color w:val="FFFFFF"/>
                <w:sz w:val="16"/>
                <w:szCs w:val="16"/>
                <w:lang w:eastAsia="en-AU"/>
              </w:rPr>
              <w:t>WA</w:t>
            </w:r>
          </w:p>
        </w:tc>
        <w:tc>
          <w:tcPr>
            <w:tcW w:w="640" w:type="dxa"/>
            <w:tcBorders>
              <w:top w:val="nil"/>
              <w:left w:val="nil"/>
              <w:bottom w:val="nil"/>
              <w:right w:val="nil"/>
            </w:tcBorders>
            <w:shd w:val="clear" w:color="000000" w:fill="006991"/>
            <w:vAlign w:val="center"/>
            <w:hideMark/>
          </w:tcPr>
          <w:p w14:paraId="04AC70BF"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3B2">
              <w:rPr>
                <w:rFonts w:ascii="Open Sans Semibold" w:eastAsia="Times New Roman" w:hAnsi="Open Sans Semibold" w:cs="Open Sans Semibold"/>
                <w:color w:val="FFFFFF"/>
                <w:sz w:val="16"/>
                <w:szCs w:val="16"/>
                <w:lang w:eastAsia="en-AU"/>
              </w:rPr>
              <w:t>SA</w:t>
            </w:r>
          </w:p>
        </w:tc>
        <w:tc>
          <w:tcPr>
            <w:tcW w:w="640" w:type="dxa"/>
            <w:tcBorders>
              <w:top w:val="nil"/>
              <w:left w:val="nil"/>
              <w:bottom w:val="nil"/>
              <w:right w:val="nil"/>
            </w:tcBorders>
            <w:shd w:val="clear" w:color="000000" w:fill="006991"/>
            <w:vAlign w:val="center"/>
            <w:hideMark/>
          </w:tcPr>
          <w:p w14:paraId="666E05B5"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3B2">
              <w:rPr>
                <w:rFonts w:ascii="Open Sans Semibold" w:eastAsia="Times New Roman" w:hAnsi="Open Sans Semibold" w:cs="Open Sans Semibold"/>
                <w:color w:val="FFFFFF"/>
                <w:sz w:val="16"/>
                <w:szCs w:val="16"/>
                <w:lang w:eastAsia="en-AU"/>
              </w:rPr>
              <w:t>Tas</w:t>
            </w:r>
          </w:p>
        </w:tc>
        <w:tc>
          <w:tcPr>
            <w:tcW w:w="640" w:type="dxa"/>
            <w:tcBorders>
              <w:top w:val="nil"/>
              <w:left w:val="nil"/>
              <w:bottom w:val="nil"/>
              <w:right w:val="nil"/>
            </w:tcBorders>
            <w:shd w:val="clear" w:color="000000" w:fill="006991"/>
            <w:vAlign w:val="center"/>
            <w:hideMark/>
          </w:tcPr>
          <w:p w14:paraId="25DDE50B"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3B2">
              <w:rPr>
                <w:rFonts w:ascii="Open Sans Semibold" w:eastAsia="Times New Roman" w:hAnsi="Open Sans Semibold" w:cs="Open Sans Semibold"/>
                <w:color w:val="FFFFFF"/>
                <w:sz w:val="16"/>
                <w:szCs w:val="16"/>
                <w:lang w:eastAsia="en-AU"/>
              </w:rPr>
              <w:t>ACT</w:t>
            </w:r>
          </w:p>
        </w:tc>
        <w:tc>
          <w:tcPr>
            <w:tcW w:w="640" w:type="dxa"/>
            <w:tcBorders>
              <w:top w:val="nil"/>
              <w:left w:val="nil"/>
              <w:bottom w:val="nil"/>
              <w:right w:val="nil"/>
            </w:tcBorders>
            <w:shd w:val="clear" w:color="000000" w:fill="006991"/>
            <w:vAlign w:val="center"/>
            <w:hideMark/>
          </w:tcPr>
          <w:p w14:paraId="4CA8AD3D"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3B2">
              <w:rPr>
                <w:rFonts w:ascii="Open Sans Semibold" w:eastAsia="Times New Roman" w:hAnsi="Open Sans Semibold" w:cs="Open Sans Semibold"/>
                <w:color w:val="FFFFFF"/>
                <w:sz w:val="16"/>
                <w:szCs w:val="16"/>
                <w:lang w:eastAsia="en-AU"/>
              </w:rPr>
              <w:t>NT</w:t>
            </w:r>
          </w:p>
        </w:tc>
        <w:tc>
          <w:tcPr>
            <w:tcW w:w="880" w:type="dxa"/>
            <w:tcBorders>
              <w:top w:val="nil"/>
              <w:left w:val="nil"/>
              <w:bottom w:val="nil"/>
              <w:right w:val="nil"/>
            </w:tcBorders>
            <w:shd w:val="clear" w:color="000000" w:fill="006991"/>
            <w:vAlign w:val="center"/>
            <w:hideMark/>
          </w:tcPr>
          <w:p w14:paraId="7E0AD99E"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D23B2">
              <w:rPr>
                <w:rFonts w:ascii="Open Sans Semibold" w:eastAsia="Times New Roman" w:hAnsi="Open Sans Semibold" w:cs="Open Sans Semibold"/>
                <w:color w:val="FFFFFF"/>
                <w:sz w:val="16"/>
                <w:szCs w:val="16"/>
                <w:lang w:eastAsia="en-AU"/>
              </w:rPr>
              <w:t>Total Effect</w:t>
            </w:r>
          </w:p>
        </w:tc>
      </w:tr>
      <w:tr w:rsidR="00CD23B2" w:rsidRPr="00CD23B2" w14:paraId="4BC53329" w14:textId="77777777" w:rsidTr="00CD23B2">
        <w:trPr>
          <w:trHeight w:val="255"/>
        </w:trPr>
        <w:tc>
          <w:tcPr>
            <w:tcW w:w="2780" w:type="dxa"/>
            <w:tcBorders>
              <w:top w:val="single" w:sz="4" w:space="0" w:color="ADD6EA"/>
              <w:left w:val="nil"/>
              <w:bottom w:val="nil"/>
              <w:right w:val="nil"/>
            </w:tcBorders>
            <w:shd w:val="clear" w:color="000000" w:fill="B6D5E4"/>
            <w:vAlign w:val="center"/>
            <w:hideMark/>
          </w:tcPr>
          <w:p w14:paraId="49B2D61F" w14:textId="77777777" w:rsidR="00CD23B2" w:rsidRPr="00CD23B2" w:rsidRDefault="00CD23B2" w:rsidP="00CD23B2">
            <w:pPr>
              <w:tabs>
                <w:tab w:val="clear" w:pos="567"/>
              </w:tabs>
              <w:spacing w:before="0" w:line="240" w:lineRule="auto"/>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 </w:t>
            </w:r>
          </w:p>
        </w:tc>
        <w:tc>
          <w:tcPr>
            <w:tcW w:w="680" w:type="dxa"/>
            <w:tcBorders>
              <w:top w:val="single" w:sz="4" w:space="0" w:color="ADD6EA"/>
              <w:left w:val="nil"/>
              <w:bottom w:val="nil"/>
              <w:right w:val="nil"/>
            </w:tcBorders>
            <w:shd w:val="clear" w:color="000000" w:fill="B6D5E4"/>
            <w:noWrap/>
            <w:vAlign w:val="center"/>
            <w:hideMark/>
          </w:tcPr>
          <w:p w14:paraId="6CCD4591"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center"/>
            <w:hideMark/>
          </w:tcPr>
          <w:p w14:paraId="19F2BCF8"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10484226"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center"/>
            <w:hideMark/>
          </w:tcPr>
          <w:p w14:paraId="3F1E6D4B"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center"/>
            <w:hideMark/>
          </w:tcPr>
          <w:p w14:paraId="0D53A6A6"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center"/>
            <w:hideMark/>
          </w:tcPr>
          <w:p w14:paraId="5D2CDDF5"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center"/>
            <w:hideMark/>
          </w:tcPr>
          <w:p w14:paraId="1D4BEDED"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$m</w:t>
            </w:r>
          </w:p>
        </w:tc>
        <w:tc>
          <w:tcPr>
            <w:tcW w:w="640" w:type="dxa"/>
            <w:tcBorders>
              <w:top w:val="single" w:sz="4" w:space="0" w:color="ADD6EA"/>
              <w:left w:val="nil"/>
              <w:bottom w:val="nil"/>
              <w:right w:val="nil"/>
            </w:tcBorders>
            <w:shd w:val="clear" w:color="000000" w:fill="B6D5E4"/>
            <w:noWrap/>
            <w:vAlign w:val="center"/>
            <w:hideMark/>
          </w:tcPr>
          <w:p w14:paraId="04F3627C"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$m</w:t>
            </w:r>
          </w:p>
        </w:tc>
        <w:tc>
          <w:tcPr>
            <w:tcW w:w="880" w:type="dxa"/>
            <w:tcBorders>
              <w:top w:val="single" w:sz="4" w:space="0" w:color="ADD6EA"/>
              <w:left w:val="nil"/>
              <w:bottom w:val="nil"/>
              <w:right w:val="nil"/>
            </w:tcBorders>
            <w:shd w:val="clear" w:color="000000" w:fill="B6D5E4"/>
            <w:noWrap/>
            <w:vAlign w:val="center"/>
            <w:hideMark/>
          </w:tcPr>
          <w:p w14:paraId="0815EA2B"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$m</w:t>
            </w:r>
          </w:p>
        </w:tc>
      </w:tr>
      <w:tr w:rsidR="00CD23B2" w:rsidRPr="00CD23B2" w14:paraId="4F29290B" w14:textId="77777777" w:rsidTr="00CD23B2">
        <w:trPr>
          <w:trHeight w:val="315"/>
        </w:trPr>
        <w:tc>
          <w:tcPr>
            <w:tcW w:w="2780" w:type="dxa"/>
            <w:tcBorders>
              <w:top w:val="single" w:sz="4" w:space="0" w:color="ADD6EA"/>
              <w:left w:val="nil"/>
              <w:bottom w:val="nil"/>
              <w:right w:val="nil"/>
            </w:tcBorders>
            <w:shd w:val="clear" w:color="auto" w:fill="auto"/>
            <w:vAlign w:val="center"/>
            <w:hideMark/>
          </w:tcPr>
          <w:p w14:paraId="674886EE" w14:textId="77777777" w:rsidR="00CD23B2" w:rsidRPr="00CD23B2" w:rsidRDefault="00CD23B2" w:rsidP="00CD23B2">
            <w:pPr>
              <w:tabs>
                <w:tab w:val="clear" w:pos="567"/>
              </w:tabs>
              <w:spacing w:before="0" w:line="240" w:lineRule="auto"/>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Data revisions</w:t>
            </w:r>
          </w:p>
        </w:tc>
        <w:tc>
          <w:tcPr>
            <w:tcW w:w="680" w:type="dxa"/>
            <w:tcBorders>
              <w:top w:val="single" w:sz="4" w:space="0" w:color="ADD6EA"/>
              <w:left w:val="nil"/>
              <w:bottom w:val="nil"/>
              <w:right w:val="nil"/>
            </w:tcBorders>
            <w:shd w:val="clear" w:color="auto" w:fill="auto"/>
            <w:noWrap/>
            <w:vAlign w:val="center"/>
            <w:hideMark/>
          </w:tcPr>
          <w:p w14:paraId="646D4CE6"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-527</w:t>
            </w:r>
          </w:p>
        </w:tc>
        <w:tc>
          <w:tcPr>
            <w:tcW w:w="640" w:type="dxa"/>
            <w:tcBorders>
              <w:top w:val="single" w:sz="4" w:space="0" w:color="ADD6EA"/>
              <w:left w:val="nil"/>
              <w:bottom w:val="nil"/>
              <w:right w:val="nil"/>
            </w:tcBorders>
            <w:shd w:val="clear" w:color="auto" w:fill="auto"/>
            <w:noWrap/>
            <w:vAlign w:val="center"/>
            <w:hideMark/>
          </w:tcPr>
          <w:p w14:paraId="502BF7BC"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403</w:t>
            </w:r>
          </w:p>
        </w:tc>
        <w:tc>
          <w:tcPr>
            <w:tcW w:w="680" w:type="dxa"/>
            <w:tcBorders>
              <w:top w:val="single" w:sz="4" w:space="0" w:color="ADD6EA"/>
              <w:left w:val="nil"/>
              <w:bottom w:val="nil"/>
              <w:right w:val="nil"/>
            </w:tcBorders>
            <w:shd w:val="clear" w:color="auto" w:fill="auto"/>
            <w:noWrap/>
            <w:vAlign w:val="center"/>
            <w:hideMark/>
          </w:tcPr>
          <w:p w14:paraId="41CBBB84"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146</w:t>
            </w:r>
          </w:p>
        </w:tc>
        <w:tc>
          <w:tcPr>
            <w:tcW w:w="640" w:type="dxa"/>
            <w:tcBorders>
              <w:top w:val="single" w:sz="4" w:space="0" w:color="ADD6EA"/>
              <w:left w:val="nil"/>
              <w:bottom w:val="nil"/>
              <w:right w:val="nil"/>
            </w:tcBorders>
            <w:shd w:val="clear" w:color="auto" w:fill="auto"/>
            <w:noWrap/>
            <w:vAlign w:val="center"/>
            <w:hideMark/>
          </w:tcPr>
          <w:p w14:paraId="3FE59716"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-38</w:t>
            </w:r>
          </w:p>
        </w:tc>
        <w:tc>
          <w:tcPr>
            <w:tcW w:w="640" w:type="dxa"/>
            <w:tcBorders>
              <w:top w:val="single" w:sz="4" w:space="0" w:color="ADD6EA"/>
              <w:left w:val="nil"/>
              <w:bottom w:val="nil"/>
              <w:right w:val="nil"/>
            </w:tcBorders>
            <w:shd w:val="clear" w:color="auto" w:fill="auto"/>
            <w:noWrap/>
            <w:vAlign w:val="center"/>
            <w:hideMark/>
          </w:tcPr>
          <w:p w14:paraId="65E2028D"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-217</w:t>
            </w:r>
          </w:p>
        </w:tc>
        <w:tc>
          <w:tcPr>
            <w:tcW w:w="640" w:type="dxa"/>
            <w:tcBorders>
              <w:top w:val="single" w:sz="4" w:space="0" w:color="ADD6EA"/>
              <w:left w:val="nil"/>
              <w:bottom w:val="nil"/>
              <w:right w:val="nil"/>
            </w:tcBorders>
            <w:shd w:val="clear" w:color="auto" w:fill="auto"/>
            <w:noWrap/>
            <w:vAlign w:val="center"/>
            <w:hideMark/>
          </w:tcPr>
          <w:p w14:paraId="2A88DA14"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94</w:t>
            </w:r>
          </w:p>
        </w:tc>
        <w:tc>
          <w:tcPr>
            <w:tcW w:w="640" w:type="dxa"/>
            <w:tcBorders>
              <w:top w:val="single" w:sz="4" w:space="0" w:color="ADD6EA"/>
              <w:left w:val="nil"/>
              <w:bottom w:val="nil"/>
              <w:right w:val="nil"/>
            </w:tcBorders>
            <w:shd w:val="clear" w:color="auto" w:fill="auto"/>
            <w:noWrap/>
            <w:vAlign w:val="center"/>
            <w:hideMark/>
          </w:tcPr>
          <w:p w14:paraId="5F22F899"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54</w:t>
            </w:r>
          </w:p>
        </w:tc>
        <w:tc>
          <w:tcPr>
            <w:tcW w:w="640" w:type="dxa"/>
            <w:tcBorders>
              <w:top w:val="single" w:sz="4" w:space="0" w:color="ADD6EA"/>
              <w:left w:val="nil"/>
              <w:bottom w:val="nil"/>
              <w:right w:val="nil"/>
            </w:tcBorders>
            <w:shd w:val="clear" w:color="auto" w:fill="auto"/>
            <w:noWrap/>
            <w:vAlign w:val="center"/>
            <w:hideMark/>
          </w:tcPr>
          <w:p w14:paraId="5BA7DC6C"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85</w:t>
            </w:r>
          </w:p>
        </w:tc>
        <w:tc>
          <w:tcPr>
            <w:tcW w:w="880" w:type="dxa"/>
            <w:tcBorders>
              <w:top w:val="single" w:sz="4" w:space="0" w:color="ADD6EA"/>
              <w:left w:val="nil"/>
              <w:bottom w:val="nil"/>
              <w:right w:val="nil"/>
            </w:tcBorders>
            <w:shd w:val="clear" w:color="auto" w:fill="auto"/>
            <w:vAlign w:val="center"/>
            <w:hideMark/>
          </w:tcPr>
          <w:p w14:paraId="51C00914"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782</w:t>
            </w:r>
          </w:p>
        </w:tc>
      </w:tr>
      <w:tr w:rsidR="00CD23B2" w:rsidRPr="00CD23B2" w14:paraId="69D60796" w14:textId="77777777" w:rsidTr="00CD23B2">
        <w:trPr>
          <w:trHeight w:val="315"/>
        </w:trPr>
        <w:tc>
          <w:tcPr>
            <w:tcW w:w="2780" w:type="dxa"/>
            <w:tcBorders>
              <w:top w:val="single" w:sz="4" w:space="0" w:color="ADD6EA"/>
              <w:left w:val="nil"/>
              <w:bottom w:val="nil"/>
              <w:right w:val="nil"/>
            </w:tcBorders>
            <w:shd w:val="clear" w:color="auto" w:fill="auto"/>
            <w:vAlign w:val="center"/>
            <w:hideMark/>
          </w:tcPr>
          <w:p w14:paraId="79187098" w14:textId="77777777" w:rsidR="00CD23B2" w:rsidRPr="00CD23B2" w:rsidRDefault="00CD23B2" w:rsidP="00CD23B2">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Census revisions</w:t>
            </w:r>
          </w:p>
        </w:tc>
        <w:tc>
          <w:tcPr>
            <w:tcW w:w="680" w:type="dxa"/>
            <w:tcBorders>
              <w:top w:val="single" w:sz="4" w:space="0" w:color="ADD6EA"/>
              <w:left w:val="nil"/>
              <w:bottom w:val="nil"/>
              <w:right w:val="nil"/>
            </w:tcBorders>
            <w:shd w:val="clear" w:color="auto" w:fill="auto"/>
            <w:noWrap/>
            <w:vAlign w:val="center"/>
            <w:hideMark/>
          </w:tcPr>
          <w:p w14:paraId="39A4831C"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-544</w:t>
            </w:r>
          </w:p>
        </w:tc>
        <w:tc>
          <w:tcPr>
            <w:tcW w:w="640" w:type="dxa"/>
            <w:tcBorders>
              <w:top w:val="single" w:sz="4" w:space="0" w:color="ADD6EA"/>
              <w:left w:val="nil"/>
              <w:bottom w:val="nil"/>
              <w:right w:val="nil"/>
            </w:tcBorders>
            <w:shd w:val="clear" w:color="auto" w:fill="auto"/>
            <w:noWrap/>
            <w:vAlign w:val="center"/>
            <w:hideMark/>
          </w:tcPr>
          <w:p w14:paraId="7746A7CE"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835</w:t>
            </w:r>
          </w:p>
        </w:tc>
        <w:tc>
          <w:tcPr>
            <w:tcW w:w="680" w:type="dxa"/>
            <w:tcBorders>
              <w:top w:val="single" w:sz="4" w:space="0" w:color="ADD6EA"/>
              <w:left w:val="nil"/>
              <w:bottom w:val="nil"/>
              <w:right w:val="nil"/>
            </w:tcBorders>
            <w:shd w:val="clear" w:color="auto" w:fill="auto"/>
            <w:noWrap/>
            <w:vAlign w:val="center"/>
            <w:hideMark/>
          </w:tcPr>
          <w:p w14:paraId="6CA0737C"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87</w:t>
            </w:r>
          </w:p>
        </w:tc>
        <w:tc>
          <w:tcPr>
            <w:tcW w:w="640" w:type="dxa"/>
            <w:tcBorders>
              <w:top w:val="single" w:sz="4" w:space="0" w:color="ADD6EA"/>
              <w:left w:val="nil"/>
              <w:bottom w:val="nil"/>
              <w:right w:val="nil"/>
            </w:tcBorders>
            <w:shd w:val="clear" w:color="auto" w:fill="auto"/>
            <w:noWrap/>
            <w:vAlign w:val="center"/>
            <w:hideMark/>
          </w:tcPr>
          <w:p w14:paraId="627B3A61"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-250</w:t>
            </w:r>
          </w:p>
        </w:tc>
        <w:tc>
          <w:tcPr>
            <w:tcW w:w="640" w:type="dxa"/>
            <w:tcBorders>
              <w:top w:val="single" w:sz="4" w:space="0" w:color="ADD6EA"/>
              <w:left w:val="nil"/>
              <w:bottom w:val="nil"/>
              <w:right w:val="nil"/>
            </w:tcBorders>
            <w:shd w:val="clear" w:color="auto" w:fill="auto"/>
            <w:noWrap/>
            <w:vAlign w:val="center"/>
            <w:hideMark/>
          </w:tcPr>
          <w:p w14:paraId="2C7B8F74"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-286</w:t>
            </w:r>
          </w:p>
        </w:tc>
        <w:tc>
          <w:tcPr>
            <w:tcW w:w="640" w:type="dxa"/>
            <w:tcBorders>
              <w:top w:val="single" w:sz="4" w:space="0" w:color="ADD6EA"/>
              <w:left w:val="nil"/>
              <w:bottom w:val="nil"/>
              <w:right w:val="nil"/>
            </w:tcBorders>
            <w:shd w:val="clear" w:color="auto" w:fill="auto"/>
            <w:noWrap/>
            <w:vAlign w:val="center"/>
            <w:hideMark/>
          </w:tcPr>
          <w:p w14:paraId="1B3B246B"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63</w:t>
            </w:r>
          </w:p>
        </w:tc>
        <w:tc>
          <w:tcPr>
            <w:tcW w:w="640" w:type="dxa"/>
            <w:tcBorders>
              <w:top w:val="single" w:sz="4" w:space="0" w:color="ADD6EA"/>
              <w:left w:val="nil"/>
              <w:bottom w:val="nil"/>
              <w:right w:val="nil"/>
            </w:tcBorders>
            <w:shd w:val="clear" w:color="auto" w:fill="auto"/>
            <w:noWrap/>
            <w:vAlign w:val="center"/>
            <w:hideMark/>
          </w:tcPr>
          <w:p w14:paraId="46F0D717"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47</w:t>
            </w:r>
          </w:p>
        </w:tc>
        <w:tc>
          <w:tcPr>
            <w:tcW w:w="640" w:type="dxa"/>
            <w:tcBorders>
              <w:top w:val="single" w:sz="4" w:space="0" w:color="ADD6EA"/>
              <w:left w:val="nil"/>
              <w:bottom w:val="nil"/>
              <w:right w:val="nil"/>
            </w:tcBorders>
            <w:shd w:val="clear" w:color="auto" w:fill="auto"/>
            <w:noWrap/>
            <w:vAlign w:val="center"/>
            <w:hideMark/>
          </w:tcPr>
          <w:p w14:paraId="20786C5E"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50</w:t>
            </w:r>
          </w:p>
        </w:tc>
        <w:tc>
          <w:tcPr>
            <w:tcW w:w="880" w:type="dxa"/>
            <w:tcBorders>
              <w:top w:val="single" w:sz="4" w:space="0" w:color="ADD6EA"/>
              <w:left w:val="nil"/>
              <w:bottom w:val="nil"/>
              <w:right w:val="nil"/>
            </w:tcBorders>
            <w:shd w:val="clear" w:color="auto" w:fill="auto"/>
            <w:vAlign w:val="center"/>
            <w:hideMark/>
          </w:tcPr>
          <w:p w14:paraId="46E211EA"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1,081</w:t>
            </w:r>
          </w:p>
        </w:tc>
      </w:tr>
      <w:tr w:rsidR="00CD23B2" w:rsidRPr="00CD23B2" w14:paraId="1549D11E" w14:textId="77777777" w:rsidTr="00CD23B2">
        <w:trPr>
          <w:trHeight w:val="315"/>
        </w:trPr>
        <w:tc>
          <w:tcPr>
            <w:tcW w:w="2780" w:type="dxa"/>
            <w:tcBorders>
              <w:top w:val="single" w:sz="4" w:space="0" w:color="ADD6EA"/>
              <w:left w:val="nil"/>
              <w:bottom w:val="nil"/>
              <w:right w:val="nil"/>
            </w:tcBorders>
            <w:shd w:val="clear" w:color="auto" w:fill="auto"/>
            <w:vAlign w:val="center"/>
            <w:hideMark/>
          </w:tcPr>
          <w:p w14:paraId="52EDED91" w14:textId="37F26410" w:rsidR="00CD23B2" w:rsidRPr="00CD23B2" w:rsidRDefault="00CD23B2" w:rsidP="00CD23B2">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Other revisions</w:t>
            </w:r>
            <w:r w:rsidR="00A339F2">
              <w:rPr>
                <w:rFonts w:ascii="Open Sans Light" w:eastAsia="Times New Roman" w:hAnsi="Open Sans Light" w:cs="Open Sans Light"/>
                <w:color w:val="000000"/>
                <w:sz w:val="16"/>
                <w:szCs w:val="16"/>
                <w:lang w:eastAsia="en-AU"/>
              </w:rPr>
              <w:t xml:space="preserve"> (a)</w:t>
            </w:r>
          </w:p>
        </w:tc>
        <w:tc>
          <w:tcPr>
            <w:tcW w:w="680" w:type="dxa"/>
            <w:tcBorders>
              <w:top w:val="single" w:sz="4" w:space="0" w:color="ADD6EA"/>
              <w:left w:val="nil"/>
              <w:bottom w:val="nil"/>
              <w:right w:val="nil"/>
            </w:tcBorders>
            <w:shd w:val="clear" w:color="auto" w:fill="auto"/>
            <w:noWrap/>
            <w:vAlign w:val="center"/>
            <w:hideMark/>
          </w:tcPr>
          <w:p w14:paraId="0CBFB8FB"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17</w:t>
            </w:r>
          </w:p>
        </w:tc>
        <w:tc>
          <w:tcPr>
            <w:tcW w:w="640" w:type="dxa"/>
            <w:tcBorders>
              <w:top w:val="single" w:sz="4" w:space="0" w:color="ADD6EA"/>
              <w:left w:val="nil"/>
              <w:bottom w:val="nil"/>
              <w:right w:val="nil"/>
            </w:tcBorders>
            <w:shd w:val="clear" w:color="auto" w:fill="auto"/>
            <w:noWrap/>
            <w:vAlign w:val="center"/>
            <w:hideMark/>
          </w:tcPr>
          <w:p w14:paraId="32283ED7"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-432</w:t>
            </w:r>
          </w:p>
        </w:tc>
        <w:tc>
          <w:tcPr>
            <w:tcW w:w="680" w:type="dxa"/>
            <w:tcBorders>
              <w:top w:val="single" w:sz="4" w:space="0" w:color="ADD6EA"/>
              <w:left w:val="nil"/>
              <w:bottom w:val="nil"/>
              <w:right w:val="nil"/>
            </w:tcBorders>
            <w:shd w:val="clear" w:color="auto" w:fill="auto"/>
            <w:noWrap/>
            <w:vAlign w:val="center"/>
            <w:hideMark/>
          </w:tcPr>
          <w:p w14:paraId="4CFF86C9"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59</w:t>
            </w:r>
          </w:p>
        </w:tc>
        <w:tc>
          <w:tcPr>
            <w:tcW w:w="640" w:type="dxa"/>
            <w:tcBorders>
              <w:top w:val="single" w:sz="4" w:space="0" w:color="ADD6EA"/>
              <w:left w:val="nil"/>
              <w:bottom w:val="nil"/>
              <w:right w:val="nil"/>
            </w:tcBorders>
            <w:shd w:val="clear" w:color="auto" w:fill="auto"/>
            <w:noWrap/>
            <w:vAlign w:val="center"/>
            <w:hideMark/>
          </w:tcPr>
          <w:p w14:paraId="01E2AE35"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212</w:t>
            </w:r>
          </w:p>
        </w:tc>
        <w:tc>
          <w:tcPr>
            <w:tcW w:w="640" w:type="dxa"/>
            <w:tcBorders>
              <w:top w:val="single" w:sz="4" w:space="0" w:color="ADD6EA"/>
              <w:left w:val="nil"/>
              <w:bottom w:val="nil"/>
              <w:right w:val="nil"/>
            </w:tcBorders>
            <w:shd w:val="clear" w:color="auto" w:fill="auto"/>
            <w:noWrap/>
            <w:vAlign w:val="center"/>
            <w:hideMark/>
          </w:tcPr>
          <w:p w14:paraId="7041CAEB"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69</w:t>
            </w:r>
          </w:p>
        </w:tc>
        <w:tc>
          <w:tcPr>
            <w:tcW w:w="640" w:type="dxa"/>
            <w:tcBorders>
              <w:top w:val="single" w:sz="4" w:space="0" w:color="ADD6EA"/>
              <w:left w:val="nil"/>
              <w:bottom w:val="nil"/>
              <w:right w:val="nil"/>
            </w:tcBorders>
            <w:shd w:val="clear" w:color="auto" w:fill="auto"/>
            <w:noWrap/>
            <w:vAlign w:val="center"/>
            <w:hideMark/>
          </w:tcPr>
          <w:p w14:paraId="271284E6"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31</w:t>
            </w:r>
          </w:p>
        </w:tc>
        <w:tc>
          <w:tcPr>
            <w:tcW w:w="640" w:type="dxa"/>
            <w:tcBorders>
              <w:top w:val="single" w:sz="4" w:space="0" w:color="ADD6EA"/>
              <w:left w:val="nil"/>
              <w:bottom w:val="nil"/>
              <w:right w:val="nil"/>
            </w:tcBorders>
            <w:shd w:val="clear" w:color="auto" w:fill="auto"/>
            <w:noWrap/>
            <w:vAlign w:val="center"/>
            <w:hideMark/>
          </w:tcPr>
          <w:p w14:paraId="0C8128C6"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7</w:t>
            </w:r>
          </w:p>
        </w:tc>
        <w:tc>
          <w:tcPr>
            <w:tcW w:w="640" w:type="dxa"/>
            <w:tcBorders>
              <w:top w:val="single" w:sz="4" w:space="0" w:color="ADD6EA"/>
              <w:left w:val="nil"/>
              <w:bottom w:val="nil"/>
              <w:right w:val="nil"/>
            </w:tcBorders>
            <w:shd w:val="clear" w:color="auto" w:fill="auto"/>
            <w:noWrap/>
            <w:vAlign w:val="center"/>
            <w:hideMark/>
          </w:tcPr>
          <w:p w14:paraId="5205F6C4"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36</w:t>
            </w:r>
          </w:p>
        </w:tc>
        <w:tc>
          <w:tcPr>
            <w:tcW w:w="880" w:type="dxa"/>
            <w:tcBorders>
              <w:top w:val="single" w:sz="4" w:space="0" w:color="ADD6EA"/>
              <w:left w:val="nil"/>
              <w:bottom w:val="nil"/>
              <w:right w:val="nil"/>
            </w:tcBorders>
            <w:shd w:val="clear" w:color="auto" w:fill="auto"/>
            <w:vAlign w:val="center"/>
            <w:hideMark/>
          </w:tcPr>
          <w:p w14:paraId="49D897F1"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432</w:t>
            </w:r>
          </w:p>
        </w:tc>
      </w:tr>
      <w:tr w:rsidR="00CD23B2" w:rsidRPr="00CD23B2" w14:paraId="676EC168" w14:textId="77777777" w:rsidTr="00CD23B2">
        <w:trPr>
          <w:trHeight w:val="315"/>
        </w:trPr>
        <w:tc>
          <w:tcPr>
            <w:tcW w:w="2780" w:type="dxa"/>
            <w:tcBorders>
              <w:top w:val="single" w:sz="4" w:space="0" w:color="ADD6EA"/>
              <w:left w:val="nil"/>
              <w:bottom w:val="nil"/>
              <w:right w:val="nil"/>
            </w:tcBorders>
            <w:shd w:val="clear" w:color="auto" w:fill="auto"/>
            <w:vAlign w:val="center"/>
            <w:hideMark/>
          </w:tcPr>
          <w:p w14:paraId="4BE83A33" w14:textId="0AAAD6E7" w:rsidR="00CD23B2" w:rsidRPr="00CD23B2" w:rsidRDefault="00CD23B2" w:rsidP="00CD23B2">
            <w:pPr>
              <w:tabs>
                <w:tab w:val="clear" w:pos="567"/>
              </w:tabs>
              <w:spacing w:before="0" w:line="240" w:lineRule="auto"/>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Changes in state circumstances (</w:t>
            </w:r>
            <w:r w:rsidR="00A339F2">
              <w:rPr>
                <w:rFonts w:ascii="Open Sans Light" w:eastAsia="Times New Roman" w:hAnsi="Open Sans Light" w:cs="Open Sans Light"/>
                <w:color w:val="000000"/>
                <w:sz w:val="16"/>
                <w:szCs w:val="16"/>
                <w:lang w:eastAsia="en-AU"/>
              </w:rPr>
              <w:t>b</w:t>
            </w:r>
            <w:r w:rsidRPr="00CD23B2">
              <w:rPr>
                <w:rFonts w:ascii="Open Sans Light" w:eastAsia="Times New Roman" w:hAnsi="Open Sans Light" w:cs="Open Sans Light"/>
                <w:color w:val="000000"/>
                <w:sz w:val="16"/>
                <w:szCs w:val="16"/>
                <w:lang w:eastAsia="en-AU"/>
              </w:rPr>
              <w:t>)</w:t>
            </w:r>
          </w:p>
        </w:tc>
        <w:tc>
          <w:tcPr>
            <w:tcW w:w="680" w:type="dxa"/>
            <w:tcBorders>
              <w:top w:val="single" w:sz="4" w:space="0" w:color="ADD6EA"/>
              <w:left w:val="nil"/>
              <w:bottom w:val="nil"/>
              <w:right w:val="nil"/>
            </w:tcBorders>
            <w:shd w:val="clear" w:color="auto" w:fill="auto"/>
            <w:vAlign w:val="center"/>
            <w:hideMark/>
          </w:tcPr>
          <w:p w14:paraId="270D8940"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-1,022</w:t>
            </w:r>
          </w:p>
        </w:tc>
        <w:tc>
          <w:tcPr>
            <w:tcW w:w="640" w:type="dxa"/>
            <w:tcBorders>
              <w:top w:val="single" w:sz="4" w:space="0" w:color="ADD6EA"/>
              <w:left w:val="nil"/>
              <w:bottom w:val="nil"/>
              <w:right w:val="nil"/>
            </w:tcBorders>
            <w:shd w:val="clear" w:color="auto" w:fill="auto"/>
            <w:vAlign w:val="center"/>
            <w:hideMark/>
          </w:tcPr>
          <w:p w14:paraId="4D57241B"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2,228</w:t>
            </w:r>
          </w:p>
        </w:tc>
        <w:tc>
          <w:tcPr>
            <w:tcW w:w="680" w:type="dxa"/>
            <w:tcBorders>
              <w:top w:val="single" w:sz="4" w:space="0" w:color="ADD6EA"/>
              <w:left w:val="nil"/>
              <w:bottom w:val="nil"/>
              <w:right w:val="nil"/>
            </w:tcBorders>
            <w:shd w:val="clear" w:color="auto" w:fill="auto"/>
            <w:vAlign w:val="center"/>
            <w:hideMark/>
          </w:tcPr>
          <w:p w14:paraId="23110111"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-1,586</w:t>
            </w:r>
          </w:p>
        </w:tc>
        <w:tc>
          <w:tcPr>
            <w:tcW w:w="640" w:type="dxa"/>
            <w:tcBorders>
              <w:top w:val="single" w:sz="4" w:space="0" w:color="ADD6EA"/>
              <w:left w:val="nil"/>
              <w:bottom w:val="nil"/>
              <w:right w:val="nil"/>
            </w:tcBorders>
            <w:shd w:val="clear" w:color="auto" w:fill="auto"/>
            <w:vAlign w:val="center"/>
            <w:hideMark/>
          </w:tcPr>
          <w:p w14:paraId="5E62BA2C"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215</w:t>
            </w:r>
          </w:p>
        </w:tc>
        <w:tc>
          <w:tcPr>
            <w:tcW w:w="640" w:type="dxa"/>
            <w:tcBorders>
              <w:top w:val="single" w:sz="4" w:space="0" w:color="ADD6EA"/>
              <w:left w:val="nil"/>
              <w:bottom w:val="nil"/>
              <w:right w:val="nil"/>
            </w:tcBorders>
            <w:shd w:val="clear" w:color="auto" w:fill="auto"/>
            <w:vAlign w:val="center"/>
            <w:hideMark/>
          </w:tcPr>
          <w:p w14:paraId="0C8D1164"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263</w:t>
            </w:r>
          </w:p>
        </w:tc>
        <w:tc>
          <w:tcPr>
            <w:tcW w:w="640" w:type="dxa"/>
            <w:tcBorders>
              <w:top w:val="single" w:sz="4" w:space="0" w:color="ADD6EA"/>
              <w:left w:val="nil"/>
              <w:bottom w:val="nil"/>
              <w:right w:val="nil"/>
            </w:tcBorders>
            <w:shd w:val="clear" w:color="auto" w:fill="auto"/>
            <w:vAlign w:val="center"/>
            <w:hideMark/>
          </w:tcPr>
          <w:p w14:paraId="1AE0CFEB"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-27</w:t>
            </w:r>
          </w:p>
        </w:tc>
        <w:tc>
          <w:tcPr>
            <w:tcW w:w="640" w:type="dxa"/>
            <w:tcBorders>
              <w:top w:val="single" w:sz="4" w:space="0" w:color="ADD6EA"/>
              <w:left w:val="nil"/>
              <w:bottom w:val="nil"/>
              <w:right w:val="nil"/>
            </w:tcBorders>
            <w:shd w:val="clear" w:color="auto" w:fill="auto"/>
            <w:vAlign w:val="center"/>
            <w:hideMark/>
          </w:tcPr>
          <w:p w14:paraId="3D9532C1"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-40</w:t>
            </w:r>
          </w:p>
        </w:tc>
        <w:tc>
          <w:tcPr>
            <w:tcW w:w="640" w:type="dxa"/>
            <w:tcBorders>
              <w:top w:val="single" w:sz="4" w:space="0" w:color="ADD6EA"/>
              <w:left w:val="nil"/>
              <w:bottom w:val="nil"/>
              <w:right w:val="nil"/>
            </w:tcBorders>
            <w:shd w:val="clear" w:color="auto" w:fill="auto"/>
            <w:vAlign w:val="center"/>
            <w:hideMark/>
          </w:tcPr>
          <w:p w14:paraId="1FC8DB6D"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-30</w:t>
            </w:r>
          </w:p>
        </w:tc>
        <w:tc>
          <w:tcPr>
            <w:tcW w:w="880" w:type="dxa"/>
            <w:tcBorders>
              <w:top w:val="single" w:sz="4" w:space="0" w:color="ADD6EA"/>
              <w:left w:val="nil"/>
              <w:bottom w:val="nil"/>
              <w:right w:val="nil"/>
            </w:tcBorders>
            <w:shd w:val="clear" w:color="auto" w:fill="auto"/>
            <w:vAlign w:val="center"/>
            <w:hideMark/>
          </w:tcPr>
          <w:p w14:paraId="779698BF" w14:textId="77777777" w:rsidR="00CD23B2" w:rsidRPr="00CD23B2" w:rsidRDefault="00CD23B2" w:rsidP="00CD23B2">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CD23B2">
              <w:rPr>
                <w:rFonts w:ascii="Open Sans Light" w:eastAsia="Times New Roman" w:hAnsi="Open Sans Light" w:cs="Open Sans Light"/>
                <w:color w:val="000000"/>
                <w:sz w:val="16"/>
                <w:szCs w:val="16"/>
                <w:lang w:eastAsia="en-AU"/>
              </w:rPr>
              <w:t>2,706</w:t>
            </w:r>
          </w:p>
        </w:tc>
      </w:tr>
      <w:tr w:rsidR="00CD23B2" w:rsidRPr="00CD23B2" w14:paraId="17081446" w14:textId="77777777" w:rsidTr="00CD23B2">
        <w:trPr>
          <w:trHeight w:val="315"/>
        </w:trPr>
        <w:tc>
          <w:tcPr>
            <w:tcW w:w="2780" w:type="dxa"/>
            <w:tcBorders>
              <w:top w:val="single" w:sz="4" w:space="0" w:color="ADD6EA"/>
              <w:left w:val="nil"/>
              <w:bottom w:val="single" w:sz="4" w:space="0" w:color="ADD6EA"/>
              <w:right w:val="nil"/>
            </w:tcBorders>
            <w:shd w:val="clear" w:color="000000" w:fill="D6E7F0"/>
            <w:vAlign w:val="center"/>
            <w:hideMark/>
          </w:tcPr>
          <w:p w14:paraId="1EFEB3E3" w14:textId="77777777" w:rsidR="00CD23B2" w:rsidRPr="00CD23B2" w:rsidRDefault="00CD23B2" w:rsidP="00CD23B2">
            <w:pPr>
              <w:tabs>
                <w:tab w:val="clear" w:pos="567"/>
              </w:tabs>
              <w:spacing w:before="0" w:line="240" w:lineRule="auto"/>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Total</w:t>
            </w:r>
          </w:p>
        </w:tc>
        <w:tc>
          <w:tcPr>
            <w:tcW w:w="680" w:type="dxa"/>
            <w:tcBorders>
              <w:top w:val="single" w:sz="4" w:space="0" w:color="ADD6EA"/>
              <w:left w:val="nil"/>
              <w:bottom w:val="single" w:sz="4" w:space="0" w:color="ADD6EA"/>
              <w:right w:val="nil"/>
            </w:tcBorders>
            <w:shd w:val="clear" w:color="000000" w:fill="D6E7F0"/>
            <w:noWrap/>
            <w:vAlign w:val="center"/>
            <w:hideMark/>
          </w:tcPr>
          <w:p w14:paraId="2C47BDAB"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-1,551</w:t>
            </w:r>
          </w:p>
        </w:tc>
        <w:tc>
          <w:tcPr>
            <w:tcW w:w="640" w:type="dxa"/>
            <w:tcBorders>
              <w:top w:val="single" w:sz="4" w:space="0" w:color="ADD6EA"/>
              <w:left w:val="nil"/>
              <w:bottom w:val="single" w:sz="4" w:space="0" w:color="ADD6EA"/>
              <w:right w:val="nil"/>
            </w:tcBorders>
            <w:shd w:val="clear" w:color="000000" w:fill="D6E7F0"/>
            <w:noWrap/>
            <w:vAlign w:val="center"/>
            <w:hideMark/>
          </w:tcPr>
          <w:p w14:paraId="5744176C"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2,633</w:t>
            </w:r>
          </w:p>
        </w:tc>
        <w:tc>
          <w:tcPr>
            <w:tcW w:w="680" w:type="dxa"/>
            <w:tcBorders>
              <w:top w:val="single" w:sz="4" w:space="0" w:color="ADD6EA"/>
              <w:left w:val="nil"/>
              <w:bottom w:val="single" w:sz="4" w:space="0" w:color="ADD6EA"/>
              <w:right w:val="nil"/>
            </w:tcBorders>
            <w:shd w:val="clear" w:color="000000" w:fill="D6E7F0"/>
            <w:noWrap/>
            <w:vAlign w:val="center"/>
            <w:hideMark/>
          </w:tcPr>
          <w:p w14:paraId="6A435CF4"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-1,442</w:t>
            </w:r>
          </w:p>
        </w:tc>
        <w:tc>
          <w:tcPr>
            <w:tcW w:w="640" w:type="dxa"/>
            <w:tcBorders>
              <w:top w:val="single" w:sz="4" w:space="0" w:color="ADD6EA"/>
              <w:left w:val="nil"/>
              <w:bottom w:val="single" w:sz="4" w:space="0" w:color="ADD6EA"/>
              <w:right w:val="nil"/>
            </w:tcBorders>
            <w:shd w:val="clear" w:color="000000" w:fill="D6E7F0"/>
            <w:noWrap/>
            <w:vAlign w:val="center"/>
            <w:hideMark/>
          </w:tcPr>
          <w:p w14:paraId="3551EADC"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178</w:t>
            </w:r>
          </w:p>
        </w:tc>
        <w:tc>
          <w:tcPr>
            <w:tcW w:w="640" w:type="dxa"/>
            <w:tcBorders>
              <w:top w:val="single" w:sz="4" w:space="0" w:color="ADD6EA"/>
              <w:left w:val="nil"/>
              <w:bottom w:val="single" w:sz="4" w:space="0" w:color="ADD6EA"/>
              <w:right w:val="nil"/>
            </w:tcBorders>
            <w:shd w:val="clear" w:color="000000" w:fill="D6E7F0"/>
            <w:noWrap/>
            <w:vAlign w:val="center"/>
            <w:hideMark/>
          </w:tcPr>
          <w:p w14:paraId="22ABDB2E"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46</w:t>
            </w:r>
          </w:p>
        </w:tc>
        <w:tc>
          <w:tcPr>
            <w:tcW w:w="640" w:type="dxa"/>
            <w:tcBorders>
              <w:top w:val="single" w:sz="4" w:space="0" w:color="ADD6EA"/>
              <w:left w:val="nil"/>
              <w:bottom w:val="single" w:sz="4" w:space="0" w:color="ADD6EA"/>
              <w:right w:val="nil"/>
            </w:tcBorders>
            <w:shd w:val="clear" w:color="000000" w:fill="D6E7F0"/>
            <w:noWrap/>
            <w:vAlign w:val="center"/>
            <w:hideMark/>
          </w:tcPr>
          <w:p w14:paraId="360444B6"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67</w:t>
            </w:r>
          </w:p>
        </w:tc>
        <w:tc>
          <w:tcPr>
            <w:tcW w:w="640" w:type="dxa"/>
            <w:tcBorders>
              <w:top w:val="single" w:sz="4" w:space="0" w:color="ADD6EA"/>
              <w:left w:val="nil"/>
              <w:bottom w:val="single" w:sz="4" w:space="0" w:color="ADD6EA"/>
              <w:right w:val="nil"/>
            </w:tcBorders>
            <w:shd w:val="clear" w:color="000000" w:fill="D6E7F0"/>
            <w:noWrap/>
            <w:vAlign w:val="center"/>
            <w:hideMark/>
          </w:tcPr>
          <w:p w14:paraId="5CCCBB27"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13</w:t>
            </w:r>
          </w:p>
        </w:tc>
        <w:tc>
          <w:tcPr>
            <w:tcW w:w="640" w:type="dxa"/>
            <w:tcBorders>
              <w:top w:val="single" w:sz="4" w:space="0" w:color="ADD6EA"/>
              <w:left w:val="nil"/>
              <w:bottom w:val="single" w:sz="4" w:space="0" w:color="ADD6EA"/>
              <w:right w:val="nil"/>
            </w:tcBorders>
            <w:shd w:val="clear" w:color="000000" w:fill="D6E7F0"/>
            <w:noWrap/>
            <w:vAlign w:val="center"/>
            <w:hideMark/>
          </w:tcPr>
          <w:p w14:paraId="3534BA7C"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56</w:t>
            </w:r>
          </w:p>
        </w:tc>
        <w:tc>
          <w:tcPr>
            <w:tcW w:w="880" w:type="dxa"/>
            <w:tcBorders>
              <w:top w:val="single" w:sz="4" w:space="0" w:color="ADD6EA"/>
              <w:left w:val="nil"/>
              <w:bottom w:val="single" w:sz="4" w:space="0" w:color="ADD6EA"/>
              <w:right w:val="nil"/>
            </w:tcBorders>
            <w:shd w:val="clear" w:color="000000" w:fill="D6E7F0"/>
            <w:noWrap/>
            <w:vAlign w:val="center"/>
            <w:hideMark/>
          </w:tcPr>
          <w:p w14:paraId="42E2EF6E" w14:textId="77777777" w:rsidR="00CD23B2" w:rsidRPr="00CD23B2" w:rsidRDefault="00CD23B2" w:rsidP="00CD23B2">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CD23B2">
              <w:rPr>
                <w:rFonts w:ascii="Open Sans Semibold" w:eastAsia="Times New Roman" w:hAnsi="Open Sans Semibold" w:cs="Open Sans Semibold"/>
                <w:color w:val="000000"/>
                <w:sz w:val="16"/>
                <w:szCs w:val="16"/>
                <w:lang w:eastAsia="en-AU"/>
              </w:rPr>
              <w:t>2,992</w:t>
            </w:r>
          </w:p>
        </w:tc>
      </w:tr>
    </w:tbl>
    <w:p w14:paraId="6CDE4F80" w14:textId="5D82BC80" w:rsidR="005A1D93" w:rsidRPr="00DC23FC" w:rsidRDefault="005A1D93" w:rsidP="00A11030">
      <w:pPr>
        <w:pStyle w:val="CGCTablenote"/>
        <w:numPr>
          <w:ilvl w:val="0"/>
          <w:numId w:val="24"/>
        </w:numPr>
      </w:pPr>
      <w:r w:rsidRPr="00DC23FC">
        <w:t>Includes both the revisions in relative state circumstances and revisions in how much states collectively spend or raise.</w:t>
      </w:r>
    </w:p>
    <w:p w14:paraId="279CD1F8" w14:textId="623CE57D" w:rsidR="005A1D93" w:rsidRPr="00DC23FC" w:rsidRDefault="005A1D93" w:rsidP="00A11030">
      <w:pPr>
        <w:pStyle w:val="CGCTablenote"/>
        <w:numPr>
          <w:ilvl w:val="0"/>
          <w:numId w:val="24"/>
        </w:numPr>
      </w:pPr>
      <w:r w:rsidRPr="00DC23FC">
        <w:t>Includes both the changes in relative state circumstances and changes in how much states collectively spend or raise.</w:t>
      </w:r>
    </w:p>
    <w:p w14:paraId="462FE34C" w14:textId="77777777" w:rsidR="005A1D93" w:rsidRPr="00DC23FC" w:rsidRDefault="005A1D93" w:rsidP="00A11030">
      <w:pPr>
        <w:pStyle w:val="CGCTablenote"/>
      </w:pPr>
      <w:r w:rsidRPr="00DC23FC">
        <w:t>Source: Commission calculation.</w:t>
      </w:r>
    </w:p>
    <w:p w14:paraId="362FAA09" w14:textId="728449BC" w:rsidR="005A1D93" w:rsidRPr="00DC23FC" w:rsidRDefault="005A1D93" w:rsidP="005A1D93">
      <w:r w:rsidRPr="005F19FE">
        <w:lastRenderedPageBreak/>
        <w:t xml:space="preserve">See </w:t>
      </w:r>
      <w:r w:rsidR="002A2370" w:rsidRPr="0068798B">
        <w:fldChar w:fldCharType="begin"/>
      </w:r>
      <w:r w:rsidR="002A2370" w:rsidRPr="005F19FE">
        <w:instrText xml:space="preserve"> REF Box_2_1 \h </w:instrText>
      </w:r>
      <w:r w:rsidR="0068798B">
        <w:instrText xml:space="preserve"> \* MERGEFORMAT </w:instrText>
      </w:r>
      <w:r w:rsidR="002A2370" w:rsidRPr="0068798B">
        <w:fldChar w:fldCharType="separate"/>
      </w:r>
      <w:r w:rsidR="00047120">
        <w:t>Box 2-1</w:t>
      </w:r>
      <w:r w:rsidR="002A2370" w:rsidRPr="0068798B">
        <w:fldChar w:fldCharType="end"/>
      </w:r>
      <w:r w:rsidRPr="0068798B">
        <w:t xml:space="preserve"> </w:t>
      </w:r>
      <w:r w:rsidRPr="005F19FE">
        <w:t>for an overview of the changes in urban transport expenditure, which involve both data revisions and changes in state circumstances</w:t>
      </w:r>
      <w:r w:rsidRPr="0068798B">
        <w:t>.</w:t>
      </w:r>
    </w:p>
    <w:p w14:paraId="17BACA19" w14:textId="6EE4A3D8" w:rsidR="00680989" w:rsidRPr="00680989" w:rsidRDefault="00A6486C" w:rsidP="00680989">
      <w:r>
        <w:rPr>
          <w:noProof/>
        </w:rPr>
        <mc:AlternateContent>
          <mc:Choice Requires="wps">
            <w:drawing>
              <wp:anchor distT="45720" distB="45720" distL="114300" distR="114300" simplePos="0" relativeHeight="251658253" behindDoc="0" locked="0" layoutInCell="1" allowOverlap="1" wp14:anchorId="08B3E6A1" wp14:editId="751302AA">
                <wp:simplePos x="0" y="0"/>
                <wp:positionH relativeFrom="margin">
                  <wp:align>left</wp:align>
                </wp:positionH>
                <wp:positionV relativeFrom="paragraph">
                  <wp:posOffset>278130</wp:posOffset>
                </wp:positionV>
                <wp:extent cx="5853430" cy="8192770"/>
                <wp:effectExtent l="0" t="0" r="13970" b="17780"/>
                <wp:wrapSquare wrapText="bothSides"/>
                <wp:docPr id="908283432" name="Text Box 908283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8193386"/>
                        </a:xfrm>
                        <a:prstGeom prst="rect">
                          <a:avLst/>
                        </a:prstGeom>
                        <a:solidFill>
                          <a:srgbClr val="E5F8FF"/>
                        </a:solidFill>
                        <a:ln w="9525">
                          <a:solidFill>
                            <a:schemeClr val="bg1"/>
                          </a:solidFill>
                          <a:miter lim="800000"/>
                          <a:headEnd/>
                          <a:tailEnd/>
                        </a:ln>
                      </wps:spPr>
                      <wps:txbx>
                        <w:txbxContent>
                          <w:p w14:paraId="07A8B603" w14:textId="2AEDCF17" w:rsidR="00A11030" w:rsidRPr="00607566" w:rsidRDefault="00A11030" w:rsidP="00A11030">
                            <w:pPr>
                              <w:pStyle w:val="Heading2"/>
                            </w:pPr>
                            <w:bookmarkStart w:id="167" w:name="Box_2_1"/>
                            <w:bookmarkStart w:id="168" w:name="_Toc159675695"/>
                            <w:bookmarkStart w:id="169" w:name="_Toc159676002"/>
                            <w:bookmarkStart w:id="170" w:name="_Toc159676069"/>
                            <w:r>
                              <w:t>Box 2</w:t>
                            </w:r>
                            <w:r w:rsidR="00E14366">
                              <w:t>-</w:t>
                            </w:r>
                            <w:r>
                              <w:t>1</w:t>
                            </w:r>
                            <w:bookmarkEnd w:id="167"/>
                            <w:r>
                              <w:tab/>
                              <w:t>Urban transport expenditure: an overview</w:t>
                            </w:r>
                            <w:bookmarkEnd w:id="168"/>
                            <w:bookmarkEnd w:id="169"/>
                            <w:bookmarkEnd w:id="170"/>
                          </w:p>
                          <w:p w14:paraId="236535AD" w14:textId="23BB4508" w:rsidR="00A6486C" w:rsidRPr="004B3CA7" w:rsidRDefault="00A6486C" w:rsidP="00A6486C">
                            <w:r w:rsidRPr="004B3CA7">
                              <w:t xml:space="preserve">Collectively, states spend around $30 billion on urban transport investment and recurrent expenses, mostly in New South Wales and Victoria. In the 2024 Update, there were several significant data changes affecting states’ </w:t>
                            </w:r>
                            <w:r w:rsidR="003E0DF8">
                              <w:t>assessed</w:t>
                            </w:r>
                            <w:r w:rsidR="003E0DF8" w:rsidRPr="004B3CA7">
                              <w:t xml:space="preserve"> </w:t>
                            </w:r>
                            <w:r w:rsidRPr="004B3CA7">
                              <w:t xml:space="preserve">GST needs for urban transport. Two of these were data revisions and </w:t>
                            </w:r>
                            <w:r w:rsidR="00430557">
                              <w:t>three</w:t>
                            </w:r>
                            <w:r w:rsidR="00430557" w:rsidRPr="004B3CA7">
                              <w:t xml:space="preserve"> </w:t>
                            </w:r>
                            <w:r w:rsidRPr="004B3CA7">
                              <w:t>were changes in circumstances.</w:t>
                            </w:r>
                          </w:p>
                          <w:p w14:paraId="7CC9043D" w14:textId="32AE6E51" w:rsidR="00A6486C" w:rsidRPr="004B3CA7" w:rsidRDefault="00A6486C" w:rsidP="00C06CD3">
                            <w:pPr>
                              <w:pStyle w:val="BulletPoints"/>
                            </w:pPr>
                            <w:r w:rsidRPr="004B3CA7">
                              <w:t xml:space="preserve">Urban transport needs are assessed using ‘urban centre characteristics’, which include population and population-weighted density. Following the release of new data from the 2021 Census, the Commission updated urban populations and population-weighted density in each state. This increased the </w:t>
                            </w:r>
                            <w:r w:rsidR="00B06D1A">
                              <w:t xml:space="preserve">assessed </w:t>
                            </w:r>
                            <w:r w:rsidRPr="004B3CA7">
                              <w:t>GST needs of Victoria and the ACT and reduced the</w:t>
                            </w:r>
                            <w:r w:rsidR="00B21F4E">
                              <w:t xml:space="preserve"> assessed</w:t>
                            </w:r>
                            <w:r w:rsidRPr="004B3CA7">
                              <w:t xml:space="preserve"> GST needs of other states including New South Wales. This is discussed in </w:t>
                            </w:r>
                            <w:hyperlink w:anchor="_Box_2-2_2021" w:history="1">
                              <w:r w:rsidR="008E02C1" w:rsidRPr="00FB7B09">
                                <w:rPr>
                                  <w:rStyle w:val="Hyperlink"/>
                                  <w:color w:val="auto"/>
                                  <w:u w:val="none"/>
                                </w:rPr>
                                <w:t xml:space="preserve">Box </w:t>
                              </w:r>
                              <w:r w:rsidR="004C1A6A" w:rsidRPr="00FB7B09">
                                <w:rPr>
                                  <w:rStyle w:val="Hyperlink"/>
                                  <w:color w:val="auto"/>
                                  <w:u w:val="none"/>
                                </w:rPr>
                                <w:t>2-2</w:t>
                              </w:r>
                            </w:hyperlink>
                            <w:hyperlink w:anchor="_Box_2-2_2021" w:history="1">
                              <w:r w:rsidR="002A2370" w:rsidRPr="004B3CA7">
                                <w:rPr>
                                  <w:rStyle w:val="Hyperlink"/>
                                  <w:color w:val="auto"/>
                                  <w:u w:val="none"/>
                                </w:rPr>
                                <w:fldChar w:fldCharType="begin"/>
                              </w:r>
                              <w:r w:rsidR="002A2370" w:rsidRPr="0068798B">
                                <w:instrText xml:space="preserve"> REF Box_2_2 \h </w:instrText>
                              </w:r>
                              <w:r w:rsidR="0068798B">
                                <w:rPr>
                                  <w:rStyle w:val="Hyperlink"/>
                                  <w:color w:val="auto"/>
                                  <w:u w:val="none"/>
                                </w:rPr>
                                <w:instrText xml:space="preserve"> \* MERGEFORMAT </w:instrText>
                              </w:r>
                              <w:r w:rsidR="002A2370" w:rsidRPr="004B3CA7">
                                <w:rPr>
                                  <w:rStyle w:val="Hyperlink"/>
                                  <w:color w:val="auto"/>
                                  <w:u w:val="none"/>
                                </w:rPr>
                              </w:r>
                              <w:r w:rsidR="002A2370" w:rsidRPr="004B3CA7">
                                <w:rPr>
                                  <w:rStyle w:val="Hyperlink"/>
                                  <w:color w:val="auto"/>
                                  <w:u w:val="none"/>
                                </w:rPr>
                                <w:fldChar w:fldCharType="end"/>
                              </w:r>
                            </w:hyperlink>
                            <w:r w:rsidR="005E4F0C">
                              <w:t>.</w:t>
                            </w:r>
                          </w:p>
                          <w:p w14:paraId="6DF8A9D6" w14:textId="61215062" w:rsidR="00047120" w:rsidRPr="003E6C4F" w:rsidRDefault="00A6486C" w:rsidP="00047120">
                            <w:pPr>
                              <w:pStyle w:val="BulletPoints"/>
                            </w:pPr>
                            <w:r w:rsidRPr="004B3CA7">
                              <w:t>After applying the 2021 Census data, the Commission incorporates the changes in state circumstances. It replaces the 2019</w:t>
                            </w:r>
                            <w:r w:rsidR="00EF1F17">
                              <w:t>–</w:t>
                            </w:r>
                            <w:r w:rsidRPr="004B3CA7">
                              <w:t>20 year with the 2022</w:t>
                            </w:r>
                            <w:r w:rsidR="00EF1F17">
                              <w:t>–</w:t>
                            </w:r>
                            <w:r w:rsidRPr="004B3CA7">
                              <w:t>23 year. As Queensland’s population and population-weighted density grew faster than the national average between these years, its</w:t>
                            </w:r>
                            <w:r w:rsidR="00EF1F17">
                              <w:t xml:space="preserve"> assessed</w:t>
                            </w:r>
                            <w:r w:rsidRPr="004B3CA7">
                              <w:t xml:space="preserve"> GST needs increased. This is discussed in the section on Change in circumstances: </w:t>
                            </w:r>
                            <w:r w:rsidR="000A38D4" w:rsidRPr="004B3CA7">
                              <w:fldChar w:fldCharType="begin"/>
                            </w:r>
                            <w:r w:rsidR="000A38D4" w:rsidRPr="00274A03">
                              <w:rPr>
                                <w:highlight w:val="yellow"/>
                              </w:rPr>
                              <w:instrText xml:space="preserve"> REF Urban_centre_characteristics \h </w:instrText>
                            </w:r>
                            <w:r w:rsidR="00274A03" w:rsidRPr="00274A03">
                              <w:rPr>
                                <w:highlight w:val="yellow"/>
                              </w:rPr>
                              <w:instrText xml:space="preserve"> \* MERGEFORMAT </w:instrText>
                            </w:r>
                            <w:r w:rsidR="000A38D4" w:rsidRPr="004B3CA7">
                              <w:fldChar w:fldCharType="separate"/>
                            </w:r>
                            <w:r w:rsidR="00047120" w:rsidRPr="003E6C4F">
                              <w:t>Urban centre characteristics</w:t>
                            </w:r>
                            <w:r w:rsidR="005E4F0C">
                              <w:t>.</w:t>
                            </w:r>
                          </w:p>
                          <w:p w14:paraId="7E052263" w14:textId="56159911" w:rsidR="00047120" w:rsidRPr="003E6C4F" w:rsidRDefault="000A38D4" w:rsidP="00047120">
                            <w:pPr>
                              <w:pStyle w:val="BulletPoints"/>
                            </w:pPr>
                            <w:r w:rsidRPr="004B3CA7">
                              <w:fldChar w:fldCharType="end"/>
                            </w:r>
                            <w:r w:rsidR="00A6486C" w:rsidRPr="004B3CA7">
                              <w:t>There was relatively slow growth in urban transport recurrent expenditure</w:t>
                            </w:r>
                            <w:r w:rsidR="00DB40E1" w:rsidRPr="004B3CA7">
                              <w:t xml:space="preserve"> between </w:t>
                            </w:r>
                            <w:r w:rsidR="00232FD3" w:rsidRPr="004B3CA7">
                              <w:t>20</w:t>
                            </w:r>
                            <w:r w:rsidR="005C3F1B" w:rsidRPr="004B3CA7">
                              <w:t>19</w:t>
                            </w:r>
                            <w:r w:rsidR="00A94922">
                              <w:t>–</w:t>
                            </w:r>
                            <w:r w:rsidR="005C3F1B" w:rsidRPr="004B3CA7">
                              <w:t>20</w:t>
                            </w:r>
                            <w:r w:rsidR="00232FD3" w:rsidRPr="004B3CA7">
                              <w:t xml:space="preserve"> and 2022</w:t>
                            </w:r>
                            <w:r w:rsidR="00A94922">
                              <w:t>–</w:t>
                            </w:r>
                            <w:r w:rsidR="00232FD3" w:rsidRPr="004B3CA7">
                              <w:t>23</w:t>
                            </w:r>
                            <w:r w:rsidR="00A6486C" w:rsidRPr="004B3CA7">
                              <w:t xml:space="preserve">, which reduced the impact of urban centre characteristics in this update. This reduced the relative spending needs for urban transport in New South Wales and Victoria. This is discussed in the section on Change in circumstances: </w:t>
                            </w:r>
                            <w:r w:rsidR="00E32735" w:rsidRPr="004B3CA7">
                              <w:fldChar w:fldCharType="begin"/>
                            </w:r>
                            <w:r w:rsidR="00E32735" w:rsidRPr="0095123E">
                              <w:rPr>
                                <w:highlight w:val="yellow"/>
                              </w:rPr>
                              <w:instrText xml:space="preserve"> REF Urban_centre_characteristics \h  \* MERGEFORMAT </w:instrText>
                            </w:r>
                            <w:r w:rsidR="00E32735" w:rsidRPr="004B3CA7">
                              <w:fldChar w:fldCharType="separate"/>
                            </w:r>
                            <w:r w:rsidR="00047120" w:rsidRPr="003E6C4F">
                              <w:t>Urban centre characteristics</w:t>
                            </w:r>
                            <w:r w:rsidR="005E4F0C">
                              <w:t>.</w:t>
                            </w:r>
                          </w:p>
                          <w:p w14:paraId="02E3BDFD" w14:textId="159DF65F" w:rsidR="00047120" w:rsidRPr="00DC23FC" w:rsidRDefault="00E32735" w:rsidP="00047120">
                            <w:pPr>
                              <w:pStyle w:val="BulletPoints"/>
                            </w:pPr>
                            <w:r w:rsidRPr="004B3CA7">
                              <w:fldChar w:fldCharType="end"/>
                            </w:r>
                            <w:r w:rsidR="00A6486C" w:rsidRPr="004B3CA7">
                              <w:t>There was a large downward revision to national urban transport investment for 2021</w:t>
                            </w:r>
                            <w:r w:rsidR="00D82329">
                              <w:t>–</w:t>
                            </w:r>
                            <w:r w:rsidR="00A6486C" w:rsidRPr="004B3CA7">
                              <w:t xml:space="preserve">22. This reduced the assessed GST needs of New South Wales and Victoria. This is discussed in the section on Data revisions: </w:t>
                            </w:r>
                            <w:r w:rsidR="00227097" w:rsidRPr="004B3CA7">
                              <w:rPr>
                                <w:rFonts w:ascii="Open Sans Semibold" w:eastAsiaTheme="majorEastAsia" w:hAnsi="Open Sans Semibold" w:cstheme="majorBidi"/>
                                <w:iCs/>
                                <w:sz w:val="19"/>
                              </w:rPr>
                              <w:fldChar w:fldCharType="begin"/>
                            </w:r>
                            <w:r w:rsidR="00227097" w:rsidRPr="0095123E">
                              <w:rPr>
                                <w:highlight w:val="yellow"/>
                              </w:rPr>
                              <w:instrText xml:space="preserve"> REF Revisions_to_investment_data \h  \* MERGEFORMAT </w:instrText>
                            </w:r>
                            <w:r w:rsidR="00227097" w:rsidRPr="004B3CA7">
                              <w:rPr>
                                <w:rFonts w:ascii="Open Sans Semibold" w:eastAsiaTheme="majorEastAsia" w:hAnsi="Open Sans Semibold" w:cstheme="majorBidi"/>
                                <w:iCs/>
                                <w:sz w:val="19"/>
                              </w:rPr>
                            </w:r>
                            <w:r w:rsidR="00227097" w:rsidRPr="004B3CA7">
                              <w:rPr>
                                <w:rFonts w:ascii="Open Sans Semibold" w:eastAsiaTheme="majorEastAsia" w:hAnsi="Open Sans Semibold" w:cstheme="majorBidi"/>
                                <w:iCs/>
                                <w:sz w:val="19"/>
                              </w:rPr>
                              <w:fldChar w:fldCharType="separate"/>
                            </w:r>
                            <w:r w:rsidR="00047120" w:rsidRPr="00DC23FC">
                              <w:t>Revisions to investment data</w:t>
                            </w:r>
                            <w:r w:rsidR="005E4F0C">
                              <w:t>.</w:t>
                            </w:r>
                          </w:p>
                          <w:p w14:paraId="26458CB5" w14:textId="68016224" w:rsidR="00047120" w:rsidRPr="003E6C4F" w:rsidRDefault="00227097" w:rsidP="00047120">
                            <w:pPr>
                              <w:pStyle w:val="BulletPoints"/>
                            </w:pPr>
                            <w:r w:rsidRPr="004B3CA7">
                              <w:fldChar w:fldCharType="end"/>
                            </w:r>
                            <w:r w:rsidR="00A6486C" w:rsidRPr="004B3CA7">
                              <w:t>There was a large increase in national urban transport investment between 2019</w:t>
                            </w:r>
                            <w:r w:rsidR="00BA2FBE">
                              <w:t>–</w:t>
                            </w:r>
                            <w:r w:rsidR="00BA2FBE">
                              <w:rPr>
                                <w:rFonts w:ascii="Times New Roman" w:hAnsi="Times New Roman" w:cs="Times New Roman" w:hint="eastAsia"/>
                                <w:rtl/>
                              </w:rPr>
                              <w:t>‍</w:t>
                            </w:r>
                            <w:r w:rsidR="00A6486C" w:rsidRPr="004B3CA7">
                              <w:t>20 and 2022</w:t>
                            </w:r>
                            <w:r w:rsidR="00BA2FBE">
                              <w:t>–</w:t>
                            </w:r>
                            <w:r w:rsidR="00A6486C" w:rsidRPr="004B3CA7">
                              <w:t xml:space="preserve">23. This resulted in higher assessed GST needs for urban transport investment in New South Wales and Victoria. This is discussed in the section on Change in circumstances: </w:t>
                            </w:r>
                            <w:r w:rsidR="00AD7B9C" w:rsidRPr="004B3CA7">
                              <w:fldChar w:fldCharType="begin"/>
                            </w:r>
                            <w:r w:rsidR="00AD7B9C" w:rsidRPr="0095123E">
                              <w:rPr>
                                <w:highlight w:val="yellow"/>
                              </w:rPr>
                              <w:instrText xml:space="preserve"> REF Capital_improvements \h  \* MERGEFORMAT </w:instrText>
                            </w:r>
                            <w:r w:rsidR="00AD7B9C" w:rsidRPr="004B3CA7">
                              <w:fldChar w:fldCharType="separate"/>
                            </w:r>
                            <w:r w:rsidR="00047120" w:rsidRPr="003E6C4F">
                              <w:t>Capital improvements</w:t>
                            </w:r>
                            <w:r w:rsidR="005E4F0C">
                              <w:t>.</w:t>
                            </w:r>
                          </w:p>
                          <w:p w14:paraId="6C5D4D3E" w14:textId="4244AEE3" w:rsidR="00A6486C" w:rsidRPr="0095123E" w:rsidRDefault="00AD7B9C" w:rsidP="0014215B">
                            <w:pPr>
                              <w:pStyle w:val="BulletPoints"/>
                              <w:numPr>
                                <w:ilvl w:val="0"/>
                                <w:numId w:val="0"/>
                              </w:numPr>
                            </w:pPr>
                            <w:r w:rsidRPr="004B3CA7">
                              <w:fldChar w:fldCharType="end"/>
                            </w:r>
                            <w:r w:rsidR="00A6486C" w:rsidRPr="004B3CA7">
                              <w:t>The combined effects of all changes affecting states’ assessed</w:t>
                            </w:r>
                            <w:r w:rsidR="00377754">
                              <w:t xml:space="preserve"> GST</w:t>
                            </w:r>
                            <w:r w:rsidR="00A6486C" w:rsidRPr="004B3CA7">
                              <w:t xml:space="preserve"> needs for urban transport are shown </w:t>
                            </w:r>
                            <w:r w:rsidR="00A6486C" w:rsidRPr="0095123E">
                              <w:t>below. This includes changes not outlined above, such as those relating to wages and construction costs.</w:t>
                            </w:r>
                          </w:p>
                          <w:p w14:paraId="52694154" w14:textId="017BCDC3" w:rsidR="00A6486C" w:rsidRPr="00DC23FC" w:rsidRDefault="00A6486C" w:rsidP="003E759C">
                            <w:pPr>
                              <w:pStyle w:val="Tableheading"/>
                              <w:rPr>
                                <w:highlight w:val="yellow"/>
                              </w:rPr>
                            </w:pPr>
                            <w:r w:rsidRPr="0095123E">
                              <w:t>Table 2-3</w:t>
                            </w:r>
                            <w:r w:rsidR="00502106" w:rsidRPr="0095123E">
                              <w:t xml:space="preserve"> </w:t>
                            </w:r>
                            <w:r w:rsidR="004E75DE" w:rsidRPr="0095123E">
                              <w:tab/>
                            </w:r>
                            <w:r w:rsidR="00BD3431" w:rsidRPr="0095123E">
                              <w:t xml:space="preserve">Changes in assessed </w:t>
                            </w:r>
                            <w:r w:rsidRPr="0095123E">
                              <w:t xml:space="preserve">GST </w:t>
                            </w:r>
                            <w:r w:rsidR="005E126C" w:rsidRPr="0095123E">
                              <w:t xml:space="preserve">needs for </w:t>
                            </w:r>
                            <w:r w:rsidRPr="0095123E">
                              <w:t>urban transport</w:t>
                            </w:r>
                            <w:r w:rsidR="008A5D8A" w:rsidRPr="0095123E">
                              <w:t>, 2023</w:t>
                            </w:r>
                            <w:r w:rsidR="005056E6">
                              <w:t>–</w:t>
                            </w:r>
                            <w:r w:rsidR="008A5D8A" w:rsidRPr="00DC23FC">
                              <w:t>24 to 2024</w:t>
                            </w:r>
                            <w:r w:rsidR="005056E6">
                              <w:t>–</w:t>
                            </w:r>
                            <w:proofErr w:type="gramStart"/>
                            <w:r w:rsidR="008A5D8A" w:rsidRPr="00DC23FC">
                              <w:t>25</w:t>
                            </w:r>
                            <w:proofErr w:type="gramEnd"/>
                            <w:r w:rsidRPr="00DC23FC">
                              <w:rPr>
                                <w:highlight w:val="yellow"/>
                              </w:rPr>
                              <w:t xml:space="preserve"> </w:t>
                            </w:r>
                          </w:p>
                          <w:tbl>
                            <w:tblPr>
                              <w:tblW w:w="8980" w:type="dxa"/>
                              <w:tblLook w:val="04A0" w:firstRow="1" w:lastRow="0" w:firstColumn="1" w:lastColumn="0" w:noHBand="0" w:noVBand="1"/>
                            </w:tblPr>
                            <w:tblGrid>
                              <w:gridCol w:w="2720"/>
                              <w:gridCol w:w="680"/>
                              <w:gridCol w:w="680"/>
                              <w:gridCol w:w="680"/>
                              <w:gridCol w:w="680"/>
                              <w:gridCol w:w="680"/>
                              <w:gridCol w:w="680"/>
                              <w:gridCol w:w="680"/>
                              <w:gridCol w:w="680"/>
                              <w:gridCol w:w="820"/>
                            </w:tblGrid>
                            <w:tr w:rsidR="00D57E31" w:rsidRPr="00D57E31" w14:paraId="1E2EEFA2" w14:textId="77777777" w:rsidTr="00D57E31">
                              <w:trPr>
                                <w:trHeight w:val="555"/>
                              </w:trPr>
                              <w:tc>
                                <w:tcPr>
                                  <w:tcW w:w="2720" w:type="dxa"/>
                                  <w:tcBorders>
                                    <w:top w:val="nil"/>
                                    <w:left w:val="nil"/>
                                    <w:bottom w:val="nil"/>
                                    <w:right w:val="nil"/>
                                  </w:tcBorders>
                                  <w:shd w:val="clear" w:color="000000" w:fill="006991"/>
                                  <w:vAlign w:val="center"/>
                                  <w:hideMark/>
                                </w:tcPr>
                                <w:p w14:paraId="13DA587C" w14:textId="77777777" w:rsidR="00D57E31" w:rsidRPr="00D57E31" w:rsidRDefault="00D57E31" w:rsidP="00D57E31">
                                  <w:pPr>
                                    <w:tabs>
                                      <w:tab w:val="clear" w:pos="567"/>
                                    </w:tabs>
                                    <w:spacing w:before="0" w:line="240" w:lineRule="auto"/>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 </w:t>
                                  </w:r>
                                </w:p>
                              </w:tc>
                              <w:tc>
                                <w:tcPr>
                                  <w:tcW w:w="680" w:type="dxa"/>
                                  <w:tcBorders>
                                    <w:top w:val="nil"/>
                                    <w:left w:val="nil"/>
                                    <w:bottom w:val="nil"/>
                                    <w:right w:val="nil"/>
                                  </w:tcBorders>
                                  <w:shd w:val="clear" w:color="000000" w:fill="006991"/>
                                  <w:vAlign w:val="center"/>
                                  <w:hideMark/>
                                </w:tcPr>
                                <w:p w14:paraId="3A815BDF"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NSW</w:t>
                                  </w:r>
                                </w:p>
                              </w:tc>
                              <w:tc>
                                <w:tcPr>
                                  <w:tcW w:w="680" w:type="dxa"/>
                                  <w:tcBorders>
                                    <w:top w:val="nil"/>
                                    <w:left w:val="nil"/>
                                    <w:bottom w:val="nil"/>
                                    <w:right w:val="nil"/>
                                  </w:tcBorders>
                                  <w:shd w:val="clear" w:color="000000" w:fill="006991"/>
                                  <w:vAlign w:val="center"/>
                                  <w:hideMark/>
                                </w:tcPr>
                                <w:p w14:paraId="0FAE5727"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Vic</w:t>
                                  </w:r>
                                </w:p>
                              </w:tc>
                              <w:tc>
                                <w:tcPr>
                                  <w:tcW w:w="680" w:type="dxa"/>
                                  <w:tcBorders>
                                    <w:top w:val="nil"/>
                                    <w:left w:val="nil"/>
                                    <w:bottom w:val="nil"/>
                                    <w:right w:val="nil"/>
                                  </w:tcBorders>
                                  <w:shd w:val="clear" w:color="000000" w:fill="006991"/>
                                  <w:vAlign w:val="center"/>
                                  <w:hideMark/>
                                </w:tcPr>
                                <w:p w14:paraId="2E521E2E"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1F5C883B"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3BE2F7C8"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0D487DEA"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Tas</w:t>
                                  </w:r>
                                </w:p>
                              </w:tc>
                              <w:tc>
                                <w:tcPr>
                                  <w:tcW w:w="680" w:type="dxa"/>
                                  <w:tcBorders>
                                    <w:top w:val="nil"/>
                                    <w:left w:val="nil"/>
                                    <w:bottom w:val="nil"/>
                                    <w:right w:val="nil"/>
                                  </w:tcBorders>
                                  <w:shd w:val="clear" w:color="000000" w:fill="006991"/>
                                  <w:vAlign w:val="center"/>
                                  <w:hideMark/>
                                </w:tcPr>
                                <w:p w14:paraId="31132DB6"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ACT</w:t>
                                  </w:r>
                                </w:p>
                              </w:tc>
                              <w:tc>
                                <w:tcPr>
                                  <w:tcW w:w="680" w:type="dxa"/>
                                  <w:tcBorders>
                                    <w:top w:val="nil"/>
                                    <w:left w:val="nil"/>
                                    <w:bottom w:val="nil"/>
                                    <w:right w:val="nil"/>
                                  </w:tcBorders>
                                  <w:shd w:val="clear" w:color="000000" w:fill="006991"/>
                                  <w:vAlign w:val="center"/>
                                  <w:hideMark/>
                                </w:tcPr>
                                <w:p w14:paraId="47CD5F55"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2CCF0CE8"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Total Effect</w:t>
                                  </w:r>
                                </w:p>
                              </w:tc>
                            </w:tr>
                            <w:tr w:rsidR="00D57E31" w:rsidRPr="00D57E31" w14:paraId="5EAD7E83" w14:textId="77777777" w:rsidTr="00D57E31">
                              <w:trPr>
                                <w:trHeight w:val="259"/>
                              </w:trPr>
                              <w:tc>
                                <w:tcPr>
                                  <w:tcW w:w="2720" w:type="dxa"/>
                                  <w:tcBorders>
                                    <w:top w:val="single" w:sz="4" w:space="0" w:color="ADD6EA"/>
                                    <w:left w:val="nil"/>
                                    <w:bottom w:val="nil"/>
                                    <w:right w:val="nil"/>
                                  </w:tcBorders>
                                  <w:shd w:val="clear" w:color="000000" w:fill="B6D5E4"/>
                                  <w:vAlign w:val="center"/>
                                  <w:hideMark/>
                                </w:tcPr>
                                <w:p w14:paraId="09ABDB0B" w14:textId="77777777" w:rsidR="00D57E31" w:rsidRPr="00D57E31" w:rsidRDefault="00D57E31" w:rsidP="00D57E31">
                                  <w:pPr>
                                    <w:tabs>
                                      <w:tab w:val="clear" w:pos="567"/>
                                    </w:tabs>
                                    <w:spacing w:before="0" w:line="240" w:lineRule="auto"/>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 </w:t>
                                  </w:r>
                                </w:p>
                              </w:tc>
                              <w:tc>
                                <w:tcPr>
                                  <w:tcW w:w="680" w:type="dxa"/>
                                  <w:tcBorders>
                                    <w:top w:val="single" w:sz="4" w:space="0" w:color="ADD6EA"/>
                                    <w:left w:val="nil"/>
                                    <w:bottom w:val="nil"/>
                                    <w:right w:val="nil"/>
                                  </w:tcBorders>
                                  <w:shd w:val="clear" w:color="000000" w:fill="B6D5E4"/>
                                  <w:noWrap/>
                                  <w:vAlign w:val="center"/>
                                  <w:hideMark/>
                                </w:tcPr>
                                <w:p w14:paraId="20FEE986"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6E5179D1"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46BB3359"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16ADB0E1"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20676F86"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3B2E1B9B"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72E5DE6D"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7792E29F"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nil"/>
                                    <w:right w:val="nil"/>
                                  </w:tcBorders>
                                  <w:shd w:val="clear" w:color="000000" w:fill="B6D5E4"/>
                                  <w:noWrap/>
                                  <w:vAlign w:val="center"/>
                                  <w:hideMark/>
                                </w:tcPr>
                                <w:p w14:paraId="590CE4AC"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r>
                            <w:tr w:rsidR="00D57E31" w:rsidRPr="00D57E31" w14:paraId="06F5A6DE" w14:textId="77777777" w:rsidTr="00D57E31">
                              <w:trPr>
                                <w:trHeight w:val="555"/>
                              </w:trPr>
                              <w:tc>
                                <w:tcPr>
                                  <w:tcW w:w="2720" w:type="dxa"/>
                                  <w:tcBorders>
                                    <w:top w:val="nil"/>
                                    <w:left w:val="nil"/>
                                    <w:bottom w:val="single" w:sz="4" w:space="0" w:color="ADD6EA"/>
                                    <w:right w:val="nil"/>
                                  </w:tcBorders>
                                  <w:shd w:val="clear" w:color="auto" w:fill="auto"/>
                                  <w:vAlign w:val="center"/>
                                  <w:hideMark/>
                                </w:tcPr>
                                <w:p w14:paraId="40DB543C" w14:textId="77777777" w:rsidR="00D57E31" w:rsidRPr="003E759C" w:rsidRDefault="00D57E31" w:rsidP="00D57E31">
                                  <w:pPr>
                                    <w:tabs>
                                      <w:tab w:val="clear" w:pos="567"/>
                                    </w:tabs>
                                    <w:spacing w:before="0" w:line="240" w:lineRule="auto"/>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Total change for urban transport expenditure</w:t>
                                  </w:r>
                                </w:p>
                              </w:tc>
                              <w:tc>
                                <w:tcPr>
                                  <w:tcW w:w="680" w:type="dxa"/>
                                  <w:tcBorders>
                                    <w:top w:val="nil"/>
                                    <w:left w:val="nil"/>
                                    <w:bottom w:val="single" w:sz="4" w:space="0" w:color="ADD6EA"/>
                                    <w:right w:val="nil"/>
                                  </w:tcBorders>
                                  <w:shd w:val="clear" w:color="auto" w:fill="auto"/>
                                  <w:noWrap/>
                                  <w:vAlign w:val="center"/>
                                  <w:hideMark/>
                                </w:tcPr>
                                <w:p w14:paraId="393B6A2C"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-251</w:t>
                                  </w:r>
                                </w:p>
                              </w:tc>
                              <w:tc>
                                <w:tcPr>
                                  <w:tcW w:w="680" w:type="dxa"/>
                                  <w:tcBorders>
                                    <w:top w:val="nil"/>
                                    <w:left w:val="nil"/>
                                    <w:bottom w:val="single" w:sz="4" w:space="0" w:color="ADD6EA"/>
                                    <w:right w:val="nil"/>
                                  </w:tcBorders>
                                  <w:shd w:val="clear" w:color="auto" w:fill="auto"/>
                                  <w:noWrap/>
                                  <w:vAlign w:val="center"/>
                                  <w:hideMark/>
                                </w:tcPr>
                                <w:p w14:paraId="3764F4CC"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619</w:t>
                                  </w:r>
                                </w:p>
                              </w:tc>
                              <w:tc>
                                <w:tcPr>
                                  <w:tcW w:w="680" w:type="dxa"/>
                                  <w:tcBorders>
                                    <w:top w:val="nil"/>
                                    <w:left w:val="nil"/>
                                    <w:bottom w:val="single" w:sz="4" w:space="0" w:color="ADD6EA"/>
                                    <w:right w:val="nil"/>
                                  </w:tcBorders>
                                  <w:shd w:val="clear" w:color="auto" w:fill="auto"/>
                                  <w:noWrap/>
                                  <w:vAlign w:val="center"/>
                                  <w:hideMark/>
                                </w:tcPr>
                                <w:p w14:paraId="371015A5"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107</w:t>
                                  </w:r>
                                </w:p>
                              </w:tc>
                              <w:tc>
                                <w:tcPr>
                                  <w:tcW w:w="680" w:type="dxa"/>
                                  <w:tcBorders>
                                    <w:top w:val="nil"/>
                                    <w:left w:val="nil"/>
                                    <w:bottom w:val="single" w:sz="4" w:space="0" w:color="ADD6EA"/>
                                    <w:right w:val="nil"/>
                                  </w:tcBorders>
                                  <w:shd w:val="clear" w:color="auto" w:fill="auto"/>
                                  <w:noWrap/>
                                  <w:vAlign w:val="center"/>
                                  <w:hideMark/>
                                </w:tcPr>
                                <w:p w14:paraId="7F1B251E"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-285</w:t>
                                  </w:r>
                                </w:p>
                              </w:tc>
                              <w:tc>
                                <w:tcPr>
                                  <w:tcW w:w="680" w:type="dxa"/>
                                  <w:tcBorders>
                                    <w:top w:val="nil"/>
                                    <w:left w:val="nil"/>
                                    <w:bottom w:val="single" w:sz="4" w:space="0" w:color="ADD6EA"/>
                                    <w:right w:val="nil"/>
                                  </w:tcBorders>
                                  <w:shd w:val="clear" w:color="auto" w:fill="auto"/>
                                  <w:noWrap/>
                                  <w:vAlign w:val="center"/>
                                  <w:hideMark/>
                                </w:tcPr>
                                <w:p w14:paraId="4F6BE95B"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-212</w:t>
                                  </w:r>
                                </w:p>
                              </w:tc>
                              <w:tc>
                                <w:tcPr>
                                  <w:tcW w:w="680" w:type="dxa"/>
                                  <w:tcBorders>
                                    <w:top w:val="nil"/>
                                    <w:left w:val="nil"/>
                                    <w:bottom w:val="single" w:sz="4" w:space="0" w:color="ADD6EA"/>
                                    <w:right w:val="nil"/>
                                  </w:tcBorders>
                                  <w:shd w:val="clear" w:color="auto" w:fill="auto"/>
                                  <w:noWrap/>
                                  <w:vAlign w:val="center"/>
                                  <w:hideMark/>
                                </w:tcPr>
                                <w:p w14:paraId="79E432D4"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-7</w:t>
                                  </w:r>
                                </w:p>
                              </w:tc>
                              <w:tc>
                                <w:tcPr>
                                  <w:tcW w:w="680" w:type="dxa"/>
                                  <w:tcBorders>
                                    <w:top w:val="nil"/>
                                    <w:left w:val="nil"/>
                                    <w:bottom w:val="single" w:sz="4" w:space="0" w:color="ADD6EA"/>
                                    <w:right w:val="nil"/>
                                  </w:tcBorders>
                                  <w:shd w:val="clear" w:color="auto" w:fill="auto"/>
                                  <w:noWrap/>
                                  <w:vAlign w:val="center"/>
                                  <w:hideMark/>
                                </w:tcPr>
                                <w:p w14:paraId="427EE900"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33</w:t>
                                  </w:r>
                                </w:p>
                              </w:tc>
                              <w:tc>
                                <w:tcPr>
                                  <w:tcW w:w="680" w:type="dxa"/>
                                  <w:tcBorders>
                                    <w:top w:val="nil"/>
                                    <w:left w:val="nil"/>
                                    <w:bottom w:val="single" w:sz="4" w:space="0" w:color="ADD6EA"/>
                                    <w:right w:val="nil"/>
                                  </w:tcBorders>
                                  <w:shd w:val="clear" w:color="auto" w:fill="auto"/>
                                  <w:noWrap/>
                                  <w:vAlign w:val="center"/>
                                  <w:hideMark/>
                                </w:tcPr>
                                <w:p w14:paraId="19BD73C1"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-3</w:t>
                                  </w:r>
                                </w:p>
                              </w:tc>
                              <w:tc>
                                <w:tcPr>
                                  <w:tcW w:w="820" w:type="dxa"/>
                                  <w:tcBorders>
                                    <w:top w:val="nil"/>
                                    <w:left w:val="nil"/>
                                    <w:bottom w:val="single" w:sz="4" w:space="0" w:color="ADD6EA"/>
                                    <w:right w:val="nil"/>
                                  </w:tcBorders>
                                  <w:shd w:val="clear" w:color="auto" w:fill="auto"/>
                                  <w:noWrap/>
                                  <w:vAlign w:val="center"/>
                                  <w:hideMark/>
                                </w:tcPr>
                                <w:p w14:paraId="140E62EC"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759</w:t>
                                  </w:r>
                                </w:p>
                              </w:tc>
                            </w:tr>
                          </w:tbl>
                          <w:p w14:paraId="0352CBE8" w14:textId="065707D2" w:rsidR="00A11030" w:rsidRPr="00176917" w:rsidRDefault="00AD1210" w:rsidP="004B3CA7">
                            <w:pPr>
                              <w:pStyle w:val="CGCTablenote"/>
                            </w:pPr>
                            <w:r>
                              <w:t>Source: Commission calculation</w:t>
                            </w:r>
                            <w:r w:rsidR="005056E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3E6A1" id="Text Box 908283432" o:spid="_x0000_s1037" type="#_x0000_t202" style="position:absolute;margin-left:0;margin-top:21.9pt;width:460.9pt;height:645.1pt;z-index:25165825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" fillcolor="#e5f8ff" strokecolor="white [3212]">
                <v:textbox>
                  <w:txbxContent>
                    <w:p w14:paraId="07A8B603" w14:textId="2AEDCF17" w:rsidR="00A11030" w:rsidRPr="00607566" w:rsidRDefault="00A11030" w:rsidP="00A11030">
                      <w:pPr>
                        <w:pStyle w:val="Heading2"/>
                      </w:pPr>
                      <w:bookmarkStart w:id="171" w:name="Box_2_1"/>
                      <w:bookmarkStart w:id="172" w:name="_Toc159675695"/>
                      <w:bookmarkStart w:id="173" w:name="_Toc159676002"/>
                      <w:bookmarkStart w:id="174" w:name="_Toc159676069"/>
                      <w:r>
                        <w:t>Box 2</w:t>
                      </w:r>
                      <w:r w:rsidR="00E14366">
                        <w:t>-</w:t>
                      </w:r>
                      <w:r>
                        <w:t>1</w:t>
                      </w:r>
                      <w:bookmarkEnd w:id="171"/>
                      <w:r>
                        <w:tab/>
                        <w:t>Urban transport expenditure: an overview</w:t>
                      </w:r>
                      <w:bookmarkEnd w:id="172"/>
                      <w:bookmarkEnd w:id="173"/>
                      <w:bookmarkEnd w:id="174"/>
                    </w:p>
                    <w:p w14:paraId="236535AD" w14:textId="23BB4508" w:rsidR="00A6486C" w:rsidRPr="004B3CA7" w:rsidRDefault="00A6486C" w:rsidP="00A6486C">
                      <w:r w:rsidRPr="004B3CA7">
                        <w:t xml:space="preserve">Collectively, states spend around $30 billion on urban transport investment and recurrent expenses, mostly in New South Wales and Victoria. In the 2024 Update, there were several significant data changes affecting states’ </w:t>
                      </w:r>
                      <w:r w:rsidR="003E0DF8">
                        <w:t>assessed</w:t>
                      </w:r>
                      <w:r w:rsidR="003E0DF8" w:rsidRPr="004B3CA7">
                        <w:t xml:space="preserve"> </w:t>
                      </w:r>
                      <w:r w:rsidRPr="004B3CA7">
                        <w:t xml:space="preserve">GST needs for urban transport. Two of these were data revisions and </w:t>
                      </w:r>
                      <w:r w:rsidR="00430557">
                        <w:t>three</w:t>
                      </w:r>
                      <w:r w:rsidR="00430557" w:rsidRPr="004B3CA7">
                        <w:t xml:space="preserve"> </w:t>
                      </w:r>
                      <w:r w:rsidRPr="004B3CA7">
                        <w:t>were changes in circumstances.</w:t>
                      </w:r>
                    </w:p>
                    <w:p w14:paraId="7CC9043D" w14:textId="32AE6E51" w:rsidR="00A6486C" w:rsidRPr="004B3CA7" w:rsidRDefault="00A6486C" w:rsidP="00C06CD3">
                      <w:pPr>
                        <w:pStyle w:val="BulletPoints"/>
                      </w:pPr>
                      <w:r w:rsidRPr="004B3CA7">
                        <w:t xml:space="preserve">Urban transport needs are assessed using ‘urban centre characteristics’, which include population and population-weighted density. Following the release of new data from the 2021 Census, the Commission updated urban populations and population-weighted density in each state. This increased the </w:t>
                      </w:r>
                      <w:r w:rsidR="00B06D1A">
                        <w:t xml:space="preserve">assessed </w:t>
                      </w:r>
                      <w:r w:rsidRPr="004B3CA7">
                        <w:t>GST needs of Victoria and the ACT and reduced the</w:t>
                      </w:r>
                      <w:r w:rsidR="00B21F4E">
                        <w:t xml:space="preserve"> assessed</w:t>
                      </w:r>
                      <w:r w:rsidRPr="004B3CA7">
                        <w:t xml:space="preserve"> GST needs of other states including New South Wales. This is discussed in </w:t>
                      </w:r>
                      <w:hyperlink w:anchor="_Box_2-2_2021" w:history="1">
                        <w:r w:rsidR="008E02C1" w:rsidRPr="00FB7B09">
                          <w:rPr>
                            <w:rStyle w:val="Hyperlink"/>
                            <w:color w:val="auto"/>
                            <w:u w:val="none"/>
                          </w:rPr>
                          <w:t xml:space="preserve">Box </w:t>
                        </w:r>
                        <w:r w:rsidR="004C1A6A" w:rsidRPr="00FB7B09">
                          <w:rPr>
                            <w:rStyle w:val="Hyperlink"/>
                            <w:color w:val="auto"/>
                            <w:u w:val="none"/>
                          </w:rPr>
                          <w:t>2-2</w:t>
                        </w:r>
                      </w:hyperlink>
                      <w:hyperlink w:anchor="_Box_2-2_2021" w:history="1">
                        <w:r w:rsidR="002A2370" w:rsidRPr="004B3CA7">
                          <w:rPr>
                            <w:rStyle w:val="Hyperlink"/>
                            <w:color w:val="auto"/>
                            <w:u w:val="none"/>
                          </w:rPr>
                          <w:fldChar w:fldCharType="begin"/>
                        </w:r>
                        <w:r w:rsidR="002A2370" w:rsidRPr="0068798B">
                          <w:instrText xml:space="preserve"> REF Box_2_2 \h </w:instrText>
                        </w:r>
                        <w:r w:rsidR="0068798B">
                          <w:rPr>
                            <w:rStyle w:val="Hyperlink"/>
                            <w:color w:val="auto"/>
                            <w:u w:val="none"/>
                          </w:rPr>
                          <w:instrText xml:space="preserve"> \* MERGEFORMAT </w:instrText>
                        </w:r>
                        <w:r w:rsidR="002A2370" w:rsidRPr="004B3CA7">
                          <w:rPr>
                            <w:rStyle w:val="Hyperlink"/>
                            <w:color w:val="auto"/>
                            <w:u w:val="none"/>
                          </w:rPr>
                        </w:r>
                        <w:r w:rsidR="002A2370" w:rsidRPr="004B3CA7">
                          <w:rPr>
                            <w:rStyle w:val="Hyperlink"/>
                            <w:color w:val="auto"/>
                            <w:u w:val="none"/>
                          </w:rPr>
                          <w:fldChar w:fldCharType="end"/>
                        </w:r>
                      </w:hyperlink>
                      <w:r w:rsidR="005E4F0C">
                        <w:t>.</w:t>
                      </w:r>
                    </w:p>
                    <w:p w14:paraId="6DF8A9D6" w14:textId="61215062" w:rsidR="00047120" w:rsidRPr="003E6C4F" w:rsidRDefault="00A6486C" w:rsidP="00047120">
                      <w:pPr>
                        <w:pStyle w:val="BulletPoints"/>
                      </w:pPr>
                      <w:r w:rsidRPr="004B3CA7">
                        <w:t>After applying the 2021 Census data, the Commission incorporates the changes in state circumstances. It replaces the 2019</w:t>
                      </w:r>
                      <w:r w:rsidR="00EF1F17">
                        <w:t>–</w:t>
                      </w:r>
                      <w:r w:rsidRPr="004B3CA7">
                        <w:t>20 year with the 2022</w:t>
                      </w:r>
                      <w:r w:rsidR="00EF1F17">
                        <w:t>–</w:t>
                      </w:r>
                      <w:r w:rsidRPr="004B3CA7">
                        <w:t>23 year. As Queensland’s population and population-weighted density grew faster than the national average between these years, its</w:t>
                      </w:r>
                      <w:r w:rsidR="00EF1F17">
                        <w:t xml:space="preserve"> assessed</w:t>
                      </w:r>
                      <w:r w:rsidRPr="004B3CA7">
                        <w:t xml:space="preserve"> GST needs increased. This is discussed in the section on Change in circumstances: </w:t>
                      </w:r>
                      <w:r w:rsidR="000A38D4" w:rsidRPr="004B3CA7">
                        <w:fldChar w:fldCharType="begin"/>
                      </w:r>
                      <w:r w:rsidR="000A38D4" w:rsidRPr="00274A03">
                        <w:rPr>
                          <w:highlight w:val="yellow"/>
                        </w:rPr>
                        <w:instrText xml:space="preserve"> REF Urban_centre_characteristics \h </w:instrText>
                      </w:r>
                      <w:r w:rsidR="00274A03" w:rsidRPr="00274A03">
                        <w:rPr>
                          <w:highlight w:val="yellow"/>
                        </w:rPr>
                        <w:instrText xml:space="preserve"> \* MERGEFORMAT </w:instrText>
                      </w:r>
                      <w:r w:rsidR="000A38D4" w:rsidRPr="004B3CA7">
                        <w:fldChar w:fldCharType="separate"/>
                      </w:r>
                      <w:r w:rsidR="00047120" w:rsidRPr="003E6C4F">
                        <w:t>Urban centre characteristics</w:t>
                      </w:r>
                      <w:r w:rsidR="005E4F0C">
                        <w:t>.</w:t>
                      </w:r>
                    </w:p>
                    <w:p w14:paraId="7E052263" w14:textId="56159911" w:rsidR="00047120" w:rsidRPr="003E6C4F" w:rsidRDefault="000A38D4" w:rsidP="00047120">
                      <w:pPr>
                        <w:pStyle w:val="BulletPoints"/>
                      </w:pPr>
                      <w:r w:rsidRPr="004B3CA7">
                        <w:fldChar w:fldCharType="end"/>
                      </w:r>
                      <w:r w:rsidR="00A6486C" w:rsidRPr="004B3CA7">
                        <w:t>There was relatively slow growth in urban transport recurrent expenditure</w:t>
                      </w:r>
                      <w:r w:rsidR="00DB40E1" w:rsidRPr="004B3CA7">
                        <w:t xml:space="preserve"> between </w:t>
                      </w:r>
                      <w:r w:rsidR="00232FD3" w:rsidRPr="004B3CA7">
                        <w:t>20</w:t>
                      </w:r>
                      <w:r w:rsidR="005C3F1B" w:rsidRPr="004B3CA7">
                        <w:t>19</w:t>
                      </w:r>
                      <w:r w:rsidR="00A94922">
                        <w:t>–</w:t>
                      </w:r>
                      <w:r w:rsidR="005C3F1B" w:rsidRPr="004B3CA7">
                        <w:t>20</w:t>
                      </w:r>
                      <w:r w:rsidR="00232FD3" w:rsidRPr="004B3CA7">
                        <w:t xml:space="preserve"> and 2022</w:t>
                      </w:r>
                      <w:r w:rsidR="00A94922">
                        <w:t>–</w:t>
                      </w:r>
                      <w:r w:rsidR="00232FD3" w:rsidRPr="004B3CA7">
                        <w:t>23</w:t>
                      </w:r>
                      <w:r w:rsidR="00A6486C" w:rsidRPr="004B3CA7">
                        <w:t xml:space="preserve">, which reduced the impact of urban centre characteristics in this update. This reduced the relative spending needs for urban transport in New South Wales and Victoria. This is discussed in the section on Change in circumstances: </w:t>
                      </w:r>
                      <w:r w:rsidR="00E32735" w:rsidRPr="004B3CA7">
                        <w:fldChar w:fldCharType="begin"/>
                      </w:r>
                      <w:r w:rsidR="00E32735" w:rsidRPr="0095123E">
                        <w:rPr>
                          <w:highlight w:val="yellow"/>
                        </w:rPr>
                        <w:instrText xml:space="preserve"> REF Urban_centre_characteristics \h  \* MERGEFORMAT </w:instrText>
                      </w:r>
                      <w:r w:rsidR="00E32735" w:rsidRPr="004B3CA7">
                        <w:fldChar w:fldCharType="separate"/>
                      </w:r>
                      <w:r w:rsidR="00047120" w:rsidRPr="003E6C4F">
                        <w:t>Urban centre characteristics</w:t>
                      </w:r>
                      <w:r w:rsidR="005E4F0C">
                        <w:t>.</w:t>
                      </w:r>
                    </w:p>
                    <w:p w14:paraId="02E3BDFD" w14:textId="159DF65F" w:rsidR="00047120" w:rsidRPr="00DC23FC" w:rsidRDefault="00E32735" w:rsidP="00047120">
                      <w:pPr>
                        <w:pStyle w:val="BulletPoints"/>
                      </w:pPr>
                      <w:r w:rsidRPr="004B3CA7">
                        <w:fldChar w:fldCharType="end"/>
                      </w:r>
                      <w:r w:rsidR="00A6486C" w:rsidRPr="004B3CA7">
                        <w:t>There was a large downward revision to national urban transport investment for 2021</w:t>
                      </w:r>
                      <w:r w:rsidR="00D82329">
                        <w:t>–</w:t>
                      </w:r>
                      <w:r w:rsidR="00A6486C" w:rsidRPr="004B3CA7">
                        <w:t xml:space="preserve">22. This reduced the assessed GST needs of New South Wales and Victoria. This is discussed in the section on Data revisions: </w:t>
                      </w:r>
                      <w:r w:rsidR="00227097" w:rsidRPr="004B3CA7">
                        <w:rPr>
                          <w:rFonts w:ascii="Open Sans Semibold" w:eastAsiaTheme="majorEastAsia" w:hAnsi="Open Sans Semibold" w:cstheme="majorBidi"/>
                          <w:iCs/>
                          <w:sz w:val="19"/>
                        </w:rPr>
                        <w:fldChar w:fldCharType="begin"/>
                      </w:r>
                      <w:r w:rsidR="00227097" w:rsidRPr="0095123E">
                        <w:rPr>
                          <w:highlight w:val="yellow"/>
                        </w:rPr>
                        <w:instrText xml:space="preserve"> REF Revisions_to_investment_data \h  \* MERGEFORMAT </w:instrText>
                      </w:r>
                      <w:r w:rsidR="00227097" w:rsidRPr="004B3CA7">
                        <w:rPr>
                          <w:rFonts w:ascii="Open Sans Semibold" w:eastAsiaTheme="majorEastAsia" w:hAnsi="Open Sans Semibold" w:cstheme="majorBidi"/>
                          <w:iCs/>
                          <w:sz w:val="19"/>
                        </w:rPr>
                      </w:r>
                      <w:r w:rsidR="00227097" w:rsidRPr="004B3CA7">
                        <w:rPr>
                          <w:rFonts w:ascii="Open Sans Semibold" w:eastAsiaTheme="majorEastAsia" w:hAnsi="Open Sans Semibold" w:cstheme="majorBidi"/>
                          <w:iCs/>
                          <w:sz w:val="19"/>
                        </w:rPr>
                        <w:fldChar w:fldCharType="separate"/>
                      </w:r>
                      <w:r w:rsidR="00047120" w:rsidRPr="00DC23FC">
                        <w:t>Revisions to investment data</w:t>
                      </w:r>
                      <w:r w:rsidR="005E4F0C">
                        <w:t>.</w:t>
                      </w:r>
                    </w:p>
                    <w:p w14:paraId="26458CB5" w14:textId="68016224" w:rsidR="00047120" w:rsidRPr="003E6C4F" w:rsidRDefault="00227097" w:rsidP="00047120">
                      <w:pPr>
                        <w:pStyle w:val="BulletPoints"/>
                      </w:pPr>
                      <w:r w:rsidRPr="004B3CA7">
                        <w:fldChar w:fldCharType="end"/>
                      </w:r>
                      <w:r w:rsidR="00A6486C" w:rsidRPr="004B3CA7">
                        <w:t>There was a large increase in national urban transport investment between 2019</w:t>
                      </w:r>
                      <w:r w:rsidR="00BA2FBE">
                        <w:t>–</w:t>
                      </w:r>
                      <w:r w:rsidR="00BA2FBE">
                        <w:rPr>
                          <w:rFonts w:ascii="Times New Roman" w:hAnsi="Times New Roman" w:cs="Times New Roman" w:hint="eastAsia"/>
                          <w:rtl/>
                        </w:rPr>
                        <w:t>‍</w:t>
                      </w:r>
                      <w:r w:rsidR="00A6486C" w:rsidRPr="004B3CA7">
                        <w:t>20 and 2022</w:t>
                      </w:r>
                      <w:r w:rsidR="00BA2FBE">
                        <w:t>–</w:t>
                      </w:r>
                      <w:r w:rsidR="00A6486C" w:rsidRPr="004B3CA7">
                        <w:t xml:space="preserve">23. This resulted in higher assessed GST needs for urban transport investment in New South Wales and Victoria. This is discussed in the section on Change in circumstances: </w:t>
                      </w:r>
                      <w:r w:rsidR="00AD7B9C" w:rsidRPr="004B3CA7">
                        <w:fldChar w:fldCharType="begin"/>
                      </w:r>
                      <w:r w:rsidR="00AD7B9C" w:rsidRPr="0095123E">
                        <w:rPr>
                          <w:highlight w:val="yellow"/>
                        </w:rPr>
                        <w:instrText xml:space="preserve"> REF Capital_improvements \h  \* MERGEFORMAT </w:instrText>
                      </w:r>
                      <w:r w:rsidR="00AD7B9C" w:rsidRPr="004B3CA7">
                        <w:fldChar w:fldCharType="separate"/>
                      </w:r>
                      <w:r w:rsidR="00047120" w:rsidRPr="003E6C4F">
                        <w:t>Capital improvements</w:t>
                      </w:r>
                      <w:r w:rsidR="005E4F0C">
                        <w:t>.</w:t>
                      </w:r>
                    </w:p>
                    <w:p w14:paraId="6C5D4D3E" w14:textId="4244AEE3" w:rsidR="00A6486C" w:rsidRPr="0095123E" w:rsidRDefault="00AD7B9C" w:rsidP="0014215B">
                      <w:pPr>
                        <w:pStyle w:val="BulletPoints"/>
                        <w:numPr>
                          <w:ilvl w:val="0"/>
                          <w:numId w:val="0"/>
                        </w:numPr>
                      </w:pPr>
                      <w:r w:rsidRPr="004B3CA7">
                        <w:fldChar w:fldCharType="end"/>
                      </w:r>
                      <w:r w:rsidR="00A6486C" w:rsidRPr="004B3CA7">
                        <w:t>The combined effects of all changes affecting states’ assessed</w:t>
                      </w:r>
                      <w:r w:rsidR="00377754">
                        <w:t xml:space="preserve"> GST</w:t>
                      </w:r>
                      <w:r w:rsidR="00A6486C" w:rsidRPr="004B3CA7">
                        <w:t xml:space="preserve"> needs for urban transport are shown </w:t>
                      </w:r>
                      <w:r w:rsidR="00A6486C" w:rsidRPr="0095123E">
                        <w:t>below. This includes changes not outlined above, such as those relating to wages and construction costs.</w:t>
                      </w:r>
                    </w:p>
                    <w:p w14:paraId="52694154" w14:textId="017BCDC3" w:rsidR="00A6486C" w:rsidRPr="00DC23FC" w:rsidRDefault="00A6486C" w:rsidP="003E759C">
                      <w:pPr>
                        <w:pStyle w:val="Tableheading"/>
                        <w:rPr>
                          <w:highlight w:val="yellow"/>
                        </w:rPr>
                      </w:pPr>
                      <w:r w:rsidRPr="0095123E">
                        <w:t>Table 2-3</w:t>
                      </w:r>
                      <w:r w:rsidR="00502106" w:rsidRPr="0095123E">
                        <w:t xml:space="preserve"> </w:t>
                      </w:r>
                      <w:r w:rsidR="004E75DE" w:rsidRPr="0095123E">
                        <w:tab/>
                      </w:r>
                      <w:r w:rsidR="00BD3431" w:rsidRPr="0095123E">
                        <w:t xml:space="preserve">Changes in assessed </w:t>
                      </w:r>
                      <w:r w:rsidRPr="0095123E">
                        <w:t xml:space="preserve">GST </w:t>
                      </w:r>
                      <w:r w:rsidR="005E126C" w:rsidRPr="0095123E">
                        <w:t xml:space="preserve">needs for </w:t>
                      </w:r>
                      <w:r w:rsidRPr="0095123E">
                        <w:t>urban transport</w:t>
                      </w:r>
                      <w:r w:rsidR="008A5D8A" w:rsidRPr="0095123E">
                        <w:t>, 2023</w:t>
                      </w:r>
                      <w:r w:rsidR="005056E6">
                        <w:t>–</w:t>
                      </w:r>
                      <w:r w:rsidR="008A5D8A" w:rsidRPr="00DC23FC">
                        <w:t>24 to 2024</w:t>
                      </w:r>
                      <w:r w:rsidR="005056E6">
                        <w:t>–</w:t>
                      </w:r>
                      <w:proofErr w:type="gramStart"/>
                      <w:r w:rsidR="008A5D8A" w:rsidRPr="00DC23FC">
                        <w:t>25</w:t>
                      </w:r>
                      <w:proofErr w:type="gramEnd"/>
                      <w:r w:rsidRPr="00DC23FC">
                        <w:rPr>
                          <w:highlight w:val="yellow"/>
                        </w:rPr>
                        <w:t xml:space="preserve"> </w:t>
                      </w:r>
                    </w:p>
                    <w:tbl>
                      <w:tblPr>
                        <w:tblW w:w="8980" w:type="dxa"/>
                        <w:tblLook w:val="04A0" w:firstRow="1" w:lastRow="0" w:firstColumn="1" w:lastColumn="0" w:noHBand="0" w:noVBand="1"/>
                      </w:tblPr>
                      <w:tblGrid>
                        <w:gridCol w:w="2720"/>
                        <w:gridCol w:w="680"/>
                        <w:gridCol w:w="680"/>
                        <w:gridCol w:w="680"/>
                        <w:gridCol w:w="680"/>
                        <w:gridCol w:w="680"/>
                        <w:gridCol w:w="680"/>
                        <w:gridCol w:w="680"/>
                        <w:gridCol w:w="680"/>
                        <w:gridCol w:w="820"/>
                      </w:tblGrid>
                      <w:tr w:rsidR="00D57E31" w:rsidRPr="00D57E31" w14:paraId="1E2EEFA2" w14:textId="77777777" w:rsidTr="00D57E31">
                        <w:trPr>
                          <w:trHeight w:val="555"/>
                        </w:trPr>
                        <w:tc>
                          <w:tcPr>
                            <w:tcW w:w="2720" w:type="dxa"/>
                            <w:tcBorders>
                              <w:top w:val="nil"/>
                              <w:left w:val="nil"/>
                              <w:bottom w:val="nil"/>
                              <w:right w:val="nil"/>
                            </w:tcBorders>
                            <w:shd w:val="clear" w:color="000000" w:fill="006991"/>
                            <w:vAlign w:val="center"/>
                            <w:hideMark/>
                          </w:tcPr>
                          <w:p w14:paraId="13DA587C" w14:textId="77777777" w:rsidR="00D57E31" w:rsidRPr="00D57E31" w:rsidRDefault="00D57E31" w:rsidP="00D57E31">
                            <w:pPr>
                              <w:tabs>
                                <w:tab w:val="clear" w:pos="567"/>
                              </w:tabs>
                              <w:spacing w:before="0" w:line="240" w:lineRule="auto"/>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 </w:t>
                            </w:r>
                          </w:p>
                        </w:tc>
                        <w:tc>
                          <w:tcPr>
                            <w:tcW w:w="680" w:type="dxa"/>
                            <w:tcBorders>
                              <w:top w:val="nil"/>
                              <w:left w:val="nil"/>
                              <w:bottom w:val="nil"/>
                              <w:right w:val="nil"/>
                            </w:tcBorders>
                            <w:shd w:val="clear" w:color="000000" w:fill="006991"/>
                            <w:vAlign w:val="center"/>
                            <w:hideMark/>
                          </w:tcPr>
                          <w:p w14:paraId="3A815BDF"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NSW</w:t>
                            </w:r>
                          </w:p>
                        </w:tc>
                        <w:tc>
                          <w:tcPr>
                            <w:tcW w:w="680" w:type="dxa"/>
                            <w:tcBorders>
                              <w:top w:val="nil"/>
                              <w:left w:val="nil"/>
                              <w:bottom w:val="nil"/>
                              <w:right w:val="nil"/>
                            </w:tcBorders>
                            <w:shd w:val="clear" w:color="000000" w:fill="006991"/>
                            <w:vAlign w:val="center"/>
                            <w:hideMark/>
                          </w:tcPr>
                          <w:p w14:paraId="0FAE5727"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Vic</w:t>
                            </w:r>
                          </w:p>
                        </w:tc>
                        <w:tc>
                          <w:tcPr>
                            <w:tcW w:w="680" w:type="dxa"/>
                            <w:tcBorders>
                              <w:top w:val="nil"/>
                              <w:left w:val="nil"/>
                              <w:bottom w:val="nil"/>
                              <w:right w:val="nil"/>
                            </w:tcBorders>
                            <w:shd w:val="clear" w:color="000000" w:fill="006991"/>
                            <w:vAlign w:val="center"/>
                            <w:hideMark/>
                          </w:tcPr>
                          <w:p w14:paraId="2E521E2E"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1F5C883B"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3BE2F7C8"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0D487DEA"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Tas</w:t>
                            </w:r>
                          </w:p>
                        </w:tc>
                        <w:tc>
                          <w:tcPr>
                            <w:tcW w:w="680" w:type="dxa"/>
                            <w:tcBorders>
                              <w:top w:val="nil"/>
                              <w:left w:val="nil"/>
                              <w:bottom w:val="nil"/>
                              <w:right w:val="nil"/>
                            </w:tcBorders>
                            <w:shd w:val="clear" w:color="000000" w:fill="006991"/>
                            <w:vAlign w:val="center"/>
                            <w:hideMark/>
                          </w:tcPr>
                          <w:p w14:paraId="31132DB6"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ACT</w:t>
                            </w:r>
                          </w:p>
                        </w:tc>
                        <w:tc>
                          <w:tcPr>
                            <w:tcW w:w="680" w:type="dxa"/>
                            <w:tcBorders>
                              <w:top w:val="nil"/>
                              <w:left w:val="nil"/>
                              <w:bottom w:val="nil"/>
                              <w:right w:val="nil"/>
                            </w:tcBorders>
                            <w:shd w:val="clear" w:color="000000" w:fill="006991"/>
                            <w:vAlign w:val="center"/>
                            <w:hideMark/>
                          </w:tcPr>
                          <w:p w14:paraId="47CD5F55"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2CCF0CE8"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57E31">
                              <w:rPr>
                                <w:rFonts w:ascii="Open Sans Semibold" w:eastAsia="Times New Roman" w:hAnsi="Open Sans Semibold" w:cs="Open Sans Semibold"/>
                                <w:color w:val="FFFFFF"/>
                                <w:sz w:val="16"/>
                                <w:szCs w:val="16"/>
                                <w:lang w:eastAsia="en-AU"/>
                              </w:rPr>
                              <w:t>Total Effect</w:t>
                            </w:r>
                          </w:p>
                        </w:tc>
                      </w:tr>
                      <w:tr w:rsidR="00D57E31" w:rsidRPr="00D57E31" w14:paraId="5EAD7E83" w14:textId="77777777" w:rsidTr="00D57E31">
                        <w:trPr>
                          <w:trHeight w:val="259"/>
                        </w:trPr>
                        <w:tc>
                          <w:tcPr>
                            <w:tcW w:w="2720" w:type="dxa"/>
                            <w:tcBorders>
                              <w:top w:val="single" w:sz="4" w:space="0" w:color="ADD6EA"/>
                              <w:left w:val="nil"/>
                              <w:bottom w:val="nil"/>
                              <w:right w:val="nil"/>
                            </w:tcBorders>
                            <w:shd w:val="clear" w:color="000000" w:fill="B6D5E4"/>
                            <w:vAlign w:val="center"/>
                            <w:hideMark/>
                          </w:tcPr>
                          <w:p w14:paraId="09ABDB0B" w14:textId="77777777" w:rsidR="00D57E31" w:rsidRPr="00D57E31" w:rsidRDefault="00D57E31" w:rsidP="00D57E31">
                            <w:pPr>
                              <w:tabs>
                                <w:tab w:val="clear" w:pos="567"/>
                              </w:tabs>
                              <w:spacing w:before="0" w:line="240" w:lineRule="auto"/>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 </w:t>
                            </w:r>
                          </w:p>
                        </w:tc>
                        <w:tc>
                          <w:tcPr>
                            <w:tcW w:w="680" w:type="dxa"/>
                            <w:tcBorders>
                              <w:top w:val="single" w:sz="4" w:space="0" w:color="ADD6EA"/>
                              <w:left w:val="nil"/>
                              <w:bottom w:val="nil"/>
                              <w:right w:val="nil"/>
                            </w:tcBorders>
                            <w:shd w:val="clear" w:color="000000" w:fill="B6D5E4"/>
                            <w:noWrap/>
                            <w:vAlign w:val="center"/>
                            <w:hideMark/>
                          </w:tcPr>
                          <w:p w14:paraId="20FEE986"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6E5179D1"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46BB3359"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16ADB0E1"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20676F86"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3B2E1B9B"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72E5DE6D"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7792E29F"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nil"/>
                              <w:right w:val="nil"/>
                            </w:tcBorders>
                            <w:shd w:val="clear" w:color="000000" w:fill="B6D5E4"/>
                            <w:noWrap/>
                            <w:vAlign w:val="center"/>
                            <w:hideMark/>
                          </w:tcPr>
                          <w:p w14:paraId="590CE4AC" w14:textId="77777777" w:rsidR="00D57E31" w:rsidRPr="00D57E31" w:rsidRDefault="00D57E31" w:rsidP="00D57E31">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57E31">
                              <w:rPr>
                                <w:rFonts w:ascii="Open Sans Semibold" w:eastAsia="Times New Roman" w:hAnsi="Open Sans Semibold" w:cs="Open Sans Semibold"/>
                                <w:color w:val="000000"/>
                                <w:sz w:val="16"/>
                                <w:szCs w:val="16"/>
                                <w:lang w:eastAsia="en-AU"/>
                              </w:rPr>
                              <w:t>$m</w:t>
                            </w:r>
                          </w:p>
                        </w:tc>
                      </w:tr>
                      <w:tr w:rsidR="00D57E31" w:rsidRPr="00D57E31" w14:paraId="06F5A6DE" w14:textId="77777777" w:rsidTr="00D57E31">
                        <w:trPr>
                          <w:trHeight w:val="555"/>
                        </w:trPr>
                        <w:tc>
                          <w:tcPr>
                            <w:tcW w:w="2720" w:type="dxa"/>
                            <w:tcBorders>
                              <w:top w:val="nil"/>
                              <w:left w:val="nil"/>
                              <w:bottom w:val="single" w:sz="4" w:space="0" w:color="ADD6EA"/>
                              <w:right w:val="nil"/>
                            </w:tcBorders>
                            <w:shd w:val="clear" w:color="auto" w:fill="auto"/>
                            <w:vAlign w:val="center"/>
                            <w:hideMark/>
                          </w:tcPr>
                          <w:p w14:paraId="40DB543C" w14:textId="77777777" w:rsidR="00D57E31" w:rsidRPr="003E759C" w:rsidRDefault="00D57E31" w:rsidP="00D57E31">
                            <w:pPr>
                              <w:tabs>
                                <w:tab w:val="clear" w:pos="567"/>
                              </w:tabs>
                              <w:spacing w:before="0" w:line="240" w:lineRule="auto"/>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Total change for urban transport expenditure</w:t>
                            </w:r>
                          </w:p>
                        </w:tc>
                        <w:tc>
                          <w:tcPr>
                            <w:tcW w:w="680" w:type="dxa"/>
                            <w:tcBorders>
                              <w:top w:val="nil"/>
                              <w:left w:val="nil"/>
                              <w:bottom w:val="single" w:sz="4" w:space="0" w:color="ADD6EA"/>
                              <w:right w:val="nil"/>
                            </w:tcBorders>
                            <w:shd w:val="clear" w:color="auto" w:fill="auto"/>
                            <w:noWrap/>
                            <w:vAlign w:val="center"/>
                            <w:hideMark/>
                          </w:tcPr>
                          <w:p w14:paraId="393B6A2C"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-251</w:t>
                            </w:r>
                          </w:p>
                        </w:tc>
                        <w:tc>
                          <w:tcPr>
                            <w:tcW w:w="680" w:type="dxa"/>
                            <w:tcBorders>
                              <w:top w:val="nil"/>
                              <w:left w:val="nil"/>
                              <w:bottom w:val="single" w:sz="4" w:space="0" w:color="ADD6EA"/>
                              <w:right w:val="nil"/>
                            </w:tcBorders>
                            <w:shd w:val="clear" w:color="auto" w:fill="auto"/>
                            <w:noWrap/>
                            <w:vAlign w:val="center"/>
                            <w:hideMark/>
                          </w:tcPr>
                          <w:p w14:paraId="3764F4CC"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619</w:t>
                            </w:r>
                          </w:p>
                        </w:tc>
                        <w:tc>
                          <w:tcPr>
                            <w:tcW w:w="680" w:type="dxa"/>
                            <w:tcBorders>
                              <w:top w:val="nil"/>
                              <w:left w:val="nil"/>
                              <w:bottom w:val="single" w:sz="4" w:space="0" w:color="ADD6EA"/>
                              <w:right w:val="nil"/>
                            </w:tcBorders>
                            <w:shd w:val="clear" w:color="auto" w:fill="auto"/>
                            <w:noWrap/>
                            <w:vAlign w:val="center"/>
                            <w:hideMark/>
                          </w:tcPr>
                          <w:p w14:paraId="371015A5"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107</w:t>
                            </w:r>
                          </w:p>
                        </w:tc>
                        <w:tc>
                          <w:tcPr>
                            <w:tcW w:w="680" w:type="dxa"/>
                            <w:tcBorders>
                              <w:top w:val="nil"/>
                              <w:left w:val="nil"/>
                              <w:bottom w:val="single" w:sz="4" w:space="0" w:color="ADD6EA"/>
                              <w:right w:val="nil"/>
                            </w:tcBorders>
                            <w:shd w:val="clear" w:color="auto" w:fill="auto"/>
                            <w:noWrap/>
                            <w:vAlign w:val="center"/>
                            <w:hideMark/>
                          </w:tcPr>
                          <w:p w14:paraId="7F1B251E"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-285</w:t>
                            </w:r>
                          </w:p>
                        </w:tc>
                        <w:tc>
                          <w:tcPr>
                            <w:tcW w:w="680" w:type="dxa"/>
                            <w:tcBorders>
                              <w:top w:val="nil"/>
                              <w:left w:val="nil"/>
                              <w:bottom w:val="single" w:sz="4" w:space="0" w:color="ADD6EA"/>
                              <w:right w:val="nil"/>
                            </w:tcBorders>
                            <w:shd w:val="clear" w:color="auto" w:fill="auto"/>
                            <w:noWrap/>
                            <w:vAlign w:val="center"/>
                            <w:hideMark/>
                          </w:tcPr>
                          <w:p w14:paraId="4F6BE95B"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-212</w:t>
                            </w:r>
                          </w:p>
                        </w:tc>
                        <w:tc>
                          <w:tcPr>
                            <w:tcW w:w="680" w:type="dxa"/>
                            <w:tcBorders>
                              <w:top w:val="nil"/>
                              <w:left w:val="nil"/>
                              <w:bottom w:val="single" w:sz="4" w:space="0" w:color="ADD6EA"/>
                              <w:right w:val="nil"/>
                            </w:tcBorders>
                            <w:shd w:val="clear" w:color="auto" w:fill="auto"/>
                            <w:noWrap/>
                            <w:vAlign w:val="center"/>
                            <w:hideMark/>
                          </w:tcPr>
                          <w:p w14:paraId="79E432D4"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-7</w:t>
                            </w:r>
                          </w:p>
                        </w:tc>
                        <w:tc>
                          <w:tcPr>
                            <w:tcW w:w="680" w:type="dxa"/>
                            <w:tcBorders>
                              <w:top w:val="nil"/>
                              <w:left w:val="nil"/>
                              <w:bottom w:val="single" w:sz="4" w:space="0" w:color="ADD6EA"/>
                              <w:right w:val="nil"/>
                            </w:tcBorders>
                            <w:shd w:val="clear" w:color="auto" w:fill="auto"/>
                            <w:noWrap/>
                            <w:vAlign w:val="center"/>
                            <w:hideMark/>
                          </w:tcPr>
                          <w:p w14:paraId="427EE900"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33</w:t>
                            </w:r>
                          </w:p>
                        </w:tc>
                        <w:tc>
                          <w:tcPr>
                            <w:tcW w:w="680" w:type="dxa"/>
                            <w:tcBorders>
                              <w:top w:val="nil"/>
                              <w:left w:val="nil"/>
                              <w:bottom w:val="single" w:sz="4" w:space="0" w:color="ADD6EA"/>
                              <w:right w:val="nil"/>
                            </w:tcBorders>
                            <w:shd w:val="clear" w:color="auto" w:fill="auto"/>
                            <w:noWrap/>
                            <w:vAlign w:val="center"/>
                            <w:hideMark/>
                          </w:tcPr>
                          <w:p w14:paraId="19BD73C1"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-3</w:t>
                            </w:r>
                          </w:p>
                        </w:tc>
                        <w:tc>
                          <w:tcPr>
                            <w:tcW w:w="820" w:type="dxa"/>
                            <w:tcBorders>
                              <w:top w:val="nil"/>
                              <w:left w:val="nil"/>
                              <w:bottom w:val="single" w:sz="4" w:space="0" w:color="ADD6EA"/>
                              <w:right w:val="nil"/>
                            </w:tcBorders>
                            <w:shd w:val="clear" w:color="auto" w:fill="auto"/>
                            <w:noWrap/>
                            <w:vAlign w:val="center"/>
                            <w:hideMark/>
                          </w:tcPr>
                          <w:p w14:paraId="140E62EC" w14:textId="77777777" w:rsidR="00D57E31" w:rsidRPr="003E759C" w:rsidRDefault="00D57E31" w:rsidP="00D57E31">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3E759C">
                              <w:rPr>
                                <w:rFonts w:ascii="Open Sans Light" w:eastAsia="Times New Roman" w:hAnsi="Open Sans Light" w:cs="Open Sans Light"/>
                                <w:color w:val="000000"/>
                                <w:sz w:val="16"/>
                                <w:szCs w:val="16"/>
                                <w:lang w:eastAsia="en-AU"/>
                              </w:rPr>
                              <w:t>759</w:t>
                            </w:r>
                          </w:p>
                        </w:tc>
                      </w:tr>
                    </w:tbl>
                    <w:p w14:paraId="0352CBE8" w14:textId="065707D2" w:rsidR="00A11030" w:rsidRPr="00176917" w:rsidRDefault="00AD1210" w:rsidP="004B3CA7">
                      <w:pPr>
                        <w:pStyle w:val="CGCTablenote"/>
                      </w:pPr>
                      <w:r>
                        <w:t>Source: Commission calculation</w:t>
                      </w:r>
                      <w:r w:rsidR="005056E6">
                        <w:t>.</w:t>
                      </w:r>
                    </w:p>
                  </w:txbxContent>
                </v:textbox>
                <w10:wrap type="square" anchorx="margin"/>
              </v:shape>
            </w:pict>
          </mc:Fallback>
        </mc:AlternateContent>
      </w:r>
    </w:p>
    <w:p w14:paraId="4BDA1D3E" w14:textId="77777777" w:rsidR="00C06CD3" w:rsidRDefault="00C06CD3">
      <w:pPr>
        <w:tabs>
          <w:tab w:val="clear" w:pos="567"/>
        </w:tabs>
        <w:spacing w:before="0" w:line="240" w:lineRule="auto"/>
        <w:rPr>
          <w:rFonts w:eastAsiaTheme="majorEastAsia" w:cs="Open Sans"/>
          <w:bCs/>
          <w:color w:val="006991"/>
          <w:sz w:val="40"/>
          <w:szCs w:val="40"/>
        </w:rPr>
      </w:pPr>
      <w:r>
        <w:br w:type="page"/>
      </w:r>
    </w:p>
    <w:p w14:paraId="0DF40202" w14:textId="77777777" w:rsidR="0057025E" w:rsidRPr="00DC23FC" w:rsidRDefault="0057025E" w:rsidP="00F44F1F">
      <w:pPr>
        <w:pStyle w:val="Heading3"/>
      </w:pPr>
      <w:r w:rsidRPr="00DC23FC">
        <w:lastRenderedPageBreak/>
        <w:t>Data revisions</w:t>
      </w:r>
    </w:p>
    <w:p w14:paraId="64FDCD02" w14:textId="10046F8A" w:rsidR="0057025E" w:rsidRPr="00DC23FC" w:rsidRDefault="0057025E" w:rsidP="0057025E">
      <w:r w:rsidRPr="00DC23FC">
        <w:t>Since the 2023</w:t>
      </w:r>
      <w:r w:rsidR="00483754">
        <w:t> </w:t>
      </w:r>
      <w:r w:rsidRPr="00DC23FC">
        <w:t>Update, data providers have released updated data. The Commission has revised its assessments using the latest available data. This section describes the impact of replacing data used in the 2023</w:t>
      </w:r>
      <w:r w:rsidR="00483754">
        <w:t> </w:t>
      </w:r>
      <w:r w:rsidRPr="00DC23FC">
        <w:t xml:space="preserve">Update with the latest available data (see </w:t>
      </w:r>
      <w:r w:rsidR="00AD7B9C">
        <w:fldChar w:fldCharType="begin"/>
      </w:r>
      <w:r w:rsidR="00AD7B9C">
        <w:instrText xml:space="preserve"> REF Table_2_4 \h </w:instrText>
      </w:r>
      <w:r w:rsidR="00AD7B9C">
        <w:fldChar w:fldCharType="separate"/>
      </w:r>
      <w:r w:rsidR="00047120" w:rsidRPr="00DC23FC">
        <w:t>Table 2-4</w:t>
      </w:r>
      <w:r w:rsidR="00AD7B9C">
        <w:fldChar w:fldCharType="end"/>
      </w:r>
      <w:r w:rsidRPr="00DC23FC">
        <w:t>).</w:t>
      </w:r>
    </w:p>
    <w:p w14:paraId="77AEAE19" w14:textId="4D4EFAE9" w:rsidR="0057025E" w:rsidRPr="00DC23FC" w:rsidRDefault="0057025E" w:rsidP="00FB1FB3">
      <w:pPr>
        <w:pStyle w:val="CGCTableHead"/>
      </w:pPr>
      <w:bookmarkStart w:id="175" w:name="Table_2_4"/>
      <w:r w:rsidRPr="00DC23FC">
        <w:t>Table 2-4</w:t>
      </w:r>
      <w:bookmarkEnd w:id="175"/>
      <w:r w:rsidRPr="00DC23FC">
        <w:tab/>
        <w:t>Major effects of data revisions, 2023</w:t>
      </w:r>
      <w:r w:rsidR="00BB7EC0">
        <w:t>–</w:t>
      </w:r>
      <w:r w:rsidRPr="00DC23FC">
        <w:t>24 to 2024</w:t>
      </w:r>
      <w:r w:rsidR="00BB7EC0">
        <w:t>–</w:t>
      </w:r>
      <w:r w:rsidRPr="00DC23FC">
        <w:t>25</w:t>
      </w:r>
    </w:p>
    <w:tbl>
      <w:tblPr>
        <w:tblW w:w="9140" w:type="dxa"/>
        <w:tblLook w:val="04A0" w:firstRow="1" w:lastRow="0" w:firstColumn="1" w:lastColumn="0" w:noHBand="0" w:noVBand="1"/>
      </w:tblPr>
      <w:tblGrid>
        <w:gridCol w:w="2740"/>
        <w:gridCol w:w="680"/>
        <w:gridCol w:w="680"/>
        <w:gridCol w:w="680"/>
        <w:gridCol w:w="680"/>
        <w:gridCol w:w="680"/>
        <w:gridCol w:w="680"/>
        <w:gridCol w:w="680"/>
        <w:gridCol w:w="680"/>
        <w:gridCol w:w="960"/>
      </w:tblGrid>
      <w:tr w:rsidR="00483754" w:rsidRPr="00483754" w14:paraId="63C44417" w14:textId="77777777" w:rsidTr="00483754">
        <w:trPr>
          <w:trHeight w:val="375"/>
        </w:trPr>
        <w:tc>
          <w:tcPr>
            <w:tcW w:w="2740" w:type="dxa"/>
            <w:tcBorders>
              <w:top w:val="nil"/>
              <w:left w:val="nil"/>
              <w:bottom w:val="nil"/>
              <w:right w:val="nil"/>
            </w:tcBorders>
            <w:shd w:val="clear" w:color="000000" w:fill="006991"/>
            <w:vAlign w:val="center"/>
            <w:hideMark/>
          </w:tcPr>
          <w:p w14:paraId="58D93A4E" w14:textId="77777777" w:rsidR="00483754" w:rsidRPr="00483754" w:rsidRDefault="00483754" w:rsidP="00483754">
            <w:pPr>
              <w:tabs>
                <w:tab w:val="clear" w:pos="567"/>
              </w:tabs>
              <w:spacing w:before="0" w:line="240" w:lineRule="auto"/>
              <w:rPr>
                <w:rFonts w:ascii="Open Sans Semibold" w:eastAsia="Times New Roman" w:hAnsi="Open Sans Semibold" w:cs="Open Sans Semibold"/>
                <w:color w:val="FFFFFF"/>
                <w:sz w:val="16"/>
                <w:szCs w:val="16"/>
                <w:lang w:eastAsia="en-AU"/>
              </w:rPr>
            </w:pPr>
            <w:r w:rsidRPr="00483754">
              <w:rPr>
                <w:rFonts w:ascii="Open Sans Semibold" w:eastAsia="Times New Roman" w:hAnsi="Open Sans Semibold" w:cs="Open Sans Semibold"/>
                <w:color w:val="FFFFFF"/>
                <w:sz w:val="16"/>
                <w:szCs w:val="16"/>
                <w:lang w:eastAsia="en-AU"/>
              </w:rPr>
              <w:t> </w:t>
            </w:r>
          </w:p>
        </w:tc>
        <w:tc>
          <w:tcPr>
            <w:tcW w:w="680" w:type="dxa"/>
            <w:tcBorders>
              <w:top w:val="nil"/>
              <w:left w:val="nil"/>
              <w:bottom w:val="nil"/>
              <w:right w:val="nil"/>
            </w:tcBorders>
            <w:shd w:val="clear" w:color="000000" w:fill="006991"/>
            <w:vAlign w:val="center"/>
            <w:hideMark/>
          </w:tcPr>
          <w:p w14:paraId="209EB641"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3754">
              <w:rPr>
                <w:rFonts w:ascii="Open Sans Semibold" w:eastAsia="Times New Roman" w:hAnsi="Open Sans Semibold" w:cs="Open Sans Semibold"/>
                <w:color w:val="FFFFFF"/>
                <w:sz w:val="16"/>
                <w:szCs w:val="16"/>
                <w:lang w:eastAsia="en-AU"/>
              </w:rPr>
              <w:t>NSW</w:t>
            </w:r>
          </w:p>
        </w:tc>
        <w:tc>
          <w:tcPr>
            <w:tcW w:w="680" w:type="dxa"/>
            <w:tcBorders>
              <w:top w:val="nil"/>
              <w:left w:val="nil"/>
              <w:bottom w:val="nil"/>
              <w:right w:val="nil"/>
            </w:tcBorders>
            <w:shd w:val="clear" w:color="000000" w:fill="006991"/>
            <w:vAlign w:val="center"/>
            <w:hideMark/>
          </w:tcPr>
          <w:p w14:paraId="03C28F05"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3754">
              <w:rPr>
                <w:rFonts w:ascii="Open Sans Semibold" w:eastAsia="Times New Roman" w:hAnsi="Open Sans Semibold" w:cs="Open Sans Semibold"/>
                <w:color w:val="FFFFFF"/>
                <w:sz w:val="16"/>
                <w:szCs w:val="16"/>
                <w:lang w:eastAsia="en-AU"/>
              </w:rPr>
              <w:t>Vic</w:t>
            </w:r>
          </w:p>
        </w:tc>
        <w:tc>
          <w:tcPr>
            <w:tcW w:w="680" w:type="dxa"/>
            <w:tcBorders>
              <w:top w:val="nil"/>
              <w:left w:val="nil"/>
              <w:bottom w:val="nil"/>
              <w:right w:val="nil"/>
            </w:tcBorders>
            <w:shd w:val="clear" w:color="000000" w:fill="006991"/>
            <w:vAlign w:val="center"/>
            <w:hideMark/>
          </w:tcPr>
          <w:p w14:paraId="59F55728"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3754">
              <w:rPr>
                <w:rFonts w:ascii="Open Sans Semibold" w:eastAsia="Times New Roman"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341D770B"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3754">
              <w:rPr>
                <w:rFonts w:ascii="Open Sans Semibold" w:eastAsia="Times New Roman" w:hAnsi="Open Sans Semibold" w:cs="Open Sans Semibold"/>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696CAED8"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3754">
              <w:rPr>
                <w:rFonts w:ascii="Open Sans Semibold" w:eastAsia="Times New Roman" w:hAnsi="Open Sans Semibold" w:cs="Open Sans Semibold"/>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097C8A1C"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3754">
              <w:rPr>
                <w:rFonts w:ascii="Open Sans Semibold" w:eastAsia="Times New Roman" w:hAnsi="Open Sans Semibold" w:cs="Open Sans Semibold"/>
                <w:color w:val="FFFFFF"/>
                <w:sz w:val="16"/>
                <w:szCs w:val="16"/>
                <w:lang w:eastAsia="en-AU"/>
              </w:rPr>
              <w:t>Tas</w:t>
            </w:r>
          </w:p>
        </w:tc>
        <w:tc>
          <w:tcPr>
            <w:tcW w:w="680" w:type="dxa"/>
            <w:tcBorders>
              <w:top w:val="nil"/>
              <w:left w:val="nil"/>
              <w:bottom w:val="nil"/>
              <w:right w:val="nil"/>
            </w:tcBorders>
            <w:shd w:val="clear" w:color="000000" w:fill="006991"/>
            <w:vAlign w:val="center"/>
            <w:hideMark/>
          </w:tcPr>
          <w:p w14:paraId="09CB0E65"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3754">
              <w:rPr>
                <w:rFonts w:ascii="Open Sans Semibold" w:eastAsia="Times New Roman" w:hAnsi="Open Sans Semibold" w:cs="Open Sans Semibold"/>
                <w:color w:val="FFFFFF"/>
                <w:sz w:val="16"/>
                <w:szCs w:val="16"/>
                <w:lang w:eastAsia="en-AU"/>
              </w:rPr>
              <w:t>ACT</w:t>
            </w:r>
          </w:p>
        </w:tc>
        <w:tc>
          <w:tcPr>
            <w:tcW w:w="680" w:type="dxa"/>
            <w:tcBorders>
              <w:top w:val="nil"/>
              <w:left w:val="nil"/>
              <w:bottom w:val="nil"/>
              <w:right w:val="nil"/>
            </w:tcBorders>
            <w:shd w:val="clear" w:color="000000" w:fill="006991"/>
            <w:vAlign w:val="center"/>
            <w:hideMark/>
          </w:tcPr>
          <w:p w14:paraId="4DF3F156"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3754">
              <w:rPr>
                <w:rFonts w:ascii="Open Sans Semibold" w:eastAsia="Times New Roman" w:hAnsi="Open Sans Semibold" w:cs="Open Sans Semibold"/>
                <w:color w:val="FFFFFF"/>
                <w:sz w:val="16"/>
                <w:szCs w:val="16"/>
                <w:lang w:eastAsia="en-AU"/>
              </w:rPr>
              <w:t>NT</w:t>
            </w:r>
          </w:p>
        </w:tc>
        <w:tc>
          <w:tcPr>
            <w:tcW w:w="960" w:type="dxa"/>
            <w:tcBorders>
              <w:top w:val="nil"/>
              <w:left w:val="nil"/>
              <w:bottom w:val="nil"/>
              <w:right w:val="nil"/>
            </w:tcBorders>
            <w:shd w:val="clear" w:color="000000" w:fill="006991"/>
            <w:vAlign w:val="center"/>
            <w:hideMark/>
          </w:tcPr>
          <w:p w14:paraId="227E565F"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83754">
              <w:rPr>
                <w:rFonts w:ascii="Open Sans Semibold" w:eastAsia="Times New Roman" w:hAnsi="Open Sans Semibold" w:cs="Open Sans Semibold"/>
                <w:color w:val="FFFFFF"/>
                <w:sz w:val="16"/>
                <w:szCs w:val="16"/>
                <w:lang w:eastAsia="en-AU"/>
              </w:rPr>
              <w:t>Total Effect</w:t>
            </w:r>
          </w:p>
        </w:tc>
      </w:tr>
      <w:tr w:rsidR="00483754" w:rsidRPr="00483754" w14:paraId="029BE484" w14:textId="77777777" w:rsidTr="00483754">
        <w:trPr>
          <w:trHeight w:val="259"/>
        </w:trPr>
        <w:tc>
          <w:tcPr>
            <w:tcW w:w="2740" w:type="dxa"/>
            <w:tcBorders>
              <w:top w:val="single" w:sz="4" w:space="0" w:color="ADD6EA"/>
              <w:left w:val="nil"/>
              <w:bottom w:val="nil"/>
              <w:right w:val="nil"/>
            </w:tcBorders>
            <w:shd w:val="clear" w:color="000000" w:fill="B6D5E4"/>
            <w:vAlign w:val="center"/>
            <w:hideMark/>
          </w:tcPr>
          <w:p w14:paraId="7B750E6D" w14:textId="77777777" w:rsidR="00483754" w:rsidRPr="00483754" w:rsidRDefault="00483754" w:rsidP="00483754">
            <w:pPr>
              <w:tabs>
                <w:tab w:val="clear" w:pos="567"/>
              </w:tabs>
              <w:spacing w:before="0" w:line="240" w:lineRule="auto"/>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 </w:t>
            </w:r>
          </w:p>
        </w:tc>
        <w:tc>
          <w:tcPr>
            <w:tcW w:w="680" w:type="dxa"/>
            <w:tcBorders>
              <w:top w:val="single" w:sz="4" w:space="0" w:color="ADD6EA"/>
              <w:left w:val="nil"/>
              <w:bottom w:val="nil"/>
              <w:right w:val="nil"/>
            </w:tcBorders>
            <w:shd w:val="clear" w:color="000000" w:fill="B6D5E4"/>
            <w:noWrap/>
            <w:vAlign w:val="center"/>
            <w:hideMark/>
          </w:tcPr>
          <w:p w14:paraId="54B77743"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1D67355C"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1B76D31B"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388D6DA1"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24B38385"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15C94A7A"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663AF6E5"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7F1EA174"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$m</w:t>
            </w:r>
          </w:p>
        </w:tc>
        <w:tc>
          <w:tcPr>
            <w:tcW w:w="960" w:type="dxa"/>
            <w:tcBorders>
              <w:top w:val="single" w:sz="4" w:space="0" w:color="ADD6EA"/>
              <w:left w:val="nil"/>
              <w:bottom w:val="nil"/>
              <w:right w:val="nil"/>
            </w:tcBorders>
            <w:shd w:val="clear" w:color="000000" w:fill="B6D5E4"/>
            <w:noWrap/>
            <w:vAlign w:val="center"/>
            <w:hideMark/>
          </w:tcPr>
          <w:p w14:paraId="5524DF6B"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$m</w:t>
            </w:r>
          </w:p>
        </w:tc>
      </w:tr>
      <w:tr w:rsidR="00483754" w:rsidRPr="00483754" w14:paraId="365B7B4B" w14:textId="77777777" w:rsidTr="00483754">
        <w:trPr>
          <w:trHeight w:val="315"/>
        </w:trPr>
        <w:tc>
          <w:tcPr>
            <w:tcW w:w="2740" w:type="dxa"/>
            <w:tcBorders>
              <w:top w:val="single" w:sz="4" w:space="0" w:color="ADD6EA"/>
              <w:left w:val="nil"/>
              <w:bottom w:val="nil"/>
              <w:right w:val="nil"/>
            </w:tcBorders>
            <w:shd w:val="clear" w:color="auto" w:fill="auto"/>
            <w:vAlign w:val="center"/>
            <w:hideMark/>
          </w:tcPr>
          <w:p w14:paraId="319A4ADC" w14:textId="77777777" w:rsidR="00483754" w:rsidRPr="00483754" w:rsidRDefault="00483754" w:rsidP="00483754">
            <w:pPr>
              <w:tabs>
                <w:tab w:val="clear" w:pos="567"/>
              </w:tabs>
              <w:spacing w:before="0" w:line="240" w:lineRule="auto"/>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Census revisions</w:t>
            </w:r>
          </w:p>
        </w:tc>
        <w:tc>
          <w:tcPr>
            <w:tcW w:w="680" w:type="dxa"/>
            <w:tcBorders>
              <w:top w:val="single" w:sz="4" w:space="0" w:color="ADD6EA"/>
              <w:left w:val="nil"/>
              <w:bottom w:val="nil"/>
              <w:right w:val="nil"/>
            </w:tcBorders>
            <w:shd w:val="clear" w:color="auto" w:fill="auto"/>
            <w:noWrap/>
            <w:vAlign w:val="center"/>
            <w:hideMark/>
          </w:tcPr>
          <w:p w14:paraId="0736A887"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single" w:sz="4" w:space="0" w:color="ADD6EA"/>
              <w:left w:val="nil"/>
              <w:bottom w:val="nil"/>
              <w:right w:val="nil"/>
            </w:tcBorders>
            <w:shd w:val="clear" w:color="auto" w:fill="auto"/>
            <w:noWrap/>
            <w:vAlign w:val="center"/>
            <w:hideMark/>
          </w:tcPr>
          <w:p w14:paraId="56EBFBEA"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single" w:sz="4" w:space="0" w:color="ADD6EA"/>
              <w:left w:val="nil"/>
              <w:bottom w:val="nil"/>
              <w:right w:val="nil"/>
            </w:tcBorders>
            <w:shd w:val="clear" w:color="auto" w:fill="auto"/>
            <w:noWrap/>
            <w:vAlign w:val="center"/>
            <w:hideMark/>
          </w:tcPr>
          <w:p w14:paraId="362C14AD"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single" w:sz="4" w:space="0" w:color="ADD6EA"/>
              <w:left w:val="nil"/>
              <w:bottom w:val="nil"/>
              <w:right w:val="nil"/>
            </w:tcBorders>
            <w:shd w:val="clear" w:color="auto" w:fill="auto"/>
            <w:noWrap/>
            <w:vAlign w:val="center"/>
            <w:hideMark/>
          </w:tcPr>
          <w:p w14:paraId="5422146D"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single" w:sz="4" w:space="0" w:color="ADD6EA"/>
              <w:left w:val="nil"/>
              <w:bottom w:val="nil"/>
              <w:right w:val="nil"/>
            </w:tcBorders>
            <w:shd w:val="clear" w:color="auto" w:fill="auto"/>
            <w:noWrap/>
            <w:vAlign w:val="center"/>
            <w:hideMark/>
          </w:tcPr>
          <w:p w14:paraId="3A7682CC"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single" w:sz="4" w:space="0" w:color="ADD6EA"/>
              <w:left w:val="nil"/>
              <w:bottom w:val="nil"/>
              <w:right w:val="nil"/>
            </w:tcBorders>
            <w:shd w:val="clear" w:color="auto" w:fill="auto"/>
            <w:noWrap/>
            <w:vAlign w:val="center"/>
            <w:hideMark/>
          </w:tcPr>
          <w:p w14:paraId="6F84A6D8"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single" w:sz="4" w:space="0" w:color="ADD6EA"/>
              <w:left w:val="nil"/>
              <w:bottom w:val="nil"/>
              <w:right w:val="nil"/>
            </w:tcBorders>
            <w:shd w:val="clear" w:color="auto" w:fill="auto"/>
            <w:noWrap/>
            <w:vAlign w:val="center"/>
            <w:hideMark/>
          </w:tcPr>
          <w:p w14:paraId="4F01AB66"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single" w:sz="4" w:space="0" w:color="ADD6EA"/>
              <w:left w:val="nil"/>
              <w:bottom w:val="nil"/>
              <w:right w:val="nil"/>
            </w:tcBorders>
            <w:shd w:val="clear" w:color="auto" w:fill="auto"/>
            <w:noWrap/>
            <w:vAlign w:val="center"/>
            <w:hideMark/>
          </w:tcPr>
          <w:p w14:paraId="0E193682"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960" w:type="dxa"/>
            <w:tcBorders>
              <w:top w:val="single" w:sz="4" w:space="0" w:color="ADD6EA"/>
              <w:left w:val="nil"/>
              <w:bottom w:val="nil"/>
              <w:right w:val="nil"/>
            </w:tcBorders>
            <w:shd w:val="clear" w:color="auto" w:fill="auto"/>
            <w:noWrap/>
            <w:vAlign w:val="center"/>
            <w:hideMark/>
          </w:tcPr>
          <w:p w14:paraId="784CD385"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r>
      <w:tr w:rsidR="00483754" w:rsidRPr="00483754" w14:paraId="6EC85E2F" w14:textId="77777777" w:rsidTr="00483754">
        <w:trPr>
          <w:trHeight w:val="315"/>
        </w:trPr>
        <w:tc>
          <w:tcPr>
            <w:tcW w:w="2740" w:type="dxa"/>
            <w:tcBorders>
              <w:top w:val="single" w:sz="4" w:space="0" w:color="ADD6EA"/>
              <w:left w:val="nil"/>
              <w:bottom w:val="nil"/>
              <w:right w:val="nil"/>
            </w:tcBorders>
            <w:shd w:val="clear" w:color="auto" w:fill="auto"/>
            <w:vAlign w:val="center"/>
            <w:hideMark/>
          </w:tcPr>
          <w:p w14:paraId="6E95CE53" w14:textId="6231DF29" w:rsidR="00483754" w:rsidRPr="00483754" w:rsidRDefault="00483754" w:rsidP="00483754">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xml:space="preserve">Investment in </w:t>
            </w:r>
            <w:r w:rsidR="007F2B69">
              <w:rPr>
                <w:rFonts w:ascii="Open Sans Light" w:eastAsia="Times New Roman" w:hAnsi="Open Sans Light" w:cs="Open Sans Light"/>
                <w:color w:val="000000"/>
                <w:sz w:val="16"/>
                <w:szCs w:val="16"/>
                <w:lang w:eastAsia="en-AU"/>
              </w:rPr>
              <w:t>u</w:t>
            </w:r>
            <w:r w:rsidRPr="00483754">
              <w:rPr>
                <w:rFonts w:ascii="Open Sans Light" w:eastAsia="Times New Roman" w:hAnsi="Open Sans Light" w:cs="Open Sans Light"/>
                <w:color w:val="000000"/>
                <w:sz w:val="16"/>
                <w:szCs w:val="16"/>
                <w:lang w:eastAsia="en-AU"/>
              </w:rPr>
              <w:t>rban transport</w:t>
            </w:r>
          </w:p>
        </w:tc>
        <w:tc>
          <w:tcPr>
            <w:tcW w:w="680" w:type="dxa"/>
            <w:tcBorders>
              <w:top w:val="single" w:sz="4" w:space="0" w:color="ADD6EA"/>
              <w:left w:val="nil"/>
              <w:bottom w:val="nil"/>
              <w:right w:val="nil"/>
            </w:tcBorders>
            <w:shd w:val="clear" w:color="auto" w:fill="auto"/>
            <w:noWrap/>
            <w:vAlign w:val="center"/>
            <w:hideMark/>
          </w:tcPr>
          <w:p w14:paraId="04193D71"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-148</w:t>
            </w:r>
          </w:p>
        </w:tc>
        <w:tc>
          <w:tcPr>
            <w:tcW w:w="680" w:type="dxa"/>
            <w:tcBorders>
              <w:top w:val="single" w:sz="4" w:space="0" w:color="ADD6EA"/>
              <w:left w:val="nil"/>
              <w:bottom w:val="nil"/>
              <w:right w:val="nil"/>
            </w:tcBorders>
            <w:shd w:val="clear" w:color="auto" w:fill="auto"/>
            <w:noWrap/>
            <w:vAlign w:val="center"/>
            <w:hideMark/>
          </w:tcPr>
          <w:p w14:paraId="5756D21E"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451</w:t>
            </w:r>
          </w:p>
        </w:tc>
        <w:tc>
          <w:tcPr>
            <w:tcW w:w="680" w:type="dxa"/>
            <w:tcBorders>
              <w:top w:val="single" w:sz="4" w:space="0" w:color="ADD6EA"/>
              <w:left w:val="nil"/>
              <w:bottom w:val="nil"/>
              <w:right w:val="nil"/>
            </w:tcBorders>
            <w:shd w:val="clear" w:color="auto" w:fill="auto"/>
            <w:noWrap/>
            <w:vAlign w:val="center"/>
            <w:hideMark/>
          </w:tcPr>
          <w:p w14:paraId="38C7C056"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-27</w:t>
            </w:r>
          </w:p>
        </w:tc>
        <w:tc>
          <w:tcPr>
            <w:tcW w:w="680" w:type="dxa"/>
            <w:tcBorders>
              <w:top w:val="single" w:sz="4" w:space="0" w:color="ADD6EA"/>
              <w:left w:val="nil"/>
              <w:bottom w:val="nil"/>
              <w:right w:val="nil"/>
            </w:tcBorders>
            <w:shd w:val="clear" w:color="auto" w:fill="auto"/>
            <w:noWrap/>
            <w:vAlign w:val="center"/>
            <w:hideMark/>
          </w:tcPr>
          <w:p w14:paraId="622A6B3F"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-186</w:t>
            </w:r>
          </w:p>
        </w:tc>
        <w:tc>
          <w:tcPr>
            <w:tcW w:w="680" w:type="dxa"/>
            <w:tcBorders>
              <w:top w:val="single" w:sz="4" w:space="0" w:color="ADD6EA"/>
              <w:left w:val="nil"/>
              <w:bottom w:val="nil"/>
              <w:right w:val="nil"/>
            </w:tcBorders>
            <w:shd w:val="clear" w:color="auto" w:fill="auto"/>
            <w:noWrap/>
            <w:vAlign w:val="center"/>
            <w:hideMark/>
          </w:tcPr>
          <w:p w14:paraId="10613F15"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-115</w:t>
            </w:r>
          </w:p>
        </w:tc>
        <w:tc>
          <w:tcPr>
            <w:tcW w:w="680" w:type="dxa"/>
            <w:tcBorders>
              <w:top w:val="single" w:sz="4" w:space="0" w:color="ADD6EA"/>
              <w:left w:val="nil"/>
              <w:bottom w:val="nil"/>
              <w:right w:val="nil"/>
            </w:tcBorders>
            <w:shd w:val="clear" w:color="auto" w:fill="auto"/>
            <w:noWrap/>
            <w:vAlign w:val="center"/>
            <w:hideMark/>
          </w:tcPr>
          <w:p w14:paraId="7DBDD161"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-5</w:t>
            </w:r>
          </w:p>
        </w:tc>
        <w:tc>
          <w:tcPr>
            <w:tcW w:w="680" w:type="dxa"/>
            <w:tcBorders>
              <w:top w:val="single" w:sz="4" w:space="0" w:color="ADD6EA"/>
              <w:left w:val="nil"/>
              <w:bottom w:val="nil"/>
              <w:right w:val="nil"/>
            </w:tcBorders>
            <w:shd w:val="clear" w:color="auto" w:fill="auto"/>
            <w:noWrap/>
            <w:vAlign w:val="center"/>
            <w:hideMark/>
          </w:tcPr>
          <w:p w14:paraId="761684C0"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35</w:t>
            </w:r>
          </w:p>
        </w:tc>
        <w:tc>
          <w:tcPr>
            <w:tcW w:w="680" w:type="dxa"/>
            <w:tcBorders>
              <w:top w:val="single" w:sz="4" w:space="0" w:color="ADD6EA"/>
              <w:left w:val="nil"/>
              <w:bottom w:val="nil"/>
              <w:right w:val="nil"/>
            </w:tcBorders>
            <w:shd w:val="clear" w:color="auto" w:fill="auto"/>
            <w:noWrap/>
            <w:vAlign w:val="center"/>
            <w:hideMark/>
          </w:tcPr>
          <w:p w14:paraId="58EFA62C"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-5</w:t>
            </w:r>
          </w:p>
        </w:tc>
        <w:tc>
          <w:tcPr>
            <w:tcW w:w="960" w:type="dxa"/>
            <w:tcBorders>
              <w:top w:val="single" w:sz="4" w:space="0" w:color="ADD6EA"/>
              <w:left w:val="nil"/>
              <w:bottom w:val="nil"/>
              <w:right w:val="nil"/>
            </w:tcBorders>
            <w:shd w:val="clear" w:color="auto" w:fill="auto"/>
            <w:noWrap/>
            <w:vAlign w:val="center"/>
            <w:hideMark/>
          </w:tcPr>
          <w:p w14:paraId="7CC6B987"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486</w:t>
            </w:r>
          </w:p>
        </w:tc>
      </w:tr>
      <w:tr w:rsidR="00483754" w:rsidRPr="00483754" w14:paraId="34C8BA4A" w14:textId="77777777" w:rsidTr="00483754">
        <w:trPr>
          <w:trHeight w:val="315"/>
        </w:trPr>
        <w:tc>
          <w:tcPr>
            <w:tcW w:w="2740" w:type="dxa"/>
            <w:tcBorders>
              <w:top w:val="single" w:sz="4" w:space="0" w:color="ADD6EA"/>
              <w:left w:val="nil"/>
              <w:bottom w:val="nil"/>
              <w:right w:val="nil"/>
            </w:tcBorders>
            <w:shd w:val="clear" w:color="auto" w:fill="auto"/>
            <w:vAlign w:val="center"/>
            <w:hideMark/>
          </w:tcPr>
          <w:p w14:paraId="17D231E1" w14:textId="77777777" w:rsidR="00483754" w:rsidRPr="00483754" w:rsidRDefault="00483754" w:rsidP="00483754">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Urban transport</w:t>
            </w:r>
          </w:p>
        </w:tc>
        <w:tc>
          <w:tcPr>
            <w:tcW w:w="680" w:type="dxa"/>
            <w:tcBorders>
              <w:top w:val="single" w:sz="4" w:space="0" w:color="ADD6EA"/>
              <w:left w:val="nil"/>
              <w:bottom w:val="nil"/>
              <w:right w:val="nil"/>
            </w:tcBorders>
            <w:shd w:val="clear" w:color="auto" w:fill="auto"/>
            <w:noWrap/>
            <w:vAlign w:val="center"/>
            <w:hideMark/>
          </w:tcPr>
          <w:p w14:paraId="75D04181"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-73</w:t>
            </w:r>
          </w:p>
        </w:tc>
        <w:tc>
          <w:tcPr>
            <w:tcW w:w="680" w:type="dxa"/>
            <w:tcBorders>
              <w:top w:val="single" w:sz="4" w:space="0" w:color="ADD6EA"/>
              <w:left w:val="nil"/>
              <w:bottom w:val="nil"/>
              <w:right w:val="nil"/>
            </w:tcBorders>
            <w:shd w:val="clear" w:color="auto" w:fill="auto"/>
            <w:noWrap/>
            <w:vAlign w:val="center"/>
            <w:hideMark/>
          </w:tcPr>
          <w:p w14:paraId="516DD79D"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251</w:t>
            </w:r>
          </w:p>
        </w:tc>
        <w:tc>
          <w:tcPr>
            <w:tcW w:w="680" w:type="dxa"/>
            <w:tcBorders>
              <w:top w:val="single" w:sz="4" w:space="0" w:color="ADD6EA"/>
              <w:left w:val="nil"/>
              <w:bottom w:val="nil"/>
              <w:right w:val="nil"/>
            </w:tcBorders>
            <w:shd w:val="clear" w:color="auto" w:fill="auto"/>
            <w:noWrap/>
            <w:vAlign w:val="center"/>
            <w:hideMark/>
          </w:tcPr>
          <w:p w14:paraId="7DF595A5"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-38</w:t>
            </w:r>
          </w:p>
        </w:tc>
        <w:tc>
          <w:tcPr>
            <w:tcW w:w="680" w:type="dxa"/>
            <w:tcBorders>
              <w:top w:val="single" w:sz="4" w:space="0" w:color="ADD6EA"/>
              <w:left w:val="nil"/>
              <w:bottom w:val="nil"/>
              <w:right w:val="nil"/>
            </w:tcBorders>
            <w:shd w:val="clear" w:color="auto" w:fill="auto"/>
            <w:noWrap/>
            <w:vAlign w:val="center"/>
            <w:hideMark/>
          </w:tcPr>
          <w:p w14:paraId="517AE58F"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-79</w:t>
            </w:r>
          </w:p>
        </w:tc>
        <w:tc>
          <w:tcPr>
            <w:tcW w:w="680" w:type="dxa"/>
            <w:tcBorders>
              <w:top w:val="single" w:sz="4" w:space="0" w:color="ADD6EA"/>
              <w:left w:val="nil"/>
              <w:bottom w:val="nil"/>
              <w:right w:val="nil"/>
            </w:tcBorders>
            <w:shd w:val="clear" w:color="auto" w:fill="auto"/>
            <w:noWrap/>
            <w:vAlign w:val="center"/>
            <w:hideMark/>
          </w:tcPr>
          <w:p w14:paraId="72C57A49"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-52</w:t>
            </w:r>
          </w:p>
        </w:tc>
        <w:tc>
          <w:tcPr>
            <w:tcW w:w="680" w:type="dxa"/>
            <w:tcBorders>
              <w:top w:val="single" w:sz="4" w:space="0" w:color="ADD6EA"/>
              <w:left w:val="nil"/>
              <w:bottom w:val="nil"/>
              <w:right w:val="nil"/>
            </w:tcBorders>
            <w:shd w:val="clear" w:color="auto" w:fill="auto"/>
            <w:noWrap/>
            <w:vAlign w:val="center"/>
            <w:hideMark/>
          </w:tcPr>
          <w:p w14:paraId="1CF12C78"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-5</w:t>
            </w:r>
          </w:p>
        </w:tc>
        <w:tc>
          <w:tcPr>
            <w:tcW w:w="680" w:type="dxa"/>
            <w:tcBorders>
              <w:top w:val="single" w:sz="4" w:space="0" w:color="ADD6EA"/>
              <w:left w:val="nil"/>
              <w:bottom w:val="nil"/>
              <w:right w:val="nil"/>
            </w:tcBorders>
            <w:shd w:val="clear" w:color="auto" w:fill="auto"/>
            <w:noWrap/>
            <w:vAlign w:val="center"/>
            <w:hideMark/>
          </w:tcPr>
          <w:p w14:paraId="6B43CB70"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w:t>
            </w:r>
          </w:p>
        </w:tc>
        <w:tc>
          <w:tcPr>
            <w:tcW w:w="680" w:type="dxa"/>
            <w:tcBorders>
              <w:top w:val="single" w:sz="4" w:space="0" w:color="ADD6EA"/>
              <w:left w:val="nil"/>
              <w:bottom w:val="nil"/>
              <w:right w:val="nil"/>
            </w:tcBorders>
            <w:shd w:val="clear" w:color="auto" w:fill="auto"/>
            <w:noWrap/>
            <w:vAlign w:val="center"/>
            <w:hideMark/>
          </w:tcPr>
          <w:p w14:paraId="22E06B58"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-3</w:t>
            </w:r>
          </w:p>
        </w:tc>
        <w:tc>
          <w:tcPr>
            <w:tcW w:w="960" w:type="dxa"/>
            <w:tcBorders>
              <w:top w:val="single" w:sz="4" w:space="0" w:color="ADD6EA"/>
              <w:left w:val="nil"/>
              <w:bottom w:val="nil"/>
              <w:right w:val="nil"/>
            </w:tcBorders>
            <w:shd w:val="clear" w:color="auto" w:fill="auto"/>
            <w:noWrap/>
            <w:vAlign w:val="center"/>
            <w:hideMark/>
          </w:tcPr>
          <w:p w14:paraId="1682D8ED"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251</w:t>
            </w:r>
          </w:p>
        </w:tc>
      </w:tr>
      <w:tr w:rsidR="00483754" w:rsidRPr="00483754" w14:paraId="03D1692C" w14:textId="77777777" w:rsidTr="00483754">
        <w:trPr>
          <w:trHeight w:val="315"/>
        </w:trPr>
        <w:tc>
          <w:tcPr>
            <w:tcW w:w="2740" w:type="dxa"/>
            <w:tcBorders>
              <w:top w:val="single" w:sz="4" w:space="0" w:color="ADD6EA"/>
              <w:left w:val="nil"/>
              <w:bottom w:val="nil"/>
              <w:right w:val="nil"/>
            </w:tcBorders>
            <w:shd w:val="clear" w:color="auto" w:fill="auto"/>
            <w:vAlign w:val="center"/>
            <w:hideMark/>
          </w:tcPr>
          <w:p w14:paraId="139F7995" w14:textId="77777777" w:rsidR="00483754" w:rsidRPr="00483754" w:rsidRDefault="00483754" w:rsidP="00483754">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Admitted patients</w:t>
            </w:r>
          </w:p>
        </w:tc>
        <w:tc>
          <w:tcPr>
            <w:tcW w:w="680" w:type="dxa"/>
            <w:tcBorders>
              <w:top w:val="single" w:sz="4" w:space="0" w:color="ADD6EA"/>
              <w:left w:val="nil"/>
              <w:bottom w:val="nil"/>
              <w:right w:val="nil"/>
            </w:tcBorders>
            <w:shd w:val="clear" w:color="auto" w:fill="auto"/>
            <w:noWrap/>
            <w:vAlign w:val="center"/>
            <w:hideMark/>
          </w:tcPr>
          <w:p w14:paraId="680814A8"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-142</w:t>
            </w:r>
          </w:p>
        </w:tc>
        <w:tc>
          <w:tcPr>
            <w:tcW w:w="680" w:type="dxa"/>
            <w:tcBorders>
              <w:top w:val="single" w:sz="4" w:space="0" w:color="ADD6EA"/>
              <w:left w:val="nil"/>
              <w:bottom w:val="nil"/>
              <w:right w:val="nil"/>
            </w:tcBorders>
            <w:shd w:val="clear" w:color="auto" w:fill="auto"/>
            <w:noWrap/>
            <w:vAlign w:val="center"/>
            <w:hideMark/>
          </w:tcPr>
          <w:p w14:paraId="190D4E78"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14</w:t>
            </w:r>
          </w:p>
        </w:tc>
        <w:tc>
          <w:tcPr>
            <w:tcW w:w="680" w:type="dxa"/>
            <w:tcBorders>
              <w:top w:val="single" w:sz="4" w:space="0" w:color="ADD6EA"/>
              <w:left w:val="nil"/>
              <w:bottom w:val="nil"/>
              <w:right w:val="nil"/>
            </w:tcBorders>
            <w:shd w:val="clear" w:color="auto" w:fill="auto"/>
            <w:noWrap/>
            <w:vAlign w:val="center"/>
            <w:hideMark/>
          </w:tcPr>
          <w:p w14:paraId="2E88187A"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111</w:t>
            </w:r>
          </w:p>
        </w:tc>
        <w:tc>
          <w:tcPr>
            <w:tcW w:w="680" w:type="dxa"/>
            <w:tcBorders>
              <w:top w:val="single" w:sz="4" w:space="0" w:color="ADD6EA"/>
              <w:left w:val="nil"/>
              <w:bottom w:val="nil"/>
              <w:right w:val="nil"/>
            </w:tcBorders>
            <w:shd w:val="clear" w:color="auto" w:fill="auto"/>
            <w:noWrap/>
            <w:vAlign w:val="center"/>
            <w:hideMark/>
          </w:tcPr>
          <w:p w14:paraId="361FD3B7"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w:t>
            </w:r>
          </w:p>
        </w:tc>
        <w:tc>
          <w:tcPr>
            <w:tcW w:w="680" w:type="dxa"/>
            <w:tcBorders>
              <w:top w:val="single" w:sz="4" w:space="0" w:color="ADD6EA"/>
              <w:left w:val="nil"/>
              <w:bottom w:val="nil"/>
              <w:right w:val="nil"/>
            </w:tcBorders>
            <w:shd w:val="clear" w:color="auto" w:fill="auto"/>
            <w:noWrap/>
            <w:vAlign w:val="center"/>
            <w:hideMark/>
          </w:tcPr>
          <w:p w14:paraId="7E09F3AF"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-59</w:t>
            </w:r>
          </w:p>
        </w:tc>
        <w:tc>
          <w:tcPr>
            <w:tcW w:w="680" w:type="dxa"/>
            <w:tcBorders>
              <w:top w:val="single" w:sz="4" w:space="0" w:color="ADD6EA"/>
              <w:left w:val="nil"/>
              <w:bottom w:val="nil"/>
              <w:right w:val="nil"/>
            </w:tcBorders>
            <w:shd w:val="clear" w:color="auto" w:fill="auto"/>
            <w:noWrap/>
            <w:vAlign w:val="center"/>
            <w:hideMark/>
          </w:tcPr>
          <w:p w14:paraId="5ED68977"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39</w:t>
            </w:r>
          </w:p>
        </w:tc>
        <w:tc>
          <w:tcPr>
            <w:tcW w:w="680" w:type="dxa"/>
            <w:tcBorders>
              <w:top w:val="single" w:sz="4" w:space="0" w:color="ADD6EA"/>
              <w:left w:val="nil"/>
              <w:bottom w:val="nil"/>
              <w:right w:val="nil"/>
            </w:tcBorders>
            <w:shd w:val="clear" w:color="auto" w:fill="auto"/>
            <w:noWrap/>
            <w:vAlign w:val="center"/>
            <w:hideMark/>
          </w:tcPr>
          <w:p w14:paraId="67649509"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8</w:t>
            </w:r>
          </w:p>
        </w:tc>
        <w:tc>
          <w:tcPr>
            <w:tcW w:w="680" w:type="dxa"/>
            <w:tcBorders>
              <w:top w:val="single" w:sz="4" w:space="0" w:color="ADD6EA"/>
              <w:left w:val="nil"/>
              <w:bottom w:val="nil"/>
              <w:right w:val="nil"/>
            </w:tcBorders>
            <w:shd w:val="clear" w:color="auto" w:fill="auto"/>
            <w:noWrap/>
            <w:vAlign w:val="center"/>
            <w:hideMark/>
          </w:tcPr>
          <w:p w14:paraId="18B66F4F"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29</w:t>
            </w:r>
          </w:p>
        </w:tc>
        <w:tc>
          <w:tcPr>
            <w:tcW w:w="960" w:type="dxa"/>
            <w:tcBorders>
              <w:top w:val="single" w:sz="4" w:space="0" w:color="ADD6EA"/>
              <w:left w:val="nil"/>
              <w:bottom w:val="nil"/>
              <w:right w:val="nil"/>
            </w:tcBorders>
            <w:shd w:val="clear" w:color="auto" w:fill="auto"/>
            <w:noWrap/>
            <w:vAlign w:val="center"/>
            <w:hideMark/>
          </w:tcPr>
          <w:p w14:paraId="29D8F8E6"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202</w:t>
            </w:r>
          </w:p>
        </w:tc>
      </w:tr>
      <w:tr w:rsidR="00483754" w:rsidRPr="00483754" w14:paraId="73E8DA32" w14:textId="77777777" w:rsidTr="00483754">
        <w:trPr>
          <w:trHeight w:val="315"/>
        </w:trPr>
        <w:tc>
          <w:tcPr>
            <w:tcW w:w="2740" w:type="dxa"/>
            <w:tcBorders>
              <w:top w:val="single" w:sz="4" w:space="0" w:color="ADD6EA"/>
              <w:left w:val="nil"/>
              <w:bottom w:val="nil"/>
              <w:right w:val="nil"/>
            </w:tcBorders>
            <w:shd w:val="clear" w:color="auto" w:fill="auto"/>
            <w:vAlign w:val="center"/>
            <w:hideMark/>
          </w:tcPr>
          <w:p w14:paraId="13BC79C1" w14:textId="77777777" w:rsidR="00483754" w:rsidRPr="00483754" w:rsidRDefault="00483754" w:rsidP="00483754">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Other revisions</w:t>
            </w:r>
          </w:p>
        </w:tc>
        <w:tc>
          <w:tcPr>
            <w:tcW w:w="680" w:type="dxa"/>
            <w:tcBorders>
              <w:top w:val="single" w:sz="4" w:space="0" w:color="ADD6EA"/>
              <w:left w:val="nil"/>
              <w:bottom w:val="nil"/>
              <w:right w:val="nil"/>
            </w:tcBorders>
            <w:shd w:val="clear" w:color="auto" w:fill="auto"/>
            <w:noWrap/>
            <w:vAlign w:val="center"/>
            <w:hideMark/>
          </w:tcPr>
          <w:p w14:paraId="4097A081"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-181</w:t>
            </w:r>
          </w:p>
        </w:tc>
        <w:tc>
          <w:tcPr>
            <w:tcW w:w="680" w:type="dxa"/>
            <w:tcBorders>
              <w:top w:val="single" w:sz="4" w:space="0" w:color="ADD6EA"/>
              <w:left w:val="nil"/>
              <w:bottom w:val="nil"/>
              <w:right w:val="nil"/>
            </w:tcBorders>
            <w:shd w:val="clear" w:color="auto" w:fill="auto"/>
            <w:noWrap/>
            <w:vAlign w:val="center"/>
            <w:hideMark/>
          </w:tcPr>
          <w:p w14:paraId="13F541F8"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118</w:t>
            </w:r>
          </w:p>
        </w:tc>
        <w:tc>
          <w:tcPr>
            <w:tcW w:w="680" w:type="dxa"/>
            <w:tcBorders>
              <w:top w:val="single" w:sz="4" w:space="0" w:color="ADD6EA"/>
              <w:left w:val="nil"/>
              <w:bottom w:val="nil"/>
              <w:right w:val="nil"/>
            </w:tcBorders>
            <w:shd w:val="clear" w:color="auto" w:fill="auto"/>
            <w:noWrap/>
            <w:vAlign w:val="center"/>
            <w:hideMark/>
          </w:tcPr>
          <w:p w14:paraId="42F0770C"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41</w:t>
            </w:r>
          </w:p>
        </w:tc>
        <w:tc>
          <w:tcPr>
            <w:tcW w:w="680" w:type="dxa"/>
            <w:tcBorders>
              <w:top w:val="single" w:sz="4" w:space="0" w:color="ADD6EA"/>
              <w:left w:val="nil"/>
              <w:bottom w:val="nil"/>
              <w:right w:val="nil"/>
            </w:tcBorders>
            <w:shd w:val="clear" w:color="auto" w:fill="auto"/>
            <w:noWrap/>
            <w:vAlign w:val="center"/>
            <w:hideMark/>
          </w:tcPr>
          <w:p w14:paraId="1E13EACB"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16</w:t>
            </w:r>
          </w:p>
        </w:tc>
        <w:tc>
          <w:tcPr>
            <w:tcW w:w="680" w:type="dxa"/>
            <w:tcBorders>
              <w:top w:val="single" w:sz="4" w:space="0" w:color="ADD6EA"/>
              <w:left w:val="nil"/>
              <w:bottom w:val="nil"/>
              <w:right w:val="nil"/>
            </w:tcBorders>
            <w:shd w:val="clear" w:color="auto" w:fill="auto"/>
            <w:noWrap/>
            <w:vAlign w:val="center"/>
            <w:hideMark/>
          </w:tcPr>
          <w:p w14:paraId="7D2322A4"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-60</w:t>
            </w:r>
          </w:p>
        </w:tc>
        <w:tc>
          <w:tcPr>
            <w:tcW w:w="680" w:type="dxa"/>
            <w:tcBorders>
              <w:top w:val="single" w:sz="4" w:space="0" w:color="ADD6EA"/>
              <w:left w:val="nil"/>
              <w:bottom w:val="nil"/>
              <w:right w:val="nil"/>
            </w:tcBorders>
            <w:shd w:val="clear" w:color="auto" w:fill="auto"/>
            <w:noWrap/>
            <w:vAlign w:val="center"/>
            <w:hideMark/>
          </w:tcPr>
          <w:p w14:paraId="47F4F6EC"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34</w:t>
            </w:r>
          </w:p>
        </w:tc>
        <w:tc>
          <w:tcPr>
            <w:tcW w:w="680" w:type="dxa"/>
            <w:tcBorders>
              <w:top w:val="single" w:sz="4" w:space="0" w:color="ADD6EA"/>
              <w:left w:val="nil"/>
              <w:bottom w:val="nil"/>
              <w:right w:val="nil"/>
            </w:tcBorders>
            <w:shd w:val="clear" w:color="auto" w:fill="auto"/>
            <w:noWrap/>
            <w:vAlign w:val="center"/>
            <w:hideMark/>
          </w:tcPr>
          <w:p w14:paraId="1BB193A1"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4</w:t>
            </w:r>
          </w:p>
        </w:tc>
        <w:tc>
          <w:tcPr>
            <w:tcW w:w="680" w:type="dxa"/>
            <w:tcBorders>
              <w:top w:val="single" w:sz="4" w:space="0" w:color="ADD6EA"/>
              <w:left w:val="nil"/>
              <w:bottom w:val="nil"/>
              <w:right w:val="nil"/>
            </w:tcBorders>
            <w:shd w:val="clear" w:color="auto" w:fill="auto"/>
            <w:noWrap/>
            <w:vAlign w:val="center"/>
            <w:hideMark/>
          </w:tcPr>
          <w:p w14:paraId="06793D71"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28</w:t>
            </w:r>
          </w:p>
        </w:tc>
        <w:tc>
          <w:tcPr>
            <w:tcW w:w="960" w:type="dxa"/>
            <w:tcBorders>
              <w:top w:val="single" w:sz="4" w:space="0" w:color="ADD6EA"/>
              <w:left w:val="nil"/>
              <w:bottom w:val="nil"/>
              <w:right w:val="nil"/>
            </w:tcBorders>
            <w:shd w:val="clear" w:color="auto" w:fill="auto"/>
            <w:noWrap/>
            <w:vAlign w:val="center"/>
            <w:hideMark/>
          </w:tcPr>
          <w:p w14:paraId="7436C322"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241</w:t>
            </w:r>
          </w:p>
        </w:tc>
      </w:tr>
      <w:tr w:rsidR="00483754" w:rsidRPr="00483754" w14:paraId="2426DE3D" w14:textId="77777777" w:rsidTr="00483754">
        <w:trPr>
          <w:trHeight w:val="315"/>
        </w:trPr>
        <w:tc>
          <w:tcPr>
            <w:tcW w:w="2740" w:type="dxa"/>
            <w:tcBorders>
              <w:top w:val="single" w:sz="4" w:space="0" w:color="ADD6EA"/>
              <w:left w:val="nil"/>
              <w:bottom w:val="single" w:sz="4" w:space="0" w:color="ADD6EA"/>
              <w:right w:val="nil"/>
            </w:tcBorders>
            <w:shd w:val="clear" w:color="000000" w:fill="D6E7F0"/>
            <w:vAlign w:val="center"/>
            <w:hideMark/>
          </w:tcPr>
          <w:p w14:paraId="4707B144" w14:textId="77777777" w:rsidR="00483754" w:rsidRPr="00483754" w:rsidRDefault="00483754" w:rsidP="00483754">
            <w:pPr>
              <w:tabs>
                <w:tab w:val="clear" w:pos="567"/>
              </w:tabs>
              <w:spacing w:before="0" w:line="240" w:lineRule="auto"/>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Total</w:t>
            </w:r>
          </w:p>
        </w:tc>
        <w:tc>
          <w:tcPr>
            <w:tcW w:w="680" w:type="dxa"/>
            <w:tcBorders>
              <w:top w:val="single" w:sz="4" w:space="0" w:color="ADD6EA"/>
              <w:left w:val="nil"/>
              <w:bottom w:val="single" w:sz="4" w:space="0" w:color="ADD6EA"/>
              <w:right w:val="nil"/>
            </w:tcBorders>
            <w:shd w:val="clear" w:color="000000" w:fill="D6E7F0"/>
            <w:noWrap/>
            <w:vAlign w:val="center"/>
            <w:hideMark/>
          </w:tcPr>
          <w:p w14:paraId="0D285659"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-544</w:t>
            </w:r>
          </w:p>
        </w:tc>
        <w:tc>
          <w:tcPr>
            <w:tcW w:w="680" w:type="dxa"/>
            <w:tcBorders>
              <w:top w:val="single" w:sz="4" w:space="0" w:color="ADD6EA"/>
              <w:left w:val="nil"/>
              <w:bottom w:val="single" w:sz="4" w:space="0" w:color="ADD6EA"/>
              <w:right w:val="nil"/>
            </w:tcBorders>
            <w:shd w:val="clear" w:color="000000" w:fill="D6E7F0"/>
            <w:noWrap/>
            <w:vAlign w:val="center"/>
            <w:hideMark/>
          </w:tcPr>
          <w:p w14:paraId="5F85433C"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835</w:t>
            </w:r>
          </w:p>
        </w:tc>
        <w:tc>
          <w:tcPr>
            <w:tcW w:w="680" w:type="dxa"/>
            <w:tcBorders>
              <w:top w:val="single" w:sz="4" w:space="0" w:color="ADD6EA"/>
              <w:left w:val="nil"/>
              <w:bottom w:val="single" w:sz="4" w:space="0" w:color="ADD6EA"/>
              <w:right w:val="nil"/>
            </w:tcBorders>
            <w:shd w:val="clear" w:color="000000" w:fill="D6E7F0"/>
            <w:noWrap/>
            <w:vAlign w:val="center"/>
            <w:hideMark/>
          </w:tcPr>
          <w:p w14:paraId="167149C3"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87</w:t>
            </w:r>
          </w:p>
        </w:tc>
        <w:tc>
          <w:tcPr>
            <w:tcW w:w="680" w:type="dxa"/>
            <w:tcBorders>
              <w:top w:val="single" w:sz="4" w:space="0" w:color="ADD6EA"/>
              <w:left w:val="nil"/>
              <w:bottom w:val="single" w:sz="4" w:space="0" w:color="ADD6EA"/>
              <w:right w:val="nil"/>
            </w:tcBorders>
            <w:shd w:val="clear" w:color="000000" w:fill="D6E7F0"/>
            <w:noWrap/>
            <w:vAlign w:val="center"/>
            <w:hideMark/>
          </w:tcPr>
          <w:p w14:paraId="13278613"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-250</w:t>
            </w:r>
          </w:p>
        </w:tc>
        <w:tc>
          <w:tcPr>
            <w:tcW w:w="680" w:type="dxa"/>
            <w:tcBorders>
              <w:top w:val="single" w:sz="4" w:space="0" w:color="ADD6EA"/>
              <w:left w:val="nil"/>
              <w:bottom w:val="single" w:sz="4" w:space="0" w:color="ADD6EA"/>
              <w:right w:val="nil"/>
            </w:tcBorders>
            <w:shd w:val="clear" w:color="000000" w:fill="D6E7F0"/>
            <w:noWrap/>
            <w:vAlign w:val="center"/>
            <w:hideMark/>
          </w:tcPr>
          <w:p w14:paraId="6E4F3E46"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-286</w:t>
            </w:r>
          </w:p>
        </w:tc>
        <w:tc>
          <w:tcPr>
            <w:tcW w:w="680" w:type="dxa"/>
            <w:tcBorders>
              <w:top w:val="single" w:sz="4" w:space="0" w:color="ADD6EA"/>
              <w:left w:val="nil"/>
              <w:bottom w:val="single" w:sz="4" w:space="0" w:color="ADD6EA"/>
              <w:right w:val="nil"/>
            </w:tcBorders>
            <w:shd w:val="clear" w:color="000000" w:fill="D6E7F0"/>
            <w:noWrap/>
            <w:vAlign w:val="center"/>
            <w:hideMark/>
          </w:tcPr>
          <w:p w14:paraId="7114E62F"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63</w:t>
            </w:r>
          </w:p>
        </w:tc>
        <w:tc>
          <w:tcPr>
            <w:tcW w:w="680" w:type="dxa"/>
            <w:tcBorders>
              <w:top w:val="single" w:sz="4" w:space="0" w:color="ADD6EA"/>
              <w:left w:val="nil"/>
              <w:bottom w:val="single" w:sz="4" w:space="0" w:color="ADD6EA"/>
              <w:right w:val="nil"/>
            </w:tcBorders>
            <w:shd w:val="clear" w:color="000000" w:fill="D6E7F0"/>
            <w:noWrap/>
            <w:vAlign w:val="center"/>
            <w:hideMark/>
          </w:tcPr>
          <w:p w14:paraId="49CF8280"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47</w:t>
            </w:r>
          </w:p>
        </w:tc>
        <w:tc>
          <w:tcPr>
            <w:tcW w:w="680" w:type="dxa"/>
            <w:tcBorders>
              <w:top w:val="single" w:sz="4" w:space="0" w:color="ADD6EA"/>
              <w:left w:val="nil"/>
              <w:bottom w:val="single" w:sz="4" w:space="0" w:color="ADD6EA"/>
              <w:right w:val="nil"/>
            </w:tcBorders>
            <w:shd w:val="clear" w:color="000000" w:fill="D6E7F0"/>
            <w:noWrap/>
            <w:vAlign w:val="center"/>
            <w:hideMark/>
          </w:tcPr>
          <w:p w14:paraId="38CE31DB"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50</w:t>
            </w:r>
          </w:p>
        </w:tc>
        <w:tc>
          <w:tcPr>
            <w:tcW w:w="960" w:type="dxa"/>
            <w:tcBorders>
              <w:top w:val="single" w:sz="4" w:space="0" w:color="ADD6EA"/>
              <w:left w:val="nil"/>
              <w:bottom w:val="single" w:sz="4" w:space="0" w:color="ADD6EA"/>
              <w:right w:val="nil"/>
            </w:tcBorders>
            <w:shd w:val="clear" w:color="000000" w:fill="D6E7F0"/>
            <w:noWrap/>
            <w:vAlign w:val="center"/>
            <w:hideMark/>
          </w:tcPr>
          <w:p w14:paraId="595B71BA"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1,081</w:t>
            </w:r>
          </w:p>
        </w:tc>
      </w:tr>
      <w:tr w:rsidR="00483754" w:rsidRPr="00483754" w14:paraId="57719DF6" w14:textId="77777777" w:rsidTr="00483754">
        <w:trPr>
          <w:trHeight w:val="315"/>
        </w:trPr>
        <w:tc>
          <w:tcPr>
            <w:tcW w:w="2740" w:type="dxa"/>
            <w:tcBorders>
              <w:top w:val="nil"/>
              <w:left w:val="nil"/>
              <w:bottom w:val="nil"/>
              <w:right w:val="nil"/>
            </w:tcBorders>
            <w:shd w:val="clear" w:color="auto" w:fill="auto"/>
            <w:vAlign w:val="center"/>
            <w:hideMark/>
          </w:tcPr>
          <w:p w14:paraId="022892B2" w14:textId="77777777" w:rsidR="00483754" w:rsidRPr="00483754" w:rsidRDefault="00483754" w:rsidP="00483754">
            <w:pPr>
              <w:tabs>
                <w:tab w:val="clear" w:pos="567"/>
              </w:tabs>
              <w:spacing w:before="0" w:line="240" w:lineRule="auto"/>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Non-Census revisions</w:t>
            </w:r>
          </w:p>
        </w:tc>
        <w:tc>
          <w:tcPr>
            <w:tcW w:w="680" w:type="dxa"/>
            <w:tcBorders>
              <w:top w:val="nil"/>
              <w:left w:val="nil"/>
              <w:bottom w:val="nil"/>
              <w:right w:val="nil"/>
            </w:tcBorders>
            <w:shd w:val="clear" w:color="auto" w:fill="auto"/>
            <w:noWrap/>
            <w:vAlign w:val="center"/>
            <w:hideMark/>
          </w:tcPr>
          <w:p w14:paraId="6990638B"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nil"/>
              <w:left w:val="nil"/>
              <w:bottom w:val="nil"/>
              <w:right w:val="nil"/>
            </w:tcBorders>
            <w:shd w:val="clear" w:color="auto" w:fill="auto"/>
            <w:noWrap/>
            <w:vAlign w:val="center"/>
            <w:hideMark/>
          </w:tcPr>
          <w:p w14:paraId="6347C422"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nil"/>
              <w:left w:val="nil"/>
              <w:bottom w:val="nil"/>
              <w:right w:val="nil"/>
            </w:tcBorders>
            <w:shd w:val="clear" w:color="auto" w:fill="auto"/>
            <w:noWrap/>
            <w:vAlign w:val="center"/>
            <w:hideMark/>
          </w:tcPr>
          <w:p w14:paraId="533C27C3"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nil"/>
              <w:left w:val="nil"/>
              <w:bottom w:val="nil"/>
              <w:right w:val="nil"/>
            </w:tcBorders>
            <w:shd w:val="clear" w:color="auto" w:fill="auto"/>
            <w:noWrap/>
            <w:vAlign w:val="center"/>
            <w:hideMark/>
          </w:tcPr>
          <w:p w14:paraId="45CE54C2"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nil"/>
              <w:left w:val="nil"/>
              <w:bottom w:val="nil"/>
              <w:right w:val="nil"/>
            </w:tcBorders>
            <w:shd w:val="clear" w:color="auto" w:fill="auto"/>
            <w:noWrap/>
            <w:vAlign w:val="center"/>
            <w:hideMark/>
          </w:tcPr>
          <w:p w14:paraId="1796660E"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nil"/>
              <w:left w:val="nil"/>
              <w:bottom w:val="nil"/>
              <w:right w:val="nil"/>
            </w:tcBorders>
            <w:shd w:val="clear" w:color="auto" w:fill="auto"/>
            <w:noWrap/>
            <w:vAlign w:val="center"/>
            <w:hideMark/>
          </w:tcPr>
          <w:p w14:paraId="7FD5D6D0"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nil"/>
              <w:left w:val="nil"/>
              <w:bottom w:val="nil"/>
              <w:right w:val="nil"/>
            </w:tcBorders>
            <w:shd w:val="clear" w:color="auto" w:fill="auto"/>
            <w:noWrap/>
            <w:vAlign w:val="center"/>
            <w:hideMark/>
          </w:tcPr>
          <w:p w14:paraId="499EDE73"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680" w:type="dxa"/>
            <w:tcBorders>
              <w:top w:val="nil"/>
              <w:left w:val="nil"/>
              <w:bottom w:val="nil"/>
              <w:right w:val="nil"/>
            </w:tcBorders>
            <w:shd w:val="clear" w:color="auto" w:fill="auto"/>
            <w:noWrap/>
            <w:vAlign w:val="center"/>
            <w:hideMark/>
          </w:tcPr>
          <w:p w14:paraId="6EC8C967"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c>
          <w:tcPr>
            <w:tcW w:w="960" w:type="dxa"/>
            <w:tcBorders>
              <w:top w:val="nil"/>
              <w:left w:val="nil"/>
              <w:bottom w:val="nil"/>
              <w:right w:val="nil"/>
            </w:tcBorders>
            <w:shd w:val="clear" w:color="auto" w:fill="auto"/>
            <w:noWrap/>
            <w:vAlign w:val="center"/>
            <w:hideMark/>
          </w:tcPr>
          <w:p w14:paraId="27E35647"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w:t>
            </w:r>
          </w:p>
        </w:tc>
      </w:tr>
      <w:tr w:rsidR="00483754" w:rsidRPr="00483754" w14:paraId="64D193F0" w14:textId="77777777" w:rsidTr="00483754">
        <w:trPr>
          <w:trHeight w:val="315"/>
        </w:trPr>
        <w:tc>
          <w:tcPr>
            <w:tcW w:w="2740" w:type="dxa"/>
            <w:tcBorders>
              <w:top w:val="single" w:sz="4" w:space="0" w:color="ADD6EA"/>
              <w:left w:val="nil"/>
              <w:bottom w:val="nil"/>
              <w:right w:val="nil"/>
            </w:tcBorders>
            <w:shd w:val="clear" w:color="auto" w:fill="auto"/>
            <w:vAlign w:val="center"/>
            <w:hideMark/>
          </w:tcPr>
          <w:p w14:paraId="3CC5BABD" w14:textId="749A1777" w:rsidR="00483754" w:rsidRPr="00483754" w:rsidRDefault="00483754" w:rsidP="00483754">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xml:space="preserve">Investment in </w:t>
            </w:r>
            <w:r w:rsidR="007F2B69">
              <w:rPr>
                <w:rFonts w:ascii="Open Sans Light" w:eastAsia="Times New Roman" w:hAnsi="Open Sans Light" w:cs="Open Sans Light"/>
                <w:color w:val="000000"/>
                <w:sz w:val="16"/>
                <w:szCs w:val="16"/>
                <w:lang w:eastAsia="en-AU"/>
              </w:rPr>
              <w:t>u</w:t>
            </w:r>
            <w:r w:rsidRPr="00483754">
              <w:rPr>
                <w:rFonts w:ascii="Open Sans Light" w:eastAsia="Times New Roman" w:hAnsi="Open Sans Light" w:cs="Open Sans Light"/>
                <w:color w:val="000000"/>
                <w:sz w:val="16"/>
                <w:szCs w:val="16"/>
                <w:lang w:eastAsia="en-AU"/>
              </w:rPr>
              <w:t>rban transport</w:t>
            </w:r>
          </w:p>
        </w:tc>
        <w:tc>
          <w:tcPr>
            <w:tcW w:w="680" w:type="dxa"/>
            <w:tcBorders>
              <w:top w:val="single" w:sz="4" w:space="0" w:color="ADD6EA"/>
              <w:left w:val="nil"/>
              <w:bottom w:val="nil"/>
              <w:right w:val="nil"/>
            </w:tcBorders>
            <w:shd w:val="clear" w:color="auto" w:fill="auto"/>
            <w:noWrap/>
            <w:vAlign w:val="center"/>
            <w:hideMark/>
          </w:tcPr>
          <w:p w14:paraId="0899AC5F"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-156</w:t>
            </w:r>
          </w:p>
        </w:tc>
        <w:tc>
          <w:tcPr>
            <w:tcW w:w="680" w:type="dxa"/>
            <w:tcBorders>
              <w:top w:val="single" w:sz="4" w:space="0" w:color="ADD6EA"/>
              <w:left w:val="nil"/>
              <w:bottom w:val="nil"/>
              <w:right w:val="nil"/>
            </w:tcBorders>
            <w:shd w:val="clear" w:color="auto" w:fill="auto"/>
            <w:noWrap/>
            <w:vAlign w:val="center"/>
            <w:hideMark/>
          </w:tcPr>
          <w:p w14:paraId="0A766579"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-105</w:t>
            </w:r>
          </w:p>
        </w:tc>
        <w:tc>
          <w:tcPr>
            <w:tcW w:w="680" w:type="dxa"/>
            <w:tcBorders>
              <w:top w:val="single" w:sz="4" w:space="0" w:color="ADD6EA"/>
              <w:left w:val="nil"/>
              <w:bottom w:val="nil"/>
              <w:right w:val="nil"/>
            </w:tcBorders>
            <w:shd w:val="clear" w:color="auto" w:fill="auto"/>
            <w:noWrap/>
            <w:vAlign w:val="center"/>
            <w:hideMark/>
          </w:tcPr>
          <w:p w14:paraId="7B1F85D4"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125</w:t>
            </w:r>
          </w:p>
        </w:tc>
        <w:tc>
          <w:tcPr>
            <w:tcW w:w="680" w:type="dxa"/>
            <w:tcBorders>
              <w:top w:val="single" w:sz="4" w:space="0" w:color="ADD6EA"/>
              <w:left w:val="nil"/>
              <w:bottom w:val="nil"/>
              <w:right w:val="nil"/>
            </w:tcBorders>
            <w:shd w:val="clear" w:color="auto" w:fill="auto"/>
            <w:noWrap/>
            <w:vAlign w:val="center"/>
            <w:hideMark/>
          </w:tcPr>
          <w:p w14:paraId="035E2309"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50</w:t>
            </w:r>
          </w:p>
        </w:tc>
        <w:tc>
          <w:tcPr>
            <w:tcW w:w="680" w:type="dxa"/>
            <w:tcBorders>
              <w:top w:val="single" w:sz="4" w:space="0" w:color="ADD6EA"/>
              <w:left w:val="nil"/>
              <w:bottom w:val="nil"/>
              <w:right w:val="nil"/>
            </w:tcBorders>
            <w:shd w:val="clear" w:color="auto" w:fill="auto"/>
            <w:noWrap/>
            <w:vAlign w:val="center"/>
            <w:hideMark/>
          </w:tcPr>
          <w:p w14:paraId="4D72BE0D"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39</w:t>
            </w:r>
          </w:p>
        </w:tc>
        <w:tc>
          <w:tcPr>
            <w:tcW w:w="680" w:type="dxa"/>
            <w:tcBorders>
              <w:top w:val="single" w:sz="4" w:space="0" w:color="ADD6EA"/>
              <w:left w:val="nil"/>
              <w:bottom w:val="nil"/>
              <w:right w:val="nil"/>
            </w:tcBorders>
            <w:shd w:val="clear" w:color="auto" w:fill="auto"/>
            <w:noWrap/>
            <w:vAlign w:val="center"/>
            <w:hideMark/>
          </w:tcPr>
          <w:p w14:paraId="45F1D1E3"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25</w:t>
            </w:r>
          </w:p>
        </w:tc>
        <w:tc>
          <w:tcPr>
            <w:tcW w:w="680" w:type="dxa"/>
            <w:tcBorders>
              <w:top w:val="single" w:sz="4" w:space="0" w:color="ADD6EA"/>
              <w:left w:val="nil"/>
              <w:bottom w:val="nil"/>
              <w:right w:val="nil"/>
            </w:tcBorders>
            <w:shd w:val="clear" w:color="auto" w:fill="auto"/>
            <w:noWrap/>
            <w:vAlign w:val="center"/>
            <w:hideMark/>
          </w:tcPr>
          <w:p w14:paraId="690DD125"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12</w:t>
            </w:r>
          </w:p>
        </w:tc>
        <w:tc>
          <w:tcPr>
            <w:tcW w:w="680" w:type="dxa"/>
            <w:tcBorders>
              <w:top w:val="single" w:sz="4" w:space="0" w:color="ADD6EA"/>
              <w:left w:val="nil"/>
              <w:bottom w:val="nil"/>
              <w:right w:val="nil"/>
            </w:tcBorders>
            <w:shd w:val="clear" w:color="auto" w:fill="auto"/>
            <w:noWrap/>
            <w:vAlign w:val="center"/>
            <w:hideMark/>
          </w:tcPr>
          <w:p w14:paraId="521D76EB"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10</w:t>
            </w:r>
          </w:p>
        </w:tc>
        <w:tc>
          <w:tcPr>
            <w:tcW w:w="960" w:type="dxa"/>
            <w:tcBorders>
              <w:top w:val="single" w:sz="4" w:space="0" w:color="ADD6EA"/>
              <w:left w:val="nil"/>
              <w:bottom w:val="nil"/>
              <w:right w:val="nil"/>
            </w:tcBorders>
            <w:shd w:val="clear" w:color="auto" w:fill="auto"/>
            <w:noWrap/>
            <w:vAlign w:val="center"/>
            <w:hideMark/>
          </w:tcPr>
          <w:p w14:paraId="4F680696"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261</w:t>
            </w:r>
          </w:p>
        </w:tc>
      </w:tr>
      <w:tr w:rsidR="00483754" w:rsidRPr="00483754" w14:paraId="38F18E81" w14:textId="77777777" w:rsidTr="00483754">
        <w:trPr>
          <w:trHeight w:val="315"/>
        </w:trPr>
        <w:tc>
          <w:tcPr>
            <w:tcW w:w="2740" w:type="dxa"/>
            <w:tcBorders>
              <w:top w:val="single" w:sz="4" w:space="0" w:color="ADD6EA"/>
              <w:left w:val="nil"/>
              <w:bottom w:val="nil"/>
              <w:right w:val="nil"/>
            </w:tcBorders>
            <w:shd w:val="clear" w:color="auto" w:fill="auto"/>
            <w:vAlign w:val="center"/>
            <w:hideMark/>
          </w:tcPr>
          <w:p w14:paraId="57254A28" w14:textId="457F7D59" w:rsidR="00483754" w:rsidRPr="00483754" w:rsidRDefault="00483754" w:rsidP="00483754">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 xml:space="preserve">Stamp duty on </w:t>
            </w:r>
            <w:r w:rsidR="007F2B69">
              <w:rPr>
                <w:rFonts w:ascii="Open Sans Light" w:eastAsia="Times New Roman" w:hAnsi="Open Sans Light" w:cs="Open Sans Light"/>
                <w:color w:val="000000"/>
                <w:sz w:val="16"/>
                <w:szCs w:val="16"/>
                <w:lang w:eastAsia="en-AU"/>
              </w:rPr>
              <w:t>c</w:t>
            </w:r>
            <w:r w:rsidRPr="00483754">
              <w:rPr>
                <w:rFonts w:ascii="Open Sans Light" w:eastAsia="Times New Roman" w:hAnsi="Open Sans Light" w:cs="Open Sans Light"/>
                <w:color w:val="000000"/>
                <w:sz w:val="16"/>
                <w:szCs w:val="16"/>
                <w:lang w:eastAsia="en-AU"/>
              </w:rPr>
              <w:t>onveyances</w:t>
            </w:r>
          </w:p>
        </w:tc>
        <w:tc>
          <w:tcPr>
            <w:tcW w:w="680" w:type="dxa"/>
            <w:tcBorders>
              <w:top w:val="single" w:sz="4" w:space="0" w:color="ADD6EA"/>
              <w:left w:val="nil"/>
              <w:bottom w:val="nil"/>
              <w:right w:val="nil"/>
            </w:tcBorders>
            <w:shd w:val="clear" w:color="auto" w:fill="auto"/>
            <w:noWrap/>
            <w:vAlign w:val="center"/>
            <w:hideMark/>
          </w:tcPr>
          <w:p w14:paraId="4C9AD6EB"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219</w:t>
            </w:r>
          </w:p>
        </w:tc>
        <w:tc>
          <w:tcPr>
            <w:tcW w:w="680" w:type="dxa"/>
            <w:tcBorders>
              <w:top w:val="single" w:sz="4" w:space="0" w:color="ADD6EA"/>
              <w:left w:val="nil"/>
              <w:bottom w:val="nil"/>
              <w:right w:val="nil"/>
            </w:tcBorders>
            <w:shd w:val="clear" w:color="auto" w:fill="auto"/>
            <w:noWrap/>
            <w:vAlign w:val="center"/>
            <w:hideMark/>
          </w:tcPr>
          <w:p w14:paraId="6B33CEE8"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-62</w:t>
            </w:r>
          </w:p>
        </w:tc>
        <w:tc>
          <w:tcPr>
            <w:tcW w:w="680" w:type="dxa"/>
            <w:tcBorders>
              <w:top w:val="single" w:sz="4" w:space="0" w:color="ADD6EA"/>
              <w:left w:val="nil"/>
              <w:bottom w:val="nil"/>
              <w:right w:val="nil"/>
            </w:tcBorders>
            <w:shd w:val="clear" w:color="auto" w:fill="auto"/>
            <w:noWrap/>
            <w:vAlign w:val="center"/>
            <w:hideMark/>
          </w:tcPr>
          <w:p w14:paraId="3D959CCF"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-77</w:t>
            </w:r>
          </w:p>
        </w:tc>
        <w:tc>
          <w:tcPr>
            <w:tcW w:w="680" w:type="dxa"/>
            <w:tcBorders>
              <w:top w:val="single" w:sz="4" w:space="0" w:color="ADD6EA"/>
              <w:left w:val="nil"/>
              <w:bottom w:val="nil"/>
              <w:right w:val="nil"/>
            </w:tcBorders>
            <w:shd w:val="clear" w:color="auto" w:fill="auto"/>
            <w:noWrap/>
            <w:vAlign w:val="center"/>
            <w:hideMark/>
          </w:tcPr>
          <w:p w14:paraId="2FAD74DC"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-35</w:t>
            </w:r>
          </w:p>
        </w:tc>
        <w:tc>
          <w:tcPr>
            <w:tcW w:w="680" w:type="dxa"/>
            <w:tcBorders>
              <w:top w:val="single" w:sz="4" w:space="0" w:color="ADD6EA"/>
              <w:left w:val="nil"/>
              <w:bottom w:val="nil"/>
              <w:right w:val="nil"/>
            </w:tcBorders>
            <w:shd w:val="clear" w:color="auto" w:fill="auto"/>
            <w:noWrap/>
            <w:vAlign w:val="center"/>
            <w:hideMark/>
          </w:tcPr>
          <w:p w14:paraId="2C68F696"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-22</w:t>
            </w:r>
          </w:p>
        </w:tc>
        <w:tc>
          <w:tcPr>
            <w:tcW w:w="680" w:type="dxa"/>
            <w:tcBorders>
              <w:top w:val="single" w:sz="4" w:space="0" w:color="ADD6EA"/>
              <w:left w:val="nil"/>
              <w:bottom w:val="nil"/>
              <w:right w:val="nil"/>
            </w:tcBorders>
            <w:shd w:val="clear" w:color="auto" w:fill="auto"/>
            <w:noWrap/>
            <w:vAlign w:val="center"/>
            <w:hideMark/>
          </w:tcPr>
          <w:p w14:paraId="51C8AA17"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-9</w:t>
            </w:r>
          </w:p>
        </w:tc>
        <w:tc>
          <w:tcPr>
            <w:tcW w:w="680" w:type="dxa"/>
            <w:tcBorders>
              <w:top w:val="single" w:sz="4" w:space="0" w:color="ADD6EA"/>
              <w:left w:val="nil"/>
              <w:bottom w:val="nil"/>
              <w:right w:val="nil"/>
            </w:tcBorders>
            <w:shd w:val="clear" w:color="auto" w:fill="auto"/>
            <w:noWrap/>
            <w:vAlign w:val="center"/>
            <w:hideMark/>
          </w:tcPr>
          <w:p w14:paraId="1A3206C7"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-10</w:t>
            </w:r>
          </w:p>
        </w:tc>
        <w:tc>
          <w:tcPr>
            <w:tcW w:w="680" w:type="dxa"/>
            <w:tcBorders>
              <w:top w:val="single" w:sz="4" w:space="0" w:color="ADD6EA"/>
              <w:left w:val="nil"/>
              <w:bottom w:val="nil"/>
              <w:right w:val="nil"/>
            </w:tcBorders>
            <w:shd w:val="clear" w:color="auto" w:fill="auto"/>
            <w:noWrap/>
            <w:vAlign w:val="center"/>
            <w:hideMark/>
          </w:tcPr>
          <w:p w14:paraId="0C3AD2A5"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-4</w:t>
            </w:r>
          </w:p>
        </w:tc>
        <w:tc>
          <w:tcPr>
            <w:tcW w:w="960" w:type="dxa"/>
            <w:tcBorders>
              <w:top w:val="single" w:sz="4" w:space="0" w:color="ADD6EA"/>
              <w:left w:val="nil"/>
              <w:bottom w:val="nil"/>
              <w:right w:val="nil"/>
            </w:tcBorders>
            <w:shd w:val="clear" w:color="auto" w:fill="auto"/>
            <w:noWrap/>
            <w:vAlign w:val="center"/>
            <w:hideMark/>
          </w:tcPr>
          <w:p w14:paraId="47AFA8F5"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219</w:t>
            </w:r>
          </w:p>
        </w:tc>
      </w:tr>
      <w:tr w:rsidR="00483754" w:rsidRPr="00483754" w14:paraId="55F01CC9" w14:textId="77777777" w:rsidTr="00483754">
        <w:trPr>
          <w:trHeight w:val="315"/>
        </w:trPr>
        <w:tc>
          <w:tcPr>
            <w:tcW w:w="2740" w:type="dxa"/>
            <w:tcBorders>
              <w:top w:val="single" w:sz="4" w:space="0" w:color="ADD6EA"/>
              <w:left w:val="nil"/>
              <w:bottom w:val="nil"/>
              <w:right w:val="nil"/>
            </w:tcBorders>
            <w:shd w:val="clear" w:color="auto" w:fill="auto"/>
            <w:vAlign w:val="center"/>
            <w:hideMark/>
          </w:tcPr>
          <w:p w14:paraId="25F4B9FD" w14:textId="77777777" w:rsidR="00483754" w:rsidRPr="00483754" w:rsidRDefault="00483754" w:rsidP="00483754">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Admitted patients</w:t>
            </w:r>
          </w:p>
        </w:tc>
        <w:tc>
          <w:tcPr>
            <w:tcW w:w="680" w:type="dxa"/>
            <w:tcBorders>
              <w:top w:val="single" w:sz="4" w:space="0" w:color="ADD6EA"/>
              <w:left w:val="nil"/>
              <w:bottom w:val="nil"/>
              <w:right w:val="nil"/>
            </w:tcBorders>
            <w:shd w:val="clear" w:color="auto" w:fill="auto"/>
            <w:noWrap/>
            <w:vAlign w:val="center"/>
            <w:hideMark/>
          </w:tcPr>
          <w:p w14:paraId="388FF18F"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172</w:t>
            </w:r>
          </w:p>
        </w:tc>
        <w:tc>
          <w:tcPr>
            <w:tcW w:w="680" w:type="dxa"/>
            <w:tcBorders>
              <w:top w:val="single" w:sz="4" w:space="0" w:color="ADD6EA"/>
              <w:left w:val="nil"/>
              <w:bottom w:val="nil"/>
              <w:right w:val="nil"/>
            </w:tcBorders>
            <w:shd w:val="clear" w:color="auto" w:fill="auto"/>
            <w:noWrap/>
            <w:vAlign w:val="center"/>
            <w:hideMark/>
          </w:tcPr>
          <w:p w14:paraId="0532BBD7"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-58</w:t>
            </w:r>
          </w:p>
        </w:tc>
        <w:tc>
          <w:tcPr>
            <w:tcW w:w="680" w:type="dxa"/>
            <w:tcBorders>
              <w:top w:val="single" w:sz="4" w:space="0" w:color="ADD6EA"/>
              <w:left w:val="nil"/>
              <w:bottom w:val="nil"/>
              <w:right w:val="nil"/>
            </w:tcBorders>
            <w:shd w:val="clear" w:color="auto" w:fill="auto"/>
            <w:noWrap/>
            <w:vAlign w:val="center"/>
            <w:hideMark/>
          </w:tcPr>
          <w:p w14:paraId="065CE620"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-79</w:t>
            </w:r>
          </w:p>
        </w:tc>
        <w:tc>
          <w:tcPr>
            <w:tcW w:w="680" w:type="dxa"/>
            <w:tcBorders>
              <w:top w:val="single" w:sz="4" w:space="0" w:color="ADD6EA"/>
              <w:left w:val="nil"/>
              <w:bottom w:val="nil"/>
              <w:right w:val="nil"/>
            </w:tcBorders>
            <w:shd w:val="clear" w:color="auto" w:fill="auto"/>
            <w:noWrap/>
            <w:vAlign w:val="center"/>
            <w:hideMark/>
          </w:tcPr>
          <w:p w14:paraId="34F503E3"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0</w:t>
            </w:r>
          </w:p>
        </w:tc>
        <w:tc>
          <w:tcPr>
            <w:tcW w:w="680" w:type="dxa"/>
            <w:tcBorders>
              <w:top w:val="single" w:sz="4" w:space="0" w:color="ADD6EA"/>
              <w:left w:val="nil"/>
              <w:bottom w:val="nil"/>
              <w:right w:val="nil"/>
            </w:tcBorders>
            <w:shd w:val="clear" w:color="auto" w:fill="auto"/>
            <w:noWrap/>
            <w:vAlign w:val="center"/>
            <w:hideMark/>
          </w:tcPr>
          <w:p w14:paraId="36A2E006"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27</w:t>
            </w:r>
          </w:p>
        </w:tc>
        <w:tc>
          <w:tcPr>
            <w:tcW w:w="680" w:type="dxa"/>
            <w:tcBorders>
              <w:top w:val="single" w:sz="4" w:space="0" w:color="ADD6EA"/>
              <w:left w:val="nil"/>
              <w:bottom w:val="nil"/>
              <w:right w:val="nil"/>
            </w:tcBorders>
            <w:shd w:val="clear" w:color="auto" w:fill="auto"/>
            <w:noWrap/>
            <w:vAlign w:val="center"/>
            <w:hideMark/>
          </w:tcPr>
          <w:p w14:paraId="217927BD"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-23</w:t>
            </w:r>
          </w:p>
        </w:tc>
        <w:tc>
          <w:tcPr>
            <w:tcW w:w="680" w:type="dxa"/>
            <w:tcBorders>
              <w:top w:val="single" w:sz="4" w:space="0" w:color="ADD6EA"/>
              <w:left w:val="nil"/>
              <w:bottom w:val="nil"/>
              <w:right w:val="nil"/>
            </w:tcBorders>
            <w:shd w:val="clear" w:color="auto" w:fill="auto"/>
            <w:noWrap/>
            <w:vAlign w:val="center"/>
            <w:hideMark/>
          </w:tcPr>
          <w:p w14:paraId="3FF6442B"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w:t>
            </w:r>
          </w:p>
        </w:tc>
        <w:tc>
          <w:tcPr>
            <w:tcW w:w="680" w:type="dxa"/>
            <w:tcBorders>
              <w:top w:val="single" w:sz="4" w:space="0" w:color="ADD6EA"/>
              <w:left w:val="nil"/>
              <w:bottom w:val="nil"/>
              <w:right w:val="nil"/>
            </w:tcBorders>
            <w:shd w:val="clear" w:color="auto" w:fill="auto"/>
            <w:noWrap/>
            <w:vAlign w:val="center"/>
            <w:hideMark/>
          </w:tcPr>
          <w:p w14:paraId="65A1FC89"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-36</w:t>
            </w:r>
          </w:p>
        </w:tc>
        <w:tc>
          <w:tcPr>
            <w:tcW w:w="960" w:type="dxa"/>
            <w:tcBorders>
              <w:top w:val="single" w:sz="4" w:space="0" w:color="ADD6EA"/>
              <w:left w:val="nil"/>
              <w:bottom w:val="nil"/>
              <w:right w:val="nil"/>
            </w:tcBorders>
            <w:shd w:val="clear" w:color="auto" w:fill="auto"/>
            <w:noWrap/>
            <w:vAlign w:val="center"/>
            <w:hideMark/>
          </w:tcPr>
          <w:p w14:paraId="12620896"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198</w:t>
            </w:r>
          </w:p>
        </w:tc>
      </w:tr>
      <w:tr w:rsidR="00483754" w:rsidRPr="00483754" w14:paraId="1AC6FD25" w14:textId="77777777" w:rsidTr="00483754">
        <w:trPr>
          <w:trHeight w:val="315"/>
        </w:trPr>
        <w:tc>
          <w:tcPr>
            <w:tcW w:w="2740" w:type="dxa"/>
            <w:tcBorders>
              <w:top w:val="single" w:sz="4" w:space="0" w:color="ADD6EA"/>
              <w:left w:val="nil"/>
              <w:bottom w:val="nil"/>
              <w:right w:val="nil"/>
            </w:tcBorders>
            <w:shd w:val="clear" w:color="auto" w:fill="auto"/>
            <w:vAlign w:val="center"/>
            <w:hideMark/>
          </w:tcPr>
          <w:p w14:paraId="778D30FE" w14:textId="77777777" w:rsidR="00483754" w:rsidRPr="00483754" w:rsidRDefault="00483754" w:rsidP="00483754">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Natural disaster relief</w:t>
            </w:r>
          </w:p>
        </w:tc>
        <w:tc>
          <w:tcPr>
            <w:tcW w:w="680" w:type="dxa"/>
            <w:tcBorders>
              <w:top w:val="single" w:sz="4" w:space="0" w:color="ADD6EA"/>
              <w:left w:val="nil"/>
              <w:bottom w:val="nil"/>
              <w:right w:val="nil"/>
            </w:tcBorders>
            <w:shd w:val="clear" w:color="auto" w:fill="auto"/>
            <w:noWrap/>
            <w:vAlign w:val="center"/>
            <w:hideMark/>
          </w:tcPr>
          <w:p w14:paraId="7E9D88A4"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-48</w:t>
            </w:r>
          </w:p>
        </w:tc>
        <w:tc>
          <w:tcPr>
            <w:tcW w:w="680" w:type="dxa"/>
            <w:tcBorders>
              <w:top w:val="single" w:sz="4" w:space="0" w:color="ADD6EA"/>
              <w:left w:val="nil"/>
              <w:bottom w:val="nil"/>
              <w:right w:val="nil"/>
            </w:tcBorders>
            <w:shd w:val="clear" w:color="auto" w:fill="auto"/>
            <w:noWrap/>
            <w:vAlign w:val="center"/>
            <w:hideMark/>
          </w:tcPr>
          <w:p w14:paraId="7C8FEBE4"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109</w:t>
            </w:r>
          </w:p>
        </w:tc>
        <w:tc>
          <w:tcPr>
            <w:tcW w:w="680" w:type="dxa"/>
            <w:tcBorders>
              <w:top w:val="single" w:sz="4" w:space="0" w:color="ADD6EA"/>
              <w:left w:val="nil"/>
              <w:bottom w:val="nil"/>
              <w:right w:val="nil"/>
            </w:tcBorders>
            <w:shd w:val="clear" w:color="auto" w:fill="auto"/>
            <w:noWrap/>
            <w:vAlign w:val="center"/>
            <w:hideMark/>
          </w:tcPr>
          <w:p w14:paraId="385994D2"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-40</w:t>
            </w:r>
          </w:p>
        </w:tc>
        <w:tc>
          <w:tcPr>
            <w:tcW w:w="680" w:type="dxa"/>
            <w:tcBorders>
              <w:top w:val="single" w:sz="4" w:space="0" w:color="ADD6EA"/>
              <w:left w:val="nil"/>
              <w:bottom w:val="nil"/>
              <w:right w:val="nil"/>
            </w:tcBorders>
            <w:shd w:val="clear" w:color="auto" w:fill="auto"/>
            <w:noWrap/>
            <w:vAlign w:val="center"/>
            <w:hideMark/>
          </w:tcPr>
          <w:p w14:paraId="5FAF1407"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w:t>
            </w:r>
          </w:p>
        </w:tc>
        <w:tc>
          <w:tcPr>
            <w:tcW w:w="680" w:type="dxa"/>
            <w:tcBorders>
              <w:top w:val="single" w:sz="4" w:space="0" w:color="ADD6EA"/>
              <w:left w:val="nil"/>
              <w:bottom w:val="nil"/>
              <w:right w:val="nil"/>
            </w:tcBorders>
            <w:shd w:val="clear" w:color="auto" w:fill="auto"/>
            <w:noWrap/>
            <w:vAlign w:val="center"/>
            <w:hideMark/>
          </w:tcPr>
          <w:p w14:paraId="5AA04548"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-16</w:t>
            </w:r>
          </w:p>
        </w:tc>
        <w:tc>
          <w:tcPr>
            <w:tcW w:w="680" w:type="dxa"/>
            <w:tcBorders>
              <w:top w:val="single" w:sz="4" w:space="0" w:color="ADD6EA"/>
              <w:left w:val="nil"/>
              <w:bottom w:val="nil"/>
              <w:right w:val="nil"/>
            </w:tcBorders>
            <w:shd w:val="clear" w:color="auto" w:fill="auto"/>
            <w:noWrap/>
            <w:vAlign w:val="center"/>
            <w:hideMark/>
          </w:tcPr>
          <w:p w14:paraId="518EB4D8"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-3</w:t>
            </w:r>
          </w:p>
        </w:tc>
        <w:tc>
          <w:tcPr>
            <w:tcW w:w="680" w:type="dxa"/>
            <w:tcBorders>
              <w:top w:val="single" w:sz="4" w:space="0" w:color="ADD6EA"/>
              <w:left w:val="nil"/>
              <w:bottom w:val="nil"/>
              <w:right w:val="nil"/>
            </w:tcBorders>
            <w:shd w:val="clear" w:color="auto" w:fill="auto"/>
            <w:noWrap/>
            <w:vAlign w:val="center"/>
            <w:hideMark/>
          </w:tcPr>
          <w:p w14:paraId="6ABCAC91"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w:t>
            </w:r>
          </w:p>
        </w:tc>
        <w:tc>
          <w:tcPr>
            <w:tcW w:w="680" w:type="dxa"/>
            <w:tcBorders>
              <w:top w:val="single" w:sz="4" w:space="0" w:color="ADD6EA"/>
              <w:left w:val="nil"/>
              <w:bottom w:val="nil"/>
              <w:right w:val="nil"/>
            </w:tcBorders>
            <w:shd w:val="clear" w:color="auto" w:fill="auto"/>
            <w:noWrap/>
            <w:vAlign w:val="center"/>
            <w:hideMark/>
          </w:tcPr>
          <w:p w14:paraId="6335184E"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w:t>
            </w:r>
          </w:p>
        </w:tc>
        <w:tc>
          <w:tcPr>
            <w:tcW w:w="960" w:type="dxa"/>
            <w:tcBorders>
              <w:top w:val="single" w:sz="4" w:space="0" w:color="ADD6EA"/>
              <w:left w:val="nil"/>
              <w:bottom w:val="nil"/>
              <w:right w:val="nil"/>
            </w:tcBorders>
            <w:shd w:val="clear" w:color="auto" w:fill="auto"/>
            <w:noWrap/>
            <w:vAlign w:val="center"/>
            <w:hideMark/>
          </w:tcPr>
          <w:p w14:paraId="06F25C2E"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110</w:t>
            </w:r>
          </w:p>
        </w:tc>
      </w:tr>
      <w:tr w:rsidR="00483754" w:rsidRPr="00483754" w14:paraId="234FB978" w14:textId="77777777" w:rsidTr="00483754">
        <w:trPr>
          <w:trHeight w:val="315"/>
        </w:trPr>
        <w:tc>
          <w:tcPr>
            <w:tcW w:w="2740" w:type="dxa"/>
            <w:tcBorders>
              <w:top w:val="single" w:sz="4" w:space="0" w:color="ADD6EA"/>
              <w:left w:val="nil"/>
              <w:bottom w:val="nil"/>
              <w:right w:val="nil"/>
            </w:tcBorders>
            <w:shd w:val="clear" w:color="auto" w:fill="auto"/>
            <w:vAlign w:val="center"/>
            <w:hideMark/>
          </w:tcPr>
          <w:p w14:paraId="5EEA4344" w14:textId="77777777" w:rsidR="00483754" w:rsidRPr="00483754" w:rsidRDefault="00483754" w:rsidP="00483754">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Other minerals</w:t>
            </w:r>
          </w:p>
        </w:tc>
        <w:tc>
          <w:tcPr>
            <w:tcW w:w="680" w:type="dxa"/>
            <w:tcBorders>
              <w:top w:val="single" w:sz="4" w:space="0" w:color="ADD6EA"/>
              <w:left w:val="nil"/>
              <w:bottom w:val="nil"/>
              <w:right w:val="nil"/>
            </w:tcBorders>
            <w:shd w:val="clear" w:color="auto" w:fill="auto"/>
            <w:noWrap/>
            <w:vAlign w:val="center"/>
            <w:hideMark/>
          </w:tcPr>
          <w:p w14:paraId="5C2364D6"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-4</w:t>
            </w:r>
          </w:p>
        </w:tc>
        <w:tc>
          <w:tcPr>
            <w:tcW w:w="680" w:type="dxa"/>
            <w:tcBorders>
              <w:top w:val="single" w:sz="4" w:space="0" w:color="ADD6EA"/>
              <w:left w:val="nil"/>
              <w:bottom w:val="nil"/>
              <w:right w:val="nil"/>
            </w:tcBorders>
            <w:shd w:val="clear" w:color="auto" w:fill="auto"/>
            <w:noWrap/>
            <w:vAlign w:val="center"/>
            <w:hideMark/>
          </w:tcPr>
          <w:p w14:paraId="54E05D7A"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-6</w:t>
            </w:r>
          </w:p>
        </w:tc>
        <w:tc>
          <w:tcPr>
            <w:tcW w:w="680" w:type="dxa"/>
            <w:tcBorders>
              <w:top w:val="single" w:sz="4" w:space="0" w:color="ADD6EA"/>
              <w:left w:val="nil"/>
              <w:bottom w:val="nil"/>
              <w:right w:val="nil"/>
            </w:tcBorders>
            <w:shd w:val="clear" w:color="auto" w:fill="auto"/>
            <w:noWrap/>
            <w:vAlign w:val="center"/>
            <w:hideMark/>
          </w:tcPr>
          <w:p w14:paraId="3E6EF533"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-39</w:t>
            </w:r>
          </w:p>
        </w:tc>
        <w:tc>
          <w:tcPr>
            <w:tcW w:w="680" w:type="dxa"/>
            <w:tcBorders>
              <w:top w:val="single" w:sz="4" w:space="0" w:color="ADD6EA"/>
              <w:left w:val="nil"/>
              <w:bottom w:val="nil"/>
              <w:right w:val="nil"/>
            </w:tcBorders>
            <w:shd w:val="clear" w:color="auto" w:fill="auto"/>
            <w:noWrap/>
            <w:vAlign w:val="center"/>
            <w:hideMark/>
          </w:tcPr>
          <w:p w14:paraId="41C1843D"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95</w:t>
            </w:r>
          </w:p>
        </w:tc>
        <w:tc>
          <w:tcPr>
            <w:tcW w:w="680" w:type="dxa"/>
            <w:tcBorders>
              <w:top w:val="single" w:sz="4" w:space="0" w:color="ADD6EA"/>
              <w:left w:val="nil"/>
              <w:bottom w:val="nil"/>
              <w:right w:val="nil"/>
            </w:tcBorders>
            <w:shd w:val="clear" w:color="auto" w:fill="auto"/>
            <w:noWrap/>
            <w:vAlign w:val="center"/>
            <w:hideMark/>
          </w:tcPr>
          <w:p w14:paraId="37FAE26A"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-13</w:t>
            </w:r>
          </w:p>
        </w:tc>
        <w:tc>
          <w:tcPr>
            <w:tcW w:w="680" w:type="dxa"/>
            <w:tcBorders>
              <w:top w:val="single" w:sz="4" w:space="0" w:color="ADD6EA"/>
              <w:left w:val="nil"/>
              <w:bottom w:val="nil"/>
              <w:right w:val="nil"/>
            </w:tcBorders>
            <w:shd w:val="clear" w:color="auto" w:fill="auto"/>
            <w:noWrap/>
            <w:vAlign w:val="center"/>
            <w:hideMark/>
          </w:tcPr>
          <w:p w14:paraId="2ECCD693"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-11</w:t>
            </w:r>
          </w:p>
        </w:tc>
        <w:tc>
          <w:tcPr>
            <w:tcW w:w="680" w:type="dxa"/>
            <w:tcBorders>
              <w:top w:val="single" w:sz="4" w:space="0" w:color="ADD6EA"/>
              <w:left w:val="nil"/>
              <w:bottom w:val="nil"/>
              <w:right w:val="nil"/>
            </w:tcBorders>
            <w:shd w:val="clear" w:color="auto" w:fill="auto"/>
            <w:noWrap/>
            <w:vAlign w:val="center"/>
            <w:hideMark/>
          </w:tcPr>
          <w:p w14:paraId="0350859F"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0</w:t>
            </w:r>
          </w:p>
        </w:tc>
        <w:tc>
          <w:tcPr>
            <w:tcW w:w="680" w:type="dxa"/>
            <w:tcBorders>
              <w:top w:val="single" w:sz="4" w:space="0" w:color="ADD6EA"/>
              <w:left w:val="nil"/>
              <w:bottom w:val="nil"/>
              <w:right w:val="nil"/>
            </w:tcBorders>
            <w:shd w:val="clear" w:color="auto" w:fill="auto"/>
            <w:noWrap/>
            <w:vAlign w:val="center"/>
            <w:hideMark/>
          </w:tcPr>
          <w:p w14:paraId="4322CB6D"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-22</w:t>
            </w:r>
          </w:p>
        </w:tc>
        <w:tc>
          <w:tcPr>
            <w:tcW w:w="960" w:type="dxa"/>
            <w:tcBorders>
              <w:top w:val="single" w:sz="4" w:space="0" w:color="ADD6EA"/>
              <w:left w:val="nil"/>
              <w:bottom w:val="nil"/>
              <w:right w:val="nil"/>
            </w:tcBorders>
            <w:shd w:val="clear" w:color="auto" w:fill="auto"/>
            <w:noWrap/>
            <w:vAlign w:val="center"/>
            <w:hideMark/>
          </w:tcPr>
          <w:p w14:paraId="28E2E3F3"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95</w:t>
            </w:r>
          </w:p>
        </w:tc>
      </w:tr>
      <w:tr w:rsidR="00483754" w:rsidRPr="00483754" w14:paraId="239C6794" w14:textId="77777777" w:rsidTr="00483754">
        <w:trPr>
          <w:trHeight w:val="315"/>
        </w:trPr>
        <w:tc>
          <w:tcPr>
            <w:tcW w:w="2740" w:type="dxa"/>
            <w:tcBorders>
              <w:top w:val="single" w:sz="4" w:space="0" w:color="ADD6EA"/>
              <w:left w:val="nil"/>
              <w:bottom w:val="nil"/>
              <w:right w:val="nil"/>
            </w:tcBorders>
            <w:shd w:val="clear" w:color="auto" w:fill="auto"/>
            <w:vAlign w:val="center"/>
            <w:hideMark/>
          </w:tcPr>
          <w:p w14:paraId="448B026A" w14:textId="77777777" w:rsidR="00483754" w:rsidRPr="00483754" w:rsidRDefault="00483754" w:rsidP="00483754">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Other revisions</w:t>
            </w:r>
          </w:p>
        </w:tc>
        <w:tc>
          <w:tcPr>
            <w:tcW w:w="680" w:type="dxa"/>
            <w:tcBorders>
              <w:top w:val="single" w:sz="4" w:space="0" w:color="ADD6EA"/>
              <w:left w:val="nil"/>
              <w:bottom w:val="nil"/>
              <w:right w:val="nil"/>
            </w:tcBorders>
            <w:shd w:val="clear" w:color="auto" w:fill="auto"/>
            <w:noWrap/>
            <w:vAlign w:val="center"/>
            <w:hideMark/>
          </w:tcPr>
          <w:p w14:paraId="23E883D6"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-165</w:t>
            </w:r>
          </w:p>
        </w:tc>
        <w:tc>
          <w:tcPr>
            <w:tcW w:w="680" w:type="dxa"/>
            <w:tcBorders>
              <w:top w:val="single" w:sz="4" w:space="0" w:color="ADD6EA"/>
              <w:left w:val="nil"/>
              <w:bottom w:val="nil"/>
              <w:right w:val="nil"/>
            </w:tcBorders>
            <w:shd w:val="clear" w:color="auto" w:fill="auto"/>
            <w:noWrap/>
            <w:vAlign w:val="center"/>
            <w:hideMark/>
          </w:tcPr>
          <w:p w14:paraId="2A166EBA"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-310</w:t>
            </w:r>
          </w:p>
        </w:tc>
        <w:tc>
          <w:tcPr>
            <w:tcW w:w="680" w:type="dxa"/>
            <w:tcBorders>
              <w:top w:val="single" w:sz="4" w:space="0" w:color="ADD6EA"/>
              <w:left w:val="nil"/>
              <w:bottom w:val="nil"/>
              <w:right w:val="nil"/>
            </w:tcBorders>
            <w:shd w:val="clear" w:color="auto" w:fill="auto"/>
            <w:noWrap/>
            <w:vAlign w:val="center"/>
            <w:hideMark/>
          </w:tcPr>
          <w:p w14:paraId="39A2A213"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170</w:t>
            </w:r>
          </w:p>
        </w:tc>
        <w:tc>
          <w:tcPr>
            <w:tcW w:w="680" w:type="dxa"/>
            <w:tcBorders>
              <w:top w:val="single" w:sz="4" w:space="0" w:color="ADD6EA"/>
              <w:left w:val="nil"/>
              <w:bottom w:val="nil"/>
              <w:right w:val="nil"/>
            </w:tcBorders>
            <w:shd w:val="clear" w:color="auto" w:fill="auto"/>
            <w:noWrap/>
            <w:vAlign w:val="center"/>
            <w:hideMark/>
          </w:tcPr>
          <w:p w14:paraId="2F3077D6"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101</w:t>
            </w:r>
          </w:p>
        </w:tc>
        <w:tc>
          <w:tcPr>
            <w:tcW w:w="680" w:type="dxa"/>
            <w:tcBorders>
              <w:top w:val="single" w:sz="4" w:space="0" w:color="ADD6EA"/>
              <w:left w:val="nil"/>
              <w:bottom w:val="nil"/>
              <w:right w:val="nil"/>
            </w:tcBorders>
            <w:shd w:val="clear" w:color="auto" w:fill="auto"/>
            <w:noWrap/>
            <w:vAlign w:val="center"/>
            <w:hideMark/>
          </w:tcPr>
          <w:p w14:paraId="71722AC6"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55</w:t>
            </w:r>
          </w:p>
        </w:tc>
        <w:tc>
          <w:tcPr>
            <w:tcW w:w="680" w:type="dxa"/>
            <w:tcBorders>
              <w:top w:val="single" w:sz="4" w:space="0" w:color="ADD6EA"/>
              <w:left w:val="nil"/>
              <w:bottom w:val="nil"/>
              <w:right w:val="nil"/>
            </w:tcBorders>
            <w:shd w:val="clear" w:color="auto" w:fill="auto"/>
            <w:noWrap/>
            <w:vAlign w:val="center"/>
            <w:hideMark/>
          </w:tcPr>
          <w:p w14:paraId="43DFEC8F"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52</w:t>
            </w:r>
          </w:p>
        </w:tc>
        <w:tc>
          <w:tcPr>
            <w:tcW w:w="680" w:type="dxa"/>
            <w:tcBorders>
              <w:top w:val="single" w:sz="4" w:space="0" w:color="ADD6EA"/>
              <w:left w:val="nil"/>
              <w:bottom w:val="nil"/>
              <w:right w:val="nil"/>
            </w:tcBorders>
            <w:shd w:val="clear" w:color="auto" w:fill="auto"/>
            <w:noWrap/>
            <w:vAlign w:val="center"/>
            <w:hideMark/>
          </w:tcPr>
          <w:p w14:paraId="008302E5"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9</w:t>
            </w:r>
          </w:p>
        </w:tc>
        <w:tc>
          <w:tcPr>
            <w:tcW w:w="680" w:type="dxa"/>
            <w:tcBorders>
              <w:top w:val="single" w:sz="4" w:space="0" w:color="ADD6EA"/>
              <w:left w:val="nil"/>
              <w:bottom w:val="nil"/>
              <w:right w:val="nil"/>
            </w:tcBorders>
            <w:shd w:val="clear" w:color="auto" w:fill="auto"/>
            <w:noWrap/>
            <w:vAlign w:val="center"/>
            <w:hideMark/>
          </w:tcPr>
          <w:p w14:paraId="3D12AF9B"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89</w:t>
            </w:r>
          </w:p>
        </w:tc>
        <w:tc>
          <w:tcPr>
            <w:tcW w:w="960" w:type="dxa"/>
            <w:tcBorders>
              <w:top w:val="single" w:sz="4" w:space="0" w:color="ADD6EA"/>
              <w:left w:val="nil"/>
              <w:bottom w:val="nil"/>
              <w:right w:val="nil"/>
            </w:tcBorders>
            <w:shd w:val="clear" w:color="auto" w:fill="auto"/>
            <w:noWrap/>
            <w:vAlign w:val="center"/>
            <w:hideMark/>
          </w:tcPr>
          <w:p w14:paraId="10E7B1CB" w14:textId="77777777" w:rsidR="00483754" w:rsidRPr="00483754" w:rsidRDefault="00483754" w:rsidP="0048375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83754">
              <w:rPr>
                <w:rFonts w:ascii="Open Sans Light" w:eastAsia="Times New Roman" w:hAnsi="Open Sans Light" w:cs="Open Sans Light"/>
                <w:color w:val="000000"/>
                <w:sz w:val="16"/>
                <w:szCs w:val="16"/>
                <w:lang w:eastAsia="en-AU"/>
              </w:rPr>
              <w:t>475</w:t>
            </w:r>
          </w:p>
        </w:tc>
      </w:tr>
      <w:tr w:rsidR="00483754" w:rsidRPr="00483754" w14:paraId="7EA7A0FD" w14:textId="77777777" w:rsidTr="00483754">
        <w:trPr>
          <w:trHeight w:val="315"/>
        </w:trPr>
        <w:tc>
          <w:tcPr>
            <w:tcW w:w="2740" w:type="dxa"/>
            <w:tcBorders>
              <w:top w:val="single" w:sz="4" w:space="0" w:color="ADD6EA"/>
              <w:left w:val="nil"/>
              <w:bottom w:val="single" w:sz="4" w:space="0" w:color="ADD6EA"/>
              <w:right w:val="nil"/>
            </w:tcBorders>
            <w:shd w:val="clear" w:color="000000" w:fill="D6E7F0"/>
            <w:vAlign w:val="center"/>
            <w:hideMark/>
          </w:tcPr>
          <w:p w14:paraId="423E6066" w14:textId="77777777" w:rsidR="00483754" w:rsidRPr="00483754" w:rsidRDefault="00483754" w:rsidP="00483754">
            <w:pPr>
              <w:tabs>
                <w:tab w:val="clear" w:pos="567"/>
              </w:tabs>
              <w:spacing w:before="0" w:line="240" w:lineRule="auto"/>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Total</w:t>
            </w:r>
          </w:p>
        </w:tc>
        <w:tc>
          <w:tcPr>
            <w:tcW w:w="680" w:type="dxa"/>
            <w:tcBorders>
              <w:top w:val="single" w:sz="4" w:space="0" w:color="ADD6EA"/>
              <w:left w:val="nil"/>
              <w:bottom w:val="single" w:sz="4" w:space="0" w:color="ADD6EA"/>
              <w:right w:val="nil"/>
            </w:tcBorders>
            <w:shd w:val="clear" w:color="000000" w:fill="D6E7F0"/>
            <w:noWrap/>
            <w:vAlign w:val="center"/>
            <w:hideMark/>
          </w:tcPr>
          <w:p w14:paraId="6E04F567"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17</w:t>
            </w:r>
          </w:p>
        </w:tc>
        <w:tc>
          <w:tcPr>
            <w:tcW w:w="680" w:type="dxa"/>
            <w:tcBorders>
              <w:top w:val="single" w:sz="4" w:space="0" w:color="ADD6EA"/>
              <w:left w:val="nil"/>
              <w:bottom w:val="single" w:sz="4" w:space="0" w:color="ADD6EA"/>
              <w:right w:val="nil"/>
            </w:tcBorders>
            <w:shd w:val="clear" w:color="000000" w:fill="D6E7F0"/>
            <w:noWrap/>
            <w:vAlign w:val="center"/>
            <w:hideMark/>
          </w:tcPr>
          <w:p w14:paraId="4F477424"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-432</w:t>
            </w:r>
          </w:p>
        </w:tc>
        <w:tc>
          <w:tcPr>
            <w:tcW w:w="680" w:type="dxa"/>
            <w:tcBorders>
              <w:top w:val="single" w:sz="4" w:space="0" w:color="ADD6EA"/>
              <w:left w:val="nil"/>
              <w:bottom w:val="single" w:sz="4" w:space="0" w:color="ADD6EA"/>
              <w:right w:val="nil"/>
            </w:tcBorders>
            <w:shd w:val="clear" w:color="000000" w:fill="D6E7F0"/>
            <w:noWrap/>
            <w:vAlign w:val="center"/>
            <w:hideMark/>
          </w:tcPr>
          <w:p w14:paraId="033F6F82"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59</w:t>
            </w:r>
          </w:p>
        </w:tc>
        <w:tc>
          <w:tcPr>
            <w:tcW w:w="680" w:type="dxa"/>
            <w:tcBorders>
              <w:top w:val="single" w:sz="4" w:space="0" w:color="ADD6EA"/>
              <w:left w:val="nil"/>
              <w:bottom w:val="single" w:sz="4" w:space="0" w:color="ADD6EA"/>
              <w:right w:val="nil"/>
            </w:tcBorders>
            <w:shd w:val="clear" w:color="000000" w:fill="D6E7F0"/>
            <w:noWrap/>
            <w:vAlign w:val="center"/>
            <w:hideMark/>
          </w:tcPr>
          <w:p w14:paraId="33A58D51"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212</w:t>
            </w:r>
          </w:p>
        </w:tc>
        <w:tc>
          <w:tcPr>
            <w:tcW w:w="680" w:type="dxa"/>
            <w:tcBorders>
              <w:top w:val="single" w:sz="4" w:space="0" w:color="ADD6EA"/>
              <w:left w:val="nil"/>
              <w:bottom w:val="single" w:sz="4" w:space="0" w:color="ADD6EA"/>
              <w:right w:val="nil"/>
            </w:tcBorders>
            <w:shd w:val="clear" w:color="000000" w:fill="D6E7F0"/>
            <w:noWrap/>
            <w:vAlign w:val="center"/>
            <w:hideMark/>
          </w:tcPr>
          <w:p w14:paraId="712B3404"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69</w:t>
            </w:r>
          </w:p>
        </w:tc>
        <w:tc>
          <w:tcPr>
            <w:tcW w:w="680" w:type="dxa"/>
            <w:tcBorders>
              <w:top w:val="single" w:sz="4" w:space="0" w:color="ADD6EA"/>
              <w:left w:val="nil"/>
              <w:bottom w:val="single" w:sz="4" w:space="0" w:color="ADD6EA"/>
              <w:right w:val="nil"/>
            </w:tcBorders>
            <w:shd w:val="clear" w:color="000000" w:fill="D6E7F0"/>
            <w:noWrap/>
            <w:vAlign w:val="center"/>
            <w:hideMark/>
          </w:tcPr>
          <w:p w14:paraId="21777B43"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31</w:t>
            </w:r>
          </w:p>
        </w:tc>
        <w:tc>
          <w:tcPr>
            <w:tcW w:w="680" w:type="dxa"/>
            <w:tcBorders>
              <w:top w:val="single" w:sz="4" w:space="0" w:color="ADD6EA"/>
              <w:left w:val="nil"/>
              <w:bottom w:val="single" w:sz="4" w:space="0" w:color="ADD6EA"/>
              <w:right w:val="nil"/>
            </w:tcBorders>
            <w:shd w:val="clear" w:color="000000" w:fill="D6E7F0"/>
            <w:noWrap/>
            <w:vAlign w:val="center"/>
            <w:hideMark/>
          </w:tcPr>
          <w:p w14:paraId="7FC06BEA"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7</w:t>
            </w:r>
          </w:p>
        </w:tc>
        <w:tc>
          <w:tcPr>
            <w:tcW w:w="680" w:type="dxa"/>
            <w:tcBorders>
              <w:top w:val="single" w:sz="4" w:space="0" w:color="ADD6EA"/>
              <w:left w:val="nil"/>
              <w:bottom w:val="single" w:sz="4" w:space="0" w:color="ADD6EA"/>
              <w:right w:val="nil"/>
            </w:tcBorders>
            <w:shd w:val="clear" w:color="000000" w:fill="D6E7F0"/>
            <w:noWrap/>
            <w:vAlign w:val="center"/>
            <w:hideMark/>
          </w:tcPr>
          <w:p w14:paraId="13F8E127"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36</w:t>
            </w:r>
          </w:p>
        </w:tc>
        <w:tc>
          <w:tcPr>
            <w:tcW w:w="960" w:type="dxa"/>
            <w:tcBorders>
              <w:top w:val="single" w:sz="4" w:space="0" w:color="ADD6EA"/>
              <w:left w:val="nil"/>
              <w:bottom w:val="single" w:sz="4" w:space="0" w:color="ADD6EA"/>
              <w:right w:val="nil"/>
            </w:tcBorders>
            <w:shd w:val="clear" w:color="000000" w:fill="D6E7F0"/>
            <w:noWrap/>
            <w:vAlign w:val="center"/>
            <w:hideMark/>
          </w:tcPr>
          <w:p w14:paraId="4DE2536F"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432</w:t>
            </w:r>
          </w:p>
        </w:tc>
      </w:tr>
      <w:tr w:rsidR="00483754" w:rsidRPr="00483754" w14:paraId="2AF2227F" w14:textId="77777777" w:rsidTr="00483754">
        <w:trPr>
          <w:trHeight w:val="315"/>
        </w:trPr>
        <w:tc>
          <w:tcPr>
            <w:tcW w:w="2740" w:type="dxa"/>
            <w:tcBorders>
              <w:top w:val="nil"/>
              <w:left w:val="nil"/>
              <w:bottom w:val="single" w:sz="4" w:space="0" w:color="ADD6EA"/>
              <w:right w:val="nil"/>
            </w:tcBorders>
            <w:shd w:val="clear" w:color="000000" w:fill="D6E7F0"/>
            <w:vAlign w:val="center"/>
            <w:hideMark/>
          </w:tcPr>
          <w:p w14:paraId="7FD7F7AD" w14:textId="77777777" w:rsidR="00483754" w:rsidRPr="00483754" w:rsidRDefault="00483754" w:rsidP="00483754">
            <w:pPr>
              <w:tabs>
                <w:tab w:val="clear" w:pos="567"/>
              </w:tabs>
              <w:spacing w:before="0" w:line="240" w:lineRule="auto"/>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Total revisions</w:t>
            </w:r>
          </w:p>
        </w:tc>
        <w:tc>
          <w:tcPr>
            <w:tcW w:w="680" w:type="dxa"/>
            <w:tcBorders>
              <w:top w:val="nil"/>
              <w:left w:val="nil"/>
              <w:bottom w:val="single" w:sz="4" w:space="0" w:color="ADD6EA"/>
              <w:right w:val="nil"/>
            </w:tcBorders>
            <w:shd w:val="clear" w:color="000000" w:fill="D6E7F0"/>
            <w:noWrap/>
            <w:vAlign w:val="center"/>
            <w:hideMark/>
          </w:tcPr>
          <w:p w14:paraId="1B45AC19"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-527</w:t>
            </w:r>
          </w:p>
        </w:tc>
        <w:tc>
          <w:tcPr>
            <w:tcW w:w="680" w:type="dxa"/>
            <w:tcBorders>
              <w:top w:val="nil"/>
              <w:left w:val="nil"/>
              <w:bottom w:val="single" w:sz="4" w:space="0" w:color="ADD6EA"/>
              <w:right w:val="nil"/>
            </w:tcBorders>
            <w:shd w:val="clear" w:color="000000" w:fill="D6E7F0"/>
            <w:noWrap/>
            <w:vAlign w:val="center"/>
            <w:hideMark/>
          </w:tcPr>
          <w:p w14:paraId="5AE8057C"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403</w:t>
            </w:r>
          </w:p>
        </w:tc>
        <w:tc>
          <w:tcPr>
            <w:tcW w:w="680" w:type="dxa"/>
            <w:tcBorders>
              <w:top w:val="nil"/>
              <w:left w:val="nil"/>
              <w:bottom w:val="single" w:sz="4" w:space="0" w:color="ADD6EA"/>
              <w:right w:val="nil"/>
            </w:tcBorders>
            <w:shd w:val="clear" w:color="000000" w:fill="D6E7F0"/>
            <w:noWrap/>
            <w:vAlign w:val="center"/>
            <w:hideMark/>
          </w:tcPr>
          <w:p w14:paraId="12274E0D"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146</w:t>
            </w:r>
          </w:p>
        </w:tc>
        <w:tc>
          <w:tcPr>
            <w:tcW w:w="680" w:type="dxa"/>
            <w:tcBorders>
              <w:top w:val="nil"/>
              <w:left w:val="nil"/>
              <w:bottom w:val="single" w:sz="4" w:space="0" w:color="ADD6EA"/>
              <w:right w:val="nil"/>
            </w:tcBorders>
            <w:shd w:val="clear" w:color="000000" w:fill="D6E7F0"/>
            <w:noWrap/>
            <w:vAlign w:val="center"/>
            <w:hideMark/>
          </w:tcPr>
          <w:p w14:paraId="08EA00B3"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-38</w:t>
            </w:r>
          </w:p>
        </w:tc>
        <w:tc>
          <w:tcPr>
            <w:tcW w:w="680" w:type="dxa"/>
            <w:tcBorders>
              <w:top w:val="nil"/>
              <w:left w:val="nil"/>
              <w:bottom w:val="single" w:sz="4" w:space="0" w:color="ADD6EA"/>
              <w:right w:val="nil"/>
            </w:tcBorders>
            <w:shd w:val="clear" w:color="000000" w:fill="D6E7F0"/>
            <w:noWrap/>
            <w:vAlign w:val="center"/>
            <w:hideMark/>
          </w:tcPr>
          <w:p w14:paraId="14297A71"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-217</w:t>
            </w:r>
          </w:p>
        </w:tc>
        <w:tc>
          <w:tcPr>
            <w:tcW w:w="680" w:type="dxa"/>
            <w:tcBorders>
              <w:top w:val="nil"/>
              <w:left w:val="nil"/>
              <w:bottom w:val="single" w:sz="4" w:space="0" w:color="ADD6EA"/>
              <w:right w:val="nil"/>
            </w:tcBorders>
            <w:shd w:val="clear" w:color="000000" w:fill="D6E7F0"/>
            <w:noWrap/>
            <w:vAlign w:val="center"/>
            <w:hideMark/>
          </w:tcPr>
          <w:p w14:paraId="164B095C"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94</w:t>
            </w:r>
          </w:p>
        </w:tc>
        <w:tc>
          <w:tcPr>
            <w:tcW w:w="680" w:type="dxa"/>
            <w:tcBorders>
              <w:top w:val="nil"/>
              <w:left w:val="nil"/>
              <w:bottom w:val="single" w:sz="4" w:space="0" w:color="ADD6EA"/>
              <w:right w:val="nil"/>
            </w:tcBorders>
            <w:shd w:val="clear" w:color="000000" w:fill="D6E7F0"/>
            <w:noWrap/>
            <w:vAlign w:val="center"/>
            <w:hideMark/>
          </w:tcPr>
          <w:p w14:paraId="57B2CCC3"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54</w:t>
            </w:r>
          </w:p>
        </w:tc>
        <w:tc>
          <w:tcPr>
            <w:tcW w:w="680" w:type="dxa"/>
            <w:tcBorders>
              <w:top w:val="nil"/>
              <w:left w:val="nil"/>
              <w:bottom w:val="single" w:sz="4" w:space="0" w:color="ADD6EA"/>
              <w:right w:val="nil"/>
            </w:tcBorders>
            <w:shd w:val="clear" w:color="000000" w:fill="D6E7F0"/>
            <w:noWrap/>
            <w:vAlign w:val="center"/>
            <w:hideMark/>
          </w:tcPr>
          <w:p w14:paraId="0166337A"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85</w:t>
            </w:r>
          </w:p>
        </w:tc>
        <w:tc>
          <w:tcPr>
            <w:tcW w:w="960" w:type="dxa"/>
            <w:tcBorders>
              <w:top w:val="nil"/>
              <w:left w:val="nil"/>
              <w:bottom w:val="single" w:sz="4" w:space="0" w:color="ADD6EA"/>
              <w:right w:val="nil"/>
            </w:tcBorders>
            <w:shd w:val="clear" w:color="000000" w:fill="D6E7F0"/>
            <w:noWrap/>
            <w:vAlign w:val="center"/>
            <w:hideMark/>
          </w:tcPr>
          <w:p w14:paraId="48D1929B" w14:textId="77777777" w:rsidR="00483754" w:rsidRPr="00483754" w:rsidRDefault="00483754" w:rsidP="0048375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83754">
              <w:rPr>
                <w:rFonts w:ascii="Open Sans Semibold" w:eastAsia="Times New Roman" w:hAnsi="Open Sans Semibold" w:cs="Open Sans Semibold"/>
                <w:color w:val="000000"/>
                <w:sz w:val="16"/>
                <w:szCs w:val="16"/>
                <w:lang w:eastAsia="en-AU"/>
              </w:rPr>
              <w:t>782</w:t>
            </w:r>
          </w:p>
        </w:tc>
      </w:tr>
    </w:tbl>
    <w:p w14:paraId="4A611BDD" w14:textId="77777777" w:rsidR="0057025E" w:rsidRPr="00DC23FC" w:rsidRDefault="0057025E" w:rsidP="00FB1FB3">
      <w:pPr>
        <w:pStyle w:val="CGCTablenote"/>
        <w:rPr>
          <w:highlight w:val="yellow"/>
        </w:rPr>
      </w:pPr>
      <w:r w:rsidRPr="00DC23FC">
        <w:t>Source: Commission calculation.</w:t>
      </w:r>
    </w:p>
    <w:p w14:paraId="0A76BB10" w14:textId="77777777" w:rsidR="0057025E" w:rsidRPr="00DC23FC" w:rsidRDefault="0057025E" w:rsidP="00FB1FB3">
      <w:pPr>
        <w:pStyle w:val="Heading4"/>
      </w:pPr>
      <w:r w:rsidRPr="00DC23FC">
        <w:t>Census revisions</w:t>
      </w:r>
    </w:p>
    <w:p w14:paraId="07F31D1F" w14:textId="2A974F8B" w:rsidR="0057025E" w:rsidRPr="00DC23FC" w:rsidRDefault="0057025E" w:rsidP="0057025E">
      <w:r w:rsidRPr="00DC23FC">
        <w:t xml:space="preserve">Revisions to </w:t>
      </w:r>
      <w:r w:rsidR="00910E2B">
        <w:t>C</w:t>
      </w:r>
      <w:r w:rsidRPr="00DC23FC">
        <w:t xml:space="preserve">ensus data impacted GST distribution through a variety of drivers. The largest impact was on urban transport expenditure (both recurrent and investment) and health expenditure. See </w:t>
      </w:r>
      <w:r w:rsidR="00222239">
        <w:t>Box 2-2</w:t>
      </w:r>
      <w:hyperlink w:anchor="_Box_2-2_2021" w:history="1">
        <w:r w:rsidR="00AD7B9C">
          <w:rPr>
            <w:rStyle w:val="Hyperlink"/>
            <w:color w:val="auto"/>
            <w:u w:val="none"/>
          </w:rPr>
          <w:fldChar w:fldCharType="begin"/>
        </w:r>
        <w:r w:rsidR="00AD7B9C">
          <w:instrText xml:space="preserve"> REF Box_2_2 \h </w:instrText>
        </w:r>
        <w:r w:rsidR="00AD7B9C">
          <w:rPr>
            <w:rStyle w:val="Hyperlink"/>
            <w:color w:val="auto"/>
            <w:u w:val="none"/>
          </w:rPr>
        </w:r>
        <w:r w:rsidR="00AD7B9C">
          <w:rPr>
            <w:rStyle w:val="Hyperlink"/>
            <w:color w:val="auto"/>
            <w:u w:val="none"/>
          </w:rPr>
          <w:fldChar w:fldCharType="end"/>
        </w:r>
      </w:hyperlink>
      <w:r w:rsidRPr="00DC23FC">
        <w:t xml:space="preserve"> for an explanation on how revisions from the 2021 Census affected the individual drivers of the distribution of GST revenue.</w:t>
      </w:r>
    </w:p>
    <w:p w14:paraId="14B0EC9B" w14:textId="77777777" w:rsidR="0057025E" w:rsidRPr="00DC23FC" w:rsidRDefault="0057025E" w:rsidP="00FB1FB3">
      <w:pPr>
        <w:pStyle w:val="Heading4"/>
      </w:pPr>
      <w:bookmarkStart w:id="176" w:name="Revisions_to_investment_data"/>
      <w:r w:rsidRPr="00DC23FC">
        <w:t>Revisions to investment data</w:t>
      </w:r>
    </w:p>
    <w:bookmarkEnd w:id="176"/>
    <w:p w14:paraId="6271AE94" w14:textId="5C0A9C19" w:rsidR="0057025E" w:rsidRPr="00DC23FC" w:rsidRDefault="0057025E" w:rsidP="0057025E">
      <w:r w:rsidRPr="00DC23FC">
        <w:t>Data provided by states for the 2023</w:t>
      </w:r>
      <w:r w:rsidR="00341B10">
        <w:t> </w:t>
      </w:r>
      <w:r w:rsidRPr="00DC23FC">
        <w:t>Update estimated investment in urban transport for 2021</w:t>
      </w:r>
      <w:r w:rsidR="00634486">
        <w:t>–</w:t>
      </w:r>
      <w:r w:rsidRPr="00DC23FC">
        <w:t>22 at $19</w:t>
      </w:r>
      <w:r w:rsidR="00341B10">
        <w:t> </w:t>
      </w:r>
      <w:r w:rsidRPr="00DC23FC">
        <w:t>billion. In this update, these estimates were replaced with an ABS estimate of $16</w:t>
      </w:r>
      <w:r w:rsidR="00341B10">
        <w:t> </w:t>
      </w:r>
      <w:r w:rsidRPr="00DC23FC">
        <w:t>billion. The revision reduced</w:t>
      </w:r>
      <w:r w:rsidR="008602D0">
        <w:t xml:space="preserve"> the</w:t>
      </w:r>
      <w:r w:rsidRPr="00DC23FC">
        <w:t xml:space="preserve"> assessed</w:t>
      </w:r>
      <w:r w:rsidR="008602D0">
        <w:t xml:space="preserve"> GST</w:t>
      </w:r>
      <w:r w:rsidRPr="00DC23FC">
        <w:t xml:space="preserve"> needs for urban transport investment in New South Wales and Victoria and increased</w:t>
      </w:r>
      <w:r w:rsidR="00CB6BAA">
        <w:t xml:space="preserve"> the</w:t>
      </w:r>
      <w:r w:rsidRPr="00DC23FC">
        <w:t xml:space="preserve"> assessed</w:t>
      </w:r>
      <w:r w:rsidR="00CB6BAA">
        <w:t xml:space="preserve"> GST</w:t>
      </w:r>
      <w:r w:rsidRPr="00DC23FC">
        <w:t xml:space="preserve"> needs of other states.</w:t>
      </w:r>
    </w:p>
    <w:p w14:paraId="3E434D6A" w14:textId="300341F5" w:rsidR="0057025E" w:rsidRPr="00DC23FC" w:rsidRDefault="0057025E" w:rsidP="0057025E">
      <w:r w:rsidRPr="00DC23FC">
        <w:t xml:space="preserve">Revisions to investment data were also significantly impacted by new 2021 Census data (see </w:t>
      </w:r>
      <w:hyperlink w:anchor="Box_2_2" w:history="1">
        <w:r w:rsidR="00222239" w:rsidRPr="00FB7B09">
          <w:rPr>
            <w:rStyle w:val="Hyperlink"/>
            <w:color w:val="auto"/>
            <w:u w:val="none"/>
          </w:rPr>
          <w:t>Box 2-2</w:t>
        </w:r>
      </w:hyperlink>
      <w:r w:rsidR="00AD7B9C">
        <w:fldChar w:fldCharType="begin"/>
      </w:r>
      <w:r w:rsidR="00AD7B9C">
        <w:instrText xml:space="preserve"> REF Box_2_2 \h </w:instrText>
      </w:r>
      <w:r w:rsidR="00AD7B9C">
        <w:fldChar w:fldCharType="end"/>
      </w:r>
      <w:r w:rsidR="00AD7B9C">
        <w:t>)</w:t>
      </w:r>
      <w:r w:rsidRPr="00DC23FC">
        <w:t>.</w:t>
      </w:r>
    </w:p>
    <w:p w14:paraId="36FDB9B2" w14:textId="77777777" w:rsidR="0057025E" w:rsidRPr="00DC23FC" w:rsidRDefault="0057025E" w:rsidP="00FB1FB3">
      <w:pPr>
        <w:pStyle w:val="Heading4"/>
      </w:pPr>
      <w:r w:rsidRPr="00DC23FC">
        <w:t>Revisions to health data</w:t>
      </w:r>
    </w:p>
    <w:p w14:paraId="3EC9A181" w14:textId="34D105B4" w:rsidR="0057025E" w:rsidRPr="00DC23FC" w:rsidRDefault="0057025E" w:rsidP="0057025E">
      <w:r w:rsidRPr="00DC23FC">
        <w:t>The Commission’s health assessment uses hospital activity data. There is a one-year lag in receiving the latest year’s data. The most recent assessment year in each update, therefore, re-uses the data from the previous assessment year. For the 2023 Update, 2020</w:t>
      </w:r>
      <w:r w:rsidR="00A92F13">
        <w:t>–</w:t>
      </w:r>
      <w:r w:rsidRPr="00DC23FC">
        <w:t>21 data were used for both 2020</w:t>
      </w:r>
      <w:r w:rsidR="00A92F13">
        <w:t>–</w:t>
      </w:r>
      <w:r w:rsidRPr="00DC23FC">
        <w:t>21 and 2021</w:t>
      </w:r>
      <w:r w:rsidR="00A92F13">
        <w:t>–</w:t>
      </w:r>
      <w:r w:rsidRPr="00DC23FC">
        <w:t>22. Because of this, updating these data with the latest available data (2021</w:t>
      </w:r>
      <w:r w:rsidR="00A92F13">
        <w:rPr>
          <w:rFonts w:cs="Work Sans"/>
        </w:rPr>
        <w:t>–</w:t>
      </w:r>
      <w:r w:rsidRPr="00DC23FC">
        <w:t>22) affects GST distribution through both a revision to previous data, and a change in circumstances.</w:t>
      </w:r>
    </w:p>
    <w:p w14:paraId="5845A269" w14:textId="087FACB5" w:rsidR="0057025E" w:rsidRPr="00DC23FC" w:rsidRDefault="0057025E" w:rsidP="0057025E">
      <w:r w:rsidRPr="00DC23FC">
        <w:t>Replacing state-provided expense data for 2021</w:t>
      </w:r>
      <w:r w:rsidR="00870725">
        <w:t>–</w:t>
      </w:r>
      <w:r w:rsidRPr="00DC23FC">
        <w:t>22 with ABS expense data for the same year resulted in a significant upward revision to community and public health expenses. This reduced assessed GST needs of New</w:t>
      </w:r>
      <w:r w:rsidR="00B453E1">
        <w:t> </w:t>
      </w:r>
      <w:r w:rsidRPr="00DC23FC">
        <w:t>South</w:t>
      </w:r>
      <w:r w:rsidR="00B453E1">
        <w:t> </w:t>
      </w:r>
      <w:r w:rsidRPr="00DC23FC">
        <w:t>Wales and Victoria and increased assessed GST needs of the other states.</w:t>
      </w:r>
    </w:p>
    <w:p w14:paraId="02747A1A" w14:textId="269E400D" w:rsidR="0057025E" w:rsidRPr="00DC23FC" w:rsidRDefault="0057025E" w:rsidP="0057025E">
      <w:r w:rsidRPr="00DC23FC">
        <w:lastRenderedPageBreak/>
        <w:t>Revising state expense data, combined with revising hospital activity data, resulted in an increase to the assessed GST needs of New South Wales, Western Australia and South Australia, and a reduction in the assessed GST needs of the other states.</w:t>
      </w:r>
    </w:p>
    <w:p w14:paraId="497CF6C2" w14:textId="0BFC2DE6" w:rsidR="0057025E" w:rsidRPr="00DC23FC" w:rsidRDefault="0057025E" w:rsidP="0057025E">
      <w:r w:rsidRPr="00DC23FC">
        <w:t>New 2021 Census data also resulted in revisions to health data (see</w:t>
      </w:r>
      <w:r w:rsidR="00E05BAD" w:rsidRPr="00FB7B09">
        <w:t xml:space="preserve"> </w:t>
      </w:r>
      <w:hyperlink w:anchor="Box_2_2" w:history="1">
        <w:r w:rsidR="00DF7C1F" w:rsidRPr="00FB7B09">
          <w:rPr>
            <w:rStyle w:val="Hyperlink"/>
            <w:color w:val="auto"/>
            <w:u w:val="none"/>
          </w:rPr>
          <w:t>Box 2-2</w:t>
        </w:r>
      </w:hyperlink>
      <w:r w:rsidR="00AD7B9C">
        <w:fldChar w:fldCharType="begin"/>
      </w:r>
      <w:r w:rsidR="00AD7B9C">
        <w:instrText xml:space="preserve"> REF Box_2_2 \h </w:instrText>
      </w:r>
      <w:r w:rsidR="00AD7B9C">
        <w:fldChar w:fldCharType="end"/>
      </w:r>
      <w:r w:rsidRPr="00DC23FC">
        <w:t>).</w:t>
      </w:r>
    </w:p>
    <w:p w14:paraId="5A135CF9" w14:textId="77777777" w:rsidR="0057025E" w:rsidRPr="00DC23FC" w:rsidRDefault="0057025E" w:rsidP="00055D3D">
      <w:pPr>
        <w:pStyle w:val="Heading4"/>
      </w:pPr>
      <w:r w:rsidRPr="00DC23FC">
        <w:t xml:space="preserve">Revisions to stamp duty </w:t>
      </w:r>
      <w:proofErr w:type="gramStart"/>
      <w:r w:rsidRPr="00DC23FC">
        <w:t>data</w:t>
      </w:r>
      <w:proofErr w:type="gramEnd"/>
    </w:p>
    <w:p w14:paraId="33E2ADE6" w14:textId="16116751" w:rsidR="0057025E" w:rsidRPr="0095123E" w:rsidRDefault="0057025E" w:rsidP="0057025E">
      <w:r w:rsidRPr="00DC23FC">
        <w:t>In the 2023 Update, a 2021</w:t>
      </w:r>
      <w:r w:rsidR="00870725">
        <w:t>–</w:t>
      </w:r>
      <w:r w:rsidRPr="00DC23FC">
        <w:t xml:space="preserve">22 transaction of a New South Wales major state asset was not separately identified </w:t>
      </w:r>
      <w:r w:rsidRPr="0095123E">
        <w:t>from New South </w:t>
      </w:r>
      <w:proofErr w:type="spellStart"/>
      <w:r w:rsidRPr="0095123E">
        <w:t>Wales’</w:t>
      </w:r>
      <w:proofErr w:type="spellEnd"/>
      <w:r w:rsidRPr="0095123E">
        <w:t xml:space="preserve"> other conveyances transactions. It was subsequently included in its assessed revenue base in the stamp duty on conveyances assessment. In the 2024 Update, the transaction was reclassified as a sale of a major state asset and assessed equal</w:t>
      </w:r>
      <w:r w:rsidR="00E269C5" w:rsidRPr="0095123E">
        <w:t> </w:t>
      </w:r>
      <w:r w:rsidRPr="0095123E">
        <w:t>per</w:t>
      </w:r>
      <w:r w:rsidR="00E269C5" w:rsidRPr="0095123E">
        <w:t> </w:t>
      </w:r>
      <w:r w:rsidRPr="0095123E">
        <w:t>capita in the other revenue category, resulting in a downward revision to New South </w:t>
      </w:r>
      <w:proofErr w:type="spellStart"/>
      <w:r w:rsidRPr="0095123E">
        <w:t>Wales'</w:t>
      </w:r>
      <w:proofErr w:type="spellEnd"/>
      <w:r w:rsidRPr="0095123E">
        <w:t xml:space="preserve"> value of property transferred in 2021</w:t>
      </w:r>
      <w:r w:rsidR="00DB172B">
        <w:t>–</w:t>
      </w:r>
      <w:r w:rsidRPr="0095123E">
        <w:t>22. This downward revision, along with other minor revisions to the value of property transferred for other states, increased the assessed GST needs of New</w:t>
      </w:r>
      <w:r w:rsidR="00402794" w:rsidRPr="0095123E">
        <w:t> </w:t>
      </w:r>
      <w:r w:rsidRPr="0095123E">
        <w:t>South</w:t>
      </w:r>
      <w:r w:rsidR="00402794" w:rsidRPr="0095123E">
        <w:t> </w:t>
      </w:r>
      <w:r w:rsidRPr="0095123E">
        <w:t>Wales, and reduced the assessed GST needs of the other states.</w:t>
      </w:r>
    </w:p>
    <w:p w14:paraId="1A362A8C" w14:textId="77777777" w:rsidR="0057025E" w:rsidRPr="0095123E" w:rsidRDefault="0057025E" w:rsidP="00055D3D">
      <w:pPr>
        <w:pStyle w:val="Heading4"/>
      </w:pPr>
      <w:r w:rsidRPr="0095123E">
        <w:t>Revisions to other expenses data</w:t>
      </w:r>
    </w:p>
    <w:p w14:paraId="2B0AF61B" w14:textId="285A3E4F" w:rsidR="0057025E" w:rsidRPr="0095123E" w:rsidRDefault="0057025E" w:rsidP="0057025E">
      <w:r w:rsidRPr="0095123E">
        <w:t>Revisions to states’ natural disaster relief data resulted in changes to assessed GST needs. Most notably, a revision to Victoria’s natural disaster relief data increased its assessed GST needs for natural disaster relief.</w:t>
      </w:r>
    </w:p>
    <w:p w14:paraId="5E903AF4" w14:textId="77777777" w:rsidR="0057025E" w:rsidRPr="0095123E" w:rsidRDefault="0057025E" w:rsidP="00055D3D">
      <w:pPr>
        <w:pStyle w:val="Heading4"/>
      </w:pPr>
      <w:r w:rsidRPr="0095123E">
        <w:t>Revisions to mining revenue data</w:t>
      </w:r>
    </w:p>
    <w:p w14:paraId="5E3297FA" w14:textId="375824A4" w:rsidR="0057025E" w:rsidRPr="00DC23FC" w:rsidRDefault="0057025E" w:rsidP="0057025E">
      <w:r w:rsidRPr="0095123E">
        <w:t xml:space="preserve">The Commission makes a </w:t>
      </w:r>
      <w:proofErr w:type="gramStart"/>
      <w:r w:rsidR="00092016" w:rsidRPr="0095123E">
        <w:t>mineral</w:t>
      </w:r>
      <w:r w:rsidR="001C29C6" w:rsidRPr="0095123E">
        <w:t xml:space="preserve"> </w:t>
      </w:r>
      <w:r w:rsidR="00092016" w:rsidRPr="0095123E">
        <w:t>by</w:t>
      </w:r>
      <w:r w:rsidR="001C29C6" w:rsidRPr="0095123E">
        <w:t xml:space="preserve"> </w:t>
      </w:r>
      <w:r w:rsidR="00092016" w:rsidRPr="0095123E">
        <w:t>mineral</w:t>
      </w:r>
      <w:proofErr w:type="gramEnd"/>
      <w:r w:rsidRPr="0095123E">
        <w:t xml:space="preserve"> assessment of state mining royalties. Under this approach, a mineral is separately assessed if it is material to do so (moves more than $35 per capita in GST for any state). Minerals that are not separately assessed are assessed together (</w:t>
      </w:r>
      <w:r w:rsidR="00E7668F">
        <w:t>in</w:t>
      </w:r>
      <w:r w:rsidR="0087598D">
        <w:t xml:space="preserve"> </w:t>
      </w:r>
      <w:r w:rsidRPr="0095123E">
        <w:t>‘other minerals’).</w:t>
      </w:r>
    </w:p>
    <w:p w14:paraId="55FD3CE4" w14:textId="72043626" w:rsidR="0057025E" w:rsidRPr="00DC23FC" w:rsidRDefault="0057025E" w:rsidP="0057025E">
      <w:pPr>
        <w:rPr>
          <w:highlight w:val="green"/>
        </w:rPr>
      </w:pPr>
      <w:r w:rsidRPr="00DC23FC">
        <w:t xml:space="preserve">In this update, a separate assessment of nickel became material. It was split from other minerals and assessed separately. This resulted in a lower rate of royalty being applied to nickel royalties in all 3 assessment years in this update. This change reduced the assessed </w:t>
      </w:r>
      <w:r w:rsidR="006A1A7D" w:rsidRPr="00185770">
        <w:t>revenue raising</w:t>
      </w:r>
      <w:r w:rsidR="006A1A7D">
        <w:t xml:space="preserve"> </w:t>
      </w:r>
      <w:r w:rsidRPr="00DC23FC">
        <w:t>capacity of Western Australia, increasing its assessed GST needs and reducing the assessed GST needs of the other states.</w:t>
      </w:r>
    </w:p>
    <w:p w14:paraId="34317565" w14:textId="77777777" w:rsidR="00904E2C" w:rsidRDefault="00904E2C">
      <w:pPr>
        <w:tabs>
          <w:tab w:val="clear" w:pos="567"/>
        </w:tabs>
        <w:spacing w:before="0" w:line="240" w:lineRule="auto"/>
        <w:rPr>
          <w:rFonts w:eastAsiaTheme="majorEastAsia" w:cs="Open Sans"/>
          <w:bCs/>
          <w:color w:val="006991"/>
          <w:sz w:val="40"/>
          <w:szCs w:val="40"/>
        </w:rPr>
      </w:pPr>
      <w:r>
        <w:br w:type="page"/>
      </w:r>
    </w:p>
    <w:p w14:paraId="65009B0B" w14:textId="31B4CFDD" w:rsidR="00904E2C" w:rsidRPr="00904E2C" w:rsidRDefault="00904E2C" w:rsidP="00904E2C">
      <w:r>
        <w:rPr>
          <w:noProof/>
        </w:rPr>
        <w:lastRenderedPageBreak/>
        <mc:AlternateContent>
          <mc:Choice Requires="wps">
            <w:drawing>
              <wp:anchor distT="45720" distB="45720" distL="114300" distR="114300" simplePos="0" relativeHeight="251658254" behindDoc="0" locked="0" layoutInCell="1" allowOverlap="1" wp14:anchorId="009717A6" wp14:editId="44A19630">
                <wp:simplePos x="0" y="0"/>
                <wp:positionH relativeFrom="margin">
                  <wp:align>left</wp:align>
                </wp:positionH>
                <wp:positionV relativeFrom="paragraph">
                  <wp:posOffset>0</wp:posOffset>
                </wp:positionV>
                <wp:extent cx="5853430" cy="9226550"/>
                <wp:effectExtent l="0" t="0" r="13970" b="12700"/>
                <wp:wrapSquare wrapText="bothSides"/>
                <wp:docPr id="134842422" name="Text Box 134842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9226550"/>
                        </a:xfrm>
                        <a:prstGeom prst="rect">
                          <a:avLst/>
                        </a:prstGeom>
                        <a:solidFill>
                          <a:srgbClr val="E5F8FF"/>
                        </a:solidFill>
                        <a:ln w="9525">
                          <a:solidFill>
                            <a:schemeClr val="bg1"/>
                          </a:solidFill>
                          <a:miter lim="800000"/>
                          <a:headEnd/>
                          <a:tailEnd/>
                        </a:ln>
                      </wps:spPr>
                      <wps:txbx>
                        <w:txbxContent>
                          <w:p w14:paraId="4BA65B98" w14:textId="5B822480" w:rsidR="00904E2C" w:rsidRPr="00607566" w:rsidRDefault="00904E2C" w:rsidP="00904E2C">
                            <w:pPr>
                              <w:pStyle w:val="Heading2"/>
                            </w:pPr>
                            <w:bookmarkStart w:id="177" w:name="Box_2_2"/>
                            <w:bookmarkStart w:id="178" w:name="_Box_2-2_2021"/>
                            <w:bookmarkStart w:id="179" w:name="_Toc159675697"/>
                            <w:bookmarkStart w:id="180" w:name="_Toc159676004"/>
                            <w:bookmarkStart w:id="181" w:name="_Toc159676071"/>
                            <w:bookmarkEnd w:id="177"/>
                            <w:bookmarkEnd w:id="178"/>
                            <w:r>
                              <w:t>Box 2-2</w:t>
                            </w:r>
                            <w:r>
                              <w:tab/>
                              <w:t>2021 Census data and drivers of GST distribution</w:t>
                            </w:r>
                            <w:bookmarkEnd w:id="179"/>
                            <w:bookmarkEnd w:id="180"/>
                            <w:bookmarkEnd w:id="181"/>
                          </w:p>
                          <w:p w14:paraId="5F6E01C4" w14:textId="1E3C69C6" w:rsidR="008B7329" w:rsidRPr="0095123E" w:rsidRDefault="008B7329" w:rsidP="008B7329">
                            <w:r w:rsidRPr="0031054C">
                              <w:t xml:space="preserve">The 2021 Census was conducted in August 2021 and data have become progressively available. In the 2023 Update, the following census-based data were updated: state total estimated resident populations, social housing use rates in the housing assessment, and client </w:t>
                            </w:r>
                            <w:r w:rsidRPr="0095123E">
                              <w:t>base data for the regional costs assessment in the services to industries assessment. For the 2024 Update, the data discussed below were updated.</w:t>
                            </w:r>
                          </w:p>
                          <w:p w14:paraId="1A46AF25" w14:textId="1E85D0F2" w:rsidR="008B7329" w:rsidRPr="0095123E" w:rsidRDefault="008B7329" w:rsidP="005A2782">
                            <w:pPr>
                              <w:pStyle w:val="Heading3"/>
                            </w:pPr>
                            <w:bookmarkStart w:id="182" w:name="_Toc159675698"/>
                            <w:bookmarkStart w:id="183" w:name="_Toc159676005"/>
                            <w:bookmarkStart w:id="184" w:name="_Toc159676072"/>
                            <w:r w:rsidRPr="0095123E">
                              <w:t>Urban centre characteristics</w:t>
                            </w:r>
                            <w:bookmarkEnd w:id="182"/>
                            <w:bookmarkEnd w:id="183"/>
                            <w:bookmarkEnd w:id="184"/>
                          </w:p>
                          <w:p w14:paraId="24B9EA59" w14:textId="2C4DD0CE" w:rsidR="008B7329" w:rsidRPr="0095123E" w:rsidRDefault="008B7329" w:rsidP="00183511">
                            <w:pPr>
                              <w:pStyle w:val="BulletPoints"/>
                            </w:pPr>
                            <w:r w:rsidRPr="0095123E">
                              <w:t xml:space="preserve">New data had a significant impact on the </w:t>
                            </w:r>
                            <w:r w:rsidR="00FA4535" w:rsidRPr="0095123E">
                              <w:t xml:space="preserve">recurrent </w:t>
                            </w:r>
                            <w:r w:rsidRPr="0095123E">
                              <w:t>urban transport and investment assessments. This was primarily driven by changes in population</w:t>
                            </w:r>
                            <w:r w:rsidR="00890293">
                              <w:noBreakHyphen/>
                            </w:r>
                            <w:r w:rsidRPr="0095123E">
                              <w:t>weighted density, with both revised population and revised S</w:t>
                            </w:r>
                            <w:r w:rsidR="0084718E">
                              <w:t xml:space="preserve">tatistical </w:t>
                            </w:r>
                            <w:r w:rsidRPr="0095123E">
                              <w:t>A</w:t>
                            </w:r>
                            <w:r w:rsidR="00A52509">
                              <w:t xml:space="preserve">rea Level </w:t>
                            </w:r>
                            <w:r w:rsidRPr="0095123E">
                              <w:t xml:space="preserve">1 boundaries. The new data showed that Victoria and the ACT had higher population-weighted density. The ACT also had a large increase in its urban population. Using these data resulted in an increase in the assessed GST needs of Victoria and the ACT (see </w:t>
                            </w:r>
                            <w:r w:rsidR="009976EF" w:rsidRPr="0095123E">
                              <w:fldChar w:fldCharType="begin"/>
                            </w:r>
                            <w:r w:rsidR="009976EF" w:rsidRPr="0095123E">
                              <w:instrText xml:space="preserve"> REF Table_2_5 \h </w:instrText>
                            </w:r>
                            <w:r w:rsidR="0095123E">
                              <w:instrText xml:space="preserve"> \* MERGEFORMAT </w:instrText>
                            </w:r>
                            <w:r w:rsidR="009976EF" w:rsidRPr="0095123E">
                              <w:fldChar w:fldCharType="separate"/>
                            </w:r>
                            <w:r w:rsidR="00047120" w:rsidRPr="0095123E">
                              <w:t>Table 2-5</w:t>
                            </w:r>
                            <w:r w:rsidR="009976EF" w:rsidRPr="0095123E">
                              <w:fldChar w:fldCharType="end"/>
                            </w:r>
                            <w:r w:rsidRPr="0095123E">
                              <w:t>).</w:t>
                            </w:r>
                          </w:p>
                          <w:p w14:paraId="0B600BE3" w14:textId="56309DB9" w:rsidR="008B7329" w:rsidRPr="0095123E" w:rsidRDefault="008B7329" w:rsidP="00A272D7">
                            <w:pPr>
                              <w:pStyle w:val="Tableheading"/>
                              <w:ind w:left="1440" w:hanging="1440"/>
                            </w:pPr>
                            <w:bookmarkStart w:id="185" w:name="Table_2_5"/>
                            <w:r w:rsidRPr="0095123E">
                              <w:t>Table 2-5</w:t>
                            </w:r>
                            <w:bookmarkEnd w:id="185"/>
                            <w:r w:rsidRPr="0095123E">
                              <w:tab/>
                              <w:t>Change in assessed GST needs due to census revisions in urban centre characteristics, 2023</w:t>
                            </w:r>
                            <w:r w:rsidR="00412A30">
                              <w:t>–</w:t>
                            </w:r>
                            <w:r w:rsidRPr="0095123E">
                              <w:t>24 to 2024</w:t>
                            </w:r>
                            <w:r w:rsidR="00412A30">
                              <w:t>–</w:t>
                            </w:r>
                            <w:proofErr w:type="gramStart"/>
                            <w:r w:rsidRPr="0095123E">
                              <w:t>25</w:t>
                            </w:r>
                            <w:proofErr w:type="gramEnd"/>
                          </w:p>
                          <w:tbl>
                            <w:tblPr>
                              <w:tblW w:w="9000" w:type="dxa"/>
                              <w:tblLook w:val="04A0" w:firstRow="1" w:lastRow="0" w:firstColumn="1" w:lastColumn="0" w:noHBand="0" w:noVBand="1"/>
                            </w:tblPr>
                            <w:tblGrid>
                              <w:gridCol w:w="2740"/>
                              <w:gridCol w:w="680"/>
                              <w:gridCol w:w="680"/>
                              <w:gridCol w:w="680"/>
                              <w:gridCol w:w="680"/>
                              <w:gridCol w:w="680"/>
                              <w:gridCol w:w="680"/>
                              <w:gridCol w:w="680"/>
                              <w:gridCol w:w="680"/>
                              <w:gridCol w:w="820"/>
                            </w:tblGrid>
                            <w:tr w:rsidR="00B7378B" w:rsidRPr="00B7378B" w14:paraId="44219B24" w14:textId="77777777" w:rsidTr="00B7378B">
                              <w:trPr>
                                <w:trHeight w:val="555"/>
                              </w:trPr>
                              <w:tc>
                                <w:tcPr>
                                  <w:tcW w:w="2740" w:type="dxa"/>
                                  <w:tcBorders>
                                    <w:top w:val="nil"/>
                                    <w:left w:val="nil"/>
                                    <w:bottom w:val="nil"/>
                                    <w:right w:val="nil"/>
                                  </w:tcBorders>
                                  <w:shd w:val="clear" w:color="000000" w:fill="006991"/>
                                  <w:vAlign w:val="center"/>
                                  <w:hideMark/>
                                </w:tcPr>
                                <w:p w14:paraId="26BD088D" w14:textId="77777777" w:rsidR="00B7378B" w:rsidRPr="00B7378B" w:rsidRDefault="00B7378B" w:rsidP="00B7378B">
                                  <w:pPr>
                                    <w:tabs>
                                      <w:tab w:val="clear" w:pos="567"/>
                                    </w:tabs>
                                    <w:spacing w:before="0" w:line="240" w:lineRule="auto"/>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 </w:t>
                                  </w:r>
                                </w:p>
                              </w:tc>
                              <w:tc>
                                <w:tcPr>
                                  <w:tcW w:w="680" w:type="dxa"/>
                                  <w:tcBorders>
                                    <w:top w:val="nil"/>
                                    <w:left w:val="nil"/>
                                    <w:bottom w:val="nil"/>
                                    <w:right w:val="nil"/>
                                  </w:tcBorders>
                                  <w:shd w:val="clear" w:color="000000" w:fill="006991"/>
                                  <w:vAlign w:val="center"/>
                                  <w:hideMark/>
                                </w:tcPr>
                                <w:p w14:paraId="3CFDC444"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NSW</w:t>
                                  </w:r>
                                </w:p>
                              </w:tc>
                              <w:tc>
                                <w:tcPr>
                                  <w:tcW w:w="680" w:type="dxa"/>
                                  <w:tcBorders>
                                    <w:top w:val="nil"/>
                                    <w:left w:val="nil"/>
                                    <w:bottom w:val="nil"/>
                                    <w:right w:val="nil"/>
                                  </w:tcBorders>
                                  <w:shd w:val="clear" w:color="000000" w:fill="006991"/>
                                  <w:vAlign w:val="center"/>
                                  <w:hideMark/>
                                </w:tcPr>
                                <w:p w14:paraId="6E5F43A3"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Vic</w:t>
                                  </w:r>
                                </w:p>
                              </w:tc>
                              <w:tc>
                                <w:tcPr>
                                  <w:tcW w:w="680" w:type="dxa"/>
                                  <w:tcBorders>
                                    <w:top w:val="nil"/>
                                    <w:left w:val="nil"/>
                                    <w:bottom w:val="nil"/>
                                    <w:right w:val="nil"/>
                                  </w:tcBorders>
                                  <w:shd w:val="clear" w:color="000000" w:fill="006991"/>
                                  <w:vAlign w:val="center"/>
                                  <w:hideMark/>
                                </w:tcPr>
                                <w:p w14:paraId="57B2A35F"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7B3267B9"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57C219D8"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4C665433"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Tas</w:t>
                                  </w:r>
                                </w:p>
                              </w:tc>
                              <w:tc>
                                <w:tcPr>
                                  <w:tcW w:w="680" w:type="dxa"/>
                                  <w:tcBorders>
                                    <w:top w:val="nil"/>
                                    <w:left w:val="nil"/>
                                    <w:bottom w:val="nil"/>
                                    <w:right w:val="nil"/>
                                  </w:tcBorders>
                                  <w:shd w:val="clear" w:color="000000" w:fill="006991"/>
                                  <w:vAlign w:val="center"/>
                                  <w:hideMark/>
                                </w:tcPr>
                                <w:p w14:paraId="0CB9157A"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ACT</w:t>
                                  </w:r>
                                </w:p>
                              </w:tc>
                              <w:tc>
                                <w:tcPr>
                                  <w:tcW w:w="680" w:type="dxa"/>
                                  <w:tcBorders>
                                    <w:top w:val="nil"/>
                                    <w:left w:val="nil"/>
                                    <w:bottom w:val="nil"/>
                                    <w:right w:val="nil"/>
                                  </w:tcBorders>
                                  <w:shd w:val="clear" w:color="000000" w:fill="006991"/>
                                  <w:vAlign w:val="center"/>
                                  <w:hideMark/>
                                </w:tcPr>
                                <w:p w14:paraId="3379A0D8"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5C1C48CC"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Total Effect</w:t>
                                  </w:r>
                                </w:p>
                              </w:tc>
                            </w:tr>
                            <w:tr w:rsidR="00B7378B" w:rsidRPr="00B7378B" w14:paraId="7D347F03" w14:textId="77777777" w:rsidTr="00B7378B">
                              <w:trPr>
                                <w:trHeight w:val="259"/>
                              </w:trPr>
                              <w:tc>
                                <w:tcPr>
                                  <w:tcW w:w="2740" w:type="dxa"/>
                                  <w:tcBorders>
                                    <w:top w:val="single" w:sz="4" w:space="0" w:color="ADD6EA"/>
                                    <w:left w:val="nil"/>
                                    <w:bottom w:val="nil"/>
                                    <w:right w:val="nil"/>
                                  </w:tcBorders>
                                  <w:shd w:val="clear" w:color="000000" w:fill="B6D5E4"/>
                                  <w:vAlign w:val="center"/>
                                  <w:hideMark/>
                                </w:tcPr>
                                <w:p w14:paraId="58499688" w14:textId="77777777" w:rsidR="00B7378B" w:rsidRPr="00B7378B" w:rsidRDefault="00B7378B" w:rsidP="00B7378B">
                                  <w:pPr>
                                    <w:tabs>
                                      <w:tab w:val="clear" w:pos="567"/>
                                    </w:tabs>
                                    <w:spacing w:before="0" w:line="240" w:lineRule="auto"/>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 </w:t>
                                  </w:r>
                                </w:p>
                              </w:tc>
                              <w:tc>
                                <w:tcPr>
                                  <w:tcW w:w="680" w:type="dxa"/>
                                  <w:tcBorders>
                                    <w:top w:val="single" w:sz="4" w:space="0" w:color="ADD6EA"/>
                                    <w:left w:val="nil"/>
                                    <w:bottom w:val="nil"/>
                                    <w:right w:val="nil"/>
                                  </w:tcBorders>
                                  <w:shd w:val="clear" w:color="000000" w:fill="B6D5E4"/>
                                  <w:noWrap/>
                                  <w:vAlign w:val="center"/>
                                  <w:hideMark/>
                                </w:tcPr>
                                <w:p w14:paraId="1A20D32C"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78520ACF"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7E75A081"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019B7811"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4459D9C0"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46036FB8"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0CE1CA67"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4D1E7BC1"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nil"/>
                                    <w:right w:val="nil"/>
                                  </w:tcBorders>
                                  <w:shd w:val="clear" w:color="000000" w:fill="B6D5E4"/>
                                  <w:noWrap/>
                                  <w:vAlign w:val="center"/>
                                  <w:hideMark/>
                                </w:tcPr>
                                <w:p w14:paraId="257E66A5"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r>
                            <w:tr w:rsidR="00B7378B" w:rsidRPr="00B7378B" w14:paraId="5FCC9A5D" w14:textId="77777777" w:rsidTr="00B7378B">
                              <w:trPr>
                                <w:trHeight w:val="315"/>
                              </w:trPr>
                              <w:tc>
                                <w:tcPr>
                                  <w:tcW w:w="2740" w:type="dxa"/>
                                  <w:tcBorders>
                                    <w:top w:val="single" w:sz="4" w:space="0" w:color="ADD6EA"/>
                                    <w:left w:val="nil"/>
                                    <w:bottom w:val="nil"/>
                                    <w:right w:val="nil"/>
                                  </w:tcBorders>
                                  <w:shd w:val="clear" w:color="auto" w:fill="auto"/>
                                  <w:vAlign w:val="center"/>
                                  <w:hideMark/>
                                </w:tcPr>
                                <w:p w14:paraId="61F98355" w14:textId="77777777" w:rsidR="00B7378B" w:rsidRPr="00B7378B" w:rsidRDefault="00B7378B" w:rsidP="00B7378B">
                                  <w:pPr>
                                    <w:tabs>
                                      <w:tab w:val="clear" w:pos="567"/>
                                    </w:tabs>
                                    <w:spacing w:before="0" w:line="240" w:lineRule="auto"/>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Urban transport</w:t>
                                  </w:r>
                                </w:p>
                              </w:tc>
                              <w:tc>
                                <w:tcPr>
                                  <w:tcW w:w="680" w:type="dxa"/>
                                  <w:tcBorders>
                                    <w:top w:val="single" w:sz="4" w:space="0" w:color="ADD6EA"/>
                                    <w:left w:val="nil"/>
                                    <w:bottom w:val="nil"/>
                                    <w:right w:val="nil"/>
                                  </w:tcBorders>
                                  <w:shd w:val="clear" w:color="auto" w:fill="auto"/>
                                  <w:noWrap/>
                                  <w:vAlign w:val="center"/>
                                  <w:hideMark/>
                                </w:tcPr>
                                <w:p w14:paraId="3C304DCA"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-73</w:t>
                                  </w:r>
                                </w:p>
                              </w:tc>
                              <w:tc>
                                <w:tcPr>
                                  <w:tcW w:w="680" w:type="dxa"/>
                                  <w:tcBorders>
                                    <w:top w:val="single" w:sz="4" w:space="0" w:color="ADD6EA"/>
                                    <w:left w:val="nil"/>
                                    <w:bottom w:val="nil"/>
                                    <w:right w:val="nil"/>
                                  </w:tcBorders>
                                  <w:shd w:val="clear" w:color="auto" w:fill="auto"/>
                                  <w:noWrap/>
                                  <w:vAlign w:val="center"/>
                                  <w:hideMark/>
                                </w:tcPr>
                                <w:p w14:paraId="2425062B"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251</w:t>
                                  </w:r>
                                </w:p>
                              </w:tc>
                              <w:tc>
                                <w:tcPr>
                                  <w:tcW w:w="680" w:type="dxa"/>
                                  <w:tcBorders>
                                    <w:top w:val="single" w:sz="4" w:space="0" w:color="ADD6EA"/>
                                    <w:left w:val="nil"/>
                                    <w:bottom w:val="nil"/>
                                    <w:right w:val="nil"/>
                                  </w:tcBorders>
                                  <w:shd w:val="clear" w:color="auto" w:fill="auto"/>
                                  <w:noWrap/>
                                  <w:vAlign w:val="center"/>
                                  <w:hideMark/>
                                </w:tcPr>
                                <w:p w14:paraId="3B6A538C"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-38</w:t>
                                  </w:r>
                                </w:p>
                              </w:tc>
                              <w:tc>
                                <w:tcPr>
                                  <w:tcW w:w="680" w:type="dxa"/>
                                  <w:tcBorders>
                                    <w:top w:val="single" w:sz="4" w:space="0" w:color="ADD6EA"/>
                                    <w:left w:val="nil"/>
                                    <w:bottom w:val="nil"/>
                                    <w:right w:val="nil"/>
                                  </w:tcBorders>
                                  <w:shd w:val="clear" w:color="auto" w:fill="auto"/>
                                  <w:noWrap/>
                                  <w:vAlign w:val="center"/>
                                  <w:hideMark/>
                                </w:tcPr>
                                <w:p w14:paraId="7913F6FA"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-79</w:t>
                                  </w:r>
                                </w:p>
                              </w:tc>
                              <w:tc>
                                <w:tcPr>
                                  <w:tcW w:w="680" w:type="dxa"/>
                                  <w:tcBorders>
                                    <w:top w:val="single" w:sz="4" w:space="0" w:color="ADD6EA"/>
                                    <w:left w:val="nil"/>
                                    <w:bottom w:val="nil"/>
                                    <w:right w:val="nil"/>
                                  </w:tcBorders>
                                  <w:shd w:val="clear" w:color="auto" w:fill="auto"/>
                                  <w:noWrap/>
                                  <w:vAlign w:val="center"/>
                                  <w:hideMark/>
                                </w:tcPr>
                                <w:p w14:paraId="0DF6BBDA"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-52</w:t>
                                  </w:r>
                                </w:p>
                              </w:tc>
                              <w:tc>
                                <w:tcPr>
                                  <w:tcW w:w="680" w:type="dxa"/>
                                  <w:tcBorders>
                                    <w:top w:val="single" w:sz="4" w:space="0" w:color="ADD6EA"/>
                                    <w:left w:val="nil"/>
                                    <w:bottom w:val="nil"/>
                                    <w:right w:val="nil"/>
                                  </w:tcBorders>
                                  <w:shd w:val="clear" w:color="auto" w:fill="auto"/>
                                  <w:noWrap/>
                                  <w:vAlign w:val="center"/>
                                  <w:hideMark/>
                                </w:tcPr>
                                <w:p w14:paraId="4D914461"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-5</w:t>
                                  </w:r>
                                </w:p>
                              </w:tc>
                              <w:tc>
                                <w:tcPr>
                                  <w:tcW w:w="680" w:type="dxa"/>
                                  <w:tcBorders>
                                    <w:top w:val="single" w:sz="4" w:space="0" w:color="ADD6EA"/>
                                    <w:left w:val="nil"/>
                                    <w:bottom w:val="nil"/>
                                    <w:right w:val="nil"/>
                                  </w:tcBorders>
                                  <w:shd w:val="clear" w:color="auto" w:fill="auto"/>
                                  <w:noWrap/>
                                  <w:vAlign w:val="center"/>
                                  <w:hideMark/>
                                </w:tcPr>
                                <w:p w14:paraId="58F92131"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-1</w:t>
                                  </w:r>
                                </w:p>
                              </w:tc>
                              <w:tc>
                                <w:tcPr>
                                  <w:tcW w:w="680" w:type="dxa"/>
                                  <w:tcBorders>
                                    <w:top w:val="single" w:sz="4" w:space="0" w:color="ADD6EA"/>
                                    <w:left w:val="nil"/>
                                    <w:bottom w:val="nil"/>
                                    <w:right w:val="nil"/>
                                  </w:tcBorders>
                                  <w:shd w:val="clear" w:color="auto" w:fill="auto"/>
                                  <w:noWrap/>
                                  <w:vAlign w:val="center"/>
                                  <w:hideMark/>
                                </w:tcPr>
                                <w:p w14:paraId="687B3A7A"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-3</w:t>
                                  </w:r>
                                </w:p>
                              </w:tc>
                              <w:tc>
                                <w:tcPr>
                                  <w:tcW w:w="820" w:type="dxa"/>
                                  <w:tcBorders>
                                    <w:top w:val="single" w:sz="4" w:space="0" w:color="ADD6EA"/>
                                    <w:left w:val="nil"/>
                                    <w:bottom w:val="nil"/>
                                    <w:right w:val="nil"/>
                                  </w:tcBorders>
                                  <w:shd w:val="clear" w:color="auto" w:fill="auto"/>
                                  <w:noWrap/>
                                  <w:vAlign w:val="center"/>
                                  <w:hideMark/>
                                </w:tcPr>
                                <w:p w14:paraId="5A7F46D1"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251</w:t>
                                  </w:r>
                                </w:p>
                              </w:tc>
                            </w:tr>
                            <w:tr w:rsidR="00B7378B" w:rsidRPr="00B7378B" w14:paraId="15554D1C" w14:textId="77777777" w:rsidTr="00B7378B">
                              <w:trPr>
                                <w:trHeight w:val="315"/>
                              </w:trPr>
                              <w:tc>
                                <w:tcPr>
                                  <w:tcW w:w="2740" w:type="dxa"/>
                                  <w:tcBorders>
                                    <w:top w:val="single" w:sz="4" w:space="0" w:color="ADD6EA"/>
                                    <w:left w:val="nil"/>
                                    <w:bottom w:val="nil"/>
                                    <w:right w:val="nil"/>
                                  </w:tcBorders>
                                  <w:shd w:val="clear" w:color="auto" w:fill="auto"/>
                                  <w:vAlign w:val="center"/>
                                  <w:hideMark/>
                                </w:tcPr>
                                <w:p w14:paraId="474AC4D7" w14:textId="77777777" w:rsidR="00B7378B" w:rsidRPr="00B7378B" w:rsidRDefault="00B7378B" w:rsidP="00B7378B">
                                  <w:pPr>
                                    <w:tabs>
                                      <w:tab w:val="clear" w:pos="567"/>
                                    </w:tabs>
                                    <w:spacing w:before="0" w:line="240" w:lineRule="auto"/>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Investment in urban transport</w:t>
                                  </w:r>
                                </w:p>
                              </w:tc>
                              <w:tc>
                                <w:tcPr>
                                  <w:tcW w:w="680" w:type="dxa"/>
                                  <w:tcBorders>
                                    <w:top w:val="single" w:sz="4" w:space="0" w:color="ADD6EA"/>
                                    <w:left w:val="nil"/>
                                    <w:bottom w:val="nil"/>
                                    <w:right w:val="nil"/>
                                  </w:tcBorders>
                                  <w:shd w:val="clear" w:color="auto" w:fill="auto"/>
                                  <w:noWrap/>
                                  <w:vAlign w:val="center"/>
                                  <w:hideMark/>
                                </w:tcPr>
                                <w:p w14:paraId="1A6E4AE4"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-148</w:t>
                                  </w:r>
                                </w:p>
                              </w:tc>
                              <w:tc>
                                <w:tcPr>
                                  <w:tcW w:w="680" w:type="dxa"/>
                                  <w:tcBorders>
                                    <w:top w:val="single" w:sz="4" w:space="0" w:color="ADD6EA"/>
                                    <w:left w:val="nil"/>
                                    <w:bottom w:val="nil"/>
                                    <w:right w:val="nil"/>
                                  </w:tcBorders>
                                  <w:shd w:val="clear" w:color="auto" w:fill="auto"/>
                                  <w:noWrap/>
                                  <w:vAlign w:val="center"/>
                                  <w:hideMark/>
                                </w:tcPr>
                                <w:p w14:paraId="143BDE0E"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451</w:t>
                                  </w:r>
                                </w:p>
                              </w:tc>
                              <w:tc>
                                <w:tcPr>
                                  <w:tcW w:w="680" w:type="dxa"/>
                                  <w:tcBorders>
                                    <w:top w:val="single" w:sz="4" w:space="0" w:color="ADD6EA"/>
                                    <w:left w:val="nil"/>
                                    <w:bottom w:val="nil"/>
                                    <w:right w:val="nil"/>
                                  </w:tcBorders>
                                  <w:shd w:val="clear" w:color="auto" w:fill="auto"/>
                                  <w:noWrap/>
                                  <w:vAlign w:val="center"/>
                                  <w:hideMark/>
                                </w:tcPr>
                                <w:p w14:paraId="57C26EAA"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-27</w:t>
                                  </w:r>
                                </w:p>
                              </w:tc>
                              <w:tc>
                                <w:tcPr>
                                  <w:tcW w:w="680" w:type="dxa"/>
                                  <w:tcBorders>
                                    <w:top w:val="single" w:sz="4" w:space="0" w:color="ADD6EA"/>
                                    <w:left w:val="nil"/>
                                    <w:bottom w:val="nil"/>
                                    <w:right w:val="nil"/>
                                  </w:tcBorders>
                                  <w:shd w:val="clear" w:color="auto" w:fill="auto"/>
                                  <w:noWrap/>
                                  <w:vAlign w:val="center"/>
                                  <w:hideMark/>
                                </w:tcPr>
                                <w:p w14:paraId="591C56B5"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-186</w:t>
                                  </w:r>
                                </w:p>
                              </w:tc>
                              <w:tc>
                                <w:tcPr>
                                  <w:tcW w:w="680" w:type="dxa"/>
                                  <w:tcBorders>
                                    <w:top w:val="single" w:sz="4" w:space="0" w:color="ADD6EA"/>
                                    <w:left w:val="nil"/>
                                    <w:bottom w:val="nil"/>
                                    <w:right w:val="nil"/>
                                  </w:tcBorders>
                                  <w:shd w:val="clear" w:color="auto" w:fill="auto"/>
                                  <w:noWrap/>
                                  <w:vAlign w:val="center"/>
                                  <w:hideMark/>
                                </w:tcPr>
                                <w:p w14:paraId="2F374DA0"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-115</w:t>
                                  </w:r>
                                </w:p>
                              </w:tc>
                              <w:tc>
                                <w:tcPr>
                                  <w:tcW w:w="680" w:type="dxa"/>
                                  <w:tcBorders>
                                    <w:top w:val="single" w:sz="4" w:space="0" w:color="ADD6EA"/>
                                    <w:left w:val="nil"/>
                                    <w:bottom w:val="nil"/>
                                    <w:right w:val="nil"/>
                                  </w:tcBorders>
                                  <w:shd w:val="clear" w:color="auto" w:fill="auto"/>
                                  <w:noWrap/>
                                  <w:vAlign w:val="center"/>
                                  <w:hideMark/>
                                </w:tcPr>
                                <w:p w14:paraId="77A9ADDE"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-5</w:t>
                                  </w:r>
                                </w:p>
                              </w:tc>
                              <w:tc>
                                <w:tcPr>
                                  <w:tcW w:w="680" w:type="dxa"/>
                                  <w:tcBorders>
                                    <w:top w:val="single" w:sz="4" w:space="0" w:color="ADD6EA"/>
                                    <w:left w:val="nil"/>
                                    <w:bottom w:val="nil"/>
                                    <w:right w:val="nil"/>
                                  </w:tcBorders>
                                  <w:shd w:val="clear" w:color="auto" w:fill="auto"/>
                                  <w:noWrap/>
                                  <w:vAlign w:val="center"/>
                                  <w:hideMark/>
                                </w:tcPr>
                                <w:p w14:paraId="43800713"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35</w:t>
                                  </w:r>
                                </w:p>
                              </w:tc>
                              <w:tc>
                                <w:tcPr>
                                  <w:tcW w:w="680" w:type="dxa"/>
                                  <w:tcBorders>
                                    <w:top w:val="single" w:sz="4" w:space="0" w:color="ADD6EA"/>
                                    <w:left w:val="nil"/>
                                    <w:bottom w:val="nil"/>
                                    <w:right w:val="nil"/>
                                  </w:tcBorders>
                                  <w:shd w:val="clear" w:color="auto" w:fill="auto"/>
                                  <w:noWrap/>
                                  <w:vAlign w:val="center"/>
                                  <w:hideMark/>
                                </w:tcPr>
                                <w:p w14:paraId="219C2D42"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-5</w:t>
                                  </w:r>
                                </w:p>
                              </w:tc>
                              <w:tc>
                                <w:tcPr>
                                  <w:tcW w:w="820" w:type="dxa"/>
                                  <w:tcBorders>
                                    <w:top w:val="single" w:sz="4" w:space="0" w:color="ADD6EA"/>
                                    <w:left w:val="nil"/>
                                    <w:bottom w:val="nil"/>
                                    <w:right w:val="nil"/>
                                  </w:tcBorders>
                                  <w:shd w:val="clear" w:color="auto" w:fill="auto"/>
                                  <w:noWrap/>
                                  <w:vAlign w:val="center"/>
                                  <w:hideMark/>
                                </w:tcPr>
                                <w:p w14:paraId="7F811025"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486</w:t>
                                  </w:r>
                                </w:p>
                              </w:tc>
                            </w:tr>
                            <w:tr w:rsidR="00B7378B" w:rsidRPr="00B7378B" w14:paraId="52E93AA7" w14:textId="77777777" w:rsidTr="00B7378B">
                              <w:trPr>
                                <w:trHeight w:val="315"/>
                              </w:trPr>
                              <w:tc>
                                <w:tcPr>
                                  <w:tcW w:w="2740" w:type="dxa"/>
                                  <w:tcBorders>
                                    <w:top w:val="single" w:sz="4" w:space="0" w:color="ADD6EA"/>
                                    <w:left w:val="nil"/>
                                    <w:bottom w:val="single" w:sz="4" w:space="0" w:color="ADD6EA"/>
                                    <w:right w:val="nil"/>
                                  </w:tcBorders>
                                  <w:shd w:val="clear" w:color="000000" w:fill="D6E7F0"/>
                                  <w:vAlign w:val="center"/>
                                  <w:hideMark/>
                                </w:tcPr>
                                <w:p w14:paraId="047BF3C8" w14:textId="77777777" w:rsidR="00B7378B" w:rsidRPr="00B7378B" w:rsidRDefault="00B7378B" w:rsidP="00B7378B">
                                  <w:pPr>
                                    <w:tabs>
                                      <w:tab w:val="clear" w:pos="567"/>
                                    </w:tabs>
                                    <w:spacing w:before="0" w:line="240" w:lineRule="auto"/>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Total</w:t>
                                  </w:r>
                                </w:p>
                              </w:tc>
                              <w:tc>
                                <w:tcPr>
                                  <w:tcW w:w="680" w:type="dxa"/>
                                  <w:tcBorders>
                                    <w:top w:val="single" w:sz="4" w:space="0" w:color="ADD6EA"/>
                                    <w:left w:val="nil"/>
                                    <w:bottom w:val="single" w:sz="4" w:space="0" w:color="ADD6EA"/>
                                    <w:right w:val="nil"/>
                                  </w:tcBorders>
                                  <w:shd w:val="clear" w:color="000000" w:fill="D6E7F0"/>
                                  <w:noWrap/>
                                  <w:vAlign w:val="center"/>
                                  <w:hideMark/>
                                </w:tcPr>
                                <w:p w14:paraId="2243F382"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-222</w:t>
                                  </w:r>
                                </w:p>
                              </w:tc>
                              <w:tc>
                                <w:tcPr>
                                  <w:tcW w:w="680" w:type="dxa"/>
                                  <w:tcBorders>
                                    <w:top w:val="single" w:sz="4" w:space="0" w:color="ADD6EA"/>
                                    <w:left w:val="nil"/>
                                    <w:bottom w:val="single" w:sz="4" w:space="0" w:color="ADD6EA"/>
                                    <w:right w:val="nil"/>
                                  </w:tcBorders>
                                  <w:shd w:val="clear" w:color="000000" w:fill="D6E7F0"/>
                                  <w:noWrap/>
                                  <w:vAlign w:val="center"/>
                                  <w:hideMark/>
                                </w:tcPr>
                                <w:p w14:paraId="23E19061"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702</w:t>
                                  </w:r>
                                </w:p>
                              </w:tc>
                              <w:tc>
                                <w:tcPr>
                                  <w:tcW w:w="680" w:type="dxa"/>
                                  <w:tcBorders>
                                    <w:top w:val="single" w:sz="4" w:space="0" w:color="ADD6EA"/>
                                    <w:left w:val="nil"/>
                                    <w:bottom w:val="single" w:sz="4" w:space="0" w:color="ADD6EA"/>
                                    <w:right w:val="nil"/>
                                  </w:tcBorders>
                                  <w:shd w:val="clear" w:color="000000" w:fill="D6E7F0"/>
                                  <w:noWrap/>
                                  <w:vAlign w:val="center"/>
                                  <w:hideMark/>
                                </w:tcPr>
                                <w:p w14:paraId="1F6C9E06"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-65</w:t>
                                  </w:r>
                                </w:p>
                              </w:tc>
                              <w:tc>
                                <w:tcPr>
                                  <w:tcW w:w="680" w:type="dxa"/>
                                  <w:tcBorders>
                                    <w:top w:val="single" w:sz="4" w:space="0" w:color="ADD6EA"/>
                                    <w:left w:val="nil"/>
                                    <w:bottom w:val="single" w:sz="4" w:space="0" w:color="ADD6EA"/>
                                    <w:right w:val="nil"/>
                                  </w:tcBorders>
                                  <w:shd w:val="clear" w:color="000000" w:fill="D6E7F0"/>
                                  <w:noWrap/>
                                  <w:vAlign w:val="center"/>
                                  <w:hideMark/>
                                </w:tcPr>
                                <w:p w14:paraId="24F71C48"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-265</w:t>
                                  </w:r>
                                </w:p>
                              </w:tc>
                              <w:tc>
                                <w:tcPr>
                                  <w:tcW w:w="680" w:type="dxa"/>
                                  <w:tcBorders>
                                    <w:top w:val="single" w:sz="4" w:space="0" w:color="ADD6EA"/>
                                    <w:left w:val="nil"/>
                                    <w:bottom w:val="single" w:sz="4" w:space="0" w:color="ADD6EA"/>
                                    <w:right w:val="nil"/>
                                  </w:tcBorders>
                                  <w:shd w:val="clear" w:color="000000" w:fill="D6E7F0"/>
                                  <w:noWrap/>
                                  <w:vAlign w:val="center"/>
                                  <w:hideMark/>
                                </w:tcPr>
                                <w:p w14:paraId="3704B04D"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-167</w:t>
                                  </w:r>
                                </w:p>
                              </w:tc>
                              <w:tc>
                                <w:tcPr>
                                  <w:tcW w:w="680" w:type="dxa"/>
                                  <w:tcBorders>
                                    <w:top w:val="single" w:sz="4" w:space="0" w:color="ADD6EA"/>
                                    <w:left w:val="nil"/>
                                    <w:bottom w:val="single" w:sz="4" w:space="0" w:color="ADD6EA"/>
                                    <w:right w:val="nil"/>
                                  </w:tcBorders>
                                  <w:shd w:val="clear" w:color="000000" w:fill="D6E7F0"/>
                                  <w:noWrap/>
                                  <w:vAlign w:val="center"/>
                                  <w:hideMark/>
                                </w:tcPr>
                                <w:p w14:paraId="49EC5203"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-11</w:t>
                                  </w:r>
                                </w:p>
                              </w:tc>
                              <w:tc>
                                <w:tcPr>
                                  <w:tcW w:w="680" w:type="dxa"/>
                                  <w:tcBorders>
                                    <w:top w:val="single" w:sz="4" w:space="0" w:color="ADD6EA"/>
                                    <w:left w:val="nil"/>
                                    <w:bottom w:val="single" w:sz="4" w:space="0" w:color="ADD6EA"/>
                                    <w:right w:val="nil"/>
                                  </w:tcBorders>
                                  <w:shd w:val="clear" w:color="000000" w:fill="D6E7F0"/>
                                  <w:noWrap/>
                                  <w:vAlign w:val="center"/>
                                  <w:hideMark/>
                                </w:tcPr>
                                <w:p w14:paraId="0A132757"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35</w:t>
                                  </w:r>
                                </w:p>
                              </w:tc>
                              <w:tc>
                                <w:tcPr>
                                  <w:tcW w:w="680" w:type="dxa"/>
                                  <w:tcBorders>
                                    <w:top w:val="single" w:sz="4" w:space="0" w:color="ADD6EA"/>
                                    <w:left w:val="nil"/>
                                    <w:bottom w:val="single" w:sz="4" w:space="0" w:color="ADD6EA"/>
                                    <w:right w:val="nil"/>
                                  </w:tcBorders>
                                  <w:shd w:val="clear" w:color="000000" w:fill="D6E7F0"/>
                                  <w:noWrap/>
                                  <w:vAlign w:val="center"/>
                                  <w:hideMark/>
                                </w:tcPr>
                                <w:p w14:paraId="1BD8FDD0"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-7</w:t>
                                  </w:r>
                                </w:p>
                              </w:tc>
                              <w:tc>
                                <w:tcPr>
                                  <w:tcW w:w="820" w:type="dxa"/>
                                  <w:tcBorders>
                                    <w:top w:val="single" w:sz="4" w:space="0" w:color="ADD6EA"/>
                                    <w:left w:val="nil"/>
                                    <w:bottom w:val="single" w:sz="4" w:space="0" w:color="ADD6EA"/>
                                    <w:right w:val="nil"/>
                                  </w:tcBorders>
                                  <w:shd w:val="clear" w:color="000000" w:fill="D6E7F0"/>
                                  <w:noWrap/>
                                  <w:vAlign w:val="center"/>
                                  <w:hideMark/>
                                </w:tcPr>
                                <w:p w14:paraId="6E8DD9CB"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737</w:t>
                                  </w:r>
                                </w:p>
                              </w:tc>
                            </w:tr>
                          </w:tbl>
                          <w:p w14:paraId="4F0AB901" w14:textId="77777777" w:rsidR="008B7329" w:rsidRPr="0031054C" w:rsidRDefault="008B7329" w:rsidP="0019693D">
                            <w:pPr>
                              <w:pStyle w:val="CGCTablenote"/>
                            </w:pPr>
                            <w:r w:rsidRPr="0031054C">
                              <w:t xml:space="preserve">Source: Commission calculation. </w:t>
                            </w:r>
                          </w:p>
                          <w:p w14:paraId="69684C5A" w14:textId="77777777" w:rsidR="008B7329" w:rsidRPr="0031054C" w:rsidRDefault="008B7329" w:rsidP="0019693D">
                            <w:pPr>
                              <w:pStyle w:val="Heading3"/>
                            </w:pPr>
                            <w:bookmarkStart w:id="186" w:name="_Toc159675699"/>
                            <w:bookmarkStart w:id="187" w:name="_Toc159676006"/>
                            <w:bookmarkStart w:id="188" w:name="_Toc159676073"/>
                            <w:r w:rsidRPr="0031054C">
                              <w:t>First Nations population</w:t>
                            </w:r>
                            <w:bookmarkEnd w:id="186"/>
                            <w:bookmarkEnd w:id="187"/>
                            <w:bookmarkEnd w:id="188"/>
                          </w:p>
                          <w:p w14:paraId="61461599" w14:textId="0EB2877B" w:rsidR="008B7329" w:rsidRPr="0031054C" w:rsidRDefault="008B7329" w:rsidP="006147BE">
                            <w:pPr>
                              <w:pStyle w:val="BulletPoints"/>
                            </w:pPr>
                            <w:r w:rsidRPr="0031054C">
                              <w:t xml:space="preserve">Between the 2016 and 2021 censuses, there was a significant increase in the number of people identifying as First Nations, especially in urban areas of New South Wales and Victoria. The socio-demographic profile of newly identifying First Nations people was </w:t>
                            </w:r>
                            <w:r w:rsidRPr="0095123E">
                              <w:t>different to that of the previously identifying First Nations population. The resulting change in assessed expenditure on First</w:t>
                            </w:r>
                            <w:r w:rsidR="00DE5078" w:rsidRPr="0095123E">
                              <w:t> </w:t>
                            </w:r>
                            <w:r w:rsidRPr="0095123E">
                              <w:t>Nations people was small. It ranged from a decrease of $15</w:t>
                            </w:r>
                            <w:r w:rsidR="00B31FFE" w:rsidRPr="0095123E">
                              <w:t> </w:t>
                            </w:r>
                            <w:r w:rsidRPr="0095123E">
                              <w:t>per</w:t>
                            </w:r>
                            <w:r w:rsidR="00B31FFE" w:rsidRPr="0095123E">
                              <w:t> </w:t>
                            </w:r>
                            <w:r w:rsidRPr="0095123E">
                              <w:t>capita in South</w:t>
                            </w:r>
                            <w:r w:rsidR="00B31FFE" w:rsidRPr="0095123E">
                              <w:t> </w:t>
                            </w:r>
                            <w:r w:rsidRPr="0095123E">
                              <w:t>Australia to an increase of $20</w:t>
                            </w:r>
                            <w:r w:rsidR="00B31FFE" w:rsidRPr="0095123E">
                              <w:t> </w:t>
                            </w:r>
                            <w:r w:rsidRPr="0095123E">
                              <w:t>per</w:t>
                            </w:r>
                            <w:r w:rsidR="00B31FFE" w:rsidRPr="0095123E">
                              <w:t> </w:t>
                            </w:r>
                            <w:r w:rsidRPr="0095123E">
                              <w:t>capita in Tasmania.</w:t>
                            </w:r>
                          </w:p>
                          <w:p w14:paraId="58B786EA" w14:textId="77777777" w:rsidR="008B7329" w:rsidRPr="0031054C" w:rsidRDefault="008B7329" w:rsidP="0019693D">
                            <w:pPr>
                              <w:pStyle w:val="Heading3"/>
                            </w:pPr>
                            <w:bookmarkStart w:id="189" w:name="_Toc159675700"/>
                            <w:bookmarkStart w:id="190" w:name="_Toc159676007"/>
                            <w:bookmarkStart w:id="191" w:name="_Toc159676074"/>
                            <w:r w:rsidRPr="0031054C">
                              <w:t>Population dispersion</w:t>
                            </w:r>
                            <w:bookmarkEnd w:id="189"/>
                            <w:bookmarkEnd w:id="190"/>
                            <w:bookmarkEnd w:id="191"/>
                          </w:p>
                          <w:p w14:paraId="13BFB446" w14:textId="457CC193" w:rsidR="008B7329" w:rsidRPr="0031054C" w:rsidRDefault="0036248D" w:rsidP="006147BE">
                            <w:pPr>
                              <w:pStyle w:val="BulletPoints"/>
                            </w:pPr>
                            <w:r>
                              <w:t>New</w:t>
                            </w:r>
                            <w:r w:rsidR="008B7329" w:rsidRPr="0031054C">
                              <w:t xml:space="preserve"> Census</w:t>
                            </w:r>
                            <w:r>
                              <w:t xml:space="preserve"> data</w:t>
                            </w:r>
                            <w:r w:rsidR="008B7329" w:rsidRPr="0031054C">
                              <w:t xml:space="preserve"> resulted in some locations being reclassified as more or less remote. For example, Mount Gambier and Devonport changed from inner</w:t>
                            </w:r>
                            <w:r w:rsidR="00CD39C3">
                              <w:t xml:space="preserve"> </w:t>
                            </w:r>
                            <w:r w:rsidR="008B7329" w:rsidRPr="0031054C">
                              <w:t>regional to outer</w:t>
                            </w:r>
                            <w:r w:rsidR="00CD39C3">
                              <w:t xml:space="preserve"> </w:t>
                            </w:r>
                            <w:r w:rsidR="008B7329" w:rsidRPr="0031054C">
                              <w:t>regional, increasing assessed GST needs. Areas around Coffs</w:t>
                            </w:r>
                            <w:r w:rsidR="00DE5078">
                              <w:t> </w:t>
                            </w:r>
                            <w:r w:rsidR="008B7329" w:rsidRPr="0031054C">
                              <w:t>Harbour changed from outer</w:t>
                            </w:r>
                            <w:r w:rsidR="00B9074B">
                              <w:t xml:space="preserve"> </w:t>
                            </w:r>
                            <w:r w:rsidR="008B7329" w:rsidRPr="0031054C">
                              <w:t>regional to inner</w:t>
                            </w:r>
                            <w:r w:rsidR="00B9074B">
                              <w:t xml:space="preserve"> </w:t>
                            </w:r>
                            <w:r w:rsidR="008B7329" w:rsidRPr="0031054C">
                              <w:t>regional, decreasing assessed GST needs.</w:t>
                            </w:r>
                          </w:p>
                          <w:p w14:paraId="3C739F2C" w14:textId="77777777" w:rsidR="008B7329" w:rsidRPr="0031054C" w:rsidRDefault="008B7329" w:rsidP="0019693D">
                            <w:pPr>
                              <w:pStyle w:val="Heading3"/>
                            </w:pPr>
                            <w:bookmarkStart w:id="192" w:name="_Toc159675701"/>
                            <w:bookmarkStart w:id="193" w:name="_Toc159676008"/>
                            <w:bookmarkStart w:id="194" w:name="_Toc159676075"/>
                            <w:r w:rsidRPr="0031054C">
                              <w:t>Socio-economic status</w:t>
                            </w:r>
                            <w:bookmarkEnd w:id="192"/>
                            <w:bookmarkEnd w:id="193"/>
                            <w:bookmarkEnd w:id="194"/>
                            <w:r w:rsidRPr="0031054C">
                              <w:t xml:space="preserve"> </w:t>
                            </w:r>
                          </w:p>
                          <w:p w14:paraId="3AAE283C" w14:textId="5B5AD3B0" w:rsidR="008B7329" w:rsidRPr="0031054C" w:rsidRDefault="008B7329" w:rsidP="006147BE">
                            <w:pPr>
                              <w:pStyle w:val="BulletPoints"/>
                            </w:pPr>
                            <w:r w:rsidRPr="0031054C">
                              <w:t>Among the non-Indigenous population, an increase in the level of disadvantage in Queensland, Western</w:t>
                            </w:r>
                            <w:r w:rsidR="00DE5078">
                              <w:t> </w:t>
                            </w:r>
                            <w:r w:rsidRPr="0031054C">
                              <w:t xml:space="preserve">Australia, the </w:t>
                            </w:r>
                            <w:proofErr w:type="gramStart"/>
                            <w:r w:rsidRPr="0031054C">
                              <w:t>ACT</w:t>
                            </w:r>
                            <w:proofErr w:type="gramEnd"/>
                            <w:r w:rsidRPr="0031054C">
                              <w:t xml:space="preserve"> and the Northern Territory led to a $398</w:t>
                            </w:r>
                            <w:r w:rsidR="00EC7B1C">
                              <w:t> </w:t>
                            </w:r>
                            <w:r w:rsidRPr="0031054C">
                              <w:t>million increase in assessed GST needs in those states and a decrease in other states, especially New</w:t>
                            </w:r>
                            <w:r w:rsidR="00EC7B1C">
                              <w:t> </w:t>
                            </w:r>
                            <w:r w:rsidRPr="0031054C">
                              <w:t>South</w:t>
                            </w:r>
                            <w:r w:rsidR="00EC7B1C">
                              <w:t> </w:t>
                            </w:r>
                            <w:r w:rsidRPr="0031054C">
                              <w:t>Wales.</w:t>
                            </w:r>
                          </w:p>
                          <w:p w14:paraId="464A6A0D" w14:textId="77777777" w:rsidR="008B7329" w:rsidRPr="0031054C" w:rsidRDefault="008B7329" w:rsidP="0019693D">
                            <w:pPr>
                              <w:pStyle w:val="Heading3"/>
                            </w:pPr>
                            <w:bookmarkStart w:id="195" w:name="_Toc159675702"/>
                            <w:bookmarkStart w:id="196" w:name="_Toc159676009"/>
                            <w:bookmarkStart w:id="197" w:name="_Toc159676076"/>
                            <w:r w:rsidRPr="0031054C">
                              <w:t>Other geographic classifications</w:t>
                            </w:r>
                            <w:bookmarkEnd w:id="195"/>
                            <w:bookmarkEnd w:id="196"/>
                            <w:bookmarkEnd w:id="197"/>
                          </w:p>
                          <w:p w14:paraId="229DE017" w14:textId="608660CC" w:rsidR="00904E2C" w:rsidRPr="00176917" w:rsidRDefault="008B7329">
                            <w:pPr>
                              <w:pStyle w:val="BulletPoints"/>
                            </w:pPr>
                            <w:r w:rsidRPr="0031054C">
                              <w:t xml:space="preserve">In the services to </w:t>
                            </w:r>
                            <w:proofErr w:type="gramStart"/>
                            <w:r w:rsidRPr="0031054C">
                              <w:t>communities</w:t>
                            </w:r>
                            <w:proofErr w:type="gramEnd"/>
                            <w:r w:rsidRPr="0031054C">
                              <w:t xml:space="preserve"> assessment, data on the populations of small isolated communities were updated. These were used in assessing spending needs on water subsidies, electricity subsidies and First Nations development.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9717A6" id="Text Box 134842422" o:spid="_x0000_s1038" type="#_x0000_t202" style="position:absolute;margin-left:0;margin-top:0;width:460.9pt;height:726.5pt;z-index:25165825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" fillcolor="#e5f8ff" strokecolor="white [3212]">
                <v:textbox>
                  <w:txbxContent>
                    <w:p w14:paraId="4BA65B98" w14:textId="5B822480" w:rsidR="00904E2C" w:rsidRPr="00607566" w:rsidRDefault="00904E2C" w:rsidP="00904E2C">
                      <w:pPr>
                        <w:pStyle w:val="Heading2"/>
                      </w:pPr>
                      <w:bookmarkStart w:id="198" w:name="Box_2_2"/>
                      <w:bookmarkStart w:id="199" w:name="_Box_2-2_2021"/>
                      <w:bookmarkStart w:id="200" w:name="_Toc159675697"/>
                      <w:bookmarkStart w:id="201" w:name="_Toc159676004"/>
                      <w:bookmarkStart w:id="202" w:name="_Toc159676071"/>
                      <w:bookmarkEnd w:id="198"/>
                      <w:bookmarkEnd w:id="199"/>
                      <w:r>
                        <w:t>Box 2-2</w:t>
                      </w:r>
                      <w:r>
                        <w:tab/>
                        <w:t>2021 Census data and drivers of GST distribution</w:t>
                      </w:r>
                      <w:bookmarkEnd w:id="200"/>
                      <w:bookmarkEnd w:id="201"/>
                      <w:bookmarkEnd w:id="202"/>
                    </w:p>
                    <w:p w14:paraId="5F6E01C4" w14:textId="1E3C69C6" w:rsidR="008B7329" w:rsidRPr="0095123E" w:rsidRDefault="008B7329" w:rsidP="008B7329">
                      <w:r w:rsidRPr="0031054C">
                        <w:t xml:space="preserve">The 2021 Census was conducted in August 2021 and data have become progressively available. In the 2023 Update, the following census-based data were updated: state total estimated resident populations, social housing use rates in the housing assessment, and client </w:t>
                      </w:r>
                      <w:r w:rsidRPr="0095123E">
                        <w:t>base data for the regional costs assessment in the services to industries assessment. For the 2024 Update, the data discussed below were updated.</w:t>
                      </w:r>
                    </w:p>
                    <w:p w14:paraId="1A46AF25" w14:textId="1E85D0F2" w:rsidR="008B7329" w:rsidRPr="0095123E" w:rsidRDefault="008B7329" w:rsidP="005A2782">
                      <w:pPr>
                        <w:pStyle w:val="Heading3"/>
                      </w:pPr>
                      <w:bookmarkStart w:id="203" w:name="_Toc159675698"/>
                      <w:bookmarkStart w:id="204" w:name="_Toc159676005"/>
                      <w:bookmarkStart w:id="205" w:name="_Toc159676072"/>
                      <w:r w:rsidRPr="0095123E">
                        <w:t>Urban centre characteristics</w:t>
                      </w:r>
                      <w:bookmarkEnd w:id="203"/>
                      <w:bookmarkEnd w:id="204"/>
                      <w:bookmarkEnd w:id="205"/>
                    </w:p>
                    <w:p w14:paraId="24B9EA59" w14:textId="2C4DD0CE" w:rsidR="008B7329" w:rsidRPr="0095123E" w:rsidRDefault="008B7329" w:rsidP="00183511">
                      <w:pPr>
                        <w:pStyle w:val="BulletPoints"/>
                      </w:pPr>
                      <w:r w:rsidRPr="0095123E">
                        <w:t xml:space="preserve">New data had a significant impact on the </w:t>
                      </w:r>
                      <w:r w:rsidR="00FA4535" w:rsidRPr="0095123E">
                        <w:t xml:space="preserve">recurrent </w:t>
                      </w:r>
                      <w:r w:rsidRPr="0095123E">
                        <w:t>urban transport and investment assessments. This was primarily driven by changes in population</w:t>
                      </w:r>
                      <w:r w:rsidR="00890293">
                        <w:noBreakHyphen/>
                      </w:r>
                      <w:r w:rsidRPr="0095123E">
                        <w:t>weighted density, with both revised population and revised S</w:t>
                      </w:r>
                      <w:r w:rsidR="0084718E">
                        <w:t xml:space="preserve">tatistical </w:t>
                      </w:r>
                      <w:r w:rsidRPr="0095123E">
                        <w:t>A</w:t>
                      </w:r>
                      <w:r w:rsidR="00A52509">
                        <w:t xml:space="preserve">rea Level </w:t>
                      </w:r>
                      <w:r w:rsidRPr="0095123E">
                        <w:t xml:space="preserve">1 boundaries. The new data showed that Victoria and the ACT had higher population-weighted density. The ACT also had a large increase in its urban population. Using these data resulted in an increase in the assessed GST needs of Victoria and the ACT (see </w:t>
                      </w:r>
                      <w:r w:rsidR="009976EF" w:rsidRPr="0095123E">
                        <w:fldChar w:fldCharType="begin"/>
                      </w:r>
                      <w:r w:rsidR="009976EF" w:rsidRPr="0095123E">
                        <w:instrText xml:space="preserve"> REF Table_2_5 \h </w:instrText>
                      </w:r>
                      <w:r w:rsidR="0095123E">
                        <w:instrText xml:space="preserve"> \* MERGEFORMAT </w:instrText>
                      </w:r>
                      <w:r w:rsidR="009976EF" w:rsidRPr="0095123E">
                        <w:fldChar w:fldCharType="separate"/>
                      </w:r>
                      <w:r w:rsidR="00047120" w:rsidRPr="0095123E">
                        <w:t>Table 2-5</w:t>
                      </w:r>
                      <w:r w:rsidR="009976EF" w:rsidRPr="0095123E">
                        <w:fldChar w:fldCharType="end"/>
                      </w:r>
                      <w:r w:rsidRPr="0095123E">
                        <w:t>).</w:t>
                      </w:r>
                    </w:p>
                    <w:p w14:paraId="0B600BE3" w14:textId="56309DB9" w:rsidR="008B7329" w:rsidRPr="0095123E" w:rsidRDefault="008B7329" w:rsidP="00A272D7">
                      <w:pPr>
                        <w:pStyle w:val="Tableheading"/>
                        <w:ind w:left="1440" w:hanging="1440"/>
                      </w:pPr>
                      <w:bookmarkStart w:id="206" w:name="Table_2_5"/>
                      <w:r w:rsidRPr="0095123E">
                        <w:t>Table 2-5</w:t>
                      </w:r>
                      <w:bookmarkEnd w:id="206"/>
                      <w:r w:rsidRPr="0095123E">
                        <w:tab/>
                        <w:t>Change in assessed GST needs due to census revisions in urban centre characteristics, 2023</w:t>
                      </w:r>
                      <w:r w:rsidR="00412A30">
                        <w:t>–</w:t>
                      </w:r>
                      <w:r w:rsidRPr="0095123E">
                        <w:t>24 to 2024</w:t>
                      </w:r>
                      <w:r w:rsidR="00412A30">
                        <w:t>–</w:t>
                      </w:r>
                      <w:proofErr w:type="gramStart"/>
                      <w:r w:rsidRPr="0095123E">
                        <w:t>25</w:t>
                      </w:r>
                      <w:proofErr w:type="gramEnd"/>
                    </w:p>
                    <w:tbl>
                      <w:tblPr>
                        <w:tblW w:w="9000" w:type="dxa"/>
                        <w:tblLook w:val="04A0" w:firstRow="1" w:lastRow="0" w:firstColumn="1" w:lastColumn="0" w:noHBand="0" w:noVBand="1"/>
                      </w:tblPr>
                      <w:tblGrid>
                        <w:gridCol w:w="2740"/>
                        <w:gridCol w:w="680"/>
                        <w:gridCol w:w="680"/>
                        <w:gridCol w:w="680"/>
                        <w:gridCol w:w="680"/>
                        <w:gridCol w:w="680"/>
                        <w:gridCol w:w="680"/>
                        <w:gridCol w:w="680"/>
                        <w:gridCol w:w="680"/>
                        <w:gridCol w:w="820"/>
                      </w:tblGrid>
                      <w:tr w:rsidR="00B7378B" w:rsidRPr="00B7378B" w14:paraId="44219B24" w14:textId="77777777" w:rsidTr="00B7378B">
                        <w:trPr>
                          <w:trHeight w:val="555"/>
                        </w:trPr>
                        <w:tc>
                          <w:tcPr>
                            <w:tcW w:w="2740" w:type="dxa"/>
                            <w:tcBorders>
                              <w:top w:val="nil"/>
                              <w:left w:val="nil"/>
                              <w:bottom w:val="nil"/>
                              <w:right w:val="nil"/>
                            </w:tcBorders>
                            <w:shd w:val="clear" w:color="000000" w:fill="006991"/>
                            <w:vAlign w:val="center"/>
                            <w:hideMark/>
                          </w:tcPr>
                          <w:p w14:paraId="26BD088D" w14:textId="77777777" w:rsidR="00B7378B" w:rsidRPr="00B7378B" w:rsidRDefault="00B7378B" w:rsidP="00B7378B">
                            <w:pPr>
                              <w:tabs>
                                <w:tab w:val="clear" w:pos="567"/>
                              </w:tabs>
                              <w:spacing w:before="0" w:line="240" w:lineRule="auto"/>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 </w:t>
                            </w:r>
                          </w:p>
                        </w:tc>
                        <w:tc>
                          <w:tcPr>
                            <w:tcW w:w="680" w:type="dxa"/>
                            <w:tcBorders>
                              <w:top w:val="nil"/>
                              <w:left w:val="nil"/>
                              <w:bottom w:val="nil"/>
                              <w:right w:val="nil"/>
                            </w:tcBorders>
                            <w:shd w:val="clear" w:color="000000" w:fill="006991"/>
                            <w:vAlign w:val="center"/>
                            <w:hideMark/>
                          </w:tcPr>
                          <w:p w14:paraId="3CFDC444"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NSW</w:t>
                            </w:r>
                          </w:p>
                        </w:tc>
                        <w:tc>
                          <w:tcPr>
                            <w:tcW w:w="680" w:type="dxa"/>
                            <w:tcBorders>
                              <w:top w:val="nil"/>
                              <w:left w:val="nil"/>
                              <w:bottom w:val="nil"/>
                              <w:right w:val="nil"/>
                            </w:tcBorders>
                            <w:shd w:val="clear" w:color="000000" w:fill="006991"/>
                            <w:vAlign w:val="center"/>
                            <w:hideMark/>
                          </w:tcPr>
                          <w:p w14:paraId="6E5F43A3"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Vic</w:t>
                            </w:r>
                          </w:p>
                        </w:tc>
                        <w:tc>
                          <w:tcPr>
                            <w:tcW w:w="680" w:type="dxa"/>
                            <w:tcBorders>
                              <w:top w:val="nil"/>
                              <w:left w:val="nil"/>
                              <w:bottom w:val="nil"/>
                              <w:right w:val="nil"/>
                            </w:tcBorders>
                            <w:shd w:val="clear" w:color="000000" w:fill="006991"/>
                            <w:vAlign w:val="center"/>
                            <w:hideMark/>
                          </w:tcPr>
                          <w:p w14:paraId="57B2A35F"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Qld</w:t>
                            </w:r>
                          </w:p>
                        </w:tc>
                        <w:tc>
                          <w:tcPr>
                            <w:tcW w:w="680" w:type="dxa"/>
                            <w:tcBorders>
                              <w:top w:val="nil"/>
                              <w:left w:val="nil"/>
                              <w:bottom w:val="nil"/>
                              <w:right w:val="nil"/>
                            </w:tcBorders>
                            <w:shd w:val="clear" w:color="000000" w:fill="006991"/>
                            <w:vAlign w:val="center"/>
                            <w:hideMark/>
                          </w:tcPr>
                          <w:p w14:paraId="7B3267B9"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WA</w:t>
                            </w:r>
                          </w:p>
                        </w:tc>
                        <w:tc>
                          <w:tcPr>
                            <w:tcW w:w="680" w:type="dxa"/>
                            <w:tcBorders>
                              <w:top w:val="nil"/>
                              <w:left w:val="nil"/>
                              <w:bottom w:val="nil"/>
                              <w:right w:val="nil"/>
                            </w:tcBorders>
                            <w:shd w:val="clear" w:color="000000" w:fill="006991"/>
                            <w:vAlign w:val="center"/>
                            <w:hideMark/>
                          </w:tcPr>
                          <w:p w14:paraId="57C219D8"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SA</w:t>
                            </w:r>
                          </w:p>
                        </w:tc>
                        <w:tc>
                          <w:tcPr>
                            <w:tcW w:w="680" w:type="dxa"/>
                            <w:tcBorders>
                              <w:top w:val="nil"/>
                              <w:left w:val="nil"/>
                              <w:bottom w:val="nil"/>
                              <w:right w:val="nil"/>
                            </w:tcBorders>
                            <w:shd w:val="clear" w:color="000000" w:fill="006991"/>
                            <w:vAlign w:val="center"/>
                            <w:hideMark/>
                          </w:tcPr>
                          <w:p w14:paraId="4C665433"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Tas</w:t>
                            </w:r>
                          </w:p>
                        </w:tc>
                        <w:tc>
                          <w:tcPr>
                            <w:tcW w:w="680" w:type="dxa"/>
                            <w:tcBorders>
                              <w:top w:val="nil"/>
                              <w:left w:val="nil"/>
                              <w:bottom w:val="nil"/>
                              <w:right w:val="nil"/>
                            </w:tcBorders>
                            <w:shd w:val="clear" w:color="000000" w:fill="006991"/>
                            <w:vAlign w:val="center"/>
                            <w:hideMark/>
                          </w:tcPr>
                          <w:p w14:paraId="0CB9157A"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ACT</w:t>
                            </w:r>
                          </w:p>
                        </w:tc>
                        <w:tc>
                          <w:tcPr>
                            <w:tcW w:w="680" w:type="dxa"/>
                            <w:tcBorders>
                              <w:top w:val="nil"/>
                              <w:left w:val="nil"/>
                              <w:bottom w:val="nil"/>
                              <w:right w:val="nil"/>
                            </w:tcBorders>
                            <w:shd w:val="clear" w:color="000000" w:fill="006991"/>
                            <w:vAlign w:val="center"/>
                            <w:hideMark/>
                          </w:tcPr>
                          <w:p w14:paraId="3379A0D8"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NT</w:t>
                            </w:r>
                          </w:p>
                        </w:tc>
                        <w:tc>
                          <w:tcPr>
                            <w:tcW w:w="820" w:type="dxa"/>
                            <w:tcBorders>
                              <w:top w:val="nil"/>
                              <w:left w:val="nil"/>
                              <w:bottom w:val="nil"/>
                              <w:right w:val="nil"/>
                            </w:tcBorders>
                            <w:shd w:val="clear" w:color="000000" w:fill="006991"/>
                            <w:vAlign w:val="center"/>
                            <w:hideMark/>
                          </w:tcPr>
                          <w:p w14:paraId="5C1C48CC"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B7378B">
                              <w:rPr>
                                <w:rFonts w:ascii="Open Sans Semibold" w:eastAsia="Times New Roman" w:hAnsi="Open Sans Semibold" w:cs="Open Sans Semibold"/>
                                <w:color w:val="FFFFFF"/>
                                <w:sz w:val="16"/>
                                <w:szCs w:val="16"/>
                                <w:lang w:eastAsia="en-AU"/>
                              </w:rPr>
                              <w:t>Total Effect</w:t>
                            </w:r>
                          </w:p>
                        </w:tc>
                      </w:tr>
                      <w:tr w:rsidR="00B7378B" w:rsidRPr="00B7378B" w14:paraId="7D347F03" w14:textId="77777777" w:rsidTr="00B7378B">
                        <w:trPr>
                          <w:trHeight w:val="259"/>
                        </w:trPr>
                        <w:tc>
                          <w:tcPr>
                            <w:tcW w:w="2740" w:type="dxa"/>
                            <w:tcBorders>
                              <w:top w:val="single" w:sz="4" w:space="0" w:color="ADD6EA"/>
                              <w:left w:val="nil"/>
                              <w:bottom w:val="nil"/>
                              <w:right w:val="nil"/>
                            </w:tcBorders>
                            <w:shd w:val="clear" w:color="000000" w:fill="B6D5E4"/>
                            <w:vAlign w:val="center"/>
                            <w:hideMark/>
                          </w:tcPr>
                          <w:p w14:paraId="58499688" w14:textId="77777777" w:rsidR="00B7378B" w:rsidRPr="00B7378B" w:rsidRDefault="00B7378B" w:rsidP="00B7378B">
                            <w:pPr>
                              <w:tabs>
                                <w:tab w:val="clear" w:pos="567"/>
                              </w:tabs>
                              <w:spacing w:before="0" w:line="240" w:lineRule="auto"/>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 </w:t>
                            </w:r>
                          </w:p>
                        </w:tc>
                        <w:tc>
                          <w:tcPr>
                            <w:tcW w:w="680" w:type="dxa"/>
                            <w:tcBorders>
                              <w:top w:val="single" w:sz="4" w:space="0" w:color="ADD6EA"/>
                              <w:left w:val="nil"/>
                              <w:bottom w:val="nil"/>
                              <w:right w:val="nil"/>
                            </w:tcBorders>
                            <w:shd w:val="clear" w:color="000000" w:fill="B6D5E4"/>
                            <w:noWrap/>
                            <w:vAlign w:val="center"/>
                            <w:hideMark/>
                          </w:tcPr>
                          <w:p w14:paraId="1A20D32C"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78520ACF"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7E75A081"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019B7811"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4459D9C0"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46036FB8"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0CE1CA67"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680" w:type="dxa"/>
                            <w:tcBorders>
                              <w:top w:val="single" w:sz="4" w:space="0" w:color="ADD6EA"/>
                              <w:left w:val="nil"/>
                              <w:bottom w:val="nil"/>
                              <w:right w:val="nil"/>
                            </w:tcBorders>
                            <w:shd w:val="clear" w:color="000000" w:fill="B6D5E4"/>
                            <w:noWrap/>
                            <w:vAlign w:val="center"/>
                            <w:hideMark/>
                          </w:tcPr>
                          <w:p w14:paraId="4D1E7BC1"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c>
                          <w:tcPr>
                            <w:tcW w:w="820" w:type="dxa"/>
                            <w:tcBorders>
                              <w:top w:val="single" w:sz="4" w:space="0" w:color="ADD6EA"/>
                              <w:left w:val="nil"/>
                              <w:bottom w:val="nil"/>
                              <w:right w:val="nil"/>
                            </w:tcBorders>
                            <w:shd w:val="clear" w:color="000000" w:fill="B6D5E4"/>
                            <w:noWrap/>
                            <w:vAlign w:val="center"/>
                            <w:hideMark/>
                          </w:tcPr>
                          <w:p w14:paraId="257E66A5"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$m</w:t>
                            </w:r>
                          </w:p>
                        </w:tc>
                      </w:tr>
                      <w:tr w:rsidR="00B7378B" w:rsidRPr="00B7378B" w14:paraId="5FCC9A5D" w14:textId="77777777" w:rsidTr="00B7378B">
                        <w:trPr>
                          <w:trHeight w:val="315"/>
                        </w:trPr>
                        <w:tc>
                          <w:tcPr>
                            <w:tcW w:w="2740" w:type="dxa"/>
                            <w:tcBorders>
                              <w:top w:val="single" w:sz="4" w:space="0" w:color="ADD6EA"/>
                              <w:left w:val="nil"/>
                              <w:bottom w:val="nil"/>
                              <w:right w:val="nil"/>
                            </w:tcBorders>
                            <w:shd w:val="clear" w:color="auto" w:fill="auto"/>
                            <w:vAlign w:val="center"/>
                            <w:hideMark/>
                          </w:tcPr>
                          <w:p w14:paraId="61F98355" w14:textId="77777777" w:rsidR="00B7378B" w:rsidRPr="00B7378B" w:rsidRDefault="00B7378B" w:rsidP="00B7378B">
                            <w:pPr>
                              <w:tabs>
                                <w:tab w:val="clear" w:pos="567"/>
                              </w:tabs>
                              <w:spacing w:before="0" w:line="240" w:lineRule="auto"/>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Urban transport</w:t>
                            </w:r>
                          </w:p>
                        </w:tc>
                        <w:tc>
                          <w:tcPr>
                            <w:tcW w:w="680" w:type="dxa"/>
                            <w:tcBorders>
                              <w:top w:val="single" w:sz="4" w:space="0" w:color="ADD6EA"/>
                              <w:left w:val="nil"/>
                              <w:bottom w:val="nil"/>
                              <w:right w:val="nil"/>
                            </w:tcBorders>
                            <w:shd w:val="clear" w:color="auto" w:fill="auto"/>
                            <w:noWrap/>
                            <w:vAlign w:val="center"/>
                            <w:hideMark/>
                          </w:tcPr>
                          <w:p w14:paraId="3C304DCA"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-73</w:t>
                            </w:r>
                          </w:p>
                        </w:tc>
                        <w:tc>
                          <w:tcPr>
                            <w:tcW w:w="680" w:type="dxa"/>
                            <w:tcBorders>
                              <w:top w:val="single" w:sz="4" w:space="0" w:color="ADD6EA"/>
                              <w:left w:val="nil"/>
                              <w:bottom w:val="nil"/>
                              <w:right w:val="nil"/>
                            </w:tcBorders>
                            <w:shd w:val="clear" w:color="auto" w:fill="auto"/>
                            <w:noWrap/>
                            <w:vAlign w:val="center"/>
                            <w:hideMark/>
                          </w:tcPr>
                          <w:p w14:paraId="2425062B"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251</w:t>
                            </w:r>
                          </w:p>
                        </w:tc>
                        <w:tc>
                          <w:tcPr>
                            <w:tcW w:w="680" w:type="dxa"/>
                            <w:tcBorders>
                              <w:top w:val="single" w:sz="4" w:space="0" w:color="ADD6EA"/>
                              <w:left w:val="nil"/>
                              <w:bottom w:val="nil"/>
                              <w:right w:val="nil"/>
                            </w:tcBorders>
                            <w:shd w:val="clear" w:color="auto" w:fill="auto"/>
                            <w:noWrap/>
                            <w:vAlign w:val="center"/>
                            <w:hideMark/>
                          </w:tcPr>
                          <w:p w14:paraId="3B6A538C"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-38</w:t>
                            </w:r>
                          </w:p>
                        </w:tc>
                        <w:tc>
                          <w:tcPr>
                            <w:tcW w:w="680" w:type="dxa"/>
                            <w:tcBorders>
                              <w:top w:val="single" w:sz="4" w:space="0" w:color="ADD6EA"/>
                              <w:left w:val="nil"/>
                              <w:bottom w:val="nil"/>
                              <w:right w:val="nil"/>
                            </w:tcBorders>
                            <w:shd w:val="clear" w:color="auto" w:fill="auto"/>
                            <w:noWrap/>
                            <w:vAlign w:val="center"/>
                            <w:hideMark/>
                          </w:tcPr>
                          <w:p w14:paraId="7913F6FA"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-79</w:t>
                            </w:r>
                          </w:p>
                        </w:tc>
                        <w:tc>
                          <w:tcPr>
                            <w:tcW w:w="680" w:type="dxa"/>
                            <w:tcBorders>
                              <w:top w:val="single" w:sz="4" w:space="0" w:color="ADD6EA"/>
                              <w:left w:val="nil"/>
                              <w:bottom w:val="nil"/>
                              <w:right w:val="nil"/>
                            </w:tcBorders>
                            <w:shd w:val="clear" w:color="auto" w:fill="auto"/>
                            <w:noWrap/>
                            <w:vAlign w:val="center"/>
                            <w:hideMark/>
                          </w:tcPr>
                          <w:p w14:paraId="0DF6BBDA"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-52</w:t>
                            </w:r>
                          </w:p>
                        </w:tc>
                        <w:tc>
                          <w:tcPr>
                            <w:tcW w:w="680" w:type="dxa"/>
                            <w:tcBorders>
                              <w:top w:val="single" w:sz="4" w:space="0" w:color="ADD6EA"/>
                              <w:left w:val="nil"/>
                              <w:bottom w:val="nil"/>
                              <w:right w:val="nil"/>
                            </w:tcBorders>
                            <w:shd w:val="clear" w:color="auto" w:fill="auto"/>
                            <w:noWrap/>
                            <w:vAlign w:val="center"/>
                            <w:hideMark/>
                          </w:tcPr>
                          <w:p w14:paraId="4D914461"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-5</w:t>
                            </w:r>
                          </w:p>
                        </w:tc>
                        <w:tc>
                          <w:tcPr>
                            <w:tcW w:w="680" w:type="dxa"/>
                            <w:tcBorders>
                              <w:top w:val="single" w:sz="4" w:space="0" w:color="ADD6EA"/>
                              <w:left w:val="nil"/>
                              <w:bottom w:val="nil"/>
                              <w:right w:val="nil"/>
                            </w:tcBorders>
                            <w:shd w:val="clear" w:color="auto" w:fill="auto"/>
                            <w:noWrap/>
                            <w:vAlign w:val="center"/>
                            <w:hideMark/>
                          </w:tcPr>
                          <w:p w14:paraId="58F92131"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-1</w:t>
                            </w:r>
                          </w:p>
                        </w:tc>
                        <w:tc>
                          <w:tcPr>
                            <w:tcW w:w="680" w:type="dxa"/>
                            <w:tcBorders>
                              <w:top w:val="single" w:sz="4" w:space="0" w:color="ADD6EA"/>
                              <w:left w:val="nil"/>
                              <w:bottom w:val="nil"/>
                              <w:right w:val="nil"/>
                            </w:tcBorders>
                            <w:shd w:val="clear" w:color="auto" w:fill="auto"/>
                            <w:noWrap/>
                            <w:vAlign w:val="center"/>
                            <w:hideMark/>
                          </w:tcPr>
                          <w:p w14:paraId="687B3A7A"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-3</w:t>
                            </w:r>
                          </w:p>
                        </w:tc>
                        <w:tc>
                          <w:tcPr>
                            <w:tcW w:w="820" w:type="dxa"/>
                            <w:tcBorders>
                              <w:top w:val="single" w:sz="4" w:space="0" w:color="ADD6EA"/>
                              <w:left w:val="nil"/>
                              <w:bottom w:val="nil"/>
                              <w:right w:val="nil"/>
                            </w:tcBorders>
                            <w:shd w:val="clear" w:color="auto" w:fill="auto"/>
                            <w:noWrap/>
                            <w:vAlign w:val="center"/>
                            <w:hideMark/>
                          </w:tcPr>
                          <w:p w14:paraId="5A7F46D1"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251</w:t>
                            </w:r>
                          </w:p>
                        </w:tc>
                      </w:tr>
                      <w:tr w:rsidR="00B7378B" w:rsidRPr="00B7378B" w14:paraId="15554D1C" w14:textId="77777777" w:rsidTr="00B7378B">
                        <w:trPr>
                          <w:trHeight w:val="315"/>
                        </w:trPr>
                        <w:tc>
                          <w:tcPr>
                            <w:tcW w:w="2740" w:type="dxa"/>
                            <w:tcBorders>
                              <w:top w:val="single" w:sz="4" w:space="0" w:color="ADD6EA"/>
                              <w:left w:val="nil"/>
                              <w:bottom w:val="nil"/>
                              <w:right w:val="nil"/>
                            </w:tcBorders>
                            <w:shd w:val="clear" w:color="auto" w:fill="auto"/>
                            <w:vAlign w:val="center"/>
                            <w:hideMark/>
                          </w:tcPr>
                          <w:p w14:paraId="474AC4D7" w14:textId="77777777" w:rsidR="00B7378B" w:rsidRPr="00B7378B" w:rsidRDefault="00B7378B" w:rsidP="00B7378B">
                            <w:pPr>
                              <w:tabs>
                                <w:tab w:val="clear" w:pos="567"/>
                              </w:tabs>
                              <w:spacing w:before="0" w:line="240" w:lineRule="auto"/>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Investment in urban transport</w:t>
                            </w:r>
                          </w:p>
                        </w:tc>
                        <w:tc>
                          <w:tcPr>
                            <w:tcW w:w="680" w:type="dxa"/>
                            <w:tcBorders>
                              <w:top w:val="single" w:sz="4" w:space="0" w:color="ADD6EA"/>
                              <w:left w:val="nil"/>
                              <w:bottom w:val="nil"/>
                              <w:right w:val="nil"/>
                            </w:tcBorders>
                            <w:shd w:val="clear" w:color="auto" w:fill="auto"/>
                            <w:noWrap/>
                            <w:vAlign w:val="center"/>
                            <w:hideMark/>
                          </w:tcPr>
                          <w:p w14:paraId="1A6E4AE4"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-148</w:t>
                            </w:r>
                          </w:p>
                        </w:tc>
                        <w:tc>
                          <w:tcPr>
                            <w:tcW w:w="680" w:type="dxa"/>
                            <w:tcBorders>
                              <w:top w:val="single" w:sz="4" w:space="0" w:color="ADD6EA"/>
                              <w:left w:val="nil"/>
                              <w:bottom w:val="nil"/>
                              <w:right w:val="nil"/>
                            </w:tcBorders>
                            <w:shd w:val="clear" w:color="auto" w:fill="auto"/>
                            <w:noWrap/>
                            <w:vAlign w:val="center"/>
                            <w:hideMark/>
                          </w:tcPr>
                          <w:p w14:paraId="143BDE0E"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451</w:t>
                            </w:r>
                          </w:p>
                        </w:tc>
                        <w:tc>
                          <w:tcPr>
                            <w:tcW w:w="680" w:type="dxa"/>
                            <w:tcBorders>
                              <w:top w:val="single" w:sz="4" w:space="0" w:color="ADD6EA"/>
                              <w:left w:val="nil"/>
                              <w:bottom w:val="nil"/>
                              <w:right w:val="nil"/>
                            </w:tcBorders>
                            <w:shd w:val="clear" w:color="auto" w:fill="auto"/>
                            <w:noWrap/>
                            <w:vAlign w:val="center"/>
                            <w:hideMark/>
                          </w:tcPr>
                          <w:p w14:paraId="57C26EAA"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-27</w:t>
                            </w:r>
                          </w:p>
                        </w:tc>
                        <w:tc>
                          <w:tcPr>
                            <w:tcW w:w="680" w:type="dxa"/>
                            <w:tcBorders>
                              <w:top w:val="single" w:sz="4" w:space="0" w:color="ADD6EA"/>
                              <w:left w:val="nil"/>
                              <w:bottom w:val="nil"/>
                              <w:right w:val="nil"/>
                            </w:tcBorders>
                            <w:shd w:val="clear" w:color="auto" w:fill="auto"/>
                            <w:noWrap/>
                            <w:vAlign w:val="center"/>
                            <w:hideMark/>
                          </w:tcPr>
                          <w:p w14:paraId="591C56B5"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-186</w:t>
                            </w:r>
                          </w:p>
                        </w:tc>
                        <w:tc>
                          <w:tcPr>
                            <w:tcW w:w="680" w:type="dxa"/>
                            <w:tcBorders>
                              <w:top w:val="single" w:sz="4" w:space="0" w:color="ADD6EA"/>
                              <w:left w:val="nil"/>
                              <w:bottom w:val="nil"/>
                              <w:right w:val="nil"/>
                            </w:tcBorders>
                            <w:shd w:val="clear" w:color="auto" w:fill="auto"/>
                            <w:noWrap/>
                            <w:vAlign w:val="center"/>
                            <w:hideMark/>
                          </w:tcPr>
                          <w:p w14:paraId="2F374DA0"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-115</w:t>
                            </w:r>
                          </w:p>
                        </w:tc>
                        <w:tc>
                          <w:tcPr>
                            <w:tcW w:w="680" w:type="dxa"/>
                            <w:tcBorders>
                              <w:top w:val="single" w:sz="4" w:space="0" w:color="ADD6EA"/>
                              <w:left w:val="nil"/>
                              <w:bottom w:val="nil"/>
                              <w:right w:val="nil"/>
                            </w:tcBorders>
                            <w:shd w:val="clear" w:color="auto" w:fill="auto"/>
                            <w:noWrap/>
                            <w:vAlign w:val="center"/>
                            <w:hideMark/>
                          </w:tcPr>
                          <w:p w14:paraId="77A9ADDE"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-5</w:t>
                            </w:r>
                          </w:p>
                        </w:tc>
                        <w:tc>
                          <w:tcPr>
                            <w:tcW w:w="680" w:type="dxa"/>
                            <w:tcBorders>
                              <w:top w:val="single" w:sz="4" w:space="0" w:color="ADD6EA"/>
                              <w:left w:val="nil"/>
                              <w:bottom w:val="nil"/>
                              <w:right w:val="nil"/>
                            </w:tcBorders>
                            <w:shd w:val="clear" w:color="auto" w:fill="auto"/>
                            <w:noWrap/>
                            <w:vAlign w:val="center"/>
                            <w:hideMark/>
                          </w:tcPr>
                          <w:p w14:paraId="43800713"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35</w:t>
                            </w:r>
                          </w:p>
                        </w:tc>
                        <w:tc>
                          <w:tcPr>
                            <w:tcW w:w="680" w:type="dxa"/>
                            <w:tcBorders>
                              <w:top w:val="single" w:sz="4" w:space="0" w:color="ADD6EA"/>
                              <w:left w:val="nil"/>
                              <w:bottom w:val="nil"/>
                              <w:right w:val="nil"/>
                            </w:tcBorders>
                            <w:shd w:val="clear" w:color="auto" w:fill="auto"/>
                            <w:noWrap/>
                            <w:vAlign w:val="center"/>
                            <w:hideMark/>
                          </w:tcPr>
                          <w:p w14:paraId="219C2D42"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-5</w:t>
                            </w:r>
                          </w:p>
                        </w:tc>
                        <w:tc>
                          <w:tcPr>
                            <w:tcW w:w="820" w:type="dxa"/>
                            <w:tcBorders>
                              <w:top w:val="single" w:sz="4" w:space="0" w:color="ADD6EA"/>
                              <w:left w:val="nil"/>
                              <w:bottom w:val="nil"/>
                              <w:right w:val="nil"/>
                            </w:tcBorders>
                            <w:shd w:val="clear" w:color="auto" w:fill="auto"/>
                            <w:noWrap/>
                            <w:vAlign w:val="center"/>
                            <w:hideMark/>
                          </w:tcPr>
                          <w:p w14:paraId="7F811025" w14:textId="77777777" w:rsidR="00B7378B" w:rsidRPr="00B7378B" w:rsidRDefault="00B7378B" w:rsidP="00B7378B">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B7378B">
                              <w:rPr>
                                <w:rFonts w:ascii="Open Sans Light" w:eastAsia="Times New Roman" w:hAnsi="Open Sans Light" w:cs="Open Sans Light"/>
                                <w:color w:val="000000"/>
                                <w:sz w:val="16"/>
                                <w:szCs w:val="16"/>
                                <w:lang w:eastAsia="en-AU"/>
                              </w:rPr>
                              <w:t>486</w:t>
                            </w:r>
                          </w:p>
                        </w:tc>
                      </w:tr>
                      <w:tr w:rsidR="00B7378B" w:rsidRPr="00B7378B" w14:paraId="52E93AA7" w14:textId="77777777" w:rsidTr="00B7378B">
                        <w:trPr>
                          <w:trHeight w:val="315"/>
                        </w:trPr>
                        <w:tc>
                          <w:tcPr>
                            <w:tcW w:w="2740" w:type="dxa"/>
                            <w:tcBorders>
                              <w:top w:val="single" w:sz="4" w:space="0" w:color="ADD6EA"/>
                              <w:left w:val="nil"/>
                              <w:bottom w:val="single" w:sz="4" w:space="0" w:color="ADD6EA"/>
                              <w:right w:val="nil"/>
                            </w:tcBorders>
                            <w:shd w:val="clear" w:color="000000" w:fill="D6E7F0"/>
                            <w:vAlign w:val="center"/>
                            <w:hideMark/>
                          </w:tcPr>
                          <w:p w14:paraId="047BF3C8" w14:textId="77777777" w:rsidR="00B7378B" w:rsidRPr="00B7378B" w:rsidRDefault="00B7378B" w:rsidP="00B7378B">
                            <w:pPr>
                              <w:tabs>
                                <w:tab w:val="clear" w:pos="567"/>
                              </w:tabs>
                              <w:spacing w:before="0" w:line="240" w:lineRule="auto"/>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Total</w:t>
                            </w:r>
                          </w:p>
                        </w:tc>
                        <w:tc>
                          <w:tcPr>
                            <w:tcW w:w="680" w:type="dxa"/>
                            <w:tcBorders>
                              <w:top w:val="single" w:sz="4" w:space="0" w:color="ADD6EA"/>
                              <w:left w:val="nil"/>
                              <w:bottom w:val="single" w:sz="4" w:space="0" w:color="ADD6EA"/>
                              <w:right w:val="nil"/>
                            </w:tcBorders>
                            <w:shd w:val="clear" w:color="000000" w:fill="D6E7F0"/>
                            <w:noWrap/>
                            <w:vAlign w:val="center"/>
                            <w:hideMark/>
                          </w:tcPr>
                          <w:p w14:paraId="2243F382"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-222</w:t>
                            </w:r>
                          </w:p>
                        </w:tc>
                        <w:tc>
                          <w:tcPr>
                            <w:tcW w:w="680" w:type="dxa"/>
                            <w:tcBorders>
                              <w:top w:val="single" w:sz="4" w:space="0" w:color="ADD6EA"/>
                              <w:left w:val="nil"/>
                              <w:bottom w:val="single" w:sz="4" w:space="0" w:color="ADD6EA"/>
                              <w:right w:val="nil"/>
                            </w:tcBorders>
                            <w:shd w:val="clear" w:color="000000" w:fill="D6E7F0"/>
                            <w:noWrap/>
                            <w:vAlign w:val="center"/>
                            <w:hideMark/>
                          </w:tcPr>
                          <w:p w14:paraId="23E19061"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702</w:t>
                            </w:r>
                          </w:p>
                        </w:tc>
                        <w:tc>
                          <w:tcPr>
                            <w:tcW w:w="680" w:type="dxa"/>
                            <w:tcBorders>
                              <w:top w:val="single" w:sz="4" w:space="0" w:color="ADD6EA"/>
                              <w:left w:val="nil"/>
                              <w:bottom w:val="single" w:sz="4" w:space="0" w:color="ADD6EA"/>
                              <w:right w:val="nil"/>
                            </w:tcBorders>
                            <w:shd w:val="clear" w:color="000000" w:fill="D6E7F0"/>
                            <w:noWrap/>
                            <w:vAlign w:val="center"/>
                            <w:hideMark/>
                          </w:tcPr>
                          <w:p w14:paraId="1F6C9E06"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-65</w:t>
                            </w:r>
                          </w:p>
                        </w:tc>
                        <w:tc>
                          <w:tcPr>
                            <w:tcW w:w="680" w:type="dxa"/>
                            <w:tcBorders>
                              <w:top w:val="single" w:sz="4" w:space="0" w:color="ADD6EA"/>
                              <w:left w:val="nil"/>
                              <w:bottom w:val="single" w:sz="4" w:space="0" w:color="ADD6EA"/>
                              <w:right w:val="nil"/>
                            </w:tcBorders>
                            <w:shd w:val="clear" w:color="000000" w:fill="D6E7F0"/>
                            <w:noWrap/>
                            <w:vAlign w:val="center"/>
                            <w:hideMark/>
                          </w:tcPr>
                          <w:p w14:paraId="24F71C48"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-265</w:t>
                            </w:r>
                          </w:p>
                        </w:tc>
                        <w:tc>
                          <w:tcPr>
                            <w:tcW w:w="680" w:type="dxa"/>
                            <w:tcBorders>
                              <w:top w:val="single" w:sz="4" w:space="0" w:color="ADD6EA"/>
                              <w:left w:val="nil"/>
                              <w:bottom w:val="single" w:sz="4" w:space="0" w:color="ADD6EA"/>
                              <w:right w:val="nil"/>
                            </w:tcBorders>
                            <w:shd w:val="clear" w:color="000000" w:fill="D6E7F0"/>
                            <w:noWrap/>
                            <w:vAlign w:val="center"/>
                            <w:hideMark/>
                          </w:tcPr>
                          <w:p w14:paraId="3704B04D"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-167</w:t>
                            </w:r>
                          </w:p>
                        </w:tc>
                        <w:tc>
                          <w:tcPr>
                            <w:tcW w:w="680" w:type="dxa"/>
                            <w:tcBorders>
                              <w:top w:val="single" w:sz="4" w:space="0" w:color="ADD6EA"/>
                              <w:left w:val="nil"/>
                              <w:bottom w:val="single" w:sz="4" w:space="0" w:color="ADD6EA"/>
                              <w:right w:val="nil"/>
                            </w:tcBorders>
                            <w:shd w:val="clear" w:color="000000" w:fill="D6E7F0"/>
                            <w:noWrap/>
                            <w:vAlign w:val="center"/>
                            <w:hideMark/>
                          </w:tcPr>
                          <w:p w14:paraId="49EC5203"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-11</w:t>
                            </w:r>
                          </w:p>
                        </w:tc>
                        <w:tc>
                          <w:tcPr>
                            <w:tcW w:w="680" w:type="dxa"/>
                            <w:tcBorders>
                              <w:top w:val="single" w:sz="4" w:space="0" w:color="ADD6EA"/>
                              <w:left w:val="nil"/>
                              <w:bottom w:val="single" w:sz="4" w:space="0" w:color="ADD6EA"/>
                              <w:right w:val="nil"/>
                            </w:tcBorders>
                            <w:shd w:val="clear" w:color="000000" w:fill="D6E7F0"/>
                            <w:noWrap/>
                            <w:vAlign w:val="center"/>
                            <w:hideMark/>
                          </w:tcPr>
                          <w:p w14:paraId="0A132757"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35</w:t>
                            </w:r>
                          </w:p>
                        </w:tc>
                        <w:tc>
                          <w:tcPr>
                            <w:tcW w:w="680" w:type="dxa"/>
                            <w:tcBorders>
                              <w:top w:val="single" w:sz="4" w:space="0" w:color="ADD6EA"/>
                              <w:left w:val="nil"/>
                              <w:bottom w:val="single" w:sz="4" w:space="0" w:color="ADD6EA"/>
                              <w:right w:val="nil"/>
                            </w:tcBorders>
                            <w:shd w:val="clear" w:color="000000" w:fill="D6E7F0"/>
                            <w:noWrap/>
                            <w:vAlign w:val="center"/>
                            <w:hideMark/>
                          </w:tcPr>
                          <w:p w14:paraId="1BD8FDD0"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-7</w:t>
                            </w:r>
                          </w:p>
                        </w:tc>
                        <w:tc>
                          <w:tcPr>
                            <w:tcW w:w="820" w:type="dxa"/>
                            <w:tcBorders>
                              <w:top w:val="single" w:sz="4" w:space="0" w:color="ADD6EA"/>
                              <w:left w:val="nil"/>
                              <w:bottom w:val="single" w:sz="4" w:space="0" w:color="ADD6EA"/>
                              <w:right w:val="nil"/>
                            </w:tcBorders>
                            <w:shd w:val="clear" w:color="000000" w:fill="D6E7F0"/>
                            <w:noWrap/>
                            <w:vAlign w:val="center"/>
                            <w:hideMark/>
                          </w:tcPr>
                          <w:p w14:paraId="6E8DD9CB" w14:textId="77777777" w:rsidR="00B7378B" w:rsidRPr="00B7378B" w:rsidRDefault="00B7378B" w:rsidP="00B7378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B7378B">
                              <w:rPr>
                                <w:rFonts w:ascii="Open Sans Semibold" w:eastAsia="Times New Roman" w:hAnsi="Open Sans Semibold" w:cs="Open Sans Semibold"/>
                                <w:color w:val="000000"/>
                                <w:sz w:val="16"/>
                                <w:szCs w:val="16"/>
                                <w:lang w:eastAsia="en-AU"/>
                              </w:rPr>
                              <w:t>737</w:t>
                            </w:r>
                          </w:p>
                        </w:tc>
                      </w:tr>
                    </w:tbl>
                    <w:p w14:paraId="4F0AB901" w14:textId="77777777" w:rsidR="008B7329" w:rsidRPr="0031054C" w:rsidRDefault="008B7329" w:rsidP="0019693D">
                      <w:pPr>
                        <w:pStyle w:val="CGCTablenote"/>
                      </w:pPr>
                      <w:r w:rsidRPr="0031054C">
                        <w:t xml:space="preserve">Source: Commission calculation. </w:t>
                      </w:r>
                    </w:p>
                    <w:p w14:paraId="69684C5A" w14:textId="77777777" w:rsidR="008B7329" w:rsidRPr="0031054C" w:rsidRDefault="008B7329" w:rsidP="0019693D">
                      <w:pPr>
                        <w:pStyle w:val="Heading3"/>
                      </w:pPr>
                      <w:bookmarkStart w:id="207" w:name="_Toc159675699"/>
                      <w:bookmarkStart w:id="208" w:name="_Toc159676006"/>
                      <w:bookmarkStart w:id="209" w:name="_Toc159676073"/>
                      <w:r w:rsidRPr="0031054C">
                        <w:t>First Nations population</w:t>
                      </w:r>
                      <w:bookmarkEnd w:id="207"/>
                      <w:bookmarkEnd w:id="208"/>
                      <w:bookmarkEnd w:id="209"/>
                    </w:p>
                    <w:p w14:paraId="61461599" w14:textId="0EB2877B" w:rsidR="008B7329" w:rsidRPr="0031054C" w:rsidRDefault="008B7329" w:rsidP="006147BE">
                      <w:pPr>
                        <w:pStyle w:val="BulletPoints"/>
                      </w:pPr>
                      <w:r w:rsidRPr="0031054C">
                        <w:t xml:space="preserve">Between the 2016 and 2021 censuses, there was a significant increase in the number of people identifying as First Nations, especially in urban areas of New South Wales and Victoria. The socio-demographic profile of newly identifying First Nations people was </w:t>
                      </w:r>
                      <w:r w:rsidRPr="0095123E">
                        <w:t>different to that of the previously identifying First Nations population. The resulting change in assessed expenditure on First</w:t>
                      </w:r>
                      <w:r w:rsidR="00DE5078" w:rsidRPr="0095123E">
                        <w:t> </w:t>
                      </w:r>
                      <w:r w:rsidRPr="0095123E">
                        <w:t>Nations people was small. It ranged from a decrease of $15</w:t>
                      </w:r>
                      <w:r w:rsidR="00B31FFE" w:rsidRPr="0095123E">
                        <w:t> </w:t>
                      </w:r>
                      <w:r w:rsidRPr="0095123E">
                        <w:t>per</w:t>
                      </w:r>
                      <w:r w:rsidR="00B31FFE" w:rsidRPr="0095123E">
                        <w:t> </w:t>
                      </w:r>
                      <w:r w:rsidRPr="0095123E">
                        <w:t>capita in South</w:t>
                      </w:r>
                      <w:r w:rsidR="00B31FFE" w:rsidRPr="0095123E">
                        <w:t> </w:t>
                      </w:r>
                      <w:r w:rsidRPr="0095123E">
                        <w:t>Australia to an increase of $20</w:t>
                      </w:r>
                      <w:r w:rsidR="00B31FFE" w:rsidRPr="0095123E">
                        <w:t> </w:t>
                      </w:r>
                      <w:r w:rsidRPr="0095123E">
                        <w:t>per</w:t>
                      </w:r>
                      <w:r w:rsidR="00B31FFE" w:rsidRPr="0095123E">
                        <w:t> </w:t>
                      </w:r>
                      <w:r w:rsidRPr="0095123E">
                        <w:t>capita in Tasmania.</w:t>
                      </w:r>
                    </w:p>
                    <w:p w14:paraId="58B786EA" w14:textId="77777777" w:rsidR="008B7329" w:rsidRPr="0031054C" w:rsidRDefault="008B7329" w:rsidP="0019693D">
                      <w:pPr>
                        <w:pStyle w:val="Heading3"/>
                      </w:pPr>
                      <w:bookmarkStart w:id="210" w:name="_Toc159675700"/>
                      <w:bookmarkStart w:id="211" w:name="_Toc159676007"/>
                      <w:bookmarkStart w:id="212" w:name="_Toc159676074"/>
                      <w:r w:rsidRPr="0031054C">
                        <w:t>Population dispersion</w:t>
                      </w:r>
                      <w:bookmarkEnd w:id="210"/>
                      <w:bookmarkEnd w:id="211"/>
                      <w:bookmarkEnd w:id="212"/>
                    </w:p>
                    <w:p w14:paraId="13BFB446" w14:textId="457CC193" w:rsidR="008B7329" w:rsidRPr="0031054C" w:rsidRDefault="0036248D" w:rsidP="006147BE">
                      <w:pPr>
                        <w:pStyle w:val="BulletPoints"/>
                      </w:pPr>
                      <w:r>
                        <w:t>New</w:t>
                      </w:r>
                      <w:r w:rsidR="008B7329" w:rsidRPr="0031054C">
                        <w:t xml:space="preserve"> Census</w:t>
                      </w:r>
                      <w:r>
                        <w:t xml:space="preserve"> data</w:t>
                      </w:r>
                      <w:r w:rsidR="008B7329" w:rsidRPr="0031054C">
                        <w:t xml:space="preserve"> resulted in some locations being reclassified as more or less remote. For example, Mount Gambier and Devonport changed from inner</w:t>
                      </w:r>
                      <w:r w:rsidR="00CD39C3">
                        <w:t xml:space="preserve"> </w:t>
                      </w:r>
                      <w:r w:rsidR="008B7329" w:rsidRPr="0031054C">
                        <w:t>regional to outer</w:t>
                      </w:r>
                      <w:r w:rsidR="00CD39C3">
                        <w:t xml:space="preserve"> </w:t>
                      </w:r>
                      <w:r w:rsidR="008B7329" w:rsidRPr="0031054C">
                        <w:t>regional, increasing assessed GST needs. Areas around Coffs</w:t>
                      </w:r>
                      <w:r w:rsidR="00DE5078">
                        <w:t> </w:t>
                      </w:r>
                      <w:r w:rsidR="008B7329" w:rsidRPr="0031054C">
                        <w:t>Harbour changed from outer</w:t>
                      </w:r>
                      <w:r w:rsidR="00B9074B">
                        <w:t xml:space="preserve"> </w:t>
                      </w:r>
                      <w:r w:rsidR="008B7329" w:rsidRPr="0031054C">
                        <w:t>regional to inner</w:t>
                      </w:r>
                      <w:r w:rsidR="00B9074B">
                        <w:t xml:space="preserve"> </w:t>
                      </w:r>
                      <w:r w:rsidR="008B7329" w:rsidRPr="0031054C">
                        <w:t>regional, decreasing assessed GST needs.</w:t>
                      </w:r>
                    </w:p>
                    <w:p w14:paraId="3C739F2C" w14:textId="77777777" w:rsidR="008B7329" w:rsidRPr="0031054C" w:rsidRDefault="008B7329" w:rsidP="0019693D">
                      <w:pPr>
                        <w:pStyle w:val="Heading3"/>
                      </w:pPr>
                      <w:bookmarkStart w:id="213" w:name="_Toc159675701"/>
                      <w:bookmarkStart w:id="214" w:name="_Toc159676008"/>
                      <w:bookmarkStart w:id="215" w:name="_Toc159676075"/>
                      <w:r w:rsidRPr="0031054C">
                        <w:t>Socio-economic status</w:t>
                      </w:r>
                      <w:bookmarkEnd w:id="213"/>
                      <w:bookmarkEnd w:id="214"/>
                      <w:bookmarkEnd w:id="215"/>
                      <w:r w:rsidRPr="0031054C">
                        <w:t xml:space="preserve"> </w:t>
                      </w:r>
                    </w:p>
                    <w:p w14:paraId="3AAE283C" w14:textId="5B5AD3B0" w:rsidR="008B7329" w:rsidRPr="0031054C" w:rsidRDefault="008B7329" w:rsidP="006147BE">
                      <w:pPr>
                        <w:pStyle w:val="BulletPoints"/>
                      </w:pPr>
                      <w:r w:rsidRPr="0031054C">
                        <w:t>Among the non-Indigenous population, an increase in the level of disadvantage in Queensland, Western</w:t>
                      </w:r>
                      <w:r w:rsidR="00DE5078">
                        <w:t> </w:t>
                      </w:r>
                      <w:r w:rsidRPr="0031054C">
                        <w:t xml:space="preserve">Australia, the </w:t>
                      </w:r>
                      <w:proofErr w:type="gramStart"/>
                      <w:r w:rsidRPr="0031054C">
                        <w:t>ACT</w:t>
                      </w:r>
                      <w:proofErr w:type="gramEnd"/>
                      <w:r w:rsidRPr="0031054C">
                        <w:t xml:space="preserve"> and the Northern Territory led to a $398</w:t>
                      </w:r>
                      <w:r w:rsidR="00EC7B1C">
                        <w:t> </w:t>
                      </w:r>
                      <w:r w:rsidRPr="0031054C">
                        <w:t>million increase in assessed GST needs in those states and a decrease in other states, especially New</w:t>
                      </w:r>
                      <w:r w:rsidR="00EC7B1C">
                        <w:t> </w:t>
                      </w:r>
                      <w:r w:rsidRPr="0031054C">
                        <w:t>South</w:t>
                      </w:r>
                      <w:r w:rsidR="00EC7B1C">
                        <w:t> </w:t>
                      </w:r>
                      <w:r w:rsidRPr="0031054C">
                        <w:t>Wales.</w:t>
                      </w:r>
                    </w:p>
                    <w:p w14:paraId="464A6A0D" w14:textId="77777777" w:rsidR="008B7329" w:rsidRPr="0031054C" w:rsidRDefault="008B7329" w:rsidP="0019693D">
                      <w:pPr>
                        <w:pStyle w:val="Heading3"/>
                      </w:pPr>
                      <w:bookmarkStart w:id="216" w:name="_Toc159675702"/>
                      <w:bookmarkStart w:id="217" w:name="_Toc159676009"/>
                      <w:bookmarkStart w:id="218" w:name="_Toc159676076"/>
                      <w:r w:rsidRPr="0031054C">
                        <w:t>Other geographic classifications</w:t>
                      </w:r>
                      <w:bookmarkEnd w:id="216"/>
                      <w:bookmarkEnd w:id="217"/>
                      <w:bookmarkEnd w:id="218"/>
                    </w:p>
                    <w:p w14:paraId="229DE017" w14:textId="608660CC" w:rsidR="00904E2C" w:rsidRPr="00176917" w:rsidRDefault="008B7329">
                      <w:pPr>
                        <w:pStyle w:val="BulletPoints"/>
                      </w:pPr>
                      <w:r w:rsidRPr="0031054C">
                        <w:t xml:space="preserve">In the services to </w:t>
                      </w:r>
                      <w:proofErr w:type="gramStart"/>
                      <w:r w:rsidRPr="0031054C">
                        <w:t>communities</w:t>
                      </w:r>
                      <w:proofErr w:type="gramEnd"/>
                      <w:r w:rsidRPr="0031054C">
                        <w:t xml:space="preserve"> assessment, data on the populations of small isolated communities were updated. These were used in assessing spending needs on water subsidies, electricity subsidies and First Nations development.</w:t>
                      </w:r>
                    </w:p>
                  </w:txbxContent>
                </v:textbox>
                <w10:wrap type="square" anchorx="margin"/>
              </v:shape>
            </w:pict>
          </mc:Fallback>
        </mc:AlternateContent>
      </w:r>
    </w:p>
    <w:p w14:paraId="4E7A7E77" w14:textId="77777777" w:rsidR="00E3354C" w:rsidRPr="0031054C" w:rsidRDefault="00E3354C" w:rsidP="007F0FA9">
      <w:pPr>
        <w:pStyle w:val="Heading3"/>
      </w:pPr>
      <w:r w:rsidRPr="0031054C">
        <w:lastRenderedPageBreak/>
        <w:t>Changes in state circumstances</w:t>
      </w:r>
    </w:p>
    <w:p w14:paraId="4C52796A" w14:textId="6C79728F" w:rsidR="00E3354C" w:rsidRPr="0031054C" w:rsidRDefault="00E3354C" w:rsidP="00E3354C">
      <w:r w:rsidRPr="0031054C">
        <w:t>This section describes the main changes in state circumstances since the 2023</w:t>
      </w:r>
      <w:r w:rsidR="004B4777">
        <w:t> </w:t>
      </w:r>
      <w:r w:rsidRPr="0031054C">
        <w:t xml:space="preserve">Update </w:t>
      </w:r>
      <w:r w:rsidR="00F54EDB">
        <w:t>–</w:t>
      </w:r>
      <w:r w:rsidRPr="0031054C">
        <w:t xml:space="preserve"> that is, the changes that occurred when revised 2019</w:t>
      </w:r>
      <w:r w:rsidR="008400EC">
        <w:t>–</w:t>
      </w:r>
      <w:r w:rsidRPr="0031054C">
        <w:t>20 data were replaced with 2022</w:t>
      </w:r>
      <w:r w:rsidR="008400EC">
        <w:t>–</w:t>
      </w:r>
      <w:r w:rsidRPr="0031054C">
        <w:t xml:space="preserve">23 data (see </w:t>
      </w:r>
      <w:r w:rsidR="00C31EF9">
        <w:fldChar w:fldCharType="begin"/>
      </w:r>
      <w:r w:rsidR="00C31EF9">
        <w:instrText xml:space="preserve"> REF Table_2_6 \h </w:instrText>
      </w:r>
      <w:r w:rsidR="00C31EF9">
        <w:fldChar w:fldCharType="separate"/>
      </w:r>
      <w:r w:rsidR="00047120" w:rsidRPr="0031054C">
        <w:t>Table 2-6</w:t>
      </w:r>
      <w:r w:rsidR="00C31EF9">
        <w:fldChar w:fldCharType="end"/>
      </w:r>
      <w:r w:rsidRPr="0031054C">
        <w:t xml:space="preserve"> and </w:t>
      </w:r>
      <w:r w:rsidR="00C31EF9">
        <w:fldChar w:fldCharType="begin"/>
      </w:r>
      <w:r w:rsidR="00C31EF9">
        <w:instrText xml:space="preserve"> REF Table_2_7 \h </w:instrText>
      </w:r>
      <w:r w:rsidR="00C31EF9">
        <w:fldChar w:fldCharType="separate"/>
      </w:r>
      <w:r w:rsidR="00047120" w:rsidRPr="0031054C">
        <w:t>Table 2-7</w:t>
      </w:r>
      <w:r w:rsidR="00C31EF9">
        <w:fldChar w:fldCharType="end"/>
      </w:r>
      <w:r w:rsidRPr="0031054C">
        <w:t>).</w:t>
      </w:r>
    </w:p>
    <w:p w14:paraId="1308BDB7" w14:textId="2E667A02" w:rsidR="00E3354C" w:rsidRPr="0031054C" w:rsidRDefault="00E3354C" w:rsidP="007F0FA9">
      <w:pPr>
        <w:pStyle w:val="CGCTableHead"/>
      </w:pPr>
      <w:bookmarkStart w:id="219" w:name="Table_2_6"/>
      <w:r w:rsidRPr="0031054C">
        <w:t>Table 2-6</w:t>
      </w:r>
      <w:bookmarkEnd w:id="219"/>
      <w:r w:rsidRPr="0031054C">
        <w:tab/>
        <w:t>Composition of changes in state circumstances, 2023</w:t>
      </w:r>
      <w:r w:rsidR="00AC1E12">
        <w:t>–</w:t>
      </w:r>
      <w:r w:rsidRPr="0031054C">
        <w:t>24 to 2024</w:t>
      </w:r>
      <w:r w:rsidR="00AC1E12">
        <w:t>–</w:t>
      </w:r>
      <w:r w:rsidRPr="0031054C">
        <w:t>25</w:t>
      </w:r>
    </w:p>
    <w:tbl>
      <w:tblPr>
        <w:tblW w:w="9020" w:type="dxa"/>
        <w:tblLook w:val="04A0" w:firstRow="1" w:lastRow="0" w:firstColumn="1" w:lastColumn="0" w:noHBand="0" w:noVBand="1"/>
      </w:tblPr>
      <w:tblGrid>
        <w:gridCol w:w="2720"/>
        <w:gridCol w:w="700"/>
        <w:gridCol w:w="700"/>
        <w:gridCol w:w="700"/>
        <w:gridCol w:w="700"/>
        <w:gridCol w:w="700"/>
        <w:gridCol w:w="700"/>
        <w:gridCol w:w="700"/>
        <w:gridCol w:w="700"/>
        <w:gridCol w:w="700"/>
      </w:tblGrid>
      <w:tr w:rsidR="00D208E4" w:rsidRPr="00D208E4" w14:paraId="013E95E2" w14:textId="77777777" w:rsidTr="00D208E4">
        <w:trPr>
          <w:trHeight w:val="555"/>
        </w:trPr>
        <w:tc>
          <w:tcPr>
            <w:tcW w:w="2720" w:type="dxa"/>
            <w:tcBorders>
              <w:top w:val="nil"/>
              <w:left w:val="nil"/>
              <w:bottom w:val="nil"/>
              <w:right w:val="nil"/>
            </w:tcBorders>
            <w:shd w:val="clear" w:color="000000" w:fill="006991"/>
            <w:vAlign w:val="center"/>
            <w:hideMark/>
          </w:tcPr>
          <w:p w14:paraId="52047552" w14:textId="77777777" w:rsidR="00D208E4" w:rsidRPr="00D208E4" w:rsidRDefault="00D208E4" w:rsidP="00D208E4">
            <w:pPr>
              <w:tabs>
                <w:tab w:val="clear" w:pos="567"/>
              </w:tabs>
              <w:spacing w:before="0" w:line="240" w:lineRule="auto"/>
              <w:rPr>
                <w:rFonts w:ascii="Open Sans Semibold" w:eastAsia="Times New Roman" w:hAnsi="Open Sans Semibold" w:cs="Open Sans Semibold"/>
                <w:color w:val="FFFFFF"/>
                <w:sz w:val="16"/>
                <w:szCs w:val="16"/>
                <w:lang w:eastAsia="en-AU"/>
              </w:rPr>
            </w:pPr>
            <w:r w:rsidRPr="00D208E4">
              <w:rPr>
                <w:rFonts w:ascii="Open Sans Semibold" w:eastAsia="Times New Roman"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1015ABF9"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8E4">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2A73397D"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8E4">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21713592"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8E4">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0F20EE9E"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8E4">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7D6EEF4C"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8E4">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23DF36E3"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8E4">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45497B1B"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8E4">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2F049014"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8E4">
              <w:rPr>
                <w:rFonts w:ascii="Open Sans Semibold" w:eastAsia="Times New Roman" w:hAnsi="Open Sans Semibold" w:cs="Open Sans Semibold"/>
                <w:color w:val="FFFFFF"/>
                <w:sz w:val="16"/>
                <w:szCs w:val="16"/>
                <w:lang w:eastAsia="en-AU"/>
              </w:rPr>
              <w:t>NT</w:t>
            </w:r>
          </w:p>
        </w:tc>
        <w:tc>
          <w:tcPr>
            <w:tcW w:w="700" w:type="dxa"/>
            <w:tcBorders>
              <w:top w:val="nil"/>
              <w:left w:val="nil"/>
              <w:bottom w:val="nil"/>
              <w:right w:val="nil"/>
            </w:tcBorders>
            <w:shd w:val="clear" w:color="000000" w:fill="006991"/>
            <w:vAlign w:val="center"/>
            <w:hideMark/>
          </w:tcPr>
          <w:p w14:paraId="5D181DDD"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8E4">
              <w:rPr>
                <w:rFonts w:ascii="Open Sans Semibold" w:eastAsia="Times New Roman" w:hAnsi="Open Sans Semibold" w:cs="Open Sans Semibold"/>
                <w:color w:val="FFFFFF"/>
                <w:sz w:val="16"/>
                <w:szCs w:val="16"/>
                <w:lang w:eastAsia="en-AU"/>
              </w:rPr>
              <w:t>Total Effect</w:t>
            </w:r>
          </w:p>
        </w:tc>
      </w:tr>
      <w:tr w:rsidR="00D208E4" w:rsidRPr="00D208E4" w14:paraId="7C8A70EC" w14:textId="77777777" w:rsidTr="00D208E4">
        <w:trPr>
          <w:trHeight w:val="259"/>
        </w:trPr>
        <w:tc>
          <w:tcPr>
            <w:tcW w:w="2720" w:type="dxa"/>
            <w:tcBorders>
              <w:top w:val="single" w:sz="4" w:space="0" w:color="ADD6EA"/>
              <w:left w:val="nil"/>
              <w:bottom w:val="nil"/>
              <w:right w:val="nil"/>
            </w:tcBorders>
            <w:shd w:val="clear" w:color="000000" w:fill="B6D5E4"/>
            <w:vAlign w:val="center"/>
            <w:hideMark/>
          </w:tcPr>
          <w:p w14:paraId="5908B679" w14:textId="77777777" w:rsidR="00D208E4" w:rsidRPr="00D208E4" w:rsidRDefault="00D208E4" w:rsidP="00D208E4">
            <w:pPr>
              <w:tabs>
                <w:tab w:val="clear" w:pos="567"/>
              </w:tabs>
              <w:spacing w:before="0" w:line="240" w:lineRule="auto"/>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 </w:t>
            </w:r>
          </w:p>
        </w:tc>
        <w:tc>
          <w:tcPr>
            <w:tcW w:w="700" w:type="dxa"/>
            <w:tcBorders>
              <w:top w:val="single" w:sz="4" w:space="0" w:color="ADD6EA"/>
              <w:left w:val="nil"/>
              <w:bottom w:val="nil"/>
              <w:right w:val="nil"/>
            </w:tcBorders>
            <w:shd w:val="clear" w:color="000000" w:fill="B6D5E4"/>
            <w:noWrap/>
            <w:vAlign w:val="center"/>
            <w:hideMark/>
          </w:tcPr>
          <w:p w14:paraId="3E4D22B7"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303994DB"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2C106F40"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0D88ADFD"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4F877E2E"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1C007830"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590F9C3B"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46E9789F"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05C548E7"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$m</w:t>
            </w:r>
          </w:p>
        </w:tc>
      </w:tr>
      <w:tr w:rsidR="00D208E4" w:rsidRPr="00D208E4" w14:paraId="6B3335A5" w14:textId="77777777" w:rsidTr="00D208E4">
        <w:trPr>
          <w:trHeight w:val="315"/>
        </w:trPr>
        <w:tc>
          <w:tcPr>
            <w:tcW w:w="2720" w:type="dxa"/>
            <w:tcBorders>
              <w:top w:val="single" w:sz="4" w:space="0" w:color="ADD6EA"/>
              <w:left w:val="nil"/>
              <w:bottom w:val="nil"/>
              <w:right w:val="nil"/>
            </w:tcBorders>
            <w:shd w:val="clear" w:color="auto" w:fill="auto"/>
            <w:vAlign w:val="center"/>
            <w:hideMark/>
          </w:tcPr>
          <w:p w14:paraId="661B17FA" w14:textId="77777777" w:rsidR="00D208E4" w:rsidRPr="00D208E4" w:rsidRDefault="00D208E4" w:rsidP="00D208E4">
            <w:pPr>
              <w:tabs>
                <w:tab w:val="clear" w:pos="567"/>
              </w:tabs>
              <w:spacing w:before="0" w:line="240" w:lineRule="auto"/>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Expense needs</w:t>
            </w:r>
          </w:p>
        </w:tc>
        <w:tc>
          <w:tcPr>
            <w:tcW w:w="700" w:type="dxa"/>
            <w:tcBorders>
              <w:top w:val="single" w:sz="4" w:space="0" w:color="ADD6EA"/>
              <w:left w:val="nil"/>
              <w:bottom w:val="nil"/>
              <w:right w:val="nil"/>
            </w:tcBorders>
            <w:shd w:val="clear" w:color="auto" w:fill="auto"/>
            <w:noWrap/>
            <w:vAlign w:val="center"/>
            <w:hideMark/>
          </w:tcPr>
          <w:p w14:paraId="3873B09B"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-18</w:t>
            </w:r>
          </w:p>
        </w:tc>
        <w:tc>
          <w:tcPr>
            <w:tcW w:w="700" w:type="dxa"/>
            <w:tcBorders>
              <w:top w:val="single" w:sz="4" w:space="0" w:color="ADD6EA"/>
              <w:left w:val="nil"/>
              <w:bottom w:val="nil"/>
              <w:right w:val="nil"/>
            </w:tcBorders>
            <w:shd w:val="clear" w:color="auto" w:fill="auto"/>
            <w:noWrap/>
            <w:vAlign w:val="center"/>
            <w:hideMark/>
          </w:tcPr>
          <w:p w14:paraId="494AFB88"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209</w:t>
            </w:r>
          </w:p>
        </w:tc>
        <w:tc>
          <w:tcPr>
            <w:tcW w:w="700" w:type="dxa"/>
            <w:tcBorders>
              <w:top w:val="single" w:sz="4" w:space="0" w:color="ADD6EA"/>
              <w:left w:val="nil"/>
              <w:bottom w:val="nil"/>
              <w:right w:val="nil"/>
            </w:tcBorders>
            <w:shd w:val="clear" w:color="auto" w:fill="auto"/>
            <w:noWrap/>
            <w:vAlign w:val="center"/>
            <w:hideMark/>
          </w:tcPr>
          <w:p w14:paraId="5CA06659"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155</w:t>
            </w:r>
          </w:p>
        </w:tc>
        <w:tc>
          <w:tcPr>
            <w:tcW w:w="700" w:type="dxa"/>
            <w:tcBorders>
              <w:top w:val="single" w:sz="4" w:space="0" w:color="ADD6EA"/>
              <w:left w:val="nil"/>
              <w:bottom w:val="nil"/>
              <w:right w:val="nil"/>
            </w:tcBorders>
            <w:shd w:val="clear" w:color="auto" w:fill="auto"/>
            <w:noWrap/>
            <w:vAlign w:val="center"/>
            <w:hideMark/>
          </w:tcPr>
          <w:p w14:paraId="10834B49"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-54</w:t>
            </w:r>
          </w:p>
        </w:tc>
        <w:tc>
          <w:tcPr>
            <w:tcW w:w="700" w:type="dxa"/>
            <w:tcBorders>
              <w:top w:val="single" w:sz="4" w:space="0" w:color="ADD6EA"/>
              <w:left w:val="nil"/>
              <w:bottom w:val="nil"/>
              <w:right w:val="nil"/>
            </w:tcBorders>
            <w:shd w:val="clear" w:color="auto" w:fill="auto"/>
            <w:noWrap/>
            <w:vAlign w:val="center"/>
            <w:hideMark/>
          </w:tcPr>
          <w:p w14:paraId="17EBF907"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-126</w:t>
            </w:r>
          </w:p>
        </w:tc>
        <w:tc>
          <w:tcPr>
            <w:tcW w:w="700" w:type="dxa"/>
            <w:tcBorders>
              <w:top w:val="single" w:sz="4" w:space="0" w:color="ADD6EA"/>
              <w:left w:val="nil"/>
              <w:bottom w:val="nil"/>
              <w:right w:val="nil"/>
            </w:tcBorders>
            <w:shd w:val="clear" w:color="auto" w:fill="auto"/>
            <w:noWrap/>
            <w:vAlign w:val="center"/>
            <w:hideMark/>
          </w:tcPr>
          <w:p w14:paraId="52BD3C49"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-89</w:t>
            </w:r>
          </w:p>
        </w:tc>
        <w:tc>
          <w:tcPr>
            <w:tcW w:w="700" w:type="dxa"/>
            <w:tcBorders>
              <w:top w:val="single" w:sz="4" w:space="0" w:color="ADD6EA"/>
              <w:left w:val="nil"/>
              <w:bottom w:val="nil"/>
              <w:right w:val="nil"/>
            </w:tcBorders>
            <w:shd w:val="clear" w:color="auto" w:fill="auto"/>
            <w:noWrap/>
            <w:vAlign w:val="center"/>
            <w:hideMark/>
          </w:tcPr>
          <w:p w14:paraId="40BEA5F2"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-41</w:t>
            </w:r>
          </w:p>
        </w:tc>
        <w:tc>
          <w:tcPr>
            <w:tcW w:w="700" w:type="dxa"/>
            <w:tcBorders>
              <w:top w:val="single" w:sz="4" w:space="0" w:color="ADD6EA"/>
              <w:left w:val="nil"/>
              <w:bottom w:val="nil"/>
              <w:right w:val="nil"/>
            </w:tcBorders>
            <w:shd w:val="clear" w:color="auto" w:fill="auto"/>
            <w:noWrap/>
            <w:vAlign w:val="center"/>
            <w:hideMark/>
          </w:tcPr>
          <w:p w14:paraId="6CF0FE31"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-36</w:t>
            </w:r>
          </w:p>
        </w:tc>
        <w:tc>
          <w:tcPr>
            <w:tcW w:w="700" w:type="dxa"/>
            <w:tcBorders>
              <w:top w:val="single" w:sz="4" w:space="0" w:color="ADD6EA"/>
              <w:left w:val="nil"/>
              <w:bottom w:val="nil"/>
              <w:right w:val="nil"/>
            </w:tcBorders>
            <w:shd w:val="clear" w:color="auto" w:fill="auto"/>
            <w:noWrap/>
            <w:vAlign w:val="center"/>
            <w:hideMark/>
          </w:tcPr>
          <w:p w14:paraId="7454905D"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364</w:t>
            </w:r>
          </w:p>
        </w:tc>
      </w:tr>
      <w:tr w:rsidR="00D208E4" w:rsidRPr="00D208E4" w14:paraId="25CCB0FD" w14:textId="77777777" w:rsidTr="00D208E4">
        <w:trPr>
          <w:trHeight w:val="315"/>
        </w:trPr>
        <w:tc>
          <w:tcPr>
            <w:tcW w:w="2720" w:type="dxa"/>
            <w:tcBorders>
              <w:top w:val="single" w:sz="4" w:space="0" w:color="ADD6EA"/>
              <w:left w:val="nil"/>
              <w:bottom w:val="nil"/>
              <w:right w:val="nil"/>
            </w:tcBorders>
            <w:shd w:val="clear" w:color="auto" w:fill="auto"/>
            <w:vAlign w:val="center"/>
            <w:hideMark/>
          </w:tcPr>
          <w:p w14:paraId="269DF081" w14:textId="77777777" w:rsidR="00D208E4" w:rsidRPr="00D208E4" w:rsidRDefault="00D208E4" w:rsidP="00D208E4">
            <w:pPr>
              <w:tabs>
                <w:tab w:val="clear" w:pos="567"/>
              </w:tabs>
              <w:spacing w:before="0" w:line="240" w:lineRule="auto"/>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Investment needs</w:t>
            </w:r>
          </w:p>
        </w:tc>
        <w:tc>
          <w:tcPr>
            <w:tcW w:w="700" w:type="dxa"/>
            <w:tcBorders>
              <w:top w:val="single" w:sz="4" w:space="0" w:color="ADD6EA"/>
              <w:left w:val="nil"/>
              <w:bottom w:val="nil"/>
              <w:right w:val="nil"/>
            </w:tcBorders>
            <w:shd w:val="clear" w:color="auto" w:fill="auto"/>
            <w:noWrap/>
            <w:vAlign w:val="center"/>
            <w:hideMark/>
          </w:tcPr>
          <w:p w14:paraId="14205E8E"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340</w:t>
            </w:r>
          </w:p>
        </w:tc>
        <w:tc>
          <w:tcPr>
            <w:tcW w:w="700" w:type="dxa"/>
            <w:tcBorders>
              <w:top w:val="single" w:sz="4" w:space="0" w:color="ADD6EA"/>
              <w:left w:val="nil"/>
              <w:bottom w:val="nil"/>
              <w:right w:val="nil"/>
            </w:tcBorders>
            <w:shd w:val="clear" w:color="auto" w:fill="auto"/>
            <w:noWrap/>
            <w:vAlign w:val="center"/>
            <w:hideMark/>
          </w:tcPr>
          <w:p w14:paraId="38D83152"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233</w:t>
            </w:r>
          </w:p>
        </w:tc>
        <w:tc>
          <w:tcPr>
            <w:tcW w:w="700" w:type="dxa"/>
            <w:tcBorders>
              <w:top w:val="single" w:sz="4" w:space="0" w:color="ADD6EA"/>
              <w:left w:val="nil"/>
              <w:bottom w:val="nil"/>
              <w:right w:val="nil"/>
            </w:tcBorders>
            <w:shd w:val="clear" w:color="auto" w:fill="auto"/>
            <w:noWrap/>
            <w:vAlign w:val="center"/>
            <w:hideMark/>
          </w:tcPr>
          <w:p w14:paraId="58E8F86B"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-136</w:t>
            </w:r>
          </w:p>
        </w:tc>
        <w:tc>
          <w:tcPr>
            <w:tcW w:w="700" w:type="dxa"/>
            <w:tcBorders>
              <w:top w:val="single" w:sz="4" w:space="0" w:color="ADD6EA"/>
              <w:left w:val="nil"/>
              <w:bottom w:val="nil"/>
              <w:right w:val="nil"/>
            </w:tcBorders>
            <w:shd w:val="clear" w:color="auto" w:fill="auto"/>
            <w:noWrap/>
            <w:vAlign w:val="center"/>
            <w:hideMark/>
          </w:tcPr>
          <w:p w14:paraId="7C8F14B5"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-80</w:t>
            </w:r>
          </w:p>
        </w:tc>
        <w:tc>
          <w:tcPr>
            <w:tcW w:w="700" w:type="dxa"/>
            <w:tcBorders>
              <w:top w:val="single" w:sz="4" w:space="0" w:color="ADD6EA"/>
              <w:left w:val="nil"/>
              <w:bottom w:val="nil"/>
              <w:right w:val="nil"/>
            </w:tcBorders>
            <w:shd w:val="clear" w:color="auto" w:fill="auto"/>
            <w:noWrap/>
            <w:vAlign w:val="center"/>
            <w:hideMark/>
          </w:tcPr>
          <w:p w14:paraId="181A5CEA"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-115</w:t>
            </w:r>
          </w:p>
        </w:tc>
        <w:tc>
          <w:tcPr>
            <w:tcW w:w="700" w:type="dxa"/>
            <w:tcBorders>
              <w:top w:val="single" w:sz="4" w:space="0" w:color="ADD6EA"/>
              <w:left w:val="nil"/>
              <w:bottom w:val="nil"/>
              <w:right w:val="nil"/>
            </w:tcBorders>
            <w:shd w:val="clear" w:color="auto" w:fill="auto"/>
            <w:noWrap/>
            <w:vAlign w:val="center"/>
            <w:hideMark/>
          </w:tcPr>
          <w:p w14:paraId="466B4BE8"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-87</w:t>
            </w:r>
          </w:p>
        </w:tc>
        <w:tc>
          <w:tcPr>
            <w:tcW w:w="700" w:type="dxa"/>
            <w:tcBorders>
              <w:top w:val="single" w:sz="4" w:space="0" w:color="ADD6EA"/>
              <w:left w:val="nil"/>
              <w:bottom w:val="nil"/>
              <w:right w:val="nil"/>
            </w:tcBorders>
            <w:shd w:val="clear" w:color="auto" w:fill="auto"/>
            <w:noWrap/>
            <w:vAlign w:val="center"/>
            <w:hideMark/>
          </w:tcPr>
          <w:p w14:paraId="1D4BE763"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-58</w:t>
            </w:r>
          </w:p>
        </w:tc>
        <w:tc>
          <w:tcPr>
            <w:tcW w:w="700" w:type="dxa"/>
            <w:tcBorders>
              <w:top w:val="single" w:sz="4" w:space="0" w:color="ADD6EA"/>
              <w:left w:val="nil"/>
              <w:bottom w:val="nil"/>
              <w:right w:val="nil"/>
            </w:tcBorders>
            <w:shd w:val="clear" w:color="auto" w:fill="auto"/>
            <w:noWrap/>
            <w:vAlign w:val="center"/>
            <w:hideMark/>
          </w:tcPr>
          <w:p w14:paraId="03F88E38"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-97</w:t>
            </w:r>
          </w:p>
        </w:tc>
        <w:tc>
          <w:tcPr>
            <w:tcW w:w="700" w:type="dxa"/>
            <w:tcBorders>
              <w:top w:val="single" w:sz="4" w:space="0" w:color="ADD6EA"/>
              <w:left w:val="nil"/>
              <w:bottom w:val="nil"/>
              <w:right w:val="nil"/>
            </w:tcBorders>
            <w:shd w:val="clear" w:color="auto" w:fill="auto"/>
            <w:noWrap/>
            <w:vAlign w:val="center"/>
            <w:hideMark/>
          </w:tcPr>
          <w:p w14:paraId="7174B83B"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573</w:t>
            </w:r>
          </w:p>
        </w:tc>
      </w:tr>
      <w:tr w:rsidR="00D208E4" w:rsidRPr="00D208E4" w14:paraId="1C3CAFA1" w14:textId="77777777" w:rsidTr="00D208E4">
        <w:trPr>
          <w:trHeight w:val="315"/>
        </w:trPr>
        <w:tc>
          <w:tcPr>
            <w:tcW w:w="2720" w:type="dxa"/>
            <w:tcBorders>
              <w:top w:val="single" w:sz="4" w:space="0" w:color="ADD6EA"/>
              <w:left w:val="nil"/>
              <w:bottom w:val="nil"/>
              <w:right w:val="nil"/>
            </w:tcBorders>
            <w:shd w:val="clear" w:color="auto" w:fill="auto"/>
            <w:vAlign w:val="center"/>
            <w:hideMark/>
          </w:tcPr>
          <w:p w14:paraId="38AE8FA2" w14:textId="77777777" w:rsidR="00D208E4" w:rsidRPr="00D208E4" w:rsidRDefault="00D208E4" w:rsidP="00D208E4">
            <w:pPr>
              <w:tabs>
                <w:tab w:val="clear" w:pos="567"/>
              </w:tabs>
              <w:spacing w:before="0" w:line="240" w:lineRule="auto"/>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Net borrowing</w:t>
            </w:r>
          </w:p>
        </w:tc>
        <w:tc>
          <w:tcPr>
            <w:tcW w:w="700" w:type="dxa"/>
            <w:tcBorders>
              <w:top w:val="single" w:sz="4" w:space="0" w:color="ADD6EA"/>
              <w:left w:val="nil"/>
              <w:bottom w:val="nil"/>
              <w:right w:val="nil"/>
            </w:tcBorders>
            <w:shd w:val="clear" w:color="auto" w:fill="auto"/>
            <w:noWrap/>
            <w:vAlign w:val="center"/>
            <w:hideMark/>
          </w:tcPr>
          <w:p w14:paraId="1BC91CC2"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-17</w:t>
            </w:r>
          </w:p>
        </w:tc>
        <w:tc>
          <w:tcPr>
            <w:tcW w:w="700" w:type="dxa"/>
            <w:tcBorders>
              <w:top w:val="single" w:sz="4" w:space="0" w:color="ADD6EA"/>
              <w:left w:val="nil"/>
              <w:bottom w:val="nil"/>
              <w:right w:val="nil"/>
            </w:tcBorders>
            <w:shd w:val="clear" w:color="auto" w:fill="auto"/>
            <w:noWrap/>
            <w:vAlign w:val="center"/>
            <w:hideMark/>
          </w:tcPr>
          <w:p w14:paraId="0D610F54"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-18</w:t>
            </w:r>
          </w:p>
        </w:tc>
        <w:tc>
          <w:tcPr>
            <w:tcW w:w="700" w:type="dxa"/>
            <w:tcBorders>
              <w:top w:val="single" w:sz="4" w:space="0" w:color="ADD6EA"/>
              <w:left w:val="nil"/>
              <w:bottom w:val="nil"/>
              <w:right w:val="nil"/>
            </w:tcBorders>
            <w:shd w:val="clear" w:color="auto" w:fill="auto"/>
            <w:noWrap/>
            <w:vAlign w:val="center"/>
            <w:hideMark/>
          </w:tcPr>
          <w:p w14:paraId="5F95BC9D"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-36</w:t>
            </w:r>
          </w:p>
        </w:tc>
        <w:tc>
          <w:tcPr>
            <w:tcW w:w="700" w:type="dxa"/>
            <w:tcBorders>
              <w:top w:val="single" w:sz="4" w:space="0" w:color="ADD6EA"/>
              <w:left w:val="nil"/>
              <w:bottom w:val="nil"/>
              <w:right w:val="nil"/>
            </w:tcBorders>
            <w:shd w:val="clear" w:color="auto" w:fill="auto"/>
            <w:noWrap/>
            <w:vAlign w:val="center"/>
            <w:hideMark/>
          </w:tcPr>
          <w:p w14:paraId="0E71CE98"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-5</w:t>
            </w:r>
          </w:p>
        </w:tc>
        <w:tc>
          <w:tcPr>
            <w:tcW w:w="700" w:type="dxa"/>
            <w:tcBorders>
              <w:top w:val="single" w:sz="4" w:space="0" w:color="ADD6EA"/>
              <w:left w:val="nil"/>
              <w:bottom w:val="nil"/>
              <w:right w:val="nil"/>
            </w:tcBorders>
            <w:shd w:val="clear" w:color="auto" w:fill="auto"/>
            <w:noWrap/>
            <w:vAlign w:val="center"/>
            <w:hideMark/>
          </w:tcPr>
          <w:p w14:paraId="3F0F64DA"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22</w:t>
            </w:r>
          </w:p>
        </w:tc>
        <w:tc>
          <w:tcPr>
            <w:tcW w:w="700" w:type="dxa"/>
            <w:tcBorders>
              <w:top w:val="single" w:sz="4" w:space="0" w:color="ADD6EA"/>
              <w:left w:val="nil"/>
              <w:bottom w:val="nil"/>
              <w:right w:val="nil"/>
            </w:tcBorders>
            <w:shd w:val="clear" w:color="auto" w:fill="auto"/>
            <w:noWrap/>
            <w:vAlign w:val="center"/>
            <w:hideMark/>
          </w:tcPr>
          <w:p w14:paraId="4C9CCB8C"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41</w:t>
            </w:r>
          </w:p>
        </w:tc>
        <w:tc>
          <w:tcPr>
            <w:tcW w:w="700" w:type="dxa"/>
            <w:tcBorders>
              <w:top w:val="single" w:sz="4" w:space="0" w:color="ADD6EA"/>
              <w:left w:val="nil"/>
              <w:bottom w:val="nil"/>
              <w:right w:val="nil"/>
            </w:tcBorders>
            <w:shd w:val="clear" w:color="auto" w:fill="auto"/>
            <w:noWrap/>
            <w:vAlign w:val="center"/>
            <w:hideMark/>
          </w:tcPr>
          <w:p w14:paraId="36399739"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14</w:t>
            </w:r>
          </w:p>
        </w:tc>
        <w:tc>
          <w:tcPr>
            <w:tcW w:w="700" w:type="dxa"/>
            <w:tcBorders>
              <w:top w:val="single" w:sz="4" w:space="0" w:color="ADD6EA"/>
              <w:left w:val="nil"/>
              <w:bottom w:val="nil"/>
              <w:right w:val="nil"/>
            </w:tcBorders>
            <w:shd w:val="clear" w:color="auto" w:fill="auto"/>
            <w:noWrap/>
            <w:vAlign w:val="center"/>
            <w:hideMark/>
          </w:tcPr>
          <w:p w14:paraId="5A6B259F"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center"/>
            <w:hideMark/>
          </w:tcPr>
          <w:p w14:paraId="5B8F1C47"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77</w:t>
            </w:r>
          </w:p>
        </w:tc>
      </w:tr>
      <w:tr w:rsidR="00D208E4" w:rsidRPr="00D208E4" w14:paraId="4E1DA725" w14:textId="77777777" w:rsidTr="00D208E4">
        <w:trPr>
          <w:trHeight w:val="315"/>
        </w:trPr>
        <w:tc>
          <w:tcPr>
            <w:tcW w:w="2720" w:type="dxa"/>
            <w:tcBorders>
              <w:top w:val="single" w:sz="4" w:space="0" w:color="ADD6EA"/>
              <w:left w:val="nil"/>
              <w:bottom w:val="nil"/>
              <w:right w:val="nil"/>
            </w:tcBorders>
            <w:shd w:val="clear" w:color="auto" w:fill="auto"/>
            <w:vAlign w:val="center"/>
            <w:hideMark/>
          </w:tcPr>
          <w:p w14:paraId="5F2A732D" w14:textId="77777777" w:rsidR="00D208E4" w:rsidRPr="00D208E4" w:rsidRDefault="00D208E4" w:rsidP="00D208E4">
            <w:pPr>
              <w:tabs>
                <w:tab w:val="clear" w:pos="567"/>
              </w:tabs>
              <w:spacing w:before="0" w:line="240" w:lineRule="auto"/>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Revenue raising capacity</w:t>
            </w:r>
          </w:p>
        </w:tc>
        <w:tc>
          <w:tcPr>
            <w:tcW w:w="700" w:type="dxa"/>
            <w:tcBorders>
              <w:top w:val="single" w:sz="4" w:space="0" w:color="ADD6EA"/>
              <w:left w:val="nil"/>
              <w:bottom w:val="nil"/>
              <w:right w:val="nil"/>
            </w:tcBorders>
            <w:shd w:val="clear" w:color="auto" w:fill="auto"/>
            <w:vAlign w:val="center"/>
            <w:hideMark/>
          </w:tcPr>
          <w:p w14:paraId="7A916E52"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-1,357</w:t>
            </w:r>
          </w:p>
        </w:tc>
        <w:tc>
          <w:tcPr>
            <w:tcW w:w="700" w:type="dxa"/>
            <w:tcBorders>
              <w:top w:val="single" w:sz="4" w:space="0" w:color="ADD6EA"/>
              <w:left w:val="nil"/>
              <w:bottom w:val="nil"/>
              <w:right w:val="nil"/>
            </w:tcBorders>
            <w:shd w:val="clear" w:color="auto" w:fill="auto"/>
            <w:vAlign w:val="center"/>
            <w:hideMark/>
          </w:tcPr>
          <w:p w14:paraId="38422BFC"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1,726</w:t>
            </w:r>
          </w:p>
        </w:tc>
        <w:tc>
          <w:tcPr>
            <w:tcW w:w="700" w:type="dxa"/>
            <w:tcBorders>
              <w:top w:val="single" w:sz="4" w:space="0" w:color="ADD6EA"/>
              <w:left w:val="nil"/>
              <w:bottom w:val="nil"/>
              <w:right w:val="nil"/>
            </w:tcBorders>
            <w:shd w:val="clear" w:color="auto" w:fill="auto"/>
            <w:vAlign w:val="center"/>
            <w:hideMark/>
          </w:tcPr>
          <w:p w14:paraId="5D9E4779"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-1,663</w:t>
            </w:r>
          </w:p>
        </w:tc>
        <w:tc>
          <w:tcPr>
            <w:tcW w:w="700" w:type="dxa"/>
            <w:tcBorders>
              <w:top w:val="single" w:sz="4" w:space="0" w:color="ADD6EA"/>
              <w:left w:val="nil"/>
              <w:bottom w:val="nil"/>
              <w:right w:val="nil"/>
            </w:tcBorders>
            <w:shd w:val="clear" w:color="auto" w:fill="auto"/>
            <w:vAlign w:val="center"/>
            <w:hideMark/>
          </w:tcPr>
          <w:p w14:paraId="1C28E080"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506</w:t>
            </w:r>
          </w:p>
        </w:tc>
        <w:tc>
          <w:tcPr>
            <w:tcW w:w="700" w:type="dxa"/>
            <w:tcBorders>
              <w:top w:val="single" w:sz="4" w:space="0" w:color="ADD6EA"/>
              <w:left w:val="nil"/>
              <w:bottom w:val="nil"/>
              <w:right w:val="nil"/>
            </w:tcBorders>
            <w:shd w:val="clear" w:color="auto" w:fill="auto"/>
            <w:vAlign w:val="center"/>
            <w:hideMark/>
          </w:tcPr>
          <w:p w14:paraId="6739456C"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510</w:t>
            </w:r>
          </w:p>
        </w:tc>
        <w:tc>
          <w:tcPr>
            <w:tcW w:w="700" w:type="dxa"/>
            <w:tcBorders>
              <w:top w:val="single" w:sz="4" w:space="0" w:color="ADD6EA"/>
              <w:left w:val="nil"/>
              <w:bottom w:val="nil"/>
              <w:right w:val="nil"/>
            </w:tcBorders>
            <w:shd w:val="clear" w:color="auto" w:fill="auto"/>
            <w:vAlign w:val="center"/>
            <w:hideMark/>
          </w:tcPr>
          <w:p w14:paraId="1B291F8C"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144</w:t>
            </w:r>
          </w:p>
        </w:tc>
        <w:tc>
          <w:tcPr>
            <w:tcW w:w="700" w:type="dxa"/>
            <w:tcBorders>
              <w:top w:val="single" w:sz="4" w:space="0" w:color="ADD6EA"/>
              <w:left w:val="nil"/>
              <w:bottom w:val="nil"/>
              <w:right w:val="nil"/>
            </w:tcBorders>
            <w:shd w:val="clear" w:color="auto" w:fill="auto"/>
            <w:vAlign w:val="center"/>
            <w:hideMark/>
          </w:tcPr>
          <w:p w14:paraId="13ABF323"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37</w:t>
            </w:r>
          </w:p>
        </w:tc>
        <w:tc>
          <w:tcPr>
            <w:tcW w:w="700" w:type="dxa"/>
            <w:tcBorders>
              <w:top w:val="single" w:sz="4" w:space="0" w:color="ADD6EA"/>
              <w:left w:val="nil"/>
              <w:bottom w:val="nil"/>
              <w:right w:val="nil"/>
            </w:tcBorders>
            <w:shd w:val="clear" w:color="auto" w:fill="auto"/>
            <w:vAlign w:val="center"/>
            <w:hideMark/>
          </w:tcPr>
          <w:p w14:paraId="469B3ECF"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97</w:t>
            </w:r>
          </w:p>
        </w:tc>
        <w:tc>
          <w:tcPr>
            <w:tcW w:w="700" w:type="dxa"/>
            <w:tcBorders>
              <w:top w:val="single" w:sz="4" w:space="0" w:color="ADD6EA"/>
              <w:left w:val="nil"/>
              <w:bottom w:val="nil"/>
              <w:right w:val="nil"/>
            </w:tcBorders>
            <w:shd w:val="clear" w:color="auto" w:fill="auto"/>
            <w:vAlign w:val="center"/>
            <w:hideMark/>
          </w:tcPr>
          <w:p w14:paraId="4CC574C6"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3,020</w:t>
            </w:r>
          </w:p>
        </w:tc>
      </w:tr>
      <w:tr w:rsidR="00D208E4" w:rsidRPr="00D208E4" w14:paraId="0C3A0B8C" w14:textId="77777777" w:rsidTr="00D208E4">
        <w:trPr>
          <w:trHeight w:val="315"/>
        </w:trPr>
        <w:tc>
          <w:tcPr>
            <w:tcW w:w="2720" w:type="dxa"/>
            <w:tcBorders>
              <w:top w:val="single" w:sz="4" w:space="0" w:color="ADD6EA"/>
              <w:left w:val="nil"/>
              <w:bottom w:val="nil"/>
              <w:right w:val="nil"/>
            </w:tcBorders>
            <w:shd w:val="clear" w:color="auto" w:fill="auto"/>
            <w:vAlign w:val="center"/>
            <w:hideMark/>
          </w:tcPr>
          <w:p w14:paraId="62A220C3" w14:textId="77777777" w:rsidR="00D208E4" w:rsidRPr="00D208E4" w:rsidRDefault="00D208E4" w:rsidP="00D208E4">
            <w:pPr>
              <w:tabs>
                <w:tab w:val="clear" w:pos="567"/>
              </w:tabs>
              <w:spacing w:before="0" w:line="240" w:lineRule="auto"/>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Commonwealth payments</w:t>
            </w:r>
          </w:p>
        </w:tc>
        <w:tc>
          <w:tcPr>
            <w:tcW w:w="700" w:type="dxa"/>
            <w:tcBorders>
              <w:top w:val="single" w:sz="4" w:space="0" w:color="ADD6EA"/>
              <w:left w:val="nil"/>
              <w:bottom w:val="nil"/>
              <w:right w:val="nil"/>
            </w:tcBorders>
            <w:shd w:val="clear" w:color="auto" w:fill="auto"/>
            <w:noWrap/>
            <w:vAlign w:val="center"/>
            <w:hideMark/>
          </w:tcPr>
          <w:p w14:paraId="00CFCF61"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29</w:t>
            </w:r>
          </w:p>
        </w:tc>
        <w:tc>
          <w:tcPr>
            <w:tcW w:w="700" w:type="dxa"/>
            <w:tcBorders>
              <w:top w:val="single" w:sz="4" w:space="0" w:color="ADD6EA"/>
              <w:left w:val="nil"/>
              <w:bottom w:val="nil"/>
              <w:right w:val="nil"/>
            </w:tcBorders>
            <w:shd w:val="clear" w:color="auto" w:fill="auto"/>
            <w:noWrap/>
            <w:vAlign w:val="center"/>
            <w:hideMark/>
          </w:tcPr>
          <w:p w14:paraId="3F537D5A"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79</w:t>
            </w:r>
          </w:p>
        </w:tc>
        <w:tc>
          <w:tcPr>
            <w:tcW w:w="700" w:type="dxa"/>
            <w:tcBorders>
              <w:top w:val="single" w:sz="4" w:space="0" w:color="ADD6EA"/>
              <w:left w:val="nil"/>
              <w:bottom w:val="nil"/>
              <w:right w:val="nil"/>
            </w:tcBorders>
            <w:shd w:val="clear" w:color="auto" w:fill="auto"/>
            <w:noWrap/>
            <w:vAlign w:val="center"/>
            <w:hideMark/>
          </w:tcPr>
          <w:p w14:paraId="00FCB99F"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94</w:t>
            </w:r>
          </w:p>
        </w:tc>
        <w:tc>
          <w:tcPr>
            <w:tcW w:w="700" w:type="dxa"/>
            <w:tcBorders>
              <w:top w:val="single" w:sz="4" w:space="0" w:color="ADD6EA"/>
              <w:left w:val="nil"/>
              <w:bottom w:val="nil"/>
              <w:right w:val="nil"/>
            </w:tcBorders>
            <w:shd w:val="clear" w:color="auto" w:fill="auto"/>
            <w:noWrap/>
            <w:vAlign w:val="center"/>
            <w:hideMark/>
          </w:tcPr>
          <w:p w14:paraId="7A69B21E"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-151</w:t>
            </w:r>
          </w:p>
        </w:tc>
        <w:tc>
          <w:tcPr>
            <w:tcW w:w="700" w:type="dxa"/>
            <w:tcBorders>
              <w:top w:val="single" w:sz="4" w:space="0" w:color="ADD6EA"/>
              <w:left w:val="nil"/>
              <w:bottom w:val="nil"/>
              <w:right w:val="nil"/>
            </w:tcBorders>
            <w:shd w:val="clear" w:color="auto" w:fill="auto"/>
            <w:noWrap/>
            <w:vAlign w:val="center"/>
            <w:hideMark/>
          </w:tcPr>
          <w:p w14:paraId="43E3334B"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-27</w:t>
            </w:r>
          </w:p>
        </w:tc>
        <w:tc>
          <w:tcPr>
            <w:tcW w:w="700" w:type="dxa"/>
            <w:tcBorders>
              <w:top w:val="single" w:sz="4" w:space="0" w:color="ADD6EA"/>
              <w:left w:val="nil"/>
              <w:bottom w:val="nil"/>
              <w:right w:val="nil"/>
            </w:tcBorders>
            <w:shd w:val="clear" w:color="auto" w:fill="auto"/>
            <w:noWrap/>
            <w:vAlign w:val="center"/>
            <w:hideMark/>
          </w:tcPr>
          <w:p w14:paraId="7E339624"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-36</w:t>
            </w:r>
          </w:p>
        </w:tc>
        <w:tc>
          <w:tcPr>
            <w:tcW w:w="700" w:type="dxa"/>
            <w:tcBorders>
              <w:top w:val="single" w:sz="4" w:space="0" w:color="ADD6EA"/>
              <w:left w:val="nil"/>
              <w:bottom w:val="nil"/>
              <w:right w:val="nil"/>
            </w:tcBorders>
            <w:shd w:val="clear" w:color="auto" w:fill="auto"/>
            <w:noWrap/>
            <w:vAlign w:val="center"/>
            <w:hideMark/>
          </w:tcPr>
          <w:p w14:paraId="1C13D160"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8</w:t>
            </w:r>
          </w:p>
        </w:tc>
        <w:tc>
          <w:tcPr>
            <w:tcW w:w="700" w:type="dxa"/>
            <w:tcBorders>
              <w:top w:val="single" w:sz="4" w:space="0" w:color="ADD6EA"/>
              <w:left w:val="nil"/>
              <w:bottom w:val="nil"/>
              <w:right w:val="nil"/>
            </w:tcBorders>
            <w:shd w:val="clear" w:color="auto" w:fill="auto"/>
            <w:noWrap/>
            <w:vAlign w:val="center"/>
            <w:hideMark/>
          </w:tcPr>
          <w:p w14:paraId="3F5411BD"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5</w:t>
            </w:r>
          </w:p>
        </w:tc>
        <w:tc>
          <w:tcPr>
            <w:tcW w:w="700" w:type="dxa"/>
            <w:tcBorders>
              <w:top w:val="single" w:sz="4" w:space="0" w:color="ADD6EA"/>
              <w:left w:val="nil"/>
              <w:bottom w:val="nil"/>
              <w:right w:val="nil"/>
            </w:tcBorders>
            <w:shd w:val="clear" w:color="auto" w:fill="auto"/>
            <w:noWrap/>
            <w:vAlign w:val="center"/>
            <w:hideMark/>
          </w:tcPr>
          <w:p w14:paraId="17394C8A" w14:textId="77777777" w:rsidR="00D208E4" w:rsidRPr="00D208E4" w:rsidRDefault="00D208E4" w:rsidP="00D208E4">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8E4">
              <w:rPr>
                <w:rFonts w:ascii="Open Sans Light" w:eastAsia="Times New Roman" w:hAnsi="Open Sans Light" w:cs="Open Sans Light"/>
                <w:color w:val="000000"/>
                <w:sz w:val="16"/>
                <w:szCs w:val="16"/>
                <w:lang w:eastAsia="en-AU"/>
              </w:rPr>
              <w:t>215</w:t>
            </w:r>
          </w:p>
        </w:tc>
      </w:tr>
      <w:tr w:rsidR="00D208E4" w:rsidRPr="00D208E4" w14:paraId="6FE18463" w14:textId="77777777" w:rsidTr="00D208E4">
        <w:trPr>
          <w:trHeight w:val="315"/>
        </w:trPr>
        <w:tc>
          <w:tcPr>
            <w:tcW w:w="2720" w:type="dxa"/>
            <w:tcBorders>
              <w:top w:val="single" w:sz="4" w:space="0" w:color="ADD6EA"/>
              <w:left w:val="nil"/>
              <w:bottom w:val="single" w:sz="4" w:space="0" w:color="ADD6EA"/>
              <w:right w:val="nil"/>
            </w:tcBorders>
            <w:shd w:val="clear" w:color="000000" w:fill="D6E7F0"/>
            <w:vAlign w:val="center"/>
            <w:hideMark/>
          </w:tcPr>
          <w:p w14:paraId="29D9C34A" w14:textId="77777777" w:rsidR="00D208E4" w:rsidRPr="00D208E4" w:rsidRDefault="00D208E4" w:rsidP="00D208E4">
            <w:pPr>
              <w:tabs>
                <w:tab w:val="clear" w:pos="567"/>
              </w:tabs>
              <w:spacing w:before="0" w:line="240" w:lineRule="auto"/>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Total</w:t>
            </w:r>
          </w:p>
        </w:tc>
        <w:tc>
          <w:tcPr>
            <w:tcW w:w="700" w:type="dxa"/>
            <w:tcBorders>
              <w:top w:val="single" w:sz="4" w:space="0" w:color="ADD6EA"/>
              <w:left w:val="nil"/>
              <w:bottom w:val="single" w:sz="4" w:space="0" w:color="ADD6EA"/>
              <w:right w:val="nil"/>
            </w:tcBorders>
            <w:shd w:val="clear" w:color="000000" w:fill="D6E7F0"/>
            <w:noWrap/>
            <w:vAlign w:val="center"/>
            <w:hideMark/>
          </w:tcPr>
          <w:p w14:paraId="2225C806"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-1,022</w:t>
            </w:r>
          </w:p>
        </w:tc>
        <w:tc>
          <w:tcPr>
            <w:tcW w:w="700" w:type="dxa"/>
            <w:tcBorders>
              <w:top w:val="single" w:sz="4" w:space="0" w:color="ADD6EA"/>
              <w:left w:val="nil"/>
              <w:bottom w:val="single" w:sz="4" w:space="0" w:color="ADD6EA"/>
              <w:right w:val="nil"/>
            </w:tcBorders>
            <w:shd w:val="clear" w:color="000000" w:fill="D6E7F0"/>
            <w:noWrap/>
            <w:vAlign w:val="center"/>
            <w:hideMark/>
          </w:tcPr>
          <w:p w14:paraId="1E77555D"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2,228</w:t>
            </w:r>
          </w:p>
        </w:tc>
        <w:tc>
          <w:tcPr>
            <w:tcW w:w="700" w:type="dxa"/>
            <w:tcBorders>
              <w:top w:val="single" w:sz="4" w:space="0" w:color="ADD6EA"/>
              <w:left w:val="nil"/>
              <w:bottom w:val="single" w:sz="4" w:space="0" w:color="ADD6EA"/>
              <w:right w:val="nil"/>
            </w:tcBorders>
            <w:shd w:val="clear" w:color="000000" w:fill="D6E7F0"/>
            <w:noWrap/>
            <w:vAlign w:val="center"/>
            <w:hideMark/>
          </w:tcPr>
          <w:p w14:paraId="631299B0"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-1,586</w:t>
            </w:r>
          </w:p>
        </w:tc>
        <w:tc>
          <w:tcPr>
            <w:tcW w:w="700" w:type="dxa"/>
            <w:tcBorders>
              <w:top w:val="single" w:sz="4" w:space="0" w:color="ADD6EA"/>
              <w:left w:val="nil"/>
              <w:bottom w:val="single" w:sz="4" w:space="0" w:color="ADD6EA"/>
              <w:right w:val="nil"/>
            </w:tcBorders>
            <w:shd w:val="clear" w:color="000000" w:fill="D6E7F0"/>
            <w:noWrap/>
            <w:vAlign w:val="center"/>
            <w:hideMark/>
          </w:tcPr>
          <w:p w14:paraId="5B9EEB06"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215</w:t>
            </w:r>
          </w:p>
        </w:tc>
        <w:tc>
          <w:tcPr>
            <w:tcW w:w="700" w:type="dxa"/>
            <w:tcBorders>
              <w:top w:val="single" w:sz="4" w:space="0" w:color="ADD6EA"/>
              <w:left w:val="nil"/>
              <w:bottom w:val="single" w:sz="4" w:space="0" w:color="ADD6EA"/>
              <w:right w:val="nil"/>
            </w:tcBorders>
            <w:shd w:val="clear" w:color="000000" w:fill="D6E7F0"/>
            <w:noWrap/>
            <w:vAlign w:val="center"/>
            <w:hideMark/>
          </w:tcPr>
          <w:p w14:paraId="7AAB2935"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263</w:t>
            </w:r>
          </w:p>
        </w:tc>
        <w:tc>
          <w:tcPr>
            <w:tcW w:w="700" w:type="dxa"/>
            <w:tcBorders>
              <w:top w:val="single" w:sz="4" w:space="0" w:color="ADD6EA"/>
              <w:left w:val="nil"/>
              <w:bottom w:val="single" w:sz="4" w:space="0" w:color="ADD6EA"/>
              <w:right w:val="nil"/>
            </w:tcBorders>
            <w:shd w:val="clear" w:color="000000" w:fill="D6E7F0"/>
            <w:noWrap/>
            <w:vAlign w:val="center"/>
            <w:hideMark/>
          </w:tcPr>
          <w:p w14:paraId="1358C2E7"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-27</w:t>
            </w:r>
          </w:p>
        </w:tc>
        <w:tc>
          <w:tcPr>
            <w:tcW w:w="700" w:type="dxa"/>
            <w:tcBorders>
              <w:top w:val="single" w:sz="4" w:space="0" w:color="ADD6EA"/>
              <w:left w:val="nil"/>
              <w:bottom w:val="single" w:sz="4" w:space="0" w:color="ADD6EA"/>
              <w:right w:val="nil"/>
            </w:tcBorders>
            <w:shd w:val="clear" w:color="000000" w:fill="D6E7F0"/>
            <w:noWrap/>
            <w:vAlign w:val="center"/>
            <w:hideMark/>
          </w:tcPr>
          <w:p w14:paraId="4F39DA14"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-40</w:t>
            </w:r>
          </w:p>
        </w:tc>
        <w:tc>
          <w:tcPr>
            <w:tcW w:w="700" w:type="dxa"/>
            <w:tcBorders>
              <w:top w:val="single" w:sz="4" w:space="0" w:color="ADD6EA"/>
              <w:left w:val="nil"/>
              <w:bottom w:val="single" w:sz="4" w:space="0" w:color="ADD6EA"/>
              <w:right w:val="nil"/>
            </w:tcBorders>
            <w:shd w:val="clear" w:color="000000" w:fill="D6E7F0"/>
            <w:noWrap/>
            <w:vAlign w:val="center"/>
            <w:hideMark/>
          </w:tcPr>
          <w:p w14:paraId="79701A03"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-30</w:t>
            </w:r>
          </w:p>
        </w:tc>
        <w:tc>
          <w:tcPr>
            <w:tcW w:w="700" w:type="dxa"/>
            <w:tcBorders>
              <w:top w:val="single" w:sz="4" w:space="0" w:color="ADD6EA"/>
              <w:left w:val="nil"/>
              <w:bottom w:val="single" w:sz="4" w:space="0" w:color="ADD6EA"/>
              <w:right w:val="nil"/>
            </w:tcBorders>
            <w:shd w:val="clear" w:color="000000" w:fill="D6E7F0"/>
            <w:noWrap/>
            <w:vAlign w:val="center"/>
            <w:hideMark/>
          </w:tcPr>
          <w:p w14:paraId="5CA2E2BE" w14:textId="77777777" w:rsidR="00D208E4" w:rsidRPr="00D208E4" w:rsidRDefault="00D208E4" w:rsidP="00D208E4">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8E4">
              <w:rPr>
                <w:rFonts w:ascii="Open Sans Semibold" w:eastAsia="Times New Roman" w:hAnsi="Open Sans Semibold" w:cs="Open Sans Semibold"/>
                <w:color w:val="000000"/>
                <w:sz w:val="16"/>
                <w:szCs w:val="16"/>
                <w:lang w:eastAsia="en-AU"/>
              </w:rPr>
              <w:t>2,706</w:t>
            </w:r>
          </w:p>
        </w:tc>
      </w:tr>
    </w:tbl>
    <w:p w14:paraId="3020F2AD" w14:textId="77777777" w:rsidR="00E3354C" w:rsidRPr="0031054C" w:rsidRDefault="00E3354C" w:rsidP="007F0FA9">
      <w:pPr>
        <w:pStyle w:val="CGCTablenote"/>
        <w:rPr>
          <w:highlight w:val="green"/>
        </w:rPr>
      </w:pPr>
      <w:r w:rsidRPr="0031054C">
        <w:t>Source: Commission calculation.</w:t>
      </w:r>
    </w:p>
    <w:p w14:paraId="7B0AB661" w14:textId="786DBD10" w:rsidR="00E3354C" w:rsidRPr="0031054C" w:rsidRDefault="00E3354C" w:rsidP="007F0FA9">
      <w:pPr>
        <w:pStyle w:val="CGCTableHead"/>
        <w:ind w:left="1440" w:hanging="1440"/>
      </w:pPr>
      <w:bookmarkStart w:id="220" w:name="Table_2_7"/>
      <w:r w:rsidRPr="0031054C">
        <w:t>Table 2-7</w:t>
      </w:r>
      <w:bookmarkEnd w:id="220"/>
      <w:r w:rsidRPr="0031054C">
        <w:tab/>
        <w:t>Change to assessed GST needs due to changes in state circumstances, 2023</w:t>
      </w:r>
      <w:r w:rsidR="00AC1E12">
        <w:t>–</w:t>
      </w:r>
      <w:r w:rsidR="00AC1E12">
        <w:rPr>
          <w:rFonts w:ascii="Times New Roman" w:hAnsi="Times New Roman" w:cs="Times New Roman" w:hint="cs"/>
          <w:rtl/>
        </w:rPr>
        <w:t>‍</w:t>
      </w:r>
      <w:r w:rsidRPr="0031054C">
        <w:t>24 to 2024</w:t>
      </w:r>
      <w:r w:rsidR="00AC1E12">
        <w:t>–</w:t>
      </w:r>
      <w:proofErr w:type="gramStart"/>
      <w:r w:rsidRPr="0031054C">
        <w:t>25</w:t>
      </w:r>
      <w:proofErr w:type="gramEnd"/>
    </w:p>
    <w:tbl>
      <w:tblPr>
        <w:tblW w:w="9040" w:type="dxa"/>
        <w:tblLook w:val="04A0" w:firstRow="1" w:lastRow="0" w:firstColumn="1" w:lastColumn="0" w:noHBand="0" w:noVBand="1"/>
      </w:tblPr>
      <w:tblGrid>
        <w:gridCol w:w="2720"/>
        <w:gridCol w:w="700"/>
        <w:gridCol w:w="700"/>
        <w:gridCol w:w="700"/>
        <w:gridCol w:w="700"/>
        <w:gridCol w:w="700"/>
        <w:gridCol w:w="700"/>
        <w:gridCol w:w="700"/>
        <w:gridCol w:w="700"/>
        <w:gridCol w:w="720"/>
      </w:tblGrid>
      <w:tr w:rsidR="00D20466" w:rsidRPr="00D20466" w14:paraId="72F3478A" w14:textId="77777777" w:rsidTr="00D20466">
        <w:trPr>
          <w:trHeight w:val="555"/>
        </w:trPr>
        <w:tc>
          <w:tcPr>
            <w:tcW w:w="2720" w:type="dxa"/>
            <w:tcBorders>
              <w:top w:val="nil"/>
              <w:left w:val="nil"/>
              <w:bottom w:val="nil"/>
              <w:right w:val="nil"/>
            </w:tcBorders>
            <w:shd w:val="clear" w:color="000000" w:fill="006991"/>
            <w:vAlign w:val="center"/>
            <w:hideMark/>
          </w:tcPr>
          <w:p w14:paraId="0A941DE8" w14:textId="77777777" w:rsidR="00D20466" w:rsidRPr="00D20466" w:rsidRDefault="00D20466" w:rsidP="00D20466">
            <w:pPr>
              <w:tabs>
                <w:tab w:val="clear" w:pos="567"/>
              </w:tabs>
              <w:spacing w:before="0" w:line="240" w:lineRule="auto"/>
              <w:rPr>
                <w:rFonts w:ascii="Open Sans Semibold" w:eastAsia="Times New Roman" w:hAnsi="Open Sans Semibold" w:cs="Open Sans Semibold"/>
                <w:color w:val="FFFFFF"/>
                <w:sz w:val="16"/>
                <w:szCs w:val="16"/>
                <w:lang w:eastAsia="en-AU"/>
              </w:rPr>
            </w:pPr>
            <w:r w:rsidRPr="00D20466">
              <w:rPr>
                <w:rFonts w:ascii="Open Sans Semibold" w:eastAsia="Times New Roman" w:hAnsi="Open Sans Semibold" w:cs="Open Sans Semibold"/>
                <w:color w:val="FFFFFF"/>
                <w:sz w:val="16"/>
                <w:szCs w:val="16"/>
                <w:lang w:eastAsia="en-AU"/>
              </w:rPr>
              <w:t> </w:t>
            </w:r>
          </w:p>
        </w:tc>
        <w:tc>
          <w:tcPr>
            <w:tcW w:w="700" w:type="dxa"/>
            <w:tcBorders>
              <w:top w:val="nil"/>
              <w:left w:val="nil"/>
              <w:bottom w:val="nil"/>
              <w:right w:val="nil"/>
            </w:tcBorders>
            <w:shd w:val="clear" w:color="000000" w:fill="006991"/>
            <w:vAlign w:val="center"/>
            <w:hideMark/>
          </w:tcPr>
          <w:p w14:paraId="6F4BFCB5"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466">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512AAB22"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466">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6CF40919"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466">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690DE470"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466">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55018D4E"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466">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3796C367"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466">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2DD306A2"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466">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13B241E2"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466">
              <w:rPr>
                <w:rFonts w:ascii="Open Sans Semibold" w:eastAsia="Times New Roman" w:hAnsi="Open Sans Semibold" w:cs="Open Sans Semibold"/>
                <w:color w:val="FFFFFF"/>
                <w:sz w:val="16"/>
                <w:szCs w:val="16"/>
                <w:lang w:eastAsia="en-AU"/>
              </w:rPr>
              <w:t>NT</w:t>
            </w:r>
          </w:p>
        </w:tc>
        <w:tc>
          <w:tcPr>
            <w:tcW w:w="720" w:type="dxa"/>
            <w:tcBorders>
              <w:top w:val="nil"/>
              <w:left w:val="nil"/>
              <w:bottom w:val="nil"/>
              <w:right w:val="nil"/>
            </w:tcBorders>
            <w:shd w:val="clear" w:color="000000" w:fill="006991"/>
            <w:vAlign w:val="center"/>
            <w:hideMark/>
          </w:tcPr>
          <w:p w14:paraId="38962417"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20466">
              <w:rPr>
                <w:rFonts w:ascii="Open Sans Semibold" w:eastAsia="Times New Roman" w:hAnsi="Open Sans Semibold" w:cs="Open Sans Semibold"/>
                <w:color w:val="FFFFFF"/>
                <w:sz w:val="16"/>
                <w:szCs w:val="16"/>
                <w:lang w:eastAsia="en-AU"/>
              </w:rPr>
              <w:t>Total Effect</w:t>
            </w:r>
          </w:p>
        </w:tc>
      </w:tr>
      <w:tr w:rsidR="00D20466" w:rsidRPr="00D20466" w14:paraId="3646F035" w14:textId="77777777" w:rsidTr="00D20466">
        <w:trPr>
          <w:trHeight w:val="259"/>
        </w:trPr>
        <w:tc>
          <w:tcPr>
            <w:tcW w:w="2720" w:type="dxa"/>
            <w:tcBorders>
              <w:top w:val="single" w:sz="4" w:space="0" w:color="ADD6EA"/>
              <w:left w:val="nil"/>
              <w:bottom w:val="nil"/>
              <w:right w:val="nil"/>
            </w:tcBorders>
            <w:shd w:val="clear" w:color="000000" w:fill="B6D5E4"/>
            <w:vAlign w:val="center"/>
            <w:hideMark/>
          </w:tcPr>
          <w:p w14:paraId="7A0C7A62" w14:textId="77777777" w:rsidR="00D20466" w:rsidRPr="00D20466" w:rsidRDefault="00D20466" w:rsidP="00D20466">
            <w:pPr>
              <w:tabs>
                <w:tab w:val="clear" w:pos="567"/>
              </w:tabs>
              <w:spacing w:before="0" w:line="240" w:lineRule="auto"/>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 </w:t>
            </w:r>
          </w:p>
        </w:tc>
        <w:tc>
          <w:tcPr>
            <w:tcW w:w="700" w:type="dxa"/>
            <w:tcBorders>
              <w:top w:val="single" w:sz="4" w:space="0" w:color="ADD6EA"/>
              <w:left w:val="nil"/>
              <w:bottom w:val="nil"/>
              <w:right w:val="nil"/>
            </w:tcBorders>
            <w:shd w:val="clear" w:color="000000" w:fill="B6D5E4"/>
            <w:noWrap/>
            <w:vAlign w:val="center"/>
            <w:hideMark/>
          </w:tcPr>
          <w:p w14:paraId="4BBFE82E"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1C3AF9D1"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1D8E76E2"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7D73792A"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51FC41E2"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55785E3B"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05C3E331"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46EF758A"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$m</w:t>
            </w:r>
          </w:p>
        </w:tc>
        <w:tc>
          <w:tcPr>
            <w:tcW w:w="720" w:type="dxa"/>
            <w:tcBorders>
              <w:top w:val="single" w:sz="4" w:space="0" w:color="ADD6EA"/>
              <w:left w:val="nil"/>
              <w:bottom w:val="nil"/>
              <w:right w:val="nil"/>
            </w:tcBorders>
            <w:shd w:val="clear" w:color="000000" w:fill="B6D5E4"/>
            <w:noWrap/>
            <w:vAlign w:val="center"/>
            <w:hideMark/>
          </w:tcPr>
          <w:p w14:paraId="6B7D0573"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$m</w:t>
            </w:r>
          </w:p>
        </w:tc>
      </w:tr>
      <w:tr w:rsidR="00D20466" w:rsidRPr="00D20466" w14:paraId="104603CE" w14:textId="77777777" w:rsidTr="00D20466">
        <w:trPr>
          <w:trHeight w:val="315"/>
        </w:trPr>
        <w:tc>
          <w:tcPr>
            <w:tcW w:w="2720" w:type="dxa"/>
            <w:tcBorders>
              <w:top w:val="single" w:sz="4" w:space="0" w:color="ADD6EA"/>
              <w:left w:val="nil"/>
              <w:bottom w:val="nil"/>
              <w:right w:val="nil"/>
            </w:tcBorders>
            <w:shd w:val="clear" w:color="auto" w:fill="auto"/>
            <w:vAlign w:val="center"/>
            <w:hideMark/>
          </w:tcPr>
          <w:p w14:paraId="5A79FC97" w14:textId="77777777" w:rsidR="00D20466" w:rsidRPr="00D20466" w:rsidRDefault="00D20466" w:rsidP="00D20466">
            <w:pPr>
              <w:tabs>
                <w:tab w:val="clear" w:pos="567"/>
              </w:tabs>
              <w:spacing w:before="0" w:line="240" w:lineRule="auto"/>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Mining production</w:t>
            </w:r>
          </w:p>
        </w:tc>
        <w:tc>
          <w:tcPr>
            <w:tcW w:w="700" w:type="dxa"/>
            <w:tcBorders>
              <w:top w:val="single" w:sz="4" w:space="0" w:color="ADD6EA"/>
              <w:left w:val="nil"/>
              <w:bottom w:val="nil"/>
              <w:right w:val="nil"/>
            </w:tcBorders>
            <w:shd w:val="clear" w:color="auto" w:fill="auto"/>
            <w:noWrap/>
            <w:vAlign w:val="center"/>
            <w:hideMark/>
          </w:tcPr>
          <w:p w14:paraId="14DC16CF"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-872</w:t>
            </w:r>
          </w:p>
        </w:tc>
        <w:tc>
          <w:tcPr>
            <w:tcW w:w="700" w:type="dxa"/>
            <w:tcBorders>
              <w:top w:val="single" w:sz="4" w:space="0" w:color="ADD6EA"/>
              <w:left w:val="nil"/>
              <w:bottom w:val="nil"/>
              <w:right w:val="nil"/>
            </w:tcBorders>
            <w:shd w:val="clear" w:color="auto" w:fill="auto"/>
            <w:noWrap/>
            <w:vAlign w:val="center"/>
            <w:hideMark/>
          </w:tcPr>
          <w:p w14:paraId="5A63B088"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1,307</w:t>
            </w:r>
          </w:p>
        </w:tc>
        <w:tc>
          <w:tcPr>
            <w:tcW w:w="700" w:type="dxa"/>
            <w:tcBorders>
              <w:top w:val="single" w:sz="4" w:space="0" w:color="ADD6EA"/>
              <w:left w:val="nil"/>
              <w:bottom w:val="nil"/>
              <w:right w:val="nil"/>
            </w:tcBorders>
            <w:shd w:val="clear" w:color="auto" w:fill="auto"/>
            <w:noWrap/>
            <w:vAlign w:val="center"/>
            <w:hideMark/>
          </w:tcPr>
          <w:p w14:paraId="3D782720"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-1,734</w:t>
            </w:r>
          </w:p>
        </w:tc>
        <w:tc>
          <w:tcPr>
            <w:tcW w:w="700" w:type="dxa"/>
            <w:tcBorders>
              <w:top w:val="single" w:sz="4" w:space="0" w:color="ADD6EA"/>
              <w:left w:val="nil"/>
              <w:bottom w:val="nil"/>
              <w:right w:val="nil"/>
            </w:tcBorders>
            <w:shd w:val="clear" w:color="auto" w:fill="auto"/>
            <w:noWrap/>
            <w:vAlign w:val="center"/>
            <w:hideMark/>
          </w:tcPr>
          <w:p w14:paraId="4581C8AC"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608</w:t>
            </w:r>
          </w:p>
        </w:tc>
        <w:tc>
          <w:tcPr>
            <w:tcW w:w="700" w:type="dxa"/>
            <w:tcBorders>
              <w:top w:val="single" w:sz="4" w:space="0" w:color="ADD6EA"/>
              <w:left w:val="nil"/>
              <w:bottom w:val="nil"/>
              <w:right w:val="nil"/>
            </w:tcBorders>
            <w:shd w:val="clear" w:color="auto" w:fill="auto"/>
            <w:noWrap/>
            <w:vAlign w:val="center"/>
            <w:hideMark/>
          </w:tcPr>
          <w:p w14:paraId="1EFC445B"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388</w:t>
            </w:r>
          </w:p>
        </w:tc>
        <w:tc>
          <w:tcPr>
            <w:tcW w:w="700" w:type="dxa"/>
            <w:tcBorders>
              <w:top w:val="single" w:sz="4" w:space="0" w:color="ADD6EA"/>
              <w:left w:val="nil"/>
              <w:bottom w:val="nil"/>
              <w:right w:val="nil"/>
            </w:tcBorders>
            <w:shd w:val="clear" w:color="auto" w:fill="auto"/>
            <w:noWrap/>
            <w:vAlign w:val="center"/>
            <w:hideMark/>
          </w:tcPr>
          <w:p w14:paraId="4ED710AE"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121</w:t>
            </w:r>
          </w:p>
        </w:tc>
        <w:tc>
          <w:tcPr>
            <w:tcW w:w="700" w:type="dxa"/>
            <w:tcBorders>
              <w:top w:val="single" w:sz="4" w:space="0" w:color="ADD6EA"/>
              <w:left w:val="nil"/>
              <w:bottom w:val="nil"/>
              <w:right w:val="nil"/>
            </w:tcBorders>
            <w:shd w:val="clear" w:color="auto" w:fill="auto"/>
            <w:noWrap/>
            <w:vAlign w:val="center"/>
            <w:hideMark/>
          </w:tcPr>
          <w:p w14:paraId="2BA7B0D7"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89</w:t>
            </w:r>
          </w:p>
        </w:tc>
        <w:tc>
          <w:tcPr>
            <w:tcW w:w="700" w:type="dxa"/>
            <w:tcBorders>
              <w:top w:val="single" w:sz="4" w:space="0" w:color="ADD6EA"/>
              <w:left w:val="nil"/>
              <w:bottom w:val="nil"/>
              <w:right w:val="nil"/>
            </w:tcBorders>
            <w:shd w:val="clear" w:color="auto" w:fill="auto"/>
            <w:noWrap/>
            <w:vAlign w:val="center"/>
            <w:hideMark/>
          </w:tcPr>
          <w:p w14:paraId="5B37E279"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93</w:t>
            </w:r>
          </w:p>
        </w:tc>
        <w:tc>
          <w:tcPr>
            <w:tcW w:w="720" w:type="dxa"/>
            <w:tcBorders>
              <w:top w:val="single" w:sz="4" w:space="0" w:color="ADD6EA"/>
              <w:left w:val="nil"/>
              <w:bottom w:val="nil"/>
              <w:right w:val="nil"/>
            </w:tcBorders>
            <w:shd w:val="clear" w:color="auto" w:fill="auto"/>
            <w:noWrap/>
            <w:vAlign w:val="center"/>
            <w:hideMark/>
          </w:tcPr>
          <w:p w14:paraId="09F828E8"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2,606</w:t>
            </w:r>
          </w:p>
        </w:tc>
      </w:tr>
      <w:tr w:rsidR="00D20466" w:rsidRPr="00D20466" w14:paraId="5357A520" w14:textId="77777777" w:rsidTr="00D20466">
        <w:trPr>
          <w:trHeight w:val="315"/>
        </w:trPr>
        <w:tc>
          <w:tcPr>
            <w:tcW w:w="2720" w:type="dxa"/>
            <w:tcBorders>
              <w:top w:val="single" w:sz="4" w:space="0" w:color="ADD6EA"/>
              <w:left w:val="nil"/>
              <w:bottom w:val="nil"/>
              <w:right w:val="nil"/>
            </w:tcBorders>
            <w:shd w:val="clear" w:color="auto" w:fill="auto"/>
            <w:vAlign w:val="center"/>
            <w:hideMark/>
          </w:tcPr>
          <w:p w14:paraId="690CC02A" w14:textId="77777777" w:rsidR="00D20466" w:rsidRPr="00D20466" w:rsidRDefault="00D20466" w:rsidP="00D20466">
            <w:pPr>
              <w:tabs>
                <w:tab w:val="clear" w:pos="567"/>
              </w:tabs>
              <w:spacing w:before="0" w:line="240" w:lineRule="auto"/>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Capital improvements</w:t>
            </w:r>
          </w:p>
        </w:tc>
        <w:tc>
          <w:tcPr>
            <w:tcW w:w="700" w:type="dxa"/>
            <w:tcBorders>
              <w:top w:val="single" w:sz="4" w:space="0" w:color="ADD6EA"/>
              <w:left w:val="nil"/>
              <w:bottom w:val="nil"/>
              <w:right w:val="nil"/>
            </w:tcBorders>
            <w:shd w:val="clear" w:color="auto" w:fill="auto"/>
            <w:noWrap/>
            <w:vAlign w:val="center"/>
            <w:hideMark/>
          </w:tcPr>
          <w:p w14:paraId="2934EC4B"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241</w:t>
            </w:r>
          </w:p>
        </w:tc>
        <w:tc>
          <w:tcPr>
            <w:tcW w:w="700" w:type="dxa"/>
            <w:tcBorders>
              <w:top w:val="single" w:sz="4" w:space="0" w:color="ADD6EA"/>
              <w:left w:val="nil"/>
              <w:bottom w:val="nil"/>
              <w:right w:val="nil"/>
            </w:tcBorders>
            <w:shd w:val="clear" w:color="auto" w:fill="auto"/>
            <w:noWrap/>
            <w:vAlign w:val="center"/>
            <w:hideMark/>
          </w:tcPr>
          <w:p w14:paraId="6E59B556"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256</w:t>
            </w:r>
          </w:p>
        </w:tc>
        <w:tc>
          <w:tcPr>
            <w:tcW w:w="700" w:type="dxa"/>
            <w:tcBorders>
              <w:top w:val="single" w:sz="4" w:space="0" w:color="ADD6EA"/>
              <w:left w:val="nil"/>
              <w:bottom w:val="nil"/>
              <w:right w:val="nil"/>
            </w:tcBorders>
            <w:shd w:val="clear" w:color="auto" w:fill="auto"/>
            <w:noWrap/>
            <w:vAlign w:val="center"/>
            <w:hideMark/>
          </w:tcPr>
          <w:p w14:paraId="028E9803"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-191</w:t>
            </w:r>
          </w:p>
        </w:tc>
        <w:tc>
          <w:tcPr>
            <w:tcW w:w="700" w:type="dxa"/>
            <w:tcBorders>
              <w:top w:val="single" w:sz="4" w:space="0" w:color="ADD6EA"/>
              <w:left w:val="nil"/>
              <w:bottom w:val="nil"/>
              <w:right w:val="nil"/>
            </w:tcBorders>
            <w:shd w:val="clear" w:color="auto" w:fill="auto"/>
            <w:noWrap/>
            <w:vAlign w:val="center"/>
            <w:hideMark/>
          </w:tcPr>
          <w:p w14:paraId="336A50A1"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-95</w:t>
            </w:r>
          </w:p>
        </w:tc>
        <w:tc>
          <w:tcPr>
            <w:tcW w:w="700" w:type="dxa"/>
            <w:tcBorders>
              <w:top w:val="single" w:sz="4" w:space="0" w:color="ADD6EA"/>
              <w:left w:val="nil"/>
              <w:bottom w:val="nil"/>
              <w:right w:val="nil"/>
            </w:tcBorders>
            <w:shd w:val="clear" w:color="auto" w:fill="auto"/>
            <w:noWrap/>
            <w:vAlign w:val="center"/>
            <w:hideMark/>
          </w:tcPr>
          <w:p w14:paraId="10A40A68"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-89</w:t>
            </w:r>
          </w:p>
        </w:tc>
        <w:tc>
          <w:tcPr>
            <w:tcW w:w="700" w:type="dxa"/>
            <w:tcBorders>
              <w:top w:val="single" w:sz="4" w:space="0" w:color="ADD6EA"/>
              <w:left w:val="nil"/>
              <w:bottom w:val="nil"/>
              <w:right w:val="nil"/>
            </w:tcBorders>
            <w:shd w:val="clear" w:color="auto" w:fill="auto"/>
            <w:noWrap/>
            <w:vAlign w:val="center"/>
            <w:hideMark/>
          </w:tcPr>
          <w:p w14:paraId="00300111"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-52</w:t>
            </w:r>
          </w:p>
        </w:tc>
        <w:tc>
          <w:tcPr>
            <w:tcW w:w="700" w:type="dxa"/>
            <w:tcBorders>
              <w:top w:val="single" w:sz="4" w:space="0" w:color="ADD6EA"/>
              <w:left w:val="nil"/>
              <w:bottom w:val="nil"/>
              <w:right w:val="nil"/>
            </w:tcBorders>
            <w:shd w:val="clear" w:color="auto" w:fill="auto"/>
            <w:noWrap/>
            <w:vAlign w:val="center"/>
            <w:hideMark/>
          </w:tcPr>
          <w:p w14:paraId="4CA58F04"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-6</w:t>
            </w:r>
          </w:p>
        </w:tc>
        <w:tc>
          <w:tcPr>
            <w:tcW w:w="700" w:type="dxa"/>
            <w:tcBorders>
              <w:top w:val="single" w:sz="4" w:space="0" w:color="ADD6EA"/>
              <w:left w:val="nil"/>
              <w:bottom w:val="nil"/>
              <w:right w:val="nil"/>
            </w:tcBorders>
            <w:shd w:val="clear" w:color="auto" w:fill="auto"/>
            <w:noWrap/>
            <w:vAlign w:val="center"/>
            <w:hideMark/>
          </w:tcPr>
          <w:p w14:paraId="066C5BE2"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-64</w:t>
            </w:r>
          </w:p>
        </w:tc>
        <w:tc>
          <w:tcPr>
            <w:tcW w:w="720" w:type="dxa"/>
            <w:tcBorders>
              <w:top w:val="single" w:sz="4" w:space="0" w:color="ADD6EA"/>
              <w:left w:val="nil"/>
              <w:bottom w:val="nil"/>
              <w:right w:val="nil"/>
            </w:tcBorders>
            <w:shd w:val="clear" w:color="auto" w:fill="auto"/>
            <w:noWrap/>
            <w:vAlign w:val="center"/>
            <w:hideMark/>
          </w:tcPr>
          <w:p w14:paraId="060D9D49"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497</w:t>
            </w:r>
          </w:p>
        </w:tc>
      </w:tr>
      <w:tr w:rsidR="00D20466" w:rsidRPr="00D20466" w14:paraId="5E9B36E4" w14:textId="77777777" w:rsidTr="00D20466">
        <w:trPr>
          <w:trHeight w:val="315"/>
        </w:trPr>
        <w:tc>
          <w:tcPr>
            <w:tcW w:w="2720" w:type="dxa"/>
            <w:tcBorders>
              <w:top w:val="single" w:sz="4" w:space="0" w:color="ADD6EA"/>
              <w:left w:val="nil"/>
              <w:bottom w:val="nil"/>
              <w:right w:val="nil"/>
            </w:tcBorders>
            <w:shd w:val="clear" w:color="auto" w:fill="auto"/>
            <w:vAlign w:val="center"/>
            <w:hideMark/>
          </w:tcPr>
          <w:p w14:paraId="6466B1E3" w14:textId="77777777" w:rsidR="00D20466" w:rsidRPr="00D20466" w:rsidRDefault="00D20466" w:rsidP="00D20466">
            <w:pPr>
              <w:tabs>
                <w:tab w:val="clear" w:pos="567"/>
              </w:tabs>
              <w:spacing w:before="0" w:line="240" w:lineRule="auto"/>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Taxable land values</w:t>
            </w:r>
          </w:p>
        </w:tc>
        <w:tc>
          <w:tcPr>
            <w:tcW w:w="700" w:type="dxa"/>
            <w:tcBorders>
              <w:top w:val="single" w:sz="4" w:space="0" w:color="ADD6EA"/>
              <w:left w:val="nil"/>
              <w:bottom w:val="nil"/>
              <w:right w:val="nil"/>
            </w:tcBorders>
            <w:shd w:val="clear" w:color="auto" w:fill="auto"/>
            <w:noWrap/>
            <w:vAlign w:val="center"/>
            <w:hideMark/>
          </w:tcPr>
          <w:p w14:paraId="52C33591"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-409</w:t>
            </w:r>
          </w:p>
        </w:tc>
        <w:tc>
          <w:tcPr>
            <w:tcW w:w="700" w:type="dxa"/>
            <w:tcBorders>
              <w:top w:val="single" w:sz="4" w:space="0" w:color="ADD6EA"/>
              <w:left w:val="nil"/>
              <w:bottom w:val="nil"/>
              <w:right w:val="nil"/>
            </w:tcBorders>
            <w:shd w:val="clear" w:color="auto" w:fill="auto"/>
            <w:noWrap/>
            <w:vAlign w:val="center"/>
            <w:hideMark/>
          </w:tcPr>
          <w:p w14:paraId="25EAEF4B"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139</w:t>
            </w:r>
          </w:p>
        </w:tc>
        <w:tc>
          <w:tcPr>
            <w:tcW w:w="700" w:type="dxa"/>
            <w:tcBorders>
              <w:top w:val="single" w:sz="4" w:space="0" w:color="ADD6EA"/>
              <w:left w:val="nil"/>
              <w:bottom w:val="nil"/>
              <w:right w:val="nil"/>
            </w:tcBorders>
            <w:shd w:val="clear" w:color="auto" w:fill="auto"/>
            <w:noWrap/>
            <w:vAlign w:val="center"/>
            <w:hideMark/>
          </w:tcPr>
          <w:p w14:paraId="40EACE23"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128</w:t>
            </w:r>
          </w:p>
        </w:tc>
        <w:tc>
          <w:tcPr>
            <w:tcW w:w="700" w:type="dxa"/>
            <w:tcBorders>
              <w:top w:val="single" w:sz="4" w:space="0" w:color="ADD6EA"/>
              <w:left w:val="nil"/>
              <w:bottom w:val="nil"/>
              <w:right w:val="nil"/>
            </w:tcBorders>
            <w:shd w:val="clear" w:color="auto" w:fill="auto"/>
            <w:noWrap/>
            <w:vAlign w:val="center"/>
            <w:hideMark/>
          </w:tcPr>
          <w:p w14:paraId="0AF2EFE8"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138</w:t>
            </w:r>
          </w:p>
        </w:tc>
        <w:tc>
          <w:tcPr>
            <w:tcW w:w="700" w:type="dxa"/>
            <w:tcBorders>
              <w:top w:val="single" w:sz="4" w:space="0" w:color="ADD6EA"/>
              <w:left w:val="nil"/>
              <w:bottom w:val="nil"/>
              <w:right w:val="nil"/>
            </w:tcBorders>
            <w:shd w:val="clear" w:color="auto" w:fill="auto"/>
            <w:noWrap/>
            <w:vAlign w:val="center"/>
            <w:hideMark/>
          </w:tcPr>
          <w:p w14:paraId="24EA4CEF"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6</w:t>
            </w:r>
          </w:p>
        </w:tc>
        <w:tc>
          <w:tcPr>
            <w:tcW w:w="700" w:type="dxa"/>
            <w:tcBorders>
              <w:top w:val="single" w:sz="4" w:space="0" w:color="ADD6EA"/>
              <w:left w:val="nil"/>
              <w:bottom w:val="nil"/>
              <w:right w:val="nil"/>
            </w:tcBorders>
            <w:shd w:val="clear" w:color="auto" w:fill="auto"/>
            <w:noWrap/>
            <w:vAlign w:val="center"/>
            <w:hideMark/>
          </w:tcPr>
          <w:p w14:paraId="4B962266"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-4</w:t>
            </w:r>
          </w:p>
        </w:tc>
        <w:tc>
          <w:tcPr>
            <w:tcW w:w="700" w:type="dxa"/>
            <w:tcBorders>
              <w:top w:val="single" w:sz="4" w:space="0" w:color="ADD6EA"/>
              <w:left w:val="nil"/>
              <w:bottom w:val="nil"/>
              <w:right w:val="nil"/>
            </w:tcBorders>
            <w:shd w:val="clear" w:color="auto" w:fill="auto"/>
            <w:noWrap/>
            <w:vAlign w:val="center"/>
            <w:hideMark/>
          </w:tcPr>
          <w:p w14:paraId="59B27806"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3</w:t>
            </w:r>
          </w:p>
        </w:tc>
        <w:tc>
          <w:tcPr>
            <w:tcW w:w="700" w:type="dxa"/>
            <w:tcBorders>
              <w:top w:val="single" w:sz="4" w:space="0" w:color="ADD6EA"/>
              <w:left w:val="nil"/>
              <w:bottom w:val="nil"/>
              <w:right w:val="nil"/>
            </w:tcBorders>
            <w:shd w:val="clear" w:color="auto" w:fill="auto"/>
            <w:noWrap/>
            <w:vAlign w:val="center"/>
            <w:hideMark/>
          </w:tcPr>
          <w:p w14:paraId="2EB35745"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0</w:t>
            </w:r>
          </w:p>
        </w:tc>
        <w:tc>
          <w:tcPr>
            <w:tcW w:w="720" w:type="dxa"/>
            <w:tcBorders>
              <w:top w:val="single" w:sz="4" w:space="0" w:color="ADD6EA"/>
              <w:left w:val="nil"/>
              <w:bottom w:val="nil"/>
              <w:right w:val="nil"/>
            </w:tcBorders>
            <w:shd w:val="clear" w:color="auto" w:fill="auto"/>
            <w:noWrap/>
            <w:vAlign w:val="center"/>
            <w:hideMark/>
          </w:tcPr>
          <w:p w14:paraId="3127CAC8"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413</w:t>
            </w:r>
          </w:p>
        </w:tc>
      </w:tr>
      <w:tr w:rsidR="00D20466" w:rsidRPr="00D20466" w14:paraId="21CD7AC0" w14:textId="77777777" w:rsidTr="00D20466">
        <w:trPr>
          <w:trHeight w:val="315"/>
        </w:trPr>
        <w:tc>
          <w:tcPr>
            <w:tcW w:w="2720" w:type="dxa"/>
            <w:tcBorders>
              <w:top w:val="single" w:sz="4" w:space="0" w:color="ADD6EA"/>
              <w:left w:val="nil"/>
              <w:bottom w:val="nil"/>
              <w:right w:val="nil"/>
            </w:tcBorders>
            <w:shd w:val="clear" w:color="auto" w:fill="auto"/>
            <w:vAlign w:val="center"/>
            <w:hideMark/>
          </w:tcPr>
          <w:p w14:paraId="0395B9AD" w14:textId="77777777" w:rsidR="00D20466" w:rsidRPr="00D20466" w:rsidRDefault="00D20466" w:rsidP="00D20466">
            <w:pPr>
              <w:tabs>
                <w:tab w:val="clear" w:pos="567"/>
              </w:tabs>
              <w:spacing w:before="0" w:line="240" w:lineRule="auto"/>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Property sales</w:t>
            </w:r>
          </w:p>
        </w:tc>
        <w:tc>
          <w:tcPr>
            <w:tcW w:w="700" w:type="dxa"/>
            <w:tcBorders>
              <w:top w:val="single" w:sz="4" w:space="0" w:color="ADD6EA"/>
              <w:left w:val="nil"/>
              <w:bottom w:val="nil"/>
              <w:right w:val="nil"/>
            </w:tcBorders>
            <w:shd w:val="clear" w:color="auto" w:fill="auto"/>
            <w:vAlign w:val="center"/>
            <w:hideMark/>
          </w:tcPr>
          <w:p w14:paraId="2200C418"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3</w:t>
            </w:r>
          </w:p>
        </w:tc>
        <w:tc>
          <w:tcPr>
            <w:tcW w:w="700" w:type="dxa"/>
            <w:tcBorders>
              <w:top w:val="single" w:sz="4" w:space="0" w:color="ADD6EA"/>
              <w:left w:val="nil"/>
              <w:bottom w:val="nil"/>
              <w:right w:val="nil"/>
            </w:tcBorders>
            <w:shd w:val="clear" w:color="auto" w:fill="auto"/>
            <w:vAlign w:val="center"/>
            <w:hideMark/>
          </w:tcPr>
          <w:p w14:paraId="126F8092"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227</w:t>
            </w:r>
          </w:p>
        </w:tc>
        <w:tc>
          <w:tcPr>
            <w:tcW w:w="700" w:type="dxa"/>
            <w:tcBorders>
              <w:top w:val="single" w:sz="4" w:space="0" w:color="ADD6EA"/>
              <w:left w:val="nil"/>
              <w:bottom w:val="nil"/>
              <w:right w:val="nil"/>
            </w:tcBorders>
            <w:shd w:val="clear" w:color="auto" w:fill="auto"/>
            <w:vAlign w:val="center"/>
            <w:hideMark/>
          </w:tcPr>
          <w:p w14:paraId="5AA42F30"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-62</w:t>
            </w:r>
          </w:p>
        </w:tc>
        <w:tc>
          <w:tcPr>
            <w:tcW w:w="700" w:type="dxa"/>
            <w:tcBorders>
              <w:top w:val="single" w:sz="4" w:space="0" w:color="ADD6EA"/>
              <w:left w:val="nil"/>
              <w:bottom w:val="nil"/>
              <w:right w:val="nil"/>
            </w:tcBorders>
            <w:shd w:val="clear" w:color="auto" w:fill="auto"/>
            <w:vAlign w:val="center"/>
            <w:hideMark/>
          </w:tcPr>
          <w:p w14:paraId="67B32F95"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-194</w:t>
            </w:r>
          </w:p>
        </w:tc>
        <w:tc>
          <w:tcPr>
            <w:tcW w:w="700" w:type="dxa"/>
            <w:tcBorders>
              <w:top w:val="single" w:sz="4" w:space="0" w:color="ADD6EA"/>
              <w:left w:val="nil"/>
              <w:bottom w:val="nil"/>
              <w:right w:val="nil"/>
            </w:tcBorders>
            <w:shd w:val="clear" w:color="auto" w:fill="auto"/>
            <w:vAlign w:val="center"/>
            <w:hideMark/>
          </w:tcPr>
          <w:p w14:paraId="60355D97"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32</w:t>
            </w:r>
          </w:p>
        </w:tc>
        <w:tc>
          <w:tcPr>
            <w:tcW w:w="700" w:type="dxa"/>
            <w:tcBorders>
              <w:top w:val="single" w:sz="4" w:space="0" w:color="ADD6EA"/>
              <w:left w:val="nil"/>
              <w:bottom w:val="nil"/>
              <w:right w:val="nil"/>
            </w:tcBorders>
            <w:shd w:val="clear" w:color="auto" w:fill="auto"/>
            <w:vAlign w:val="center"/>
            <w:hideMark/>
          </w:tcPr>
          <w:p w14:paraId="7A544A5C"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31</w:t>
            </w:r>
          </w:p>
        </w:tc>
        <w:tc>
          <w:tcPr>
            <w:tcW w:w="700" w:type="dxa"/>
            <w:tcBorders>
              <w:top w:val="single" w:sz="4" w:space="0" w:color="ADD6EA"/>
              <w:left w:val="nil"/>
              <w:bottom w:val="nil"/>
              <w:right w:val="nil"/>
            </w:tcBorders>
            <w:shd w:val="clear" w:color="auto" w:fill="auto"/>
            <w:vAlign w:val="center"/>
            <w:hideMark/>
          </w:tcPr>
          <w:p w14:paraId="0EB5A9D4"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-40</w:t>
            </w:r>
          </w:p>
        </w:tc>
        <w:tc>
          <w:tcPr>
            <w:tcW w:w="700" w:type="dxa"/>
            <w:tcBorders>
              <w:top w:val="single" w:sz="4" w:space="0" w:color="ADD6EA"/>
              <w:left w:val="nil"/>
              <w:bottom w:val="nil"/>
              <w:right w:val="nil"/>
            </w:tcBorders>
            <w:shd w:val="clear" w:color="auto" w:fill="auto"/>
            <w:vAlign w:val="center"/>
            <w:hideMark/>
          </w:tcPr>
          <w:p w14:paraId="6A40EDF9"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w:t>
            </w:r>
          </w:p>
        </w:tc>
        <w:tc>
          <w:tcPr>
            <w:tcW w:w="720" w:type="dxa"/>
            <w:tcBorders>
              <w:top w:val="single" w:sz="4" w:space="0" w:color="ADD6EA"/>
              <w:left w:val="nil"/>
              <w:bottom w:val="nil"/>
              <w:right w:val="nil"/>
            </w:tcBorders>
            <w:shd w:val="clear" w:color="auto" w:fill="auto"/>
            <w:vAlign w:val="center"/>
            <w:hideMark/>
          </w:tcPr>
          <w:p w14:paraId="57F65FFE"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295</w:t>
            </w:r>
          </w:p>
        </w:tc>
      </w:tr>
      <w:tr w:rsidR="00D20466" w:rsidRPr="00D20466" w14:paraId="4C8995FE" w14:textId="77777777" w:rsidTr="00D20466">
        <w:trPr>
          <w:trHeight w:val="315"/>
        </w:trPr>
        <w:tc>
          <w:tcPr>
            <w:tcW w:w="2720" w:type="dxa"/>
            <w:tcBorders>
              <w:top w:val="single" w:sz="4" w:space="0" w:color="ADD6EA"/>
              <w:left w:val="nil"/>
              <w:bottom w:val="nil"/>
              <w:right w:val="nil"/>
            </w:tcBorders>
            <w:shd w:val="clear" w:color="auto" w:fill="auto"/>
            <w:vAlign w:val="center"/>
            <w:hideMark/>
          </w:tcPr>
          <w:p w14:paraId="62EAEBAB" w14:textId="77777777" w:rsidR="00D20466" w:rsidRPr="00D20466" w:rsidRDefault="00D20466" w:rsidP="00D20466">
            <w:pPr>
              <w:tabs>
                <w:tab w:val="clear" w:pos="567"/>
              </w:tabs>
              <w:spacing w:before="0" w:line="240" w:lineRule="auto"/>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Wage costs</w:t>
            </w:r>
          </w:p>
        </w:tc>
        <w:tc>
          <w:tcPr>
            <w:tcW w:w="700" w:type="dxa"/>
            <w:tcBorders>
              <w:top w:val="single" w:sz="4" w:space="0" w:color="ADD6EA"/>
              <w:left w:val="nil"/>
              <w:bottom w:val="nil"/>
              <w:right w:val="nil"/>
            </w:tcBorders>
            <w:shd w:val="clear" w:color="auto" w:fill="auto"/>
            <w:noWrap/>
            <w:vAlign w:val="center"/>
            <w:hideMark/>
          </w:tcPr>
          <w:p w14:paraId="695FE9BE"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50</w:t>
            </w:r>
          </w:p>
        </w:tc>
        <w:tc>
          <w:tcPr>
            <w:tcW w:w="700" w:type="dxa"/>
            <w:tcBorders>
              <w:top w:val="single" w:sz="4" w:space="0" w:color="ADD6EA"/>
              <w:left w:val="nil"/>
              <w:bottom w:val="nil"/>
              <w:right w:val="nil"/>
            </w:tcBorders>
            <w:shd w:val="clear" w:color="auto" w:fill="auto"/>
            <w:noWrap/>
            <w:vAlign w:val="center"/>
            <w:hideMark/>
          </w:tcPr>
          <w:p w14:paraId="1F970A13"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102</w:t>
            </w:r>
          </w:p>
        </w:tc>
        <w:tc>
          <w:tcPr>
            <w:tcW w:w="700" w:type="dxa"/>
            <w:tcBorders>
              <w:top w:val="single" w:sz="4" w:space="0" w:color="ADD6EA"/>
              <w:left w:val="nil"/>
              <w:bottom w:val="nil"/>
              <w:right w:val="nil"/>
            </w:tcBorders>
            <w:shd w:val="clear" w:color="auto" w:fill="auto"/>
            <w:noWrap/>
            <w:vAlign w:val="center"/>
            <w:hideMark/>
          </w:tcPr>
          <w:p w14:paraId="006A2B89"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45</w:t>
            </w:r>
          </w:p>
        </w:tc>
        <w:tc>
          <w:tcPr>
            <w:tcW w:w="700" w:type="dxa"/>
            <w:tcBorders>
              <w:top w:val="single" w:sz="4" w:space="0" w:color="ADD6EA"/>
              <w:left w:val="nil"/>
              <w:bottom w:val="nil"/>
              <w:right w:val="nil"/>
            </w:tcBorders>
            <w:shd w:val="clear" w:color="auto" w:fill="auto"/>
            <w:noWrap/>
            <w:vAlign w:val="center"/>
            <w:hideMark/>
          </w:tcPr>
          <w:p w14:paraId="0414D5D4"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-53</w:t>
            </w:r>
          </w:p>
        </w:tc>
        <w:tc>
          <w:tcPr>
            <w:tcW w:w="700" w:type="dxa"/>
            <w:tcBorders>
              <w:top w:val="single" w:sz="4" w:space="0" w:color="ADD6EA"/>
              <w:left w:val="nil"/>
              <w:bottom w:val="nil"/>
              <w:right w:val="nil"/>
            </w:tcBorders>
            <w:shd w:val="clear" w:color="auto" w:fill="auto"/>
            <w:noWrap/>
            <w:vAlign w:val="center"/>
            <w:hideMark/>
          </w:tcPr>
          <w:p w14:paraId="2E5BDC31"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-92</w:t>
            </w:r>
          </w:p>
        </w:tc>
        <w:tc>
          <w:tcPr>
            <w:tcW w:w="700" w:type="dxa"/>
            <w:tcBorders>
              <w:top w:val="single" w:sz="4" w:space="0" w:color="ADD6EA"/>
              <w:left w:val="nil"/>
              <w:bottom w:val="nil"/>
              <w:right w:val="nil"/>
            </w:tcBorders>
            <w:shd w:val="clear" w:color="auto" w:fill="auto"/>
            <w:noWrap/>
            <w:vAlign w:val="center"/>
            <w:hideMark/>
          </w:tcPr>
          <w:p w14:paraId="151B0F4A"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-62</w:t>
            </w:r>
          </w:p>
        </w:tc>
        <w:tc>
          <w:tcPr>
            <w:tcW w:w="700" w:type="dxa"/>
            <w:tcBorders>
              <w:top w:val="single" w:sz="4" w:space="0" w:color="ADD6EA"/>
              <w:left w:val="nil"/>
              <w:bottom w:val="nil"/>
              <w:right w:val="nil"/>
            </w:tcBorders>
            <w:shd w:val="clear" w:color="auto" w:fill="auto"/>
            <w:noWrap/>
            <w:vAlign w:val="center"/>
            <w:hideMark/>
          </w:tcPr>
          <w:p w14:paraId="4A264902"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-35</w:t>
            </w:r>
          </w:p>
        </w:tc>
        <w:tc>
          <w:tcPr>
            <w:tcW w:w="700" w:type="dxa"/>
            <w:tcBorders>
              <w:top w:val="single" w:sz="4" w:space="0" w:color="ADD6EA"/>
              <w:left w:val="nil"/>
              <w:bottom w:val="nil"/>
              <w:right w:val="nil"/>
            </w:tcBorders>
            <w:shd w:val="clear" w:color="auto" w:fill="auto"/>
            <w:noWrap/>
            <w:vAlign w:val="center"/>
            <w:hideMark/>
          </w:tcPr>
          <w:p w14:paraId="39CBBFFC"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45</w:t>
            </w:r>
          </w:p>
        </w:tc>
        <w:tc>
          <w:tcPr>
            <w:tcW w:w="720" w:type="dxa"/>
            <w:tcBorders>
              <w:top w:val="single" w:sz="4" w:space="0" w:color="ADD6EA"/>
              <w:left w:val="nil"/>
              <w:bottom w:val="nil"/>
              <w:right w:val="nil"/>
            </w:tcBorders>
            <w:shd w:val="clear" w:color="auto" w:fill="auto"/>
            <w:noWrap/>
            <w:vAlign w:val="center"/>
            <w:hideMark/>
          </w:tcPr>
          <w:p w14:paraId="5890F811"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243</w:t>
            </w:r>
          </w:p>
        </w:tc>
      </w:tr>
      <w:tr w:rsidR="00D20466" w:rsidRPr="00D20466" w14:paraId="72A67B9B" w14:textId="77777777" w:rsidTr="00D20466">
        <w:trPr>
          <w:trHeight w:val="315"/>
        </w:trPr>
        <w:tc>
          <w:tcPr>
            <w:tcW w:w="2720" w:type="dxa"/>
            <w:tcBorders>
              <w:top w:val="single" w:sz="4" w:space="0" w:color="ADD6EA"/>
              <w:left w:val="nil"/>
              <w:bottom w:val="nil"/>
              <w:right w:val="nil"/>
            </w:tcBorders>
            <w:shd w:val="clear" w:color="auto" w:fill="auto"/>
            <w:vAlign w:val="center"/>
            <w:hideMark/>
          </w:tcPr>
          <w:p w14:paraId="554C07BD" w14:textId="77777777" w:rsidR="00D20466" w:rsidRPr="00D20466" w:rsidRDefault="00D20466" w:rsidP="00D20466">
            <w:pPr>
              <w:tabs>
                <w:tab w:val="clear" w:pos="567"/>
              </w:tabs>
              <w:spacing w:before="0" w:line="240" w:lineRule="auto"/>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Commonwealth payments</w:t>
            </w:r>
          </w:p>
        </w:tc>
        <w:tc>
          <w:tcPr>
            <w:tcW w:w="700" w:type="dxa"/>
            <w:tcBorders>
              <w:top w:val="single" w:sz="4" w:space="0" w:color="ADD6EA"/>
              <w:left w:val="nil"/>
              <w:bottom w:val="nil"/>
              <w:right w:val="nil"/>
            </w:tcBorders>
            <w:shd w:val="clear" w:color="auto" w:fill="auto"/>
            <w:noWrap/>
            <w:vAlign w:val="center"/>
            <w:hideMark/>
          </w:tcPr>
          <w:p w14:paraId="60D1CF06"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29</w:t>
            </w:r>
          </w:p>
        </w:tc>
        <w:tc>
          <w:tcPr>
            <w:tcW w:w="700" w:type="dxa"/>
            <w:tcBorders>
              <w:top w:val="single" w:sz="4" w:space="0" w:color="ADD6EA"/>
              <w:left w:val="nil"/>
              <w:bottom w:val="nil"/>
              <w:right w:val="nil"/>
            </w:tcBorders>
            <w:shd w:val="clear" w:color="auto" w:fill="auto"/>
            <w:noWrap/>
            <w:vAlign w:val="center"/>
            <w:hideMark/>
          </w:tcPr>
          <w:p w14:paraId="6C001290"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79</w:t>
            </w:r>
          </w:p>
        </w:tc>
        <w:tc>
          <w:tcPr>
            <w:tcW w:w="700" w:type="dxa"/>
            <w:tcBorders>
              <w:top w:val="single" w:sz="4" w:space="0" w:color="ADD6EA"/>
              <w:left w:val="nil"/>
              <w:bottom w:val="nil"/>
              <w:right w:val="nil"/>
            </w:tcBorders>
            <w:shd w:val="clear" w:color="auto" w:fill="auto"/>
            <w:noWrap/>
            <w:vAlign w:val="center"/>
            <w:hideMark/>
          </w:tcPr>
          <w:p w14:paraId="59D5020A"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94</w:t>
            </w:r>
          </w:p>
        </w:tc>
        <w:tc>
          <w:tcPr>
            <w:tcW w:w="700" w:type="dxa"/>
            <w:tcBorders>
              <w:top w:val="single" w:sz="4" w:space="0" w:color="ADD6EA"/>
              <w:left w:val="nil"/>
              <w:bottom w:val="nil"/>
              <w:right w:val="nil"/>
            </w:tcBorders>
            <w:shd w:val="clear" w:color="auto" w:fill="auto"/>
            <w:noWrap/>
            <w:vAlign w:val="center"/>
            <w:hideMark/>
          </w:tcPr>
          <w:p w14:paraId="5BBC30D8"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-151</w:t>
            </w:r>
          </w:p>
        </w:tc>
        <w:tc>
          <w:tcPr>
            <w:tcW w:w="700" w:type="dxa"/>
            <w:tcBorders>
              <w:top w:val="single" w:sz="4" w:space="0" w:color="ADD6EA"/>
              <w:left w:val="nil"/>
              <w:bottom w:val="nil"/>
              <w:right w:val="nil"/>
            </w:tcBorders>
            <w:shd w:val="clear" w:color="auto" w:fill="auto"/>
            <w:noWrap/>
            <w:vAlign w:val="center"/>
            <w:hideMark/>
          </w:tcPr>
          <w:p w14:paraId="5DAAA7EF"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-27</w:t>
            </w:r>
          </w:p>
        </w:tc>
        <w:tc>
          <w:tcPr>
            <w:tcW w:w="700" w:type="dxa"/>
            <w:tcBorders>
              <w:top w:val="single" w:sz="4" w:space="0" w:color="ADD6EA"/>
              <w:left w:val="nil"/>
              <w:bottom w:val="nil"/>
              <w:right w:val="nil"/>
            </w:tcBorders>
            <w:shd w:val="clear" w:color="auto" w:fill="auto"/>
            <w:noWrap/>
            <w:vAlign w:val="center"/>
            <w:hideMark/>
          </w:tcPr>
          <w:p w14:paraId="76F95104"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-36</w:t>
            </w:r>
          </w:p>
        </w:tc>
        <w:tc>
          <w:tcPr>
            <w:tcW w:w="700" w:type="dxa"/>
            <w:tcBorders>
              <w:top w:val="single" w:sz="4" w:space="0" w:color="ADD6EA"/>
              <w:left w:val="nil"/>
              <w:bottom w:val="nil"/>
              <w:right w:val="nil"/>
            </w:tcBorders>
            <w:shd w:val="clear" w:color="auto" w:fill="auto"/>
            <w:noWrap/>
            <w:vAlign w:val="center"/>
            <w:hideMark/>
          </w:tcPr>
          <w:p w14:paraId="55A5F472"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8</w:t>
            </w:r>
          </w:p>
        </w:tc>
        <w:tc>
          <w:tcPr>
            <w:tcW w:w="700" w:type="dxa"/>
            <w:tcBorders>
              <w:top w:val="single" w:sz="4" w:space="0" w:color="ADD6EA"/>
              <w:left w:val="nil"/>
              <w:bottom w:val="nil"/>
              <w:right w:val="nil"/>
            </w:tcBorders>
            <w:shd w:val="clear" w:color="auto" w:fill="auto"/>
            <w:noWrap/>
            <w:vAlign w:val="center"/>
            <w:hideMark/>
          </w:tcPr>
          <w:p w14:paraId="5A9FAC21"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5</w:t>
            </w:r>
          </w:p>
        </w:tc>
        <w:tc>
          <w:tcPr>
            <w:tcW w:w="720" w:type="dxa"/>
            <w:tcBorders>
              <w:top w:val="single" w:sz="4" w:space="0" w:color="ADD6EA"/>
              <w:left w:val="nil"/>
              <w:bottom w:val="nil"/>
              <w:right w:val="nil"/>
            </w:tcBorders>
            <w:shd w:val="clear" w:color="auto" w:fill="auto"/>
            <w:noWrap/>
            <w:vAlign w:val="center"/>
            <w:hideMark/>
          </w:tcPr>
          <w:p w14:paraId="3A9B4B59"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215</w:t>
            </w:r>
          </w:p>
        </w:tc>
      </w:tr>
      <w:tr w:rsidR="00D20466" w:rsidRPr="00D20466" w14:paraId="1FA1097C" w14:textId="77777777" w:rsidTr="00D20466">
        <w:trPr>
          <w:trHeight w:val="315"/>
        </w:trPr>
        <w:tc>
          <w:tcPr>
            <w:tcW w:w="2720" w:type="dxa"/>
            <w:tcBorders>
              <w:top w:val="single" w:sz="4" w:space="0" w:color="ADD6EA"/>
              <w:left w:val="nil"/>
              <w:bottom w:val="nil"/>
              <w:right w:val="nil"/>
            </w:tcBorders>
            <w:shd w:val="clear" w:color="auto" w:fill="auto"/>
            <w:vAlign w:val="center"/>
            <w:hideMark/>
          </w:tcPr>
          <w:p w14:paraId="77E0E72F" w14:textId="77777777" w:rsidR="00D20466" w:rsidRPr="00D20466" w:rsidRDefault="00D20466" w:rsidP="00D20466">
            <w:pPr>
              <w:tabs>
                <w:tab w:val="clear" w:pos="567"/>
              </w:tabs>
              <w:spacing w:before="0" w:line="240" w:lineRule="auto"/>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Urban centre characteristics</w:t>
            </w:r>
          </w:p>
        </w:tc>
        <w:tc>
          <w:tcPr>
            <w:tcW w:w="700" w:type="dxa"/>
            <w:tcBorders>
              <w:top w:val="single" w:sz="4" w:space="0" w:color="ADD6EA"/>
              <w:left w:val="nil"/>
              <w:bottom w:val="nil"/>
              <w:right w:val="nil"/>
            </w:tcBorders>
            <w:shd w:val="clear" w:color="auto" w:fill="auto"/>
            <w:noWrap/>
            <w:vAlign w:val="center"/>
            <w:hideMark/>
          </w:tcPr>
          <w:p w14:paraId="0A11FC46"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-128</w:t>
            </w:r>
          </w:p>
        </w:tc>
        <w:tc>
          <w:tcPr>
            <w:tcW w:w="700" w:type="dxa"/>
            <w:tcBorders>
              <w:top w:val="single" w:sz="4" w:space="0" w:color="ADD6EA"/>
              <w:left w:val="nil"/>
              <w:bottom w:val="nil"/>
              <w:right w:val="nil"/>
            </w:tcBorders>
            <w:shd w:val="clear" w:color="auto" w:fill="auto"/>
            <w:noWrap/>
            <w:vAlign w:val="center"/>
            <w:hideMark/>
          </w:tcPr>
          <w:p w14:paraId="6F07C931"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-83</w:t>
            </w:r>
          </w:p>
        </w:tc>
        <w:tc>
          <w:tcPr>
            <w:tcW w:w="700" w:type="dxa"/>
            <w:tcBorders>
              <w:top w:val="single" w:sz="4" w:space="0" w:color="ADD6EA"/>
              <w:left w:val="nil"/>
              <w:bottom w:val="nil"/>
              <w:right w:val="nil"/>
            </w:tcBorders>
            <w:shd w:val="clear" w:color="auto" w:fill="auto"/>
            <w:noWrap/>
            <w:vAlign w:val="center"/>
            <w:hideMark/>
          </w:tcPr>
          <w:p w14:paraId="18BE4CBF"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108</w:t>
            </w:r>
          </w:p>
        </w:tc>
        <w:tc>
          <w:tcPr>
            <w:tcW w:w="700" w:type="dxa"/>
            <w:tcBorders>
              <w:top w:val="single" w:sz="4" w:space="0" w:color="ADD6EA"/>
              <w:left w:val="nil"/>
              <w:bottom w:val="nil"/>
              <w:right w:val="nil"/>
            </w:tcBorders>
            <w:shd w:val="clear" w:color="auto" w:fill="auto"/>
            <w:noWrap/>
            <w:vAlign w:val="center"/>
            <w:hideMark/>
          </w:tcPr>
          <w:p w14:paraId="5792FD3F"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36</w:t>
            </w:r>
          </w:p>
        </w:tc>
        <w:tc>
          <w:tcPr>
            <w:tcW w:w="700" w:type="dxa"/>
            <w:tcBorders>
              <w:top w:val="single" w:sz="4" w:space="0" w:color="ADD6EA"/>
              <w:left w:val="nil"/>
              <w:bottom w:val="nil"/>
              <w:right w:val="nil"/>
            </w:tcBorders>
            <w:shd w:val="clear" w:color="auto" w:fill="auto"/>
            <w:noWrap/>
            <w:vAlign w:val="center"/>
            <w:hideMark/>
          </w:tcPr>
          <w:p w14:paraId="3D0A4D20"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29</w:t>
            </w:r>
          </w:p>
        </w:tc>
        <w:tc>
          <w:tcPr>
            <w:tcW w:w="700" w:type="dxa"/>
            <w:tcBorders>
              <w:top w:val="single" w:sz="4" w:space="0" w:color="ADD6EA"/>
              <w:left w:val="nil"/>
              <w:bottom w:val="nil"/>
              <w:right w:val="nil"/>
            </w:tcBorders>
            <w:shd w:val="clear" w:color="auto" w:fill="auto"/>
            <w:noWrap/>
            <w:vAlign w:val="center"/>
            <w:hideMark/>
          </w:tcPr>
          <w:p w14:paraId="4F3DAC66"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20</w:t>
            </w:r>
          </w:p>
        </w:tc>
        <w:tc>
          <w:tcPr>
            <w:tcW w:w="700" w:type="dxa"/>
            <w:tcBorders>
              <w:top w:val="single" w:sz="4" w:space="0" w:color="ADD6EA"/>
              <w:left w:val="nil"/>
              <w:bottom w:val="nil"/>
              <w:right w:val="nil"/>
            </w:tcBorders>
            <w:shd w:val="clear" w:color="auto" w:fill="auto"/>
            <w:noWrap/>
            <w:vAlign w:val="center"/>
            <w:hideMark/>
          </w:tcPr>
          <w:p w14:paraId="0C0BB4DA"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10</w:t>
            </w:r>
          </w:p>
        </w:tc>
        <w:tc>
          <w:tcPr>
            <w:tcW w:w="700" w:type="dxa"/>
            <w:tcBorders>
              <w:top w:val="single" w:sz="4" w:space="0" w:color="ADD6EA"/>
              <w:left w:val="nil"/>
              <w:bottom w:val="nil"/>
              <w:right w:val="nil"/>
            </w:tcBorders>
            <w:shd w:val="clear" w:color="auto" w:fill="auto"/>
            <w:noWrap/>
            <w:vAlign w:val="center"/>
            <w:hideMark/>
          </w:tcPr>
          <w:p w14:paraId="3825C2F9"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9</w:t>
            </w:r>
          </w:p>
        </w:tc>
        <w:tc>
          <w:tcPr>
            <w:tcW w:w="720" w:type="dxa"/>
            <w:tcBorders>
              <w:top w:val="single" w:sz="4" w:space="0" w:color="ADD6EA"/>
              <w:left w:val="nil"/>
              <w:bottom w:val="nil"/>
              <w:right w:val="nil"/>
            </w:tcBorders>
            <w:shd w:val="clear" w:color="auto" w:fill="auto"/>
            <w:noWrap/>
            <w:vAlign w:val="center"/>
            <w:hideMark/>
          </w:tcPr>
          <w:p w14:paraId="1BB591A4"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211</w:t>
            </w:r>
          </w:p>
        </w:tc>
      </w:tr>
      <w:tr w:rsidR="00D20466" w:rsidRPr="00D20466" w14:paraId="42B70E17" w14:textId="77777777" w:rsidTr="00D20466">
        <w:trPr>
          <w:trHeight w:val="315"/>
        </w:trPr>
        <w:tc>
          <w:tcPr>
            <w:tcW w:w="2720" w:type="dxa"/>
            <w:tcBorders>
              <w:top w:val="single" w:sz="4" w:space="0" w:color="ADD6EA"/>
              <w:left w:val="nil"/>
              <w:bottom w:val="nil"/>
              <w:right w:val="nil"/>
            </w:tcBorders>
            <w:shd w:val="clear" w:color="auto" w:fill="auto"/>
            <w:vAlign w:val="center"/>
            <w:hideMark/>
          </w:tcPr>
          <w:p w14:paraId="7FF5A9C4" w14:textId="77777777" w:rsidR="00D20466" w:rsidRPr="00D20466" w:rsidRDefault="00D20466" w:rsidP="00D20466">
            <w:pPr>
              <w:tabs>
                <w:tab w:val="clear" w:pos="567"/>
              </w:tabs>
              <w:spacing w:before="0" w:line="240" w:lineRule="auto"/>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Other changes in circumstances</w:t>
            </w:r>
          </w:p>
        </w:tc>
        <w:tc>
          <w:tcPr>
            <w:tcW w:w="700" w:type="dxa"/>
            <w:tcBorders>
              <w:top w:val="single" w:sz="4" w:space="0" w:color="ADD6EA"/>
              <w:left w:val="nil"/>
              <w:bottom w:val="nil"/>
              <w:right w:val="nil"/>
            </w:tcBorders>
            <w:shd w:val="clear" w:color="auto" w:fill="auto"/>
            <w:vAlign w:val="center"/>
            <w:hideMark/>
          </w:tcPr>
          <w:p w14:paraId="0E7ECE99"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65</w:t>
            </w:r>
          </w:p>
        </w:tc>
        <w:tc>
          <w:tcPr>
            <w:tcW w:w="700" w:type="dxa"/>
            <w:tcBorders>
              <w:top w:val="single" w:sz="4" w:space="0" w:color="ADD6EA"/>
              <w:left w:val="nil"/>
              <w:bottom w:val="nil"/>
              <w:right w:val="nil"/>
            </w:tcBorders>
            <w:shd w:val="clear" w:color="auto" w:fill="auto"/>
            <w:vAlign w:val="center"/>
            <w:hideMark/>
          </w:tcPr>
          <w:p w14:paraId="31C889F1"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201</w:t>
            </w:r>
          </w:p>
        </w:tc>
        <w:tc>
          <w:tcPr>
            <w:tcW w:w="700" w:type="dxa"/>
            <w:tcBorders>
              <w:top w:val="single" w:sz="4" w:space="0" w:color="ADD6EA"/>
              <w:left w:val="nil"/>
              <w:bottom w:val="nil"/>
              <w:right w:val="nil"/>
            </w:tcBorders>
            <w:shd w:val="clear" w:color="auto" w:fill="auto"/>
            <w:vAlign w:val="center"/>
            <w:hideMark/>
          </w:tcPr>
          <w:p w14:paraId="7560AB87"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25</w:t>
            </w:r>
          </w:p>
        </w:tc>
        <w:tc>
          <w:tcPr>
            <w:tcW w:w="700" w:type="dxa"/>
            <w:tcBorders>
              <w:top w:val="single" w:sz="4" w:space="0" w:color="ADD6EA"/>
              <w:left w:val="nil"/>
              <w:bottom w:val="nil"/>
              <w:right w:val="nil"/>
            </w:tcBorders>
            <w:shd w:val="clear" w:color="auto" w:fill="auto"/>
            <w:vAlign w:val="center"/>
            <w:hideMark/>
          </w:tcPr>
          <w:p w14:paraId="18A1571A"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-74</w:t>
            </w:r>
          </w:p>
        </w:tc>
        <w:tc>
          <w:tcPr>
            <w:tcW w:w="700" w:type="dxa"/>
            <w:tcBorders>
              <w:top w:val="single" w:sz="4" w:space="0" w:color="ADD6EA"/>
              <w:left w:val="nil"/>
              <w:bottom w:val="nil"/>
              <w:right w:val="nil"/>
            </w:tcBorders>
            <w:shd w:val="clear" w:color="auto" w:fill="auto"/>
            <w:vAlign w:val="center"/>
            <w:hideMark/>
          </w:tcPr>
          <w:p w14:paraId="00973A12"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17</w:t>
            </w:r>
          </w:p>
        </w:tc>
        <w:tc>
          <w:tcPr>
            <w:tcW w:w="700" w:type="dxa"/>
            <w:tcBorders>
              <w:top w:val="single" w:sz="4" w:space="0" w:color="ADD6EA"/>
              <w:left w:val="nil"/>
              <w:bottom w:val="nil"/>
              <w:right w:val="nil"/>
            </w:tcBorders>
            <w:shd w:val="clear" w:color="auto" w:fill="auto"/>
            <w:vAlign w:val="center"/>
            <w:hideMark/>
          </w:tcPr>
          <w:p w14:paraId="449B6BCD"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-45</w:t>
            </w:r>
          </w:p>
        </w:tc>
        <w:tc>
          <w:tcPr>
            <w:tcW w:w="700" w:type="dxa"/>
            <w:tcBorders>
              <w:top w:val="single" w:sz="4" w:space="0" w:color="ADD6EA"/>
              <w:left w:val="nil"/>
              <w:bottom w:val="nil"/>
              <w:right w:val="nil"/>
            </w:tcBorders>
            <w:shd w:val="clear" w:color="auto" w:fill="auto"/>
            <w:vAlign w:val="center"/>
            <w:hideMark/>
          </w:tcPr>
          <w:p w14:paraId="19837835"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-69</w:t>
            </w:r>
          </w:p>
        </w:tc>
        <w:tc>
          <w:tcPr>
            <w:tcW w:w="700" w:type="dxa"/>
            <w:tcBorders>
              <w:top w:val="single" w:sz="4" w:space="0" w:color="ADD6EA"/>
              <w:left w:val="nil"/>
              <w:bottom w:val="nil"/>
              <w:right w:val="nil"/>
            </w:tcBorders>
            <w:shd w:val="clear" w:color="auto" w:fill="auto"/>
            <w:vAlign w:val="center"/>
            <w:hideMark/>
          </w:tcPr>
          <w:p w14:paraId="63A75B4C"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-119</w:t>
            </w:r>
          </w:p>
        </w:tc>
        <w:tc>
          <w:tcPr>
            <w:tcW w:w="720" w:type="dxa"/>
            <w:tcBorders>
              <w:top w:val="single" w:sz="4" w:space="0" w:color="ADD6EA"/>
              <w:left w:val="nil"/>
              <w:bottom w:val="nil"/>
              <w:right w:val="nil"/>
            </w:tcBorders>
            <w:shd w:val="clear" w:color="auto" w:fill="auto"/>
            <w:noWrap/>
            <w:vAlign w:val="center"/>
            <w:hideMark/>
          </w:tcPr>
          <w:p w14:paraId="26666ED8" w14:textId="77777777" w:rsidR="00D20466" w:rsidRPr="00D20466" w:rsidRDefault="00D20466" w:rsidP="00D20466">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D20466">
              <w:rPr>
                <w:rFonts w:ascii="Open Sans Light" w:eastAsia="Times New Roman" w:hAnsi="Open Sans Light" w:cs="Open Sans Light"/>
                <w:color w:val="000000"/>
                <w:sz w:val="16"/>
                <w:szCs w:val="16"/>
                <w:lang w:eastAsia="en-AU"/>
              </w:rPr>
              <w:t>307</w:t>
            </w:r>
          </w:p>
        </w:tc>
      </w:tr>
      <w:tr w:rsidR="00D20466" w:rsidRPr="00D20466" w14:paraId="6D25A19F" w14:textId="77777777" w:rsidTr="00D20466">
        <w:trPr>
          <w:trHeight w:val="315"/>
        </w:trPr>
        <w:tc>
          <w:tcPr>
            <w:tcW w:w="2720" w:type="dxa"/>
            <w:tcBorders>
              <w:top w:val="single" w:sz="4" w:space="0" w:color="ADD6EA"/>
              <w:left w:val="nil"/>
              <w:bottom w:val="single" w:sz="4" w:space="0" w:color="ADD6EA"/>
              <w:right w:val="nil"/>
            </w:tcBorders>
            <w:shd w:val="clear" w:color="000000" w:fill="D6E7F0"/>
            <w:vAlign w:val="center"/>
            <w:hideMark/>
          </w:tcPr>
          <w:p w14:paraId="03A455FC" w14:textId="77777777" w:rsidR="00D20466" w:rsidRPr="00D20466" w:rsidRDefault="00D20466" w:rsidP="00D20466">
            <w:pPr>
              <w:tabs>
                <w:tab w:val="clear" w:pos="567"/>
              </w:tabs>
              <w:spacing w:before="0" w:line="240" w:lineRule="auto"/>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Total</w:t>
            </w:r>
          </w:p>
        </w:tc>
        <w:tc>
          <w:tcPr>
            <w:tcW w:w="700" w:type="dxa"/>
            <w:tcBorders>
              <w:top w:val="single" w:sz="4" w:space="0" w:color="ADD6EA"/>
              <w:left w:val="nil"/>
              <w:bottom w:val="single" w:sz="4" w:space="0" w:color="ADD6EA"/>
              <w:right w:val="nil"/>
            </w:tcBorders>
            <w:shd w:val="clear" w:color="000000" w:fill="D6E7F0"/>
            <w:noWrap/>
            <w:vAlign w:val="center"/>
            <w:hideMark/>
          </w:tcPr>
          <w:p w14:paraId="52835EEA"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-1,022</w:t>
            </w:r>
          </w:p>
        </w:tc>
        <w:tc>
          <w:tcPr>
            <w:tcW w:w="700" w:type="dxa"/>
            <w:tcBorders>
              <w:top w:val="single" w:sz="4" w:space="0" w:color="ADD6EA"/>
              <w:left w:val="nil"/>
              <w:bottom w:val="single" w:sz="4" w:space="0" w:color="ADD6EA"/>
              <w:right w:val="nil"/>
            </w:tcBorders>
            <w:shd w:val="clear" w:color="000000" w:fill="D6E7F0"/>
            <w:noWrap/>
            <w:vAlign w:val="center"/>
            <w:hideMark/>
          </w:tcPr>
          <w:p w14:paraId="14DD23F5"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2,228</w:t>
            </w:r>
          </w:p>
        </w:tc>
        <w:tc>
          <w:tcPr>
            <w:tcW w:w="700" w:type="dxa"/>
            <w:tcBorders>
              <w:top w:val="single" w:sz="4" w:space="0" w:color="ADD6EA"/>
              <w:left w:val="nil"/>
              <w:bottom w:val="single" w:sz="4" w:space="0" w:color="ADD6EA"/>
              <w:right w:val="nil"/>
            </w:tcBorders>
            <w:shd w:val="clear" w:color="000000" w:fill="D6E7F0"/>
            <w:noWrap/>
            <w:vAlign w:val="center"/>
            <w:hideMark/>
          </w:tcPr>
          <w:p w14:paraId="02B92588"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-1,586</w:t>
            </w:r>
          </w:p>
        </w:tc>
        <w:tc>
          <w:tcPr>
            <w:tcW w:w="700" w:type="dxa"/>
            <w:tcBorders>
              <w:top w:val="single" w:sz="4" w:space="0" w:color="ADD6EA"/>
              <w:left w:val="nil"/>
              <w:bottom w:val="single" w:sz="4" w:space="0" w:color="ADD6EA"/>
              <w:right w:val="nil"/>
            </w:tcBorders>
            <w:shd w:val="clear" w:color="000000" w:fill="D6E7F0"/>
            <w:noWrap/>
            <w:vAlign w:val="center"/>
            <w:hideMark/>
          </w:tcPr>
          <w:p w14:paraId="13E17660"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215</w:t>
            </w:r>
          </w:p>
        </w:tc>
        <w:tc>
          <w:tcPr>
            <w:tcW w:w="700" w:type="dxa"/>
            <w:tcBorders>
              <w:top w:val="single" w:sz="4" w:space="0" w:color="ADD6EA"/>
              <w:left w:val="nil"/>
              <w:bottom w:val="single" w:sz="4" w:space="0" w:color="ADD6EA"/>
              <w:right w:val="nil"/>
            </w:tcBorders>
            <w:shd w:val="clear" w:color="000000" w:fill="D6E7F0"/>
            <w:noWrap/>
            <w:vAlign w:val="center"/>
            <w:hideMark/>
          </w:tcPr>
          <w:p w14:paraId="4B86FB8C"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263</w:t>
            </w:r>
          </w:p>
        </w:tc>
        <w:tc>
          <w:tcPr>
            <w:tcW w:w="700" w:type="dxa"/>
            <w:tcBorders>
              <w:top w:val="single" w:sz="4" w:space="0" w:color="ADD6EA"/>
              <w:left w:val="nil"/>
              <w:bottom w:val="single" w:sz="4" w:space="0" w:color="ADD6EA"/>
              <w:right w:val="nil"/>
            </w:tcBorders>
            <w:shd w:val="clear" w:color="000000" w:fill="D6E7F0"/>
            <w:noWrap/>
            <w:vAlign w:val="center"/>
            <w:hideMark/>
          </w:tcPr>
          <w:p w14:paraId="146CFCF5"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-27</w:t>
            </w:r>
          </w:p>
        </w:tc>
        <w:tc>
          <w:tcPr>
            <w:tcW w:w="700" w:type="dxa"/>
            <w:tcBorders>
              <w:top w:val="single" w:sz="4" w:space="0" w:color="ADD6EA"/>
              <w:left w:val="nil"/>
              <w:bottom w:val="single" w:sz="4" w:space="0" w:color="ADD6EA"/>
              <w:right w:val="nil"/>
            </w:tcBorders>
            <w:shd w:val="clear" w:color="000000" w:fill="D6E7F0"/>
            <w:noWrap/>
            <w:vAlign w:val="center"/>
            <w:hideMark/>
          </w:tcPr>
          <w:p w14:paraId="34310757"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-40</w:t>
            </w:r>
          </w:p>
        </w:tc>
        <w:tc>
          <w:tcPr>
            <w:tcW w:w="700" w:type="dxa"/>
            <w:tcBorders>
              <w:top w:val="single" w:sz="4" w:space="0" w:color="ADD6EA"/>
              <w:left w:val="nil"/>
              <w:bottom w:val="single" w:sz="4" w:space="0" w:color="ADD6EA"/>
              <w:right w:val="nil"/>
            </w:tcBorders>
            <w:shd w:val="clear" w:color="000000" w:fill="D6E7F0"/>
            <w:noWrap/>
            <w:vAlign w:val="center"/>
            <w:hideMark/>
          </w:tcPr>
          <w:p w14:paraId="57F36142"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-30</w:t>
            </w:r>
          </w:p>
        </w:tc>
        <w:tc>
          <w:tcPr>
            <w:tcW w:w="720" w:type="dxa"/>
            <w:tcBorders>
              <w:top w:val="single" w:sz="4" w:space="0" w:color="ADD6EA"/>
              <w:left w:val="nil"/>
              <w:bottom w:val="single" w:sz="4" w:space="0" w:color="ADD6EA"/>
              <w:right w:val="nil"/>
            </w:tcBorders>
            <w:shd w:val="clear" w:color="000000" w:fill="D6E7F0"/>
            <w:noWrap/>
            <w:vAlign w:val="center"/>
            <w:hideMark/>
          </w:tcPr>
          <w:p w14:paraId="2EE6F3D9" w14:textId="77777777" w:rsidR="00D20466" w:rsidRPr="00D20466" w:rsidRDefault="00D20466" w:rsidP="00D2046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D20466">
              <w:rPr>
                <w:rFonts w:ascii="Open Sans Semibold" w:eastAsia="Times New Roman" w:hAnsi="Open Sans Semibold" w:cs="Open Sans Semibold"/>
                <w:color w:val="000000"/>
                <w:sz w:val="16"/>
                <w:szCs w:val="16"/>
                <w:lang w:eastAsia="en-AU"/>
              </w:rPr>
              <w:t>2,706</w:t>
            </w:r>
          </w:p>
        </w:tc>
      </w:tr>
    </w:tbl>
    <w:p w14:paraId="1BAF9B56" w14:textId="77777777" w:rsidR="00E3354C" w:rsidRPr="0031054C" w:rsidRDefault="00E3354C" w:rsidP="007F0FA9">
      <w:pPr>
        <w:pStyle w:val="CGCTablenote"/>
      </w:pPr>
      <w:r w:rsidRPr="0031054C">
        <w:t>Source: Commission calculation.</w:t>
      </w:r>
    </w:p>
    <w:p w14:paraId="768FA671" w14:textId="77777777" w:rsidR="00F47BD8" w:rsidRPr="0031054C" w:rsidRDefault="00F47BD8" w:rsidP="00A823B0">
      <w:pPr>
        <w:pStyle w:val="Heading4"/>
      </w:pPr>
      <w:r w:rsidRPr="0031054C">
        <w:t>Mining production</w:t>
      </w:r>
    </w:p>
    <w:p w14:paraId="7FF12580" w14:textId="5533388C" w:rsidR="00F47BD8" w:rsidRPr="0031054C" w:rsidRDefault="00F47BD8" w:rsidP="00F47BD8">
      <w:r w:rsidRPr="0031054C">
        <w:t>Total mining revenues have been growing strongly</w:t>
      </w:r>
      <w:r w:rsidR="00440CCF">
        <w:t>.</w:t>
      </w:r>
      <w:r w:rsidR="00B935C8">
        <w:fldChar w:fldCharType="begin"/>
      </w:r>
      <w:r w:rsidR="00B935C8">
        <w:instrText xml:space="preserve"> REF Table_2_8 \h </w:instrText>
      </w:r>
      <w:r w:rsidR="00B935C8">
        <w:fldChar w:fldCharType="separate"/>
      </w:r>
      <w:r w:rsidR="00047120" w:rsidRPr="00E07979">
        <w:rPr>
          <w:rFonts w:ascii="Open Sans Semibold" w:eastAsia="Times New Roman" w:hAnsi="Open Sans Semibold" w:cs="Open Sans Semibold"/>
          <w:color w:val="FFFFFF"/>
          <w:sz w:val="16"/>
          <w:szCs w:val="16"/>
          <w:lang w:eastAsia="en-AU"/>
        </w:rPr>
        <w:t> </w:t>
      </w:r>
      <w:r w:rsidR="00B935C8">
        <w:fldChar w:fldCharType="end"/>
      </w:r>
      <w:r w:rsidR="006232F4">
        <w:t>Table 2-8</w:t>
      </w:r>
      <w:r w:rsidRPr="0031054C">
        <w:t xml:space="preserve"> outlines the estimated aggregate effect of changes in the value of mining production on the distribution of GST in the 2024 Update. The GST effects of each of the components of the mining revenue assessment varied across states.</w:t>
      </w:r>
    </w:p>
    <w:p w14:paraId="25E91E40" w14:textId="77777777" w:rsidR="00E05BAD" w:rsidRDefault="00E05BAD">
      <w:pPr>
        <w:tabs>
          <w:tab w:val="clear" w:pos="567"/>
        </w:tabs>
        <w:spacing w:before="0" w:line="240" w:lineRule="auto"/>
        <w:rPr>
          <w:rFonts w:ascii="Work Sans SemiBold" w:hAnsi="Work Sans SemiBold" w:cs="Cambria Math"/>
          <w:bCs/>
          <w:color w:val="000000"/>
          <w:szCs w:val="21"/>
          <w:shd w:val="clear" w:color="auto" w:fill="FFFFFF"/>
          <w14:shadow w14:blurRad="50800" w14:dist="50800" w14:dir="5400000" w14:sx="0" w14:sy="0" w14:kx="0" w14:ky="0" w14:algn="ctr">
            <w14:srgbClr w14:val="000000">
              <w14:alpha w14:val="1000"/>
            </w14:srgbClr>
          </w14:shadow>
        </w:rPr>
      </w:pPr>
      <w:r>
        <w:br w:type="page"/>
      </w:r>
    </w:p>
    <w:p w14:paraId="6138985C" w14:textId="633255B0" w:rsidR="00F47BD8" w:rsidRPr="0031054C" w:rsidRDefault="00F47BD8" w:rsidP="003A5223">
      <w:pPr>
        <w:pStyle w:val="CGCTableHead"/>
        <w:ind w:left="1440" w:hanging="1440"/>
      </w:pPr>
      <w:r w:rsidRPr="0031054C">
        <w:lastRenderedPageBreak/>
        <w:t>Table 2-8</w:t>
      </w:r>
      <w:r w:rsidRPr="0031054C">
        <w:tab/>
        <w:t>Change to assessed GST needs due to changes in value of mineral production, 2023</w:t>
      </w:r>
      <w:r w:rsidR="009015F8">
        <w:t>–</w:t>
      </w:r>
      <w:r w:rsidRPr="0031054C">
        <w:t>24 to 2024</w:t>
      </w:r>
      <w:r w:rsidR="009015F8">
        <w:t>–</w:t>
      </w:r>
      <w:proofErr w:type="gramStart"/>
      <w:r w:rsidRPr="0031054C">
        <w:t>25</w:t>
      </w:r>
      <w:proofErr w:type="gramEnd"/>
    </w:p>
    <w:tbl>
      <w:tblPr>
        <w:tblW w:w="9020" w:type="dxa"/>
        <w:tblLook w:val="04A0" w:firstRow="1" w:lastRow="0" w:firstColumn="1" w:lastColumn="0" w:noHBand="0" w:noVBand="1"/>
      </w:tblPr>
      <w:tblGrid>
        <w:gridCol w:w="2720"/>
        <w:gridCol w:w="700"/>
        <w:gridCol w:w="700"/>
        <w:gridCol w:w="700"/>
        <w:gridCol w:w="700"/>
        <w:gridCol w:w="700"/>
        <w:gridCol w:w="700"/>
        <w:gridCol w:w="700"/>
        <w:gridCol w:w="700"/>
        <w:gridCol w:w="700"/>
      </w:tblGrid>
      <w:tr w:rsidR="00E07979" w:rsidRPr="00E07979" w14:paraId="3B277EE1" w14:textId="77777777" w:rsidTr="00E07979">
        <w:trPr>
          <w:trHeight w:val="555"/>
        </w:trPr>
        <w:tc>
          <w:tcPr>
            <w:tcW w:w="2720" w:type="dxa"/>
            <w:tcBorders>
              <w:top w:val="nil"/>
              <w:left w:val="nil"/>
              <w:bottom w:val="nil"/>
              <w:right w:val="nil"/>
            </w:tcBorders>
            <w:shd w:val="clear" w:color="000000" w:fill="006991"/>
            <w:vAlign w:val="center"/>
            <w:hideMark/>
          </w:tcPr>
          <w:p w14:paraId="3B116088" w14:textId="77777777" w:rsidR="00E07979" w:rsidRPr="00E07979" w:rsidRDefault="00E07979" w:rsidP="00E07979">
            <w:pPr>
              <w:tabs>
                <w:tab w:val="clear" w:pos="567"/>
              </w:tabs>
              <w:spacing w:before="0" w:line="240" w:lineRule="auto"/>
              <w:rPr>
                <w:rFonts w:ascii="Open Sans Semibold" w:eastAsia="Times New Roman" w:hAnsi="Open Sans Semibold" w:cs="Open Sans Semibold"/>
                <w:color w:val="FFFFFF"/>
                <w:sz w:val="16"/>
                <w:szCs w:val="16"/>
                <w:lang w:eastAsia="en-AU"/>
              </w:rPr>
            </w:pPr>
            <w:bookmarkStart w:id="221" w:name="Table_2_8"/>
            <w:r w:rsidRPr="00E07979">
              <w:rPr>
                <w:rFonts w:ascii="Open Sans Semibold" w:eastAsia="Times New Roman" w:hAnsi="Open Sans Semibold" w:cs="Open Sans Semibold"/>
                <w:color w:val="FFFFFF"/>
                <w:sz w:val="16"/>
                <w:szCs w:val="16"/>
                <w:lang w:eastAsia="en-AU"/>
              </w:rPr>
              <w:t> </w:t>
            </w:r>
            <w:bookmarkEnd w:id="221"/>
          </w:p>
        </w:tc>
        <w:tc>
          <w:tcPr>
            <w:tcW w:w="700" w:type="dxa"/>
            <w:tcBorders>
              <w:top w:val="nil"/>
              <w:left w:val="nil"/>
              <w:bottom w:val="nil"/>
              <w:right w:val="nil"/>
            </w:tcBorders>
            <w:shd w:val="clear" w:color="000000" w:fill="006991"/>
            <w:vAlign w:val="center"/>
            <w:hideMark/>
          </w:tcPr>
          <w:p w14:paraId="24B10C30"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7979">
              <w:rPr>
                <w:rFonts w:ascii="Open Sans Semibold" w:eastAsia="Times New Roman" w:hAnsi="Open Sans Semibold" w:cs="Open Sans Semibold"/>
                <w:color w:val="FFFFFF"/>
                <w:sz w:val="16"/>
                <w:szCs w:val="16"/>
                <w:lang w:eastAsia="en-AU"/>
              </w:rPr>
              <w:t>NSW</w:t>
            </w:r>
          </w:p>
        </w:tc>
        <w:tc>
          <w:tcPr>
            <w:tcW w:w="700" w:type="dxa"/>
            <w:tcBorders>
              <w:top w:val="nil"/>
              <w:left w:val="nil"/>
              <w:bottom w:val="nil"/>
              <w:right w:val="nil"/>
            </w:tcBorders>
            <w:shd w:val="clear" w:color="000000" w:fill="006991"/>
            <w:vAlign w:val="center"/>
            <w:hideMark/>
          </w:tcPr>
          <w:p w14:paraId="372D4B8E"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7979">
              <w:rPr>
                <w:rFonts w:ascii="Open Sans Semibold" w:eastAsia="Times New Roman" w:hAnsi="Open Sans Semibold" w:cs="Open Sans Semibold"/>
                <w:color w:val="FFFFFF"/>
                <w:sz w:val="16"/>
                <w:szCs w:val="16"/>
                <w:lang w:eastAsia="en-AU"/>
              </w:rPr>
              <w:t>Vic</w:t>
            </w:r>
          </w:p>
        </w:tc>
        <w:tc>
          <w:tcPr>
            <w:tcW w:w="700" w:type="dxa"/>
            <w:tcBorders>
              <w:top w:val="nil"/>
              <w:left w:val="nil"/>
              <w:bottom w:val="nil"/>
              <w:right w:val="nil"/>
            </w:tcBorders>
            <w:shd w:val="clear" w:color="000000" w:fill="006991"/>
            <w:vAlign w:val="center"/>
            <w:hideMark/>
          </w:tcPr>
          <w:p w14:paraId="5FB85050"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7979">
              <w:rPr>
                <w:rFonts w:ascii="Open Sans Semibold" w:eastAsia="Times New Roman" w:hAnsi="Open Sans Semibold" w:cs="Open Sans Semibold"/>
                <w:color w:val="FFFFFF"/>
                <w:sz w:val="16"/>
                <w:szCs w:val="16"/>
                <w:lang w:eastAsia="en-AU"/>
              </w:rPr>
              <w:t>Qld</w:t>
            </w:r>
          </w:p>
        </w:tc>
        <w:tc>
          <w:tcPr>
            <w:tcW w:w="700" w:type="dxa"/>
            <w:tcBorders>
              <w:top w:val="nil"/>
              <w:left w:val="nil"/>
              <w:bottom w:val="nil"/>
              <w:right w:val="nil"/>
            </w:tcBorders>
            <w:shd w:val="clear" w:color="000000" w:fill="006991"/>
            <w:vAlign w:val="center"/>
            <w:hideMark/>
          </w:tcPr>
          <w:p w14:paraId="3CEE0313"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7979">
              <w:rPr>
                <w:rFonts w:ascii="Open Sans Semibold" w:eastAsia="Times New Roman" w:hAnsi="Open Sans Semibold" w:cs="Open Sans Semibold"/>
                <w:color w:val="FFFFFF"/>
                <w:sz w:val="16"/>
                <w:szCs w:val="16"/>
                <w:lang w:eastAsia="en-AU"/>
              </w:rPr>
              <w:t>WA</w:t>
            </w:r>
          </w:p>
        </w:tc>
        <w:tc>
          <w:tcPr>
            <w:tcW w:w="700" w:type="dxa"/>
            <w:tcBorders>
              <w:top w:val="nil"/>
              <w:left w:val="nil"/>
              <w:bottom w:val="nil"/>
              <w:right w:val="nil"/>
            </w:tcBorders>
            <w:shd w:val="clear" w:color="000000" w:fill="006991"/>
            <w:vAlign w:val="center"/>
            <w:hideMark/>
          </w:tcPr>
          <w:p w14:paraId="11F8CCF7"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7979">
              <w:rPr>
                <w:rFonts w:ascii="Open Sans Semibold" w:eastAsia="Times New Roman" w:hAnsi="Open Sans Semibold" w:cs="Open Sans Semibold"/>
                <w:color w:val="FFFFFF"/>
                <w:sz w:val="16"/>
                <w:szCs w:val="16"/>
                <w:lang w:eastAsia="en-AU"/>
              </w:rPr>
              <w:t>SA</w:t>
            </w:r>
          </w:p>
        </w:tc>
        <w:tc>
          <w:tcPr>
            <w:tcW w:w="700" w:type="dxa"/>
            <w:tcBorders>
              <w:top w:val="nil"/>
              <w:left w:val="nil"/>
              <w:bottom w:val="nil"/>
              <w:right w:val="nil"/>
            </w:tcBorders>
            <w:shd w:val="clear" w:color="000000" w:fill="006991"/>
            <w:vAlign w:val="center"/>
            <w:hideMark/>
          </w:tcPr>
          <w:p w14:paraId="10DBEA23"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7979">
              <w:rPr>
                <w:rFonts w:ascii="Open Sans Semibold" w:eastAsia="Times New Roman" w:hAnsi="Open Sans Semibold" w:cs="Open Sans Semibold"/>
                <w:color w:val="FFFFFF"/>
                <w:sz w:val="16"/>
                <w:szCs w:val="16"/>
                <w:lang w:eastAsia="en-AU"/>
              </w:rPr>
              <w:t>Tas</w:t>
            </w:r>
          </w:p>
        </w:tc>
        <w:tc>
          <w:tcPr>
            <w:tcW w:w="700" w:type="dxa"/>
            <w:tcBorders>
              <w:top w:val="nil"/>
              <w:left w:val="nil"/>
              <w:bottom w:val="nil"/>
              <w:right w:val="nil"/>
            </w:tcBorders>
            <w:shd w:val="clear" w:color="000000" w:fill="006991"/>
            <w:vAlign w:val="center"/>
            <w:hideMark/>
          </w:tcPr>
          <w:p w14:paraId="5FB2025A"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7979">
              <w:rPr>
                <w:rFonts w:ascii="Open Sans Semibold" w:eastAsia="Times New Roman" w:hAnsi="Open Sans Semibold" w:cs="Open Sans Semibold"/>
                <w:color w:val="FFFFFF"/>
                <w:sz w:val="16"/>
                <w:szCs w:val="16"/>
                <w:lang w:eastAsia="en-AU"/>
              </w:rPr>
              <w:t>ACT</w:t>
            </w:r>
          </w:p>
        </w:tc>
        <w:tc>
          <w:tcPr>
            <w:tcW w:w="700" w:type="dxa"/>
            <w:tcBorders>
              <w:top w:val="nil"/>
              <w:left w:val="nil"/>
              <w:bottom w:val="nil"/>
              <w:right w:val="nil"/>
            </w:tcBorders>
            <w:shd w:val="clear" w:color="000000" w:fill="006991"/>
            <w:vAlign w:val="center"/>
            <w:hideMark/>
          </w:tcPr>
          <w:p w14:paraId="4B111508"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7979">
              <w:rPr>
                <w:rFonts w:ascii="Open Sans Semibold" w:eastAsia="Times New Roman" w:hAnsi="Open Sans Semibold" w:cs="Open Sans Semibold"/>
                <w:color w:val="FFFFFF"/>
                <w:sz w:val="16"/>
                <w:szCs w:val="16"/>
                <w:lang w:eastAsia="en-AU"/>
              </w:rPr>
              <w:t>NT</w:t>
            </w:r>
          </w:p>
        </w:tc>
        <w:tc>
          <w:tcPr>
            <w:tcW w:w="700" w:type="dxa"/>
            <w:tcBorders>
              <w:top w:val="nil"/>
              <w:left w:val="nil"/>
              <w:bottom w:val="nil"/>
              <w:right w:val="nil"/>
            </w:tcBorders>
            <w:shd w:val="clear" w:color="000000" w:fill="006991"/>
            <w:vAlign w:val="center"/>
            <w:hideMark/>
          </w:tcPr>
          <w:p w14:paraId="6960A1AE"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E07979">
              <w:rPr>
                <w:rFonts w:ascii="Open Sans Semibold" w:eastAsia="Times New Roman" w:hAnsi="Open Sans Semibold" w:cs="Open Sans Semibold"/>
                <w:color w:val="FFFFFF"/>
                <w:sz w:val="16"/>
                <w:szCs w:val="16"/>
                <w:lang w:eastAsia="en-AU"/>
              </w:rPr>
              <w:t>Total Effect</w:t>
            </w:r>
          </w:p>
        </w:tc>
      </w:tr>
      <w:tr w:rsidR="00E07979" w:rsidRPr="00E07979" w14:paraId="6CD49FE5" w14:textId="77777777" w:rsidTr="00E07979">
        <w:trPr>
          <w:trHeight w:val="259"/>
        </w:trPr>
        <w:tc>
          <w:tcPr>
            <w:tcW w:w="2720" w:type="dxa"/>
            <w:tcBorders>
              <w:top w:val="single" w:sz="4" w:space="0" w:color="ADD6EA"/>
              <w:left w:val="nil"/>
              <w:bottom w:val="nil"/>
              <w:right w:val="nil"/>
            </w:tcBorders>
            <w:shd w:val="clear" w:color="000000" w:fill="B6D5E4"/>
            <w:vAlign w:val="center"/>
            <w:hideMark/>
          </w:tcPr>
          <w:p w14:paraId="753B6270" w14:textId="77777777" w:rsidR="00E07979" w:rsidRPr="00E07979" w:rsidRDefault="00E07979" w:rsidP="00E07979">
            <w:pPr>
              <w:tabs>
                <w:tab w:val="clear" w:pos="567"/>
              </w:tabs>
              <w:spacing w:before="0" w:line="240" w:lineRule="auto"/>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 </w:t>
            </w:r>
          </w:p>
        </w:tc>
        <w:tc>
          <w:tcPr>
            <w:tcW w:w="700" w:type="dxa"/>
            <w:tcBorders>
              <w:top w:val="single" w:sz="4" w:space="0" w:color="ADD6EA"/>
              <w:left w:val="nil"/>
              <w:bottom w:val="nil"/>
              <w:right w:val="nil"/>
            </w:tcBorders>
            <w:shd w:val="clear" w:color="000000" w:fill="B6D5E4"/>
            <w:noWrap/>
            <w:vAlign w:val="center"/>
            <w:hideMark/>
          </w:tcPr>
          <w:p w14:paraId="023C67B0"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62628E4C"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79F9DEC3"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01E3D7EE"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1CDF66F5"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417D7FE6"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06A0828F"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56BD5FEB"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$m</w:t>
            </w:r>
          </w:p>
        </w:tc>
        <w:tc>
          <w:tcPr>
            <w:tcW w:w="700" w:type="dxa"/>
            <w:tcBorders>
              <w:top w:val="single" w:sz="4" w:space="0" w:color="ADD6EA"/>
              <w:left w:val="nil"/>
              <w:bottom w:val="nil"/>
              <w:right w:val="nil"/>
            </w:tcBorders>
            <w:shd w:val="clear" w:color="000000" w:fill="B6D5E4"/>
            <w:noWrap/>
            <w:vAlign w:val="center"/>
            <w:hideMark/>
          </w:tcPr>
          <w:p w14:paraId="3A15AE83"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$m</w:t>
            </w:r>
          </w:p>
        </w:tc>
      </w:tr>
      <w:tr w:rsidR="00E07979" w:rsidRPr="00E07979" w14:paraId="5E307A90" w14:textId="77777777" w:rsidTr="00E07979">
        <w:trPr>
          <w:trHeight w:val="315"/>
        </w:trPr>
        <w:tc>
          <w:tcPr>
            <w:tcW w:w="2720" w:type="dxa"/>
            <w:tcBorders>
              <w:top w:val="single" w:sz="4" w:space="0" w:color="ADD6EA"/>
              <w:left w:val="nil"/>
              <w:bottom w:val="nil"/>
              <w:right w:val="nil"/>
            </w:tcBorders>
            <w:shd w:val="clear" w:color="auto" w:fill="auto"/>
            <w:vAlign w:val="center"/>
            <w:hideMark/>
          </w:tcPr>
          <w:p w14:paraId="3406F8E5" w14:textId="77777777" w:rsidR="00E07979" w:rsidRPr="00E07979" w:rsidRDefault="00E07979" w:rsidP="00E07979">
            <w:pPr>
              <w:tabs>
                <w:tab w:val="clear" w:pos="567"/>
              </w:tabs>
              <w:spacing w:before="0" w:line="240" w:lineRule="auto"/>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Grants in lieu of royalties</w:t>
            </w:r>
          </w:p>
        </w:tc>
        <w:tc>
          <w:tcPr>
            <w:tcW w:w="700" w:type="dxa"/>
            <w:tcBorders>
              <w:top w:val="single" w:sz="4" w:space="0" w:color="ADD6EA"/>
              <w:left w:val="nil"/>
              <w:bottom w:val="nil"/>
              <w:right w:val="nil"/>
            </w:tcBorders>
            <w:shd w:val="clear" w:color="auto" w:fill="auto"/>
            <w:noWrap/>
            <w:vAlign w:val="center"/>
            <w:hideMark/>
          </w:tcPr>
          <w:p w14:paraId="0A8747D4"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59</w:t>
            </w:r>
          </w:p>
        </w:tc>
        <w:tc>
          <w:tcPr>
            <w:tcW w:w="700" w:type="dxa"/>
            <w:tcBorders>
              <w:top w:val="single" w:sz="4" w:space="0" w:color="ADD6EA"/>
              <w:left w:val="nil"/>
              <w:bottom w:val="nil"/>
              <w:right w:val="nil"/>
            </w:tcBorders>
            <w:shd w:val="clear" w:color="auto" w:fill="auto"/>
            <w:noWrap/>
            <w:vAlign w:val="center"/>
            <w:hideMark/>
          </w:tcPr>
          <w:p w14:paraId="02DB534E"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49</w:t>
            </w:r>
          </w:p>
        </w:tc>
        <w:tc>
          <w:tcPr>
            <w:tcW w:w="700" w:type="dxa"/>
            <w:tcBorders>
              <w:top w:val="single" w:sz="4" w:space="0" w:color="ADD6EA"/>
              <w:left w:val="nil"/>
              <w:bottom w:val="nil"/>
              <w:right w:val="nil"/>
            </w:tcBorders>
            <w:shd w:val="clear" w:color="auto" w:fill="auto"/>
            <w:noWrap/>
            <w:vAlign w:val="center"/>
            <w:hideMark/>
          </w:tcPr>
          <w:p w14:paraId="33178F29"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39</w:t>
            </w:r>
          </w:p>
        </w:tc>
        <w:tc>
          <w:tcPr>
            <w:tcW w:w="700" w:type="dxa"/>
            <w:tcBorders>
              <w:top w:val="single" w:sz="4" w:space="0" w:color="ADD6EA"/>
              <w:left w:val="nil"/>
              <w:bottom w:val="nil"/>
              <w:right w:val="nil"/>
            </w:tcBorders>
            <w:shd w:val="clear" w:color="auto" w:fill="auto"/>
            <w:noWrap/>
            <w:vAlign w:val="center"/>
            <w:hideMark/>
          </w:tcPr>
          <w:p w14:paraId="29DBD7BD"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-170</w:t>
            </w:r>
          </w:p>
        </w:tc>
        <w:tc>
          <w:tcPr>
            <w:tcW w:w="700" w:type="dxa"/>
            <w:tcBorders>
              <w:top w:val="single" w:sz="4" w:space="0" w:color="ADD6EA"/>
              <w:left w:val="nil"/>
              <w:bottom w:val="nil"/>
              <w:right w:val="nil"/>
            </w:tcBorders>
            <w:shd w:val="clear" w:color="auto" w:fill="auto"/>
            <w:noWrap/>
            <w:vAlign w:val="center"/>
            <w:hideMark/>
          </w:tcPr>
          <w:p w14:paraId="71F02ED8"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13</w:t>
            </w:r>
          </w:p>
        </w:tc>
        <w:tc>
          <w:tcPr>
            <w:tcW w:w="700" w:type="dxa"/>
            <w:tcBorders>
              <w:top w:val="single" w:sz="4" w:space="0" w:color="ADD6EA"/>
              <w:left w:val="nil"/>
              <w:bottom w:val="nil"/>
              <w:right w:val="nil"/>
            </w:tcBorders>
            <w:shd w:val="clear" w:color="auto" w:fill="auto"/>
            <w:noWrap/>
            <w:vAlign w:val="center"/>
            <w:hideMark/>
          </w:tcPr>
          <w:p w14:paraId="264215B9"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4</w:t>
            </w:r>
          </w:p>
        </w:tc>
        <w:tc>
          <w:tcPr>
            <w:tcW w:w="700" w:type="dxa"/>
            <w:tcBorders>
              <w:top w:val="single" w:sz="4" w:space="0" w:color="ADD6EA"/>
              <w:left w:val="nil"/>
              <w:bottom w:val="nil"/>
              <w:right w:val="nil"/>
            </w:tcBorders>
            <w:shd w:val="clear" w:color="auto" w:fill="auto"/>
            <w:noWrap/>
            <w:vAlign w:val="center"/>
            <w:hideMark/>
          </w:tcPr>
          <w:p w14:paraId="50481A6B"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3</w:t>
            </w:r>
          </w:p>
        </w:tc>
        <w:tc>
          <w:tcPr>
            <w:tcW w:w="700" w:type="dxa"/>
            <w:tcBorders>
              <w:top w:val="single" w:sz="4" w:space="0" w:color="ADD6EA"/>
              <w:left w:val="nil"/>
              <w:bottom w:val="nil"/>
              <w:right w:val="nil"/>
            </w:tcBorders>
            <w:shd w:val="clear" w:color="auto" w:fill="auto"/>
            <w:noWrap/>
            <w:vAlign w:val="center"/>
            <w:hideMark/>
          </w:tcPr>
          <w:p w14:paraId="792A6E42"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3</w:t>
            </w:r>
          </w:p>
        </w:tc>
        <w:tc>
          <w:tcPr>
            <w:tcW w:w="700" w:type="dxa"/>
            <w:tcBorders>
              <w:top w:val="single" w:sz="4" w:space="0" w:color="ADD6EA"/>
              <w:left w:val="nil"/>
              <w:bottom w:val="nil"/>
              <w:right w:val="nil"/>
            </w:tcBorders>
            <w:shd w:val="clear" w:color="auto" w:fill="auto"/>
            <w:noWrap/>
            <w:vAlign w:val="center"/>
            <w:hideMark/>
          </w:tcPr>
          <w:p w14:paraId="6BD4CFB0"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170</w:t>
            </w:r>
          </w:p>
        </w:tc>
      </w:tr>
      <w:tr w:rsidR="00E07979" w:rsidRPr="00E07979" w14:paraId="48F8EF67" w14:textId="77777777" w:rsidTr="00E07979">
        <w:trPr>
          <w:trHeight w:val="315"/>
        </w:trPr>
        <w:tc>
          <w:tcPr>
            <w:tcW w:w="2720" w:type="dxa"/>
            <w:tcBorders>
              <w:top w:val="single" w:sz="4" w:space="0" w:color="ADD6EA"/>
              <w:left w:val="nil"/>
              <w:bottom w:val="nil"/>
              <w:right w:val="nil"/>
            </w:tcBorders>
            <w:shd w:val="clear" w:color="auto" w:fill="auto"/>
            <w:vAlign w:val="center"/>
            <w:hideMark/>
          </w:tcPr>
          <w:p w14:paraId="04DAC83F" w14:textId="615117C9" w:rsidR="00E07979" w:rsidRPr="00E07979" w:rsidRDefault="00E07979" w:rsidP="00E07979">
            <w:pPr>
              <w:tabs>
                <w:tab w:val="clear" w:pos="567"/>
              </w:tabs>
              <w:spacing w:before="0" w:line="240" w:lineRule="auto"/>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 xml:space="preserve">Iron </w:t>
            </w:r>
            <w:r w:rsidR="00C16508">
              <w:rPr>
                <w:rFonts w:ascii="Open Sans Light" w:eastAsia="Times New Roman" w:hAnsi="Open Sans Light" w:cs="Open Sans Light"/>
                <w:color w:val="000000"/>
                <w:sz w:val="16"/>
                <w:szCs w:val="16"/>
                <w:lang w:eastAsia="en-AU"/>
              </w:rPr>
              <w:t>o</w:t>
            </w:r>
            <w:r w:rsidRPr="00E07979">
              <w:rPr>
                <w:rFonts w:ascii="Open Sans Light" w:eastAsia="Times New Roman" w:hAnsi="Open Sans Light" w:cs="Open Sans Light"/>
                <w:color w:val="000000"/>
                <w:sz w:val="16"/>
                <w:szCs w:val="16"/>
                <w:lang w:eastAsia="en-AU"/>
              </w:rPr>
              <w:t>re</w:t>
            </w:r>
          </w:p>
        </w:tc>
        <w:tc>
          <w:tcPr>
            <w:tcW w:w="700" w:type="dxa"/>
            <w:tcBorders>
              <w:top w:val="single" w:sz="4" w:space="0" w:color="ADD6EA"/>
              <w:left w:val="nil"/>
              <w:bottom w:val="nil"/>
              <w:right w:val="nil"/>
            </w:tcBorders>
            <w:shd w:val="clear" w:color="auto" w:fill="auto"/>
            <w:noWrap/>
            <w:vAlign w:val="center"/>
            <w:hideMark/>
          </w:tcPr>
          <w:p w14:paraId="5840DBDF"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-167</w:t>
            </w:r>
          </w:p>
        </w:tc>
        <w:tc>
          <w:tcPr>
            <w:tcW w:w="700" w:type="dxa"/>
            <w:tcBorders>
              <w:top w:val="single" w:sz="4" w:space="0" w:color="ADD6EA"/>
              <w:left w:val="nil"/>
              <w:bottom w:val="nil"/>
              <w:right w:val="nil"/>
            </w:tcBorders>
            <w:shd w:val="clear" w:color="auto" w:fill="auto"/>
            <w:noWrap/>
            <w:vAlign w:val="center"/>
            <w:hideMark/>
          </w:tcPr>
          <w:p w14:paraId="4B3FE2B0"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-138</w:t>
            </w:r>
          </w:p>
        </w:tc>
        <w:tc>
          <w:tcPr>
            <w:tcW w:w="700" w:type="dxa"/>
            <w:tcBorders>
              <w:top w:val="single" w:sz="4" w:space="0" w:color="ADD6EA"/>
              <w:left w:val="nil"/>
              <w:bottom w:val="nil"/>
              <w:right w:val="nil"/>
            </w:tcBorders>
            <w:shd w:val="clear" w:color="auto" w:fill="auto"/>
            <w:noWrap/>
            <w:vAlign w:val="center"/>
            <w:hideMark/>
          </w:tcPr>
          <w:p w14:paraId="6CE84A42"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-110</w:t>
            </w:r>
          </w:p>
        </w:tc>
        <w:tc>
          <w:tcPr>
            <w:tcW w:w="700" w:type="dxa"/>
            <w:tcBorders>
              <w:top w:val="single" w:sz="4" w:space="0" w:color="ADD6EA"/>
              <w:left w:val="nil"/>
              <w:bottom w:val="nil"/>
              <w:right w:val="nil"/>
            </w:tcBorders>
            <w:shd w:val="clear" w:color="auto" w:fill="auto"/>
            <w:noWrap/>
            <w:vAlign w:val="center"/>
            <w:hideMark/>
          </w:tcPr>
          <w:p w14:paraId="2675BB64"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474</w:t>
            </w:r>
          </w:p>
        </w:tc>
        <w:tc>
          <w:tcPr>
            <w:tcW w:w="700" w:type="dxa"/>
            <w:tcBorders>
              <w:top w:val="single" w:sz="4" w:space="0" w:color="ADD6EA"/>
              <w:left w:val="nil"/>
              <w:bottom w:val="nil"/>
              <w:right w:val="nil"/>
            </w:tcBorders>
            <w:shd w:val="clear" w:color="auto" w:fill="auto"/>
            <w:noWrap/>
            <w:vAlign w:val="center"/>
            <w:hideMark/>
          </w:tcPr>
          <w:p w14:paraId="0DA2B716"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-36</w:t>
            </w:r>
          </w:p>
        </w:tc>
        <w:tc>
          <w:tcPr>
            <w:tcW w:w="700" w:type="dxa"/>
            <w:tcBorders>
              <w:top w:val="single" w:sz="4" w:space="0" w:color="ADD6EA"/>
              <w:left w:val="nil"/>
              <w:bottom w:val="nil"/>
              <w:right w:val="nil"/>
            </w:tcBorders>
            <w:shd w:val="clear" w:color="auto" w:fill="auto"/>
            <w:noWrap/>
            <w:vAlign w:val="center"/>
            <w:hideMark/>
          </w:tcPr>
          <w:p w14:paraId="36566C9B"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-10</w:t>
            </w:r>
          </w:p>
        </w:tc>
        <w:tc>
          <w:tcPr>
            <w:tcW w:w="700" w:type="dxa"/>
            <w:tcBorders>
              <w:top w:val="single" w:sz="4" w:space="0" w:color="ADD6EA"/>
              <w:left w:val="nil"/>
              <w:bottom w:val="nil"/>
              <w:right w:val="nil"/>
            </w:tcBorders>
            <w:shd w:val="clear" w:color="auto" w:fill="auto"/>
            <w:noWrap/>
            <w:vAlign w:val="center"/>
            <w:hideMark/>
          </w:tcPr>
          <w:p w14:paraId="2C915731"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-9</w:t>
            </w:r>
          </w:p>
        </w:tc>
        <w:tc>
          <w:tcPr>
            <w:tcW w:w="700" w:type="dxa"/>
            <w:tcBorders>
              <w:top w:val="single" w:sz="4" w:space="0" w:color="ADD6EA"/>
              <w:left w:val="nil"/>
              <w:bottom w:val="nil"/>
              <w:right w:val="nil"/>
            </w:tcBorders>
            <w:shd w:val="clear" w:color="auto" w:fill="auto"/>
            <w:noWrap/>
            <w:vAlign w:val="center"/>
            <w:hideMark/>
          </w:tcPr>
          <w:p w14:paraId="5ECAC751"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-5</w:t>
            </w:r>
          </w:p>
        </w:tc>
        <w:tc>
          <w:tcPr>
            <w:tcW w:w="700" w:type="dxa"/>
            <w:tcBorders>
              <w:top w:val="single" w:sz="4" w:space="0" w:color="ADD6EA"/>
              <w:left w:val="nil"/>
              <w:bottom w:val="nil"/>
              <w:right w:val="nil"/>
            </w:tcBorders>
            <w:shd w:val="clear" w:color="auto" w:fill="auto"/>
            <w:noWrap/>
            <w:vAlign w:val="center"/>
            <w:hideMark/>
          </w:tcPr>
          <w:p w14:paraId="244D6A6F"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474</w:t>
            </w:r>
          </w:p>
        </w:tc>
      </w:tr>
      <w:tr w:rsidR="00E07979" w:rsidRPr="00E07979" w14:paraId="752539EB" w14:textId="77777777" w:rsidTr="00E07979">
        <w:trPr>
          <w:trHeight w:val="315"/>
        </w:trPr>
        <w:tc>
          <w:tcPr>
            <w:tcW w:w="2720" w:type="dxa"/>
            <w:tcBorders>
              <w:top w:val="single" w:sz="4" w:space="0" w:color="ADD6EA"/>
              <w:left w:val="nil"/>
              <w:bottom w:val="nil"/>
              <w:right w:val="nil"/>
            </w:tcBorders>
            <w:shd w:val="clear" w:color="auto" w:fill="auto"/>
            <w:vAlign w:val="center"/>
            <w:hideMark/>
          </w:tcPr>
          <w:p w14:paraId="11051C69" w14:textId="77777777" w:rsidR="00E07979" w:rsidRPr="00E07979" w:rsidRDefault="00E07979" w:rsidP="00E07979">
            <w:pPr>
              <w:tabs>
                <w:tab w:val="clear" w:pos="567"/>
              </w:tabs>
              <w:spacing w:before="0" w:line="240" w:lineRule="auto"/>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Coal</w:t>
            </w:r>
          </w:p>
        </w:tc>
        <w:tc>
          <w:tcPr>
            <w:tcW w:w="700" w:type="dxa"/>
            <w:tcBorders>
              <w:top w:val="single" w:sz="4" w:space="0" w:color="ADD6EA"/>
              <w:left w:val="nil"/>
              <w:bottom w:val="nil"/>
              <w:right w:val="nil"/>
            </w:tcBorders>
            <w:shd w:val="clear" w:color="auto" w:fill="auto"/>
            <w:noWrap/>
            <w:vAlign w:val="center"/>
            <w:hideMark/>
          </w:tcPr>
          <w:p w14:paraId="0C1FA165"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-962</w:t>
            </w:r>
          </w:p>
        </w:tc>
        <w:tc>
          <w:tcPr>
            <w:tcW w:w="700" w:type="dxa"/>
            <w:tcBorders>
              <w:top w:val="single" w:sz="4" w:space="0" w:color="ADD6EA"/>
              <w:left w:val="nil"/>
              <w:bottom w:val="nil"/>
              <w:right w:val="nil"/>
            </w:tcBorders>
            <w:shd w:val="clear" w:color="auto" w:fill="auto"/>
            <w:noWrap/>
            <w:vAlign w:val="center"/>
            <w:hideMark/>
          </w:tcPr>
          <w:p w14:paraId="347F4A7A"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1,229</w:t>
            </w:r>
          </w:p>
        </w:tc>
        <w:tc>
          <w:tcPr>
            <w:tcW w:w="700" w:type="dxa"/>
            <w:tcBorders>
              <w:top w:val="single" w:sz="4" w:space="0" w:color="ADD6EA"/>
              <w:left w:val="nil"/>
              <w:bottom w:val="nil"/>
              <w:right w:val="nil"/>
            </w:tcBorders>
            <w:shd w:val="clear" w:color="auto" w:fill="auto"/>
            <w:noWrap/>
            <w:vAlign w:val="center"/>
            <w:hideMark/>
          </w:tcPr>
          <w:p w14:paraId="1258F94C"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-1,352</w:t>
            </w:r>
          </w:p>
        </w:tc>
        <w:tc>
          <w:tcPr>
            <w:tcW w:w="700" w:type="dxa"/>
            <w:tcBorders>
              <w:top w:val="single" w:sz="4" w:space="0" w:color="ADD6EA"/>
              <w:left w:val="nil"/>
              <w:bottom w:val="nil"/>
              <w:right w:val="nil"/>
            </w:tcBorders>
            <w:shd w:val="clear" w:color="auto" w:fill="auto"/>
            <w:noWrap/>
            <w:vAlign w:val="center"/>
            <w:hideMark/>
          </w:tcPr>
          <w:p w14:paraId="7A609D51"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518</w:t>
            </w:r>
          </w:p>
        </w:tc>
        <w:tc>
          <w:tcPr>
            <w:tcW w:w="700" w:type="dxa"/>
            <w:tcBorders>
              <w:top w:val="single" w:sz="4" w:space="0" w:color="ADD6EA"/>
              <w:left w:val="nil"/>
              <w:bottom w:val="nil"/>
              <w:right w:val="nil"/>
            </w:tcBorders>
            <w:shd w:val="clear" w:color="auto" w:fill="auto"/>
            <w:noWrap/>
            <w:vAlign w:val="center"/>
            <w:hideMark/>
          </w:tcPr>
          <w:p w14:paraId="67801BEB"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335</w:t>
            </w:r>
          </w:p>
        </w:tc>
        <w:tc>
          <w:tcPr>
            <w:tcW w:w="700" w:type="dxa"/>
            <w:tcBorders>
              <w:top w:val="single" w:sz="4" w:space="0" w:color="ADD6EA"/>
              <w:left w:val="nil"/>
              <w:bottom w:val="nil"/>
              <w:right w:val="nil"/>
            </w:tcBorders>
            <w:shd w:val="clear" w:color="auto" w:fill="auto"/>
            <w:noWrap/>
            <w:vAlign w:val="center"/>
            <w:hideMark/>
          </w:tcPr>
          <w:p w14:paraId="38BBEB00"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103</w:t>
            </w:r>
          </w:p>
        </w:tc>
        <w:tc>
          <w:tcPr>
            <w:tcW w:w="700" w:type="dxa"/>
            <w:tcBorders>
              <w:top w:val="single" w:sz="4" w:space="0" w:color="ADD6EA"/>
              <w:left w:val="nil"/>
              <w:bottom w:val="nil"/>
              <w:right w:val="nil"/>
            </w:tcBorders>
            <w:shd w:val="clear" w:color="auto" w:fill="auto"/>
            <w:noWrap/>
            <w:vAlign w:val="center"/>
            <w:hideMark/>
          </w:tcPr>
          <w:p w14:paraId="1C3336AB"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85</w:t>
            </w:r>
          </w:p>
        </w:tc>
        <w:tc>
          <w:tcPr>
            <w:tcW w:w="700" w:type="dxa"/>
            <w:tcBorders>
              <w:top w:val="single" w:sz="4" w:space="0" w:color="ADD6EA"/>
              <w:left w:val="nil"/>
              <w:bottom w:val="nil"/>
              <w:right w:val="nil"/>
            </w:tcBorders>
            <w:shd w:val="clear" w:color="auto" w:fill="auto"/>
            <w:noWrap/>
            <w:vAlign w:val="center"/>
            <w:hideMark/>
          </w:tcPr>
          <w:p w14:paraId="73C50586"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45</w:t>
            </w:r>
          </w:p>
        </w:tc>
        <w:tc>
          <w:tcPr>
            <w:tcW w:w="700" w:type="dxa"/>
            <w:tcBorders>
              <w:top w:val="single" w:sz="4" w:space="0" w:color="ADD6EA"/>
              <w:left w:val="nil"/>
              <w:bottom w:val="nil"/>
              <w:right w:val="nil"/>
            </w:tcBorders>
            <w:shd w:val="clear" w:color="auto" w:fill="auto"/>
            <w:noWrap/>
            <w:vAlign w:val="center"/>
            <w:hideMark/>
          </w:tcPr>
          <w:p w14:paraId="6871E9DA"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2,314</w:t>
            </w:r>
          </w:p>
        </w:tc>
      </w:tr>
      <w:tr w:rsidR="00E07979" w:rsidRPr="00E07979" w14:paraId="57E2B204" w14:textId="77777777" w:rsidTr="00E07979">
        <w:trPr>
          <w:trHeight w:val="315"/>
        </w:trPr>
        <w:tc>
          <w:tcPr>
            <w:tcW w:w="2720" w:type="dxa"/>
            <w:tcBorders>
              <w:top w:val="single" w:sz="4" w:space="0" w:color="ADD6EA"/>
              <w:left w:val="nil"/>
              <w:bottom w:val="nil"/>
              <w:right w:val="nil"/>
            </w:tcBorders>
            <w:shd w:val="clear" w:color="auto" w:fill="auto"/>
            <w:vAlign w:val="center"/>
            <w:hideMark/>
          </w:tcPr>
          <w:p w14:paraId="302BD187" w14:textId="77777777" w:rsidR="00E07979" w:rsidRPr="00E07979" w:rsidRDefault="00E07979" w:rsidP="00E07979">
            <w:pPr>
              <w:tabs>
                <w:tab w:val="clear" w:pos="567"/>
              </w:tabs>
              <w:spacing w:before="0" w:line="240" w:lineRule="auto"/>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Gold</w:t>
            </w:r>
          </w:p>
        </w:tc>
        <w:tc>
          <w:tcPr>
            <w:tcW w:w="700" w:type="dxa"/>
            <w:tcBorders>
              <w:top w:val="single" w:sz="4" w:space="0" w:color="ADD6EA"/>
              <w:left w:val="nil"/>
              <w:bottom w:val="nil"/>
              <w:right w:val="nil"/>
            </w:tcBorders>
            <w:shd w:val="clear" w:color="auto" w:fill="auto"/>
            <w:vAlign w:val="center"/>
            <w:hideMark/>
          </w:tcPr>
          <w:p w14:paraId="1C11E3EA"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-7</w:t>
            </w:r>
          </w:p>
        </w:tc>
        <w:tc>
          <w:tcPr>
            <w:tcW w:w="700" w:type="dxa"/>
            <w:tcBorders>
              <w:top w:val="single" w:sz="4" w:space="0" w:color="ADD6EA"/>
              <w:left w:val="nil"/>
              <w:bottom w:val="nil"/>
              <w:right w:val="nil"/>
            </w:tcBorders>
            <w:shd w:val="clear" w:color="auto" w:fill="auto"/>
            <w:vAlign w:val="center"/>
            <w:hideMark/>
          </w:tcPr>
          <w:p w14:paraId="75614080"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-2</w:t>
            </w:r>
          </w:p>
        </w:tc>
        <w:tc>
          <w:tcPr>
            <w:tcW w:w="700" w:type="dxa"/>
            <w:tcBorders>
              <w:top w:val="single" w:sz="4" w:space="0" w:color="ADD6EA"/>
              <w:left w:val="nil"/>
              <w:bottom w:val="nil"/>
              <w:right w:val="nil"/>
            </w:tcBorders>
            <w:shd w:val="clear" w:color="auto" w:fill="auto"/>
            <w:vAlign w:val="center"/>
            <w:hideMark/>
          </w:tcPr>
          <w:p w14:paraId="2EF46D0E"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-9</w:t>
            </w:r>
          </w:p>
        </w:tc>
        <w:tc>
          <w:tcPr>
            <w:tcW w:w="700" w:type="dxa"/>
            <w:tcBorders>
              <w:top w:val="single" w:sz="4" w:space="0" w:color="ADD6EA"/>
              <w:left w:val="nil"/>
              <w:bottom w:val="nil"/>
              <w:right w:val="nil"/>
            </w:tcBorders>
            <w:shd w:val="clear" w:color="auto" w:fill="auto"/>
            <w:vAlign w:val="center"/>
            <w:hideMark/>
          </w:tcPr>
          <w:p w14:paraId="720883FB"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24</w:t>
            </w:r>
          </w:p>
        </w:tc>
        <w:tc>
          <w:tcPr>
            <w:tcW w:w="700" w:type="dxa"/>
            <w:tcBorders>
              <w:top w:val="single" w:sz="4" w:space="0" w:color="ADD6EA"/>
              <w:left w:val="nil"/>
              <w:bottom w:val="nil"/>
              <w:right w:val="nil"/>
            </w:tcBorders>
            <w:shd w:val="clear" w:color="auto" w:fill="auto"/>
            <w:vAlign w:val="center"/>
            <w:hideMark/>
          </w:tcPr>
          <w:p w14:paraId="4BBC227A"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-4</w:t>
            </w:r>
          </w:p>
        </w:tc>
        <w:tc>
          <w:tcPr>
            <w:tcW w:w="700" w:type="dxa"/>
            <w:tcBorders>
              <w:top w:val="single" w:sz="4" w:space="0" w:color="ADD6EA"/>
              <w:left w:val="nil"/>
              <w:bottom w:val="nil"/>
              <w:right w:val="nil"/>
            </w:tcBorders>
            <w:shd w:val="clear" w:color="auto" w:fill="auto"/>
            <w:vAlign w:val="center"/>
            <w:hideMark/>
          </w:tcPr>
          <w:p w14:paraId="0B838A8D"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-2</w:t>
            </w:r>
          </w:p>
        </w:tc>
        <w:tc>
          <w:tcPr>
            <w:tcW w:w="700" w:type="dxa"/>
            <w:tcBorders>
              <w:top w:val="single" w:sz="4" w:space="0" w:color="ADD6EA"/>
              <w:left w:val="nil"/>
              <w:bottom w:val="nil"/>
              <w:right w:val="nil"/>
            </w:tcBorders>
            <w:shd w:val="clear" w:color="auto" w:fill="auto"/>
            <w:vAlign w:val="center"/>
            <w:hideMark/>
          </w:tcPr>
          <w:p w14:paraId="5066E9BC"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w:t>
            </w:r>
          </w:p>
        </w:tc>
        <w:tc>
          <w:tcPr>
            <w:tcW w:w="700" w:type="dxa"/>
            <w:tcBorders>
              <w:top w:val="single" w:sz="4" w:space="0" w:color="ADD6EA"/>
              <w:left w:val="nil"/>
              <w:bottom w:val="nil"/>
              <w:right w:val="nil"/>
            </w:tcBorders>
            <w:shd w:val="clear" w:color="auto" w:fill="auto"/>
            <w:vAlign w:val="center"/>
            <w:hideMark/>
          </w:tcPr>
          <w:p w14:paraId="1721B913"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w:t>
            </w:r>
          </w:p>
        </w:tc>
        <w:tc>
          <w:tcPr>
            <w:tcW w:w="700" w:type="dxa"/>
            <w:tcBorders>
              <w:top w:val="single" w:sz="4" w:space="0" w:color="ADD6EA"/>
              <w:left w:val="nil"/>
              <w:bottom w:val="nil"/>
              <w:right w:val="nil"/>
            </w:tcBorders>
            <w:shd w:val="clear" w:color="auto" w:fill="auto"/>
            <w:vAlign w:val="center"/>
            <w:hideMark/>
          </w:tcPr>
          <w:p w14:paraId="03C5D756"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25</w:t>
            </w:r>
          </w:p>
        </w:tc>
      </w:tr>
      <w:tr w:rsidR="00E07979" w:rsidRPr="00E07979" w14:paraId="30BFAFF5" w14:textId="77777777" w:rsidTr="00E07979">
        <w:trPr>
          <w:trHeight w:val="315"/>
        </w:trPr>
        <w:tc>
          <w:tcPr>
            <w:tcW w:w="2720" w:type="dxa"/>
            <w:tcBorders>
              <w:top w:val="single" w:sz="4" w:space="0" w:color="ADD6EA"/>
              <w:left w:val="nil"/>
              <w:bottom w:val="nil"/>
              <w:right w:val="nil"/>
            </w:tcBorders>
            <w:shd w:val="clear" w:color="auto" w:fill="auto"/>
            <w:vAlign w:val="center"/>
            <w:hideMark/>
          </w:tcPr>
          <w:p w14:paraId="2ED43100" w14:textId="77777777" w:rsidR="00E07979" w:rsidRPr="00E07979" w:rsidRDefault="00E07979" w:rsidP="00E07979">
            <w:pPr>
              <w:tabs>
                <w:tab w:val="clear" w:pos="567"/>
              </w:tabs>
              <w:spacing w:before="0" w:line="240" w:lineRule="auto"/>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Copper</w:t>
            </w:r>
          </w:p>
        </w:tc>
        <w:tc>
          <w:tcPr>
            <w:tcW w:w="700" w:type="dxa"/>
            <w:tcBorders>
              <w:top w:val="single" w:sz="4" w:space="0" w:color="ADD6EA"/>
              <w:left w:val="nil"/>
              <w:bottom w:val="nil"/>
              <w:right w:val="nil"/>
            </w:tcBorders>
            <w:shd w:val="clear" w:color="auto" w:fill="auto"/>
            <w:noWrap/>
            <w:vAlign w:val="center"/>
            <w:hideMark/>
          </w:tcPr>
          <w:p w14:paraId="1D6895E8"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w:t>
            </w:r>
          </w:p>
        </w:tc>
        <w:tc>
          <w:tcPr>
            <w:tcW w:w="700" w:type="dxa"/>
            <w:tcBorders>
              <w:top w:val="single" w:sz="4" w:space="0" w:color="ADD6EA"/>
              <w:left w:val="nil"/>
              <w:bottom w:val="nil"/>
              <w:right w:val="nil"/>
            </w:tcBorders>
            <w:shd w:val="clear" w:color="auto" w:fill="auto"/>
            <w:noWrap/>
            <w:vAlign w:val="center"/>
            <w:hideMark/>
          </w:tcPr>
          <w:p w14:paraId="504BB501"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-4</w:t>
            </w:r>
          </w:p>
        </w:tc>
        <w:tc>
          <w:tcPr>
            <w:tcW w:w="700" w:type="dxa"/>
            <w:tcBorders>
              <w:top w:val="single" w:sz="4" w:space="0" w:color="ADD6EA"/>
              <w:left w:val="nil"/>
              <w:bottom w:val="nil"/>
              <w:right w:val="nil"/>
            </w:tcBorders>
            <w:shd w:val="clear" w:color="auto" w:fill="auto"/>
            <w:noWrap/>
            <w:vAlign w:val="center"/>
            <w:hideMark/>
          </w:tcPr>
          <w:p w14:paraId="036BCB66"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5</w:t>
            </w:r>
          </w:p>
        </w:tc>
        <w:tc>
          <w:tcPr>
            <w:tcW w:w="700" w:type="dxa"/>
            <w:tcBorders>
              <w:top w:val="single" w:sz="4" w:space="0" w:color="ADD6EA"/>
              <w:left w:val="nil"/>
              <w:bottom w:val="nil"/>
              <w:right w:val="nil"/>
            </w:tcBorders>
            <w:shd w:val="clear" w:color="auto" w:fill="auto"/>
            <w:noWrap/>
            <w:vAlign w:val="center"/>
            <w:hideMark/>
          </w:tcPr>
          <w:p w14:paraId="5966A7F9"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7</w:t>
            </w:r>
          </w:p>
        </w:tc>
        <w:tc>
          <w:tcPr>
            <w:tcW w:w="700" w:type="dxa"/>
            <w:tcBorders>
              <w:top w:val="single" w:sz="4" w:space="0" w:color="ADD6EA"/>
              <w:left w:val="nil"/>
              <w:bottom w:val="nil"/>
              <w:right w:val="nil"/>
            </w:tcBorders>
            <w:shd w:val="clear" w:color="auto" w:fill="auto"/>
            <w:noWrap/>
            <w:vAlign w:val="center"/>
            <w:hideMark/>
          </w:tcPr>
          <w:p w14:paraId="5246E3D5"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-6</w:t>
            </w:r>
          </w:p>
        </w:tc>
        <w:tc>
          <w:tcPr>
            <w:tcW w:w="700" w:type="dxa"/>
            <w:tcBorders>
              <w:top w:val="single" w:sz="4" w:space="0" w:color="ADD6EA"/>
              <w:left w:val="nil"/>
              <w:bottom w:val="nil"/>
              <w:right w:val="nil"/>
            </w:tcBorders>
            <w:shd w:val="clear" w:color="auto" w:fill="auto"/>
            <w:noWrap/>
            <w:vAlign w:val="center"/>
            <w:hideMark/>
          </w:tcPr>
          <w:p w14:paraId="049F3D32"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center"/>
            <w:hideMark/>
          </w:tcPr>
          <w:p w14:paraId="6BFB6055"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center"/>
            <w:hideMark/>
          </w:tcPr>
          <w:p w14:paraId="25AB8D6C"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0</w:t>
            </w:r>
          </w:p>
        </w:tc>
        <w:tc>
          <w:tcPr>
            <w:tcW w:w="700" w:type="dxa"/>
            <w:tcBorders>
              <w:top w:val="single" w:sz="4" w:space="0" w:color="ADD6EA"/>
              <w:left w:val="nil"/>
              <w:bottom w:val="nil"/>
              <w:right w:val="nil"/>
            </w:tcBorders>
            <w:shd w:val="clear" w:color="auto" w:fill="auto"/>
            <w:noWrap/>
            <w:vAlign w:val="center"/>
            <w:hideMark/>
          </w:tcPr>
          <w:p w14:paraId="415D3B7B"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13</w:t>
            </w:r>
          </w:p>
        </w:tc>
      </w:tr>
      <w:tr w:rsidR="00E07979" w:rsidRPr="00E07979" w14:paraId="261896AD" w14:textId="77777777" w:rsidTr="00E07979">
        <w:trPr>
          <w:trHeight w:val="315"/>
        </w:trPr>
        <w:tc>
          <w:tcPr>
            <w:tcW w:w="2720" w:type="dxa"/>
            <w:tcBorders>
              <w:top w:val="single" w:sz="4" w:space="0" w:color="ADD6EA"/>
              <w:left w:val="nil"/>
              <w:bottom w:val="nil"/>
              <w:right w:val="nil"/>
            </w:tcBorders>
            <w:shd w:val="clear" w:color="auto" w:fill="auto"/>
            <w:vAlign w:val="center"/>
            <w:hideMark/>
          </w:tcPr>
          <w:p w14:paraId="44CE0E6A" w14:textId="77777777" w:rsidR="00E07979" w:rsidRPr="00E07979" w:rsidRDefault="00E07979" w:rsidP="00E07979">
            <w:pPr>
              <w:tabs>
                <w:tab w:val="clear" w:pos="567"/>
              </w:tabs>
              <w:spacing w:before="0" w:line="240" w:lineRule="auto"/>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Other minerals</w:t>
            </w:r>
          </w:p>
        </w:tc>
        <w:tc>
          <w:tcPr>
            <w:tcW w:w="700" w:type="dxa"/>
            <w:tcBorders>
              <w:top w:val="single" w:sz="4" w:space="0" w:color="ADD6EA"/>
              <w:left w:val="nil"/>
              <w:bottom w:val="nil"/>
              <w:right w:val="nil"/>
            </w:tcBorders>
            <w:shd w:val="clear" w:color="auto" w:fill="auto"/>
            <w:noWrap/>
            <w:vAlign w:val="center"/>
            <w:hideMark/>
          </w:tcPr>
          <w:p w14:paraId="300BCC21"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206</w:t>
            </w:r>
          </w:p>
        </w:tc>
        <w:tc>
          <w:tcPr>
            <w:tcW w:w="700" w:type="dxa"/>
            <w:tcBorders>
              <w:top w:val="single" w:sz="4" w:space="0" w:color="ADD6EA"/>
              <w:left w:val="nil"/>
              <w:bottom w:val="nil"/>
              <w:right w:val="nil"/>
            </w:tcBorders>
            <w:shd w:val="clear" w:color="auto" w:fill="auto"/>
            <w:noWrap/>
            <w:vAlign w:val="center"/>
            <w:hideMark/>
          </w:tcPr>
          <w:p w14:paraId="4FA2DCBD"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175</w:t>
            </w:r>
          </w:p>
        </w:tc>
        <w:tc>
          <w:tcPr>
            <w:tcW w:w="700" w:type="dxa"/>
            <w:tcBorders>
              <w:top w:val="single" w:sz="4" w:space="0" w:color="ADD6EA"/>
              <w:left w:val="nil"/>
              <w:bottom w:val="nil"/>
              <w:right w:val="nil"/>
            </w:tcBorders>
            <w:shd w:val="clear" w:color="auto" w:fill="auto"/>
            <w:noWrap/>
            <w:vAlign w:val="center"/>
            <w:hideMark/>
          </w:tcPr>
          <w:p w14:paraId="35FB14D4"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-307</w:t>
            </w:r>
          </w:p>
        </w:tc>
        <w:tc>
          <w:tcPr>
            <w:tcW w:w="700" w:type="dxa"/>
            <w:tcBorders>
              <w:top w:val="single" w:sz="4" w:space="0" w:color="ADD6EA"/>
              <w:left w:val="nil"/>
              <w:bottom w:val="nil"/>
              <w:right w:val="nil"/>
            </w:tcBorders>
            <w:shd w:val="clear" w:color="auto" w:fill="auto"/>
            <w:noWrap/>
            <w:vAlign w:val="center"/>
            <w:hideMark/>
          </w:tcPr>
          <w:p w14:paraId="7C5ADE81"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-246</w:t>
            </w:r>
          </w:p>
        </w:tc>
        <w:tc>
          <w:tcPr>
            <w:tcW w:w="700" w:type="dxa"/>
            <w:tcBorders>
              <w:top w:val="single" w:sz="4" w:space="0" w:color="ADD6EA"/>
              <w:left w:val="nil"/>
              <w:bottom w:val="nil"/>
              <w:right w:val="nil"/>
            </w:tcBorders>
            <w:shd w:val="clear" w:color="auto" w:fill="auto"/>
            <w:noWrap/>
            <w:vAlign w:val="center"/>
            <w:hideMark/>
          </w:tcPr>
          <w:p w14:paraId="451704BB"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86</w:t>
            </w:r>
          </w:p>
        </w:tc>
        <w:tc>
          <w:tcPr>
            <w:tcW w:w="700" w:type="dxa"/>
            <w:tcBorders>
              <w:top w:val="single" w:sz="4" w:space="0" w:color="ADD6EA"/>
              <w:left w:val="nil"/>
              <w:bottom w:val="nil"/>
              <w:right w:val="nil"/>
            </w:tcBorders>
            <w:shd w:val="clear" w:color="auto" w:fill="auto"/>
            <w:noWrap/>
            <w:vAlign w:val="center"/>
            <w:hideMark/>
          </w:tcPr>
          <w:p w14:paraId="1F1D5C2B"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26</w:t>
            </w:r>
          </w:p>
        </w:tc>
        <w:tc>
          <w:tcPr>
            <w:tcW w:w="700" w:type="dxa"/>
            <w:tcBorders>
              <w:top w:val="single" w:sz="4" w:space="0" w:color="ADD6EA"/>
              <w:left w:val="nil"/>
              <w:bottom w:val="nil"/>
              <w:right w:val="nil"/>
            </w:tcBorders>
            <w:shd w:val="clear" w:color="auto" w:fill="auto"/>
            <w:noWrap/>
            <w:vAlign w:val="center"/>
            <w:hideMark/>
          </w:tcPr>
          <w:p w14:paraId="4465961E"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11</w:t>
            </w:r>
          </w:p>
        </w:tc>
        <w:tc>
          <w:tcPr>
            <w:tcW w:w="700" w:type="dxa"/>
            <w:tcBorders>
              <w:top w:val="single" w:sz="4" w:space="0" w:color="ADD6EA"/>
              <w:left w:val="nil"/>
              <w:bottom w:val="nil"/>
              <w:right w:val="nil"/>
            </w:tcBorders>
            <w:shd w:val="clear" w:color="auto" w:fill="auto"/>
            <w:noWrap/>
            <w:vAlign w:val="center"/>
            <w:hideMark/>
          </w:tcPr>
          <w:p w14:paraId="083CD518"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48</w:t>
            </w:r>
          </w:p>
        </w:tc>
        <w:tc>
          <w:tcPr>
            <w:tcW w:w="700" w:type="dxa"/>
            <w:tcBorders>
              <w:top w:val="single" w:sz="4" w:space="0" w:color="ADD6EA"/>
              <w:left w:val="nil"/>
              <w:bottom w:val="nil"/>
              <w:right w:val="nil"/>
            </w:tcBorders>
            <w:shd w:val="clear" w:color="auto" w:fill="auto"/>
            <w:noWrap/>
            <w:vAlign w:val="center"/>
            <w:hideMark/>
          </w:tcPr>
          <w:p w14:paraId="20C7A52E" w14:textId="77777777" w:rsidR="00E07979" w:rsidRPr="00E07979" w:rsidRDefault="00E07979" w:rsidP="00E07979">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E07979">
              <w:rPr>
                <w:rFonts w:ascii="Open Sans Light" w:eastAsia="Times New Roman" w:hAnsi="Open Sans Light" w:cs="Open Sans Light"/>
                <w:color w:val="000000"/>
                <w:sz w:val="16"/>
                <w:szCs w:val="16"/>
                <w:lang w:eastAsia="en-AU"/>
              </w:rPr>
              <w:t>553</w:t>
            </w:r>
          </w:p>
        </w:tc>
      </w:tr>
      <w:tr w:rsidR="00E07979" w:rsidRPr="00E07979" w14:paraId="1D2ECA98" w14:textId="77777777" w:rsidTr="00E07979">
        <w:trPr>
          <w:trHeight w:val="315"/>
        </w:trPr>
        <w:tc>
          <w:tcPr>
            <w:tcW w:w="2720" w:type="dxa"/>
            <w:tcBorders>
              <w:top w:val="single" w:sz="4" w:space="0" w:color="ADD6EA"/>
              <w:left w:val="nil"/>
              <w:bottom w:val="single" w:sz="4" w:space="0" w:color="ADD6EA"/>
              <w:right w:val="nil"/>
            </w:tcBorders>
            <w:shd w:val="clear" w:color="000000" w:fill="D6E7F0"/>
            <w:vAlign w:val="center"/>
            <w:hideMark/>
          </w:tcPr>
          <w:p w14:paraId="185930D5" w14:textId="77777777" w:rsidR="00E07979" w:rsidRPr="00E07979" w:rsidRDefault="00E07979" w:rsidP="00E07979">
            <w:pPr>
              <w:tabs>
                <w:tab w:val="clear" w:pos="567"/>
              </w:tabs>
              <w:spacing w:before="0" w:line="240" w:lineRule="auto"/>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Total</w:t>
            </w:r>
          </w:p>
        </w:tc>
        <w:tc>
          <w:tcPr>
            <w:tcW w:w="700" w:type="dxa"/>
            <w:tcBorders>
              <w:top w:val="single" w:sz="4" w:space="0" w:color="ADD6EA"/>
              <w:left w:val="nil"/>
              <w:bottom w:val="single" w:sz="4" w:space="0" w:color="ADD6EA"/>
              <w:right w:val="nil"/>
            </w:tcBorders>
            <w:shd w:val="clear" w:color="000000" w:fill="D6E7F0"/>
            <w:noWrap/>
            <w:vAlign w:val="center"/>
            <w:hideMark/>
          </w:tcPr>
          <w:p w14:paraId="30B327E2"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-872</w:t>
            </w:r>
          </w:p>
        </w:tc>
        <w:tc>
          <w:tcPr>
            <w:tcW w:w="700" w:type="dxa"/>
            <w:tcBorders>
              <w:top w:val="single" w:sz="4" w:space="0" w:color="ADD6EA"/>
              <w:left w:val="nil"/>
              <w:bottom w:val="single" w:sz="4" w:space="0" w:color="ADD6EA"/>
              <w:right w:val="nil"/>
            </w:tcBorders>
            <w:shd w:val="clear" w:color="000000" w:fill="D6E7F0"/>
            <w:noWrap/>
            <w:vAlign w:val="center"/>
            <w:hideMark/>
          </w:tcPr>
          <w:p w14:paraId="640DCE09"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1,307</w:t>
            </w:r>
          </w:p>
        </w:tc>
        <w:tc>
          <w:tcPr>
            <w:tcW w:w="700" w:type="dxa"/>
            <w:tcBorders>
              <w:top w:val="single" w:sz="4" w:space="0" w:color="ADD6EA"/>
              <w:left w:val="nil"/>
              <w:bottom w:val="single" w:sz="4" w:space="0" w:color="ADD6EA"/>
              <w:right w:val="nil"/>
            </w:tcBorders>
            <w:shd w:val="clear" w:color="000000" w:fill="D6E7F0"/>
            <w:noWrap/>
            <w:vAlign w:val="center"/>
            <w:hideMark/>
          </w:tcPr>
          <w:p w14:paraId="00A60D4F"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-1,734</w:t>
            </w:r>
          </w:p>
        </w:tc>
        <w:tc>
          <w:tcPr>
            <w:tcW w:w="700" w:type="dxa"/>
            <w:tcBorders>
              <w:top w:val="single" w:sz="4" w:space="0" w:color="ADD6EA"/>
              <w:left w:val="nil"/>
              <w:bottom w:val="single" w:sz="4" w:space="0" w:color="ADD6EA"/>
              <w:right w:val="nil"/>
            </w:tcBorders>
            <w:shd w:val="clear" w:color="000000" w:fill="D6E7F0"/>
            <w:noWrap/>
            <w:vAlign w:val="center"/>
            <w:hideMark/>
          </w:tcPr>
          <w:p w14:paraId="7D594199"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608</w:t>
            </w:r>
          </w:p>
        </w:tc>
        <w:tc>
          <w:tcPr>
            <w:tcW w:w="700" w:type="dxa"/>
            <w:tcBorders>
              <w:top w:val="single" w:sz="4" w:space="0" w:color="ADD6EA"/>
              <w:left w:val="nil"/>
              <w:bottom w:val="single" w:sz="4" w:space="0" w:color="ADD6EA"/>
              <w:right w:val="nil"/>
            </w:tcBorders>
            <w:shd w:val="clear" w:color="000000" w:fill="D6E7F0"/>
            <w:noWrap/>
            <w:vAlign w:val="center"/>
            <w:hideMark/>
          </w:tcPr>
          <w:p w14:paraId="643689BC"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388</w:t>
            </w:r>
          </w:p>
        </w:tc>
        <w:tc>
          <w:tcPr>
            <w:tcW w:w="700" w:type="dxa"/>
            <w:tcBorders>
              <w:top w:val="single" w:sz="4" w:space="0" w:color="ADD6EA"/>
              <w:left w:val="nil"/>
              <w:bottom w:val="single" w:sz="4" w:space="0" w:color="ADD6EA"/>
              <w:right w:val="nil"/>
            </w:tcBorders>
            <w:shd w:val="clear" w:color="000000" w:fill="D6E7F0"/>
            <w:noWrap/>
            <w:vAlign w:val="center"/>
            <w:hideMark/>
          </w:tcPr>
          <w:p w14:paraId="1B4EE01E"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121</w:t>
            </w:r>
          </w:p>
        </w:tc>
        <w:tc>
          <w:tcPr>
            <w:tcW w:w="700" w:type="dxa"/>
            <w:tcBorders>
              <w:top w:val="single" w:sz="4" w:space="0" w:color="ADD6EA"/>
              <w:left w:val="nil"/>
              <w:bottom w:val="single" w:sz="4" w:space="0" w:color="ADD6EA"/>
              <w:right w:val="nil"/>
            </w:tcBorders>
            <w:shd w:val="clear" w:color="000000" w:fill="D6E7F0"/>
            <w:noWrap/>
            <w:vAlign w:val="center"/>
            <w:hideMark/>
          </w:tcPr>
          <w:p w14:paraId="3BF8AB2D"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89</w:t>
            </w:r>
          </w:p>
        </w:tc>
        <w:tc>
          <w:tcPr>
            <w:tcW w:w="700" w:type="dxa"/>
            <w:tcBorders>
              <w:top w:val="single" w:sz="4" w:space="0" w:color="ADD6EA"/>
              <w:left w:val="nil"/>
              <w:bottom w:val="single" w:sz="4" w:space="0" w:color="ADD6EA"/>
              <w:right w:val="nil"/>
            </w:tcBorders>
            <w:shd w:val="clear" w:color="000000" w:fill="D6E7F0"/>
            <w:noWrap/>
            <w:vAlign w:val="center"/>
            <w:hideMark/>
          </w:tcPr>
          <w:p w14:paraId="4DCBB3BD"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93</w:t>
            </w:r>
          </w:p>
        </w:tc>
        <w:tc>
          <w:tcPr>
            <w:tcW w:w="700" w:type="dxa"/>
            <w:tcBorders>
              <w:top w:val="single" w:sz="4" w:space="0" w:color="ADD6EA"/>
              <w:left w:val="nil"/>
              <w:bottom w:val="single" w:sz="4" w:space="0" w:color="ADD6EA"/>
              <w:right w:val="nil"/>
            </w:tcBorders>
            <w:shd w:val="clear" w:color="000000" w:fill="D6E7F0"/>
            <w:noWrap/>
            <w:vAlign w:val="center"/>
            <w:hideMark/>
          </w:tcPr>
          <w:p w14:paraId="1ABB4410" w14:textId="77777777" w:rsidR="00E07979" w:rsidRPr="00E07979" w:rsidRDefault="00E07979" w:rsidP="00E07979">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E07979">
              <w:rPr>
                <w:rFonts w:ascii="Open Sans Semibold" w:eastAsia="Times New Roman" w:hAnsi="Open Sans Semibold" w:cs="Open Sans Semibold"/>
                <w:color w:val="000000"/>
                <w:sz w:val="16"/>
                <w:szCs w:val="16"/>
                <w:lang w:eastAsia="en-AU"/>
              </w:rPr>
              <w:t>2,606</w:t>
            </w:r>
          </w:p>
        </w:tc>
      </w:tr>
    </w:tbl>
    <w:p w14:paraId="05184277" w14:textId="5AEF0D7D" w:rsidR="00E05BAD" w:rsidRPr="0032230B" w:rsidRDefault="00F47BD8" w:rsidP="0032230B">
      <w:pPr>
        <w:pStyle w:val="CGCTablenote"/>
        <w:rPr>
          <w:highlight w:val="green"/>
        </w:rPr>
      </w:pPr>
      <w:r w:rsidRPr="0031054C">
        <w:t>Source: Commission calculation based on annual data provided by states.</w:t>
      </w:r>
    </w:p>
    <w:p w14:paraId="6C34D701" w14:textId="06873677" w:rsidR="00F47BD8" w:rsidRDefault="00F47BD8" w:rsidP="00F47BD8">
      <w:r>
        <w:t>In this update, coal royalties have grown particularly strongly. They surpassed iron ore royalties in 2021</w:t>
      </w:r>
      <w:r w:rsidR="001D1811">
        <w:t>–</w:t>
      </w:r>
      <w:r>
        <w:t>22 and reached a new high in 2022</w:t>
      </w:r>
      <w:r w:rsidR="001D1811">
        <w:t>–</w:t>
      </w:r>
      <w:r>
        <w:t xml:space="preserve">23. </w:t>
      </w:r>
      <w:r w:rsidRPr="00EC5EBC">
        <w:t xml:space="preserve">This was </w:t>
      </w:r>
      <w:r>
        <w:t xml:space="preserve">largely </w:t>
      </w:r>
      <w:r w:rsidRPr="00EC5EBC">
        <w:t xml:space="preserve">driven by strong growth in </w:t>
      </w:r>
      <w:r>
        <w:t xml:space="preserve">metallurgical </w:t>
      </w:r>
      <w:r w:rsidRPr="00EC5EBC">
        <w:t>coal prices</w:t>
      </w:r>
      <w:r>
        <w:t xml:space="preserve">. </w:t>
      </w:r>
      <w:r w:rsidRPr="0095123E">
        <w:t>There was also a large increase to Queensland’s coal royalty rates from 1 July 2022, which increased national average coal royalty rates. The increase in coal royalties significantly reduced the assessed GST needs of New</w:t>
      </w:r>
      <w:r w:rsidR="008649A3">
        <w:t> </w:t>
      </w:r>
      <w:r w:rsidRPr="0095123E">
        <w:t>South</w:t>
      </w:r>
      <w:r w:rsidR="008649A3">
        <w:t> </w:t>
      </w:r>
      <w:r w:rsidRPr="0095123E">
        <w:t>Wales and Queensland, and significantly increased</w:t>
      </w:r>
      <w:r>
        <w:t xml:space="preserve"> the assessed GST needs of the other states.</w:t>
      </w:r>
    </w:p>
    <w:p w14:paraId="422939EC" w14:textId="59D8D0E8" w:rsidR="00F47BD8" w:rsidRDefault="00F47BD8" w:rsidP="00F47BD8">
      <w:r>
        <w:t>After reaching a peak in 2020</w:t>
      </w:r>
      <w:r w:rsidR="008649A3">
        <w:t>–</w:t>
      </w:r>
      <w:r>
        <w:t>21, iron ore royalties fell slightly in 2021</w:t>
      </w:r>
      <w:r w:rsidR="008649A3">
        <w:t>–</w:t>
      </w:r>
      <w:r>
        <w:t>22 and 2022</w:t>
      </w:r>
      <w:r w:rsidR="008649A3">
        <w:t>–</w:t>
      </w:r>
      <w:r>
        <w:t xml:space="preserve">23. </w:t>
      </w:r>
      <w:r w:rsidRPr="000B5751">
        <w:t>This added to the increase in Western Australia</w:t>
      </w:r>
      <w:r>
        <w:t>’s</w:t>
      </w:r>
      <w:r w:rsidRPr="000B5751">
        <w:t xml:space="preserve"> assessed GST needs </w:t>
      </w:r>
      <w:r>
        <w:t xml:space="preserve">related to </w:t>
      </w:r>
      <w:r w:rsidRPr="000B5751">
        <w:t>the strong growth in coal royalties.</w:t>
      </w:r>
    </w:p>
    <w:p w14:paraId="429FF69D" w14:textId="62773718" w:rsidR="00F47BD8" w:rsidRDefault="00F47BD8" w:rsidP="00F47BD8">
      <w:r>
        <w:t>Royalties from other minerals reached their highest level in 2022</w:t>
      </w:r>
      <w:r w:rsidR="005536D0">
        <w:t>–</w:t>
      </w:r>
      <w:r>
        <w:t xml:space="preserve">23. In this update, </w:t>
      </w:r>
      <w:r w:rsidRPr="009D66D6">
        <w:t>nickel royalties rose to $138</w:t>
      </w:r>
      <w:r>
        <w:t> </w:t>
      </w:r>
      <w:r w:rsidRPr="009D66D6">
        <w:t>million,</w:t>
      </w:r>
      <w:r>
        <w:t xml:space="preserve"> making a separate assessment of them material for the first time since the 2019 Update. Additionally, </w:t>
      </w:r>
      <w:r w:rsidRPr="009D66D6">
        <w:t>lithium royalties rose to $1</w:t>
      </w:r>
      <w:r>
        <w:t> </w:t>
      </w:r>
      <w:r w:rsidRPr="009D66D6">
        <w:t>billion</w:t>
      </w:r>
      <w:r>
        <w:t xml:space="preserve"> and </w:t>
      </w:r>
      <w:r w:rsidRPr="009D66D6">
        <w:t>onshore oil and gas royalties exceeded $2</w:t>
      </w:r>
      <w:r>
        <w:t> </w:t>
      </w:r>
      <w:r w:rsidRPr="009D66D6">
        <w:t>billion</w:t>
      </w:r>
      <w:r>
        <w:t xml:space="preserve"> in 2022</w:t>
      </w:r>
      <w:r w:rsidR="005536D0">
        <w:t>–</w:t>
      </w:r>
      <w:r>
        <w:t>23. These changes reduced the assessed GST needs of Queensland and Western Australia and increased the needs of the other states.</w:t>
      </w:r>
    </w:p>
    <w:p w14:paraId="3246A11D" w14:textId="77777777" w:rsidR="00A823B0" w:rsidRDefault="00A823B0">
      <w:pPr>
        <w:tabs>
          <w:tab w:val="clear" w:pos="567"/>
        </w:tabs>
        <w:spacing w:before="0" w:line="240" w:lineRule="auto"/>
        <w:rPr>
          <w:rFonts w:eastAsiaTheme="majorEastAsia" w:cs="Open Sans"/>
          <w:bCs/>
          <w:color w:val="006991"/>
          <w:sz w:val="40"/>
          <w:szCs w:val="40"/>
        </w:rPr>
      </w:pPr>
      <w:r>
        <w:br w:type="page"/>
      </w:r>
    </w:p>
    <w:p w14:paraId="3757B2BE" w14:textId="7F49B441" w:rsidR="00A823B0" w:rsidRPr="00A823B0" w:rsidRDefault="00A823B0" w:rsidP="00A823B0">
      <w:r>
        <w:rPr>
          <w:noProof/>
        </w:rPr>
        <w:lastRenderedPageBreak/>
        <mc:AlternateContent>
          <mc:Choice Requires="wps">
            <w:drawing>
              <wp:anchor distT="45720" distB="45720" distL="114300" distR="114300" simplePos="0" relativeHeight="251658255" behindDoc="0" locked="0" layoutInCell="1" allowOverlap="1" wp14:anchorId="49952410" wp14:editId="1A40316C">
                <wp:simplePos x="0" y="0"/>
                <wp:positionH relativeFrom="margin">
                  <wp:align>left</wp:align>
                </wp:positionH>
                <wp:positionV relativeFrom="paragraph">
                  <wp:posOffset>207010</wp:posOffset>
                </wp:positionV>
                <wp:extent cx="5853430" cy="8959850"/>
                <wp:effectExtent l="0" t="0" r="13970" b="12700"/>
                <wp:wrapSquare wrapText="bothSides"/>
                <wp:docPr id="862309828" name="Text Box 862309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8959850"/>
                        </a:xfrm>
                        <a:prstGeom prst="rect">
                          <a:avLst/>
                        </a:prstGeom>
                        <a:solidFill>
                          <a:srgbClr val="E5F8FF"/>
                        </a:solidFill>
                        <a:ln w="9525">
                          <a:solidFill>
                            <a:schemeClr val="bg1"/>
                          </a:solidFill>
                          <a:miter lim="800000"/>
                          <a:headEnd/>
                          <a:tailEnd/>
                        </a:ln>
                      </wps:spPr>
                      <wps:txbx>
                        <w:txbxContent>
                          <w:p w14:paraId="66932FC3" w14:textId="6EA98B03" w:rsidR="00A823B0" w:rsidRDefault="00A823B0" w:rsidP="00A823B0">
                            <w:pPr>
                              <w:pStyle w:val="Heading2"/>
                            </w:pPr>
                            <w:bookmarkStart w:id="222" w:name="Box_2_3"/>
                            <w:bookmarkStart w:id="223" w:name="_Toc159675704"/>
                            <w:bookmarkStart w:id="224" w:name="_Toc159676011"/>
                            <w:bookmarkStart w:id="225" w:name="_Toc159676078"/>
                            <w:bookmarkEnd w:id="222"/>
                            <w:r>
                              <w:t>Box 2-3</w:t>
                            </w:r>
                            <w:r>
                              <w:tab/>
                              <w:t>Mining and GST distribution</w:t>
                            </w:r>
                            <w:bookmarkEnd w:id="223"/>
                            <w:bookmarkEnd w:id="224"/>
                            <w:bookmarkEnd w:id="225"/>
                          </w:p>
                          <w:p w14:paraId="1C7A1285" w14:textId="5662D813" w:rsidR="008A590F" w:rsidRDefault="008A590F" w:rsidP="008A590F">
                            <w:r w:rsidRPr="003E6C4F">
                              <w:t xml:space="preserve">While all mining royalties have grown over the last decade (see </w:t>
                            </w:r>
                            <w:r w:rsidR="00657A6F">
                              <w:t>Figure 2-1</w:t>
                            </w:r>
                            <w:r w:rsidR="00BD1DAC" w:rsidRPr="007229AA">
                              <w:fldChar w:fldCharType="begin"/>
                            </w:r>
                            <w:r w:rsidR="00BD1DAC" w:rsidRPr="007229AA">
                              <w:instrText xml:space="preserve"> REF Figure_2_1 \h </w:instrText>
                            </w:r>
                            <w:r w:rsidR="007229AA">
                              <w:instrText xml:space="preserve"> \* MERGEFORMAT </w:instrText>
                            </w:r>
                            <w:r w:rsidR="00BD1DAC" w:rsidRPr="007229AA">
                              <w:fldChar w:fldCharType="end"/>
                            </w:r>
                            <w:r w:rsidRPr="003E6C4F">
                              <w:t>), the strongest growth has been in coal and iron ore. Because mineral endowments are unevenly distributed across the states, this has resulted in divergence and volatility in states’ fiscal capacities.</w:t>
                            </w:r>
                          </w:p>
                          <w:p w14:paraId="5E998130" w14:textId="529705E2" w:rsidR="00721520" w:rsidRPr="00721520" w:rsidRDefault="008A590F" w:rsidP="00814C69">
                            <w:pPr>
                              <w:pStyle w:val="Tableheading"/>
                            </w:pPr>
                            <w:bookmarkStart w:id="226" w:name="Figure_2_1"/>
                            <w:bookmarkEnd w:id="226"/>
                            <w:r w:rsidRPr="00721520">
                              <w:t xml:space="preserve">Figure </w:t>
                            </w:r>
                            <w:r w:rsidR="00721520" w:rsidRPr="00721520">
                              <w:t>2-1</w:t>
                            </w:r>
                            <w:r w:rsidR="00721520" w:rsidRPr="00721520">
                              <w:tab/>
                              <w:t>Royalty revenue by mineral, 201</w:t>
                            </w:r>
                            <w:r w:rsidR="00295751">
                              <w:t>1</w:t>
                            </w:r>
                            <w:r w:rsidR="00E3260F">
                              <w:t>–</w:t>
                            </w:r>
                            <w:r w:rsidR="00721520" w:rsidRPr="00721520">
                              <w:t>1</w:t>
                            </w:r>
                            <w:r w:rsidR="00295751">
                              <w:t>2</w:t>
                            </w:r>
                            <w:r w:rsidR="00721520" w:rsidRPr="00721520">
                              <w:t xml:space="preserve"> to 2022</w:t>
                            </w:r>
                            <w:r w:rsidR="00E3260F">
                              <w:t>–</w:t>
                            </w:r>
                            <w:r w:rsidR="00721520" w:rsidRPr="00721520">
                              <w:t>23</w:t>
                            </w:r>
                          </w:p>
                          <w:p w14:paraId="12253875" w14:textId="264804ED" w:rsidR="008A590F" w:rsidRDefault="002438F2" w:rsidP="008A590F">
                            <w:pPr>
                              <w:pStyle w:val="CGCTableHead"/>
                            </w:pPr>
                            <w:r w:rsidRPr="002438F2">
                              <w:rPr>
                                <w:noProof/>
                              </w:rPr>
                              <w:drawing>
                                <wp:inline distT="0" distB="0" distL="0" distR="0" wp14:anchorId="26FFC605" wp14:editId="38220832">
                                  <wp:extent cx="5657850" cy="3571875"/>
                                  <wp:effectExtent l="0" t="0" r="0" b="9525"/>
                                  <wp:docPr id="888264844" name="Picture 888264844" descr="A line chart comparing mining royalties from major minerals, from 2011–12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0623" name="Picture 6" descr="A line chart comparing mining royalties from major minerals, from 2011–12 to 2022–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ln>
                                            <a:noFill/>
                                          </a:ln>
                                        </pic:spPr>
                                      </pic:pic>
                                    </a:graphicData>
                                  </a:graphic>
                                </wp:inline>
                              </w:drawing>
                            </w:r>
                          </w:p>
                          <w:p w14:paraId="38F3A690" w14:textId="77777777" w:rsidR="008A590F" w:rsidRPr="003E6C4F" w:rsidRDefault="008A590F" w:rsidP="008A590F">
                            <w:pPr>
                              <w:pStyle w:val="CGCTablenote"/>
                            </w:pPr>
                            <w:r w:rsidRPr="003E6C4F">
                              <w:t>Source: Commission calculation based on annual data provided by states.</w:t>
                            </w:r>
                          </w:p>
                          <w:p w14:paraId="7649B5C8" w14:textId="3B3EA9DE" w:rsidR="008A590F" w:rsidRPr="003E6C4F" w:rsidRDefault="008A590F" w:rsidP="008A590F">
                            <w:r w:rsidRPr="003E6C4F">
                              <w:t>While there has been a cyclical element in the price of commodities, the mining expansion is largely long term and structural. It has transformed the fiscal capacity of Western Australia, whose royalties have grown from $0.6 billion to $11 billion per year since the early 2000s. Throughout most of the 20th century, Western</w:t>
                            </w:r>
                            <w:r w:rsidR="00642475">
                              <w:t> </w:t>
                            </w:r>
                            <w:r w:rsidRPr="003E6C4F">
                              <w:t>Australia had received above-average per capita Commonwealth funding under fiscal equalisation arrangements. However, it has been assessed as the fiscally strongest state since 2008</w:t>
                            </w:r>
                            <w:r w:rsidR="00DA2932">
                              <w:t>–</w:t>
                            </w:r>
                            <w:r w:rsidR="00DA2932">
                              <w:rPr>
                                <w:rFonts w:ascii="Times New Roman" w:hAnsi="Times New Roman" w:cs="Times New Roman" w:hint="eastAsia"/>
                                <w:rtl/>
                              </w:rPr>
                              <w:t>‍</w:t>
                            </w:r>
                            <w:r w:rsidRPr="003E6C4F">
                              <w:t>09, primarily mirroring the increase in iron ore production and associated royalties.</w:t>
                            </w:r>
                          </w:p>
                          <w:p w14:paraId="04CFA0D6" w14:textId="3DDFAE23" w:rsidR="008A590F" w:rsidRPr="003E6C4F" w:rsidRDefault="008A590F" w:rsidP="008A590F">
                            <w:r w:rsidRPr="003E6C4F">
                              <w:t xml:space="preserve">In recent </w:t>
                            </w:r>
                            <w:r w:rsidRPr="0095123E">
                              <w:t>years, mining has also transformed the fiscal capacity of Queensland. Since 2019</w:t>
                            </w:r>
                            <w:r w:rsidR="00AA3500">
                              <w:t>–</w:t>
                            </w:r>
                            <w:r w:rsidRPr="0095123E">
                              <w:t>20, its coal royalties have grown from $3.5 billion to $15.4 billion, driven by higher prices</w:t>
                            </w:r>
                            <w:r w:rsidR="001B3B57" w:rsidRPr="0095123E">
                              <w:t>, particularly for metallurgical coal,</w:t>
                            </w:r>
                            <w:r w:rsidRPr="0095123E">
                              <w:t xml:space="preserve"> and royalty rates. This growth has significantly increased its assessed fiscal capacity. In the same period New South Wales also experienced an increase in its assessed fiscal capacity. Its coal royalties grew from $1.4 billion to $4.8 billion per year. This has been driven by increased prices and production.</w:t>
                            </w:r>
                          </w:p>
                          <w:p w14:paraId="2C59E9DD" w14:textId="310F1B1F" w:rsidR="008A590F" w:rsidRPr="003E6C4F" w:rsidRDefault="008A590F" w:rsidP="008A590F">
                            <w:r w:rsidRPr="003E6C4F">
                              <w:t>The changing composition of royalties is also important. It influences the minerals that are separately assessed by the Commission. Minerals that are not separately assessed are combined and assessed together (</w:t>
                            </w:r>
                            <w:r w:rsidR="009A1FA3">
                              <w:t xml:space="preserve">in </w:t>
                            </w:r>
                            <w:r w:rsidRPr="003E6C4F">
                              <w:t>‘other minerals’). In this update, nickel royalties rose to $138 million, making a separate assessment of them material for the first time since the 2019</w:t>
                            </w:r>
                            <w:r w:rsidR="00803666">
                              <w:t> </w:t>
                            </w:r>
                            <w:r w:rsidRPr="003E6C4F">
                              <w:t>Update.</w:t>
                            </w:r>
                          </w:p>
                          <w:p w14:paraId="2EC4BBDC" w14:textId="77777777" w:rsidR="00A823B0" w:rsidRPr="00176917" w:rsidRDefault="00A823B0" w:rsidP="00A823B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952410" id="Text Box 862309828" o:spid="_x0000_s1039" type="#_x0000_t202" style="position:absolute;margin-left:0;margin-top:16.3pt;width:460.9pt;height:705.5pt;z-index:25165825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" fillcolor="#e5f8ff" strokecolor="white [3212]">
                <v:textbox>
                  <w:txbxContent>
                    <w:p w14:paraId="66932FC3" w14:textId="6EA98B03" w:rsidR="00A823B0" w:rsidRDefault="00A823B0" w:rsidP="00A823B0">
                      <w:pPr>
                        <w:pStyle w:val="Heading2"/>
                      </w:pPr>
                      <w:bookmarkStart w:id="294" w:name="Box_2_3"/>
                      <w:bookmarkStart w:id="295" w:name="_Toc159675704"/>
                      <w:bookmarkStart w:id="296" w:name="_Toc159676011"/>
                      <w:bookmarkStart w:id="297" w:name="_Toc159676078"/>
                      <w:bookmarkEnd w:id="294"/>
                      <w:r>
                        <w:t>Box 2-3</w:t>
                      </w:r>
                      <w:r>
                        <w:tab/>
                        <w:t>Mining and GST distribution</w:t>
                      </w:r>
                      <w:bookmarkEnd w:id="295"/>
                      <w:bookmarkEnd w:id="296"/>
                      <w:bookmarkEnd w:id="297"/>
                    </w:p>
                    <w:p w14:paraId="1C7A1285" w14:textId="5662D813" w:rsidR="008A590F" w:rsidRDefault="008A590F" w:rsidP="008A590F">
                      <w:r w:rsidRPr="003E6C4F">
                        <w:t xml:space="preserve">While all mining royalties have grown over the last decade (see </w:t>
                      </w:r>
                      <w:r w:rsidR="00657A6F">
                        <w:t>Figure 2-1</w:t>
                      </w:r>
                      <w:r w:rsidR="00BD1DAC" w:rsidRPr="007229AA">
                        <w:fldChar w:fldCharType="begin"/>
                      </w:r>
                      <w:r w:rsidR="00BD1DAC" w:rsidRPr="007229AA">
                        <w:instrText xml:space="preserve"> REF Figure_2_1 \h </w:instrText>
                      </w:r>
                      <w:r w:rsidR="007229AA">
                        <w:instrText xml:space="preserve"> \* MERGEFORMAT </w:instrText>
                      </w:r>
                      <w:r w:rsidR="00BD1DAC" w:rsidRPr="007229AA">
                        <w:fldChar w:fldCharType="end"/>
                      </w:r>
                      <w:r w:rsidRPr="003E6C4F">
                        <w:t>), the strongest growth has been in coal and iron ore. Because mineral endowments are unevenly distributed across the states, this has resulted in divergence and volatility in states’ fiscal capacities.</w:t>
                      </w:r>
                    </w:p>
                    <w:p w14:paraId="5E998130" w14:textId="529705E2" w:rsidR="00721520" w:rsidRPr="00721520" w:rsidRDefault="008A590F" w:rsidP="00814C69">
                      <w:pPr>
                        <w:pStyle w:val="Tableheading"/>
                      </w:pPr>
                      <w:bookmarkStart w:id="298" w:name="Figure_2_1"/>
                      <w:bookmarkEnd w:id="298"/>
                      <w:r w:rsidRPr="00721520">
                        <w:t xml:space="preserve">Figure </w:t>
                      </w:r>
                      <w:r w:rsidR="00721520" w:rsidRPr="00721520">
                        <w:t>2-1</w:t>
                      </w:r>
                      <w:r w:rsidR="00721520" w:rsidRPr="00721520">
                        <w:tab/>
                        <w:t>Royalty revenue by mineral, 201</w:t>
                      </w:r>
                      <w:r w:rsidR="00295751">
                        <w:t>1</w:t>
                      </w:r>
                      <w:r w:rsidR="00E3260F">
                        <w:t>–</w:t>
                      </w:r>
                      <w:r w:rsidR="00721520" w:rsidRPr="00721520">
                        <w:t>1</w:t>
                      </w:r>
                      <w:r w:rsidR="00295751">
                        <w:t>2</w:t>
                      </w:r>
                      <w:r w:rsidR="00721520" w:rsidRPr="00721520">
                        <w:t xml:space="preserve"> to 2022</w:t>
                      </w:r>
                      <w:r w:rsidR="00E3260F">
                        <w:t>–</w:t>
                      </w:r>
                      <w:r w:rsidR="00721520" w:rsidRPr="00721520">
                        <w:t>23</w:t>
                      </w:r>
                    </w:p>
                    <w:p w14:paraId="12253875" w14:textId="264804ED" w:rsidR="008A590F" w:rsidRDefault="002438F2" w:rsidP="008A590F">
                      <w:pPr>
                        <w:pStyle w:val="CGCTableHead"/>
                      </w:pPr>
                      <w:r w:rsidRPr="002438F2">
                        <w:rPr>
                          <w:noProof/>
                        </w:rPr>
                        <w:drawing>
                          <wp:inline distT="0" distB="0" distL="0" distR="0" wp14:anchorId="26FFC605" wp14:editId="38220832">
                            <wp:extent cx="5657850" cy="3571875"/>
                            <wp:effectExtent l="0" t="0" r="0" b="9525"/>
                            <wp:docPr id="888264844" name="Picture 888264844" descr="A line chart comparing mining royalties from major minerals, from 2011–12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050623" name="Picture 6" descr="A line chart comparing mining royalties from major minerals, from 2011–12 to 2022–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ln>
                                      <a:noFill/>
                                    </a:ln>
                                  </pic:spPr>
                                </pic:pic>
                              </a:graphicData>
                            </a:graphic>
                          </wp:inline>
                        </w:drawing>
                      </w:r>
                    </w:p>
                    <w:p w14:paraId="38F3A690" w14:textId="77777777" w:rsidR="008A590F" w:rsidRPr="003E6C4F" w:rsidRDefault="008A590F" w:rsidP="008A590F">
                      <w:pPr>
                        <w:pStyle w:val="CGCTablenote"/>
                      </w:pPr>
                      <w:r w:rsidRPr="003E6C4F">
                        <w:t>Source: Commission calculation based on annual data provided by states.</w:t>
                      </w:r>
                    </w:p>
                    <w:p w14:paraId="7649B5C8" w14:textId="3B3EA9DE" w:rsidR="008A590F" w:rsidRPr="003E6C4F" w:rsidRDefault="008A590F" w:rsidP="008A590F">
                      <w:r w:rsidRPr="003E6C4F">
                        <w:t>While there has been a cyclical element in the price of commodities, the mining expansion is largely long term and structural. It has transformed the fiscal capacity of Western Australia, whose royalties have grown from $0.6 billion to $11 billion per year since the early 2000s. Throughout most of the 20th century, Western</w:t>
                      </w:r>
                      <w:r w:rsidR="00642475">
                        <w:t> </w:t>
                      </w:r>
                      <w:r w:rsidRPr="003E6C4F">
                        <w:t>Australia had received above-average per capita Commonwealth funding under fiscal equalisation arrangements. However, it has been assessed as the fiscally strongest state since 2008</w:t>
                      </w:r>
                      <w:r w:rsidR="00DA2932">
                        <w:t>–</w:t>
                      </w:r>
                      <w:r w:rsidR="00DA2932">
                        <w:rPr>
                          <w:rFonts w:ascii="Times New Roman" w:hAnsi="Times New Roman" w:cs="Times New Roman" w:hint="eastAsia"/>
                          <w:rtl/>
                        </w:rPr>
                        <w:t>‍</w:t>
                      </w:r>
                      <w:r w:rsidRPr="003E6C4F">
                        <w:t>09, primarily mirroring the increase in iron ore production and associated royalties.</w:t>
                      </w:r>
                    </w:p>
                    <w:p w14:paraId="04CFA0D6" w14:textId="3DDFAE23" w:rsidR="008A590F" w:rsidRPr="003E6C4F" w:rsidRDefault="008A590F" w:rsidP="008A590F">
                      <w:r w:rsidRPr="003E6C4F">
                        <w:t xml:space="preserve">In recent </w:t>
                      </w:r>
                      <w:r w:rsidRPr="0095123E">
                        <w:t>years, mining has also transformed the fiscal capacity of Queensland. Since 2019</w:t>
                      </w:r>
                      <w:r w:rsidR="00AA3500">
                        <w:t>–</w:t>
                      </w:r>
                      <w:r w:rsidRPr="0095123E">
                        <w:t>20, its coal royalties have grown from $3.5 billion to $15.4 billion, driven by higher prices</w:t>
                      </w:r>
                      <w:r w:rsidR="001B3B57" w:rsidRPr="0095123E">
                        <w:t>, particularly for metallurgical coal,</w:t>
                      </w:r>
                      <w:r w:rsidRPr="0095123E">
                        <w:t xml:space="preserve"> and royalty rates. This growth has significantly increased its assessed fiscal capacity. In the same period New South Wales also experienced an increase in its assessed fiscal capacity. Its coal royalties grew from $1.4 billion to $4.8 billion per year. This has been driven by increased prices and production.</w:t>
                      </w:r>
                    </w:p>
                    <w:p w14:paraId="2C59E9DD" w14:textId="310F1B1F" w:rsidR="008A590F" w:rsidRPr="003E6C4F" w:rsidRDefault="008A590F" w:rsidP="008A590F">
                      <w:r w:rsidRPr="003E6C4F">
                        <w:t>The changing composition of royalties is also important. It influences the minerals that are separately assessed by the Commission. Minerals that are not separately assessed are combined and assessed together (</w:t>
                      </w:r>
                      <w:r w:rsidR="009A1FA3">
                        <w:t xml:space="preserve">in </w:t>
                      </w:r>
                      <w:r w:rsidRPr="003E6C4F">
                        <w:t>‘other minerals’). In this update, nickel royalties rose to $138 million, making a separate assessment of them material for the first time since the 2019</w:t>
                      </w:r>
                      <w:r w:rsidR="00803666">
                        <w:t> </w:t>
                      </w:r>
                      <w:r w:rsidRPr="003E6C4F">
                        <w:t>Update.</w:t>
                      </w:r>
                    </w:p>
                    <w:p w14:paraId="2EC4BBDC" w14:textId="77777777" w:rsidR="00A823B0" w:rsidRPr="00176917" w:rsidRDefault="00A823B0" w:rsidP="00A823B0"/>
                  </w:txbxContent>
                </v:textbox>
                <w10:wrap type="square" anchorx="margin"/>
              </v:shape>
            </w:pict>
          </mc:Fallback>
        </mc:AlternateContent>
      </w:r>
    </w:p>
    <w:p w14:paraId="1B2035A6" w14:textId="77777777" w:rsidR="00A01D8A" w:rsidRPr="003E6C4F" w:rsidRDefault="00A01D8A" w:rsidP="00783B54">
      <w:pPr>
        <w:pStyle w:val="Heading4"/>
      </w:pPr>
      <w:bookmarkStart w:id="227" w:name="Capital_improvements"/>
      <w:r w:rsidRPr="003E6C4F">
        <w:lastRenderedPageBreak/>
        <w:t xml:space="preserve">Capital </w:t>
      </w:r>
      <w:proofErr w:type="gramStart"/>
      <w:r w:rsidRPr="003E6C4F">
        <w:t>improvements</w:t>
      </w:r>
      <w:proofErr w:type="gramEnd"/>
    </w:p>
    <w:bookmarkEnd w:id="227"/>
    <w:p w14:paraId="3DB6E245" w14:textId="59C2C479" w:rsidR="00A01D8A" w:rsidRPr="0095123E" w:rsidRDefault="00A01D8A" w:rsidP="00A01D8A">
      <w:r w:rsidRPr="003E6C4F">
        <w:t>Capital improvements refer to increases in the value, quality, and quantity of the physical capital assets owned by states to deliver services. Examples include removing rail level crossings and clean energy transition investment. There were significant changes to the GST distribution from capital improvements, mainly due to a $10.5 billion increase in the amount states collectively invested in urban transport between 2019</w:t>
      </w:r>
      <w:r w:rsidR="00F8735E">
        <w:t>–</w:t>
      </w:r>
      <w:r w:rsidRPr="003E6C4F">
        <w:t>20 and 2022</w:t>
      </w:r>
      <w:r w:rsidR="00F8735E">
        <w:t>–</w:t>
      </w:r>
      <w:r w:rsidRPr="003E6C4F">
        <w:t>23. Urban transport investment increased in most states over this period</w:t>
      </w:r>
      <w:r w:rsidRPr="007278BA">
        <w:t xml:space="preserve">. </w:t>
      </w:r>
      <w:proofErr w:type="gramStart"/>
      <w:r w:rsidRPr="003E6C4F">
        <w:t>In particular, it</w:t>
      </w:r>
      <w:proofErr w:type="gramEnd"/>
      <w:r w:rsidRPr="003E6C4F">
        <w:rPr>
          <w:highlight w:val="yellow"/>
        </w:rPr>
        <w:t xml:space="preserve"> </w:t>
      </w:r>
      <w:r w:rsidRPr="003E6C4F">
        <w:t>nearly doubled in New</w:t>
      </w:r>
      <w:r w:rsidR="000F6500">
        <w:t> </w:t>
      </w:r>
      <w:r w:rsidRPr="003E6C4F">
        <w:t>South</w:t>
      </w:r>
      <w:r w:rsidR="000F6500">
        <w:t> </w:t>
      </w:r>
      <w:r w:rsidRPr="003E6C4F">
        <w:t>Wal</w:t>
      </w:r>
      <w:r w:rsidRPr="0095123E">
        <w:t>es, nearly tripled in Victoria and more than tripled in Western</w:t>
      </w:r>
      <w:r w:rsidR="000F6500" w:rsidRPr="0095123E">
        <w:t> </w:t>
      </w:r>
      <w:r w:rsidRPr="0095123E">
        <w:t>Australia and the ACT. In total, New</w:t>
      </w:r>
      <w:r w:rsidR="000F6500" w:rsidRPr="0095123E">
        <w:t> </w:t>
      </w:r>
      <w:r w:rsidRPr="0095123E">
        <w:t>South</w:t>
      </w:r>
      <w:r w:rsidR="000F6500" w:rsidRPr="0095123E">
        <w:t> </w:t>
      </w:r>
      <w:r w:rsidRPr="0095123E">
        <w:t>Wales and Victoria contributed almost 88% of the increased investment.</w:t>
      </w:r>
    </w:p>
    <w:p w14:paraId="2C13370D" w14:textId="58BB2F9D" w:rsidR="00A01D8A" w:rsidRPr="003E6C4F" w:rsidRDefault="00A01D8A" w:rsidP="00A01D8A">
      <w:r w:rsidRPr="0095123E">
        <w:t>The 119% increase in investment in urban transport between 2019</w:t>
      </w:r>
      <w:r w:rsidR="002E679C">
        <w:t>–</w:t>
      </w:r>
      <w:r w:rsidRPr="0095123E">
        <w:t>20 and 2022</w:t>
      </w:r>
      <w:r w:rsidR="002E679C">
        <w:t>–</w:t>
      </w:r>
      <w:r w:rsidRPr="0095123E">
        <w:t>23 increased the assessed GST needs</w:t>
      </w:r>
      <w:r w:rsidRPr="003E6C4F">
        <w:t xml:space="preserve"> of New</w:t>
      </w:r>
      <w:r w:rsidR="008B4928">
        <w:t> </w:t>
      </w:r>
      <w:r w:rsidRPr="003E6C4F">
        <w:t>South</w:t>
      </w:r>
      <w:r w:rsidR="008B4928">
        <w:t> </w:t>
      </w:r>
      <w:r w:rsidRPr="003E6C4F">
        <w:t>Wales and Victoria, which have above</w:t>
      </w:r>
      <w:r w:rsidR="00FC336B">
        <w:noBreakHyphen/>
      </w:r>
      <w:r w:rsidRPr="003E6C4F">
        <w:t>average investment needs in this area, and decreased the assessed GST needs of the other states.</w:t>
      </w:r>
    </w:p>
    <w:p w14:paraId="7833BA39" w14:textId="77777777" w:rsidR="00A01D8A" w:rsidRPr="003E6C4F" w:rsidRDefault="00A01D8A" w:rsidP="00783B54">
      <w:pPr>
        <w:pStyle w:val="Heading4"/>
      </w:pPr>
      <w:r w:rsidRPr="003E6C4F">
        <w:t>Taxable land values</w:t>
      </w:r>
    </w:p>
    <w:p w14:paraId="737C0800" w14:textId="1872EDFB" w:rsidR="00A01D8A" w:rsidRPr="003E6C4F" w:rsidRDefault="00A01D8A" w:rsidP="00A01D8A">
      <w:r w:rsidRPr="003E6C4F">
        <w:t>Cycles in property markets change state land values and, as a result, their capacities to raise land tax. Between 2019</w:t>
      </w:r>
      <w:r w:rsidR="008254D6">
        <w:t>–</w:t>
      </w:r>
      <w:r w:rsidRPr="003E6C4F">
        <w:t>20 and 2022</w:t>
      </w:r>
      <w:r w:rsidR="008254D6">
        <w:t>–</w:t>
      </w:r>
      <w:r w:rsidRPr="003E6C4F">
        <w:t xml:space="preserve">23, per capita taxable land values increased by 41% nationally. New South Wales and Tasmania experienced above-average growth over the period (see </w:t>
      </w:r>
      <w:r w:rsidR="00965B7E">
        <w:t>Figure 2-2</w:t>
      </w:r>
      <w:r w:rsidR="00C81BF3">
        <w:fldChar w:fldCharType="begin"/>
      </w:r>
      <w:r w:rsidR="00C81BF3">
        <w:instrText xml:space="preserve"> REF Figure_2_2 \h </w:instrText>
      </w:r>
      <w:r w:rsidR="00C81BF3">
        <w:fldChar w:fldCharType="end"/>
      </w:r>
      <w:r w:rsidRPr="003E6C4F">
        <w:t>). This reduced the assessed GST needs of those states.</w:t>
      </w:r>
    </w:p>
    <w:p w14:paraId="784BEC65" w14:textId="77777777" w:rsidR="00A01D8A" w:rsidRPr="003E6C4F" w:rsidRDefault="00A01D8A" w:rsidP="00A01D8A">
      <w:r w:rsidRPr="003E6C4F">
        <w:t>Western Australia experienced the slowest growth in its taxable land values. This resulted in a substantial increase to its assessed GST needs.</w:t>
      </w:r>
    </w:p>
    <w:p w14:paraId="13B8DD66" w14:textId="042FE429" w:rsidR="00A01D8A" w:rsidRPr="003E6C4F" w:rsidRDefault="00A01D8A" w:rsidP="00783B54">
      <w:pPr>
        <w:pStyle w:val="CGCTableHead"/>
      </w:pPr>
      <w:bookmarkStart w:id="228" w:name="Figure_2_2"/>
      <w:bookmarkEnd w:id="228"/>
      <w:r w:rsidRPr="003E6C4F">
        <w:t>Figure 2-2</w:t>
      </w:r>
      <w:r w:rsidRPr="003E6C4F">
        <w:tab/>
        <w:t>Taxable land value per capita, 2019</w:t>
      </w:r>
      <w:r w:rsidR="00E00C73">
        <w:t>–</w:t>
      </w:r>
      <w:r w:rsidRPr="003E6C4F">
        <w:t>20 to 2022</w:t>
      </w:r>
      <w:r w:rsidR="00E00C73">
        <w:t>–</w:t>
      </w:r>
      <w:r w:rsidRPr="003E6C4F">
        <w:t>23</w:t>
      </w:r>
    </w:p>
    <w:p w14:paraId="36124B87" w14:textId="28A9D1BA" w:rsidR="00A01D8A" w:rsidRPr="00AD45AC" w:rsidRDefault="006C494A" w:rsidP="00A01D8A">
      <w:pPr>
        <w:pStyle w:val="CGCTableHead"/>
      </w:pPr>
      <w:r w:rsidRPr="006C494A">
        <w:rPr>
          <w:noProof/>
        </w:rPr>
        <w:drawing>
          <wp:inline distT="0" distB="0" distL="0" distR="0" wp14:anchorId="379DBDFD" wp14:editId="3C624576">
            <wp:extent cx="5657850" cy="3571875"/>
            <wp:effectExtent l="0" t="0" r="0" b="9525"/>
            <wp:docPr id="1330732926" name="Picture 1330732926" descr="A column chart showing the per capita taxable land value in each state, annually from 2019–20 to 2022–23. Over this period taxable land values have increased strongly for all states except Wester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732926" name="Picture 8" descr="A column chart showing the per capita taxable land value in each state, annually from 2019–20 to 2022–23. Over this period taxable land values have increased strongly for all states except Western Austral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ln>
                      <a:noFill/>
                    </a:ln>
                  </pic:spPr>
                </pic:pic>
              </a:graphicData>
            </a:graphic>
          </wp:inline>
        </w:drawing>
      </w:r>
    </w:p>
    <w:p w14:paraId="76E839BB" w14:textId="77777777" w:rsidR="00A01D8A" w:rsidRPr="003E6C4F" w:rsidRDefault="00A01D8A" w:rsidP="00783B54">
      <w:pPr>
        <w:pStyle w:val="CGCTablenote"/>
        <w:rPr>
          <w:highlight w:val="green"/>
        </w:rPr>
      </w:pPr>
      <w:r w:rsidRPr="003E6C4F">
        <w:t>Source: Commission calculation based on annual data provided by states.</w:t>
      </w:r>
    </w:p>
    <w:p w14:paraId="45FBA3E8" w14:textId="77777777" w:rsidR="00A01D8A" w:rsidRPr="003E6C4F" w:rsidRDefault="00A01D8A" w:rsidP="00783B54">
      <w:pPr>
        <w:pStyle w:val="Heading4"/>
      </w:pPr>
      <w:r w:rsidRPr="003E6C4F">
        <w:t>Property sales</w:t>
      </w:r>
    </w:p>
    <w:p w14:paraId="61CBE78D" w14:textId="4547D1B4" w:rsidR="00A01D8A" w:rsidRPr="003E6C4F" w:rsidRDefault="00A01D8A" w:rsidP="00A01D8A">
      <w:r w:rsidRPr="003E6C4F">
        <w:t>Stamp duties raised from the transfer of property are volatile. Property market cycles can lead to large changes across years and states. This can have marked effects on states’ revenue</w:t>
      </w:r>
      <w:r w:rsidR="00F229E9">
        <w:t xml:space="preserve"> </w:t>
      </w:r>
      <w:r w:rsidRPr="003E6C4F">
        <w:t>raising capacities.</w:t>
      </w:r>
      <w:r w:rsidRPr="003E6C4F">
        <w:rPr>
          <w:rFonts w:hint="eastAsia"/>
          <w:rtl/>
        </w:rPr>
        <w:t>‍</w:t>
      </w:r>
      <w:r w:rsidRPr="003E6C4F">
        <w:rPr>
          <w:rFonts w:hint="cs"/>
          <w:rtl/>
        </w:rPr>
        <w:t>‍‍‍‍‍‍‍</w:t>
      </w:r>
      <w:r w:rsidRPr="003E6C4F">
        <w:rPr>
          <w:rtl/>
        </w:rPr>
        <w:t>‍‍</w:t>
      </w:r>
    </w:p>
    <w:p w14:paraId="667EF81E" w14:textId="18438059" w:rsidR="00A01D8A" w:rsidRPr="003E6C4F" w:rsidRDefault="00A01D8A" w:rsidP="00A01D8A">
      <w:r w:rsidRPr="003E6C4F">
        <w:t>Total stamp duty revenue grew between 2019</w:t>
      </w:r>
      <w:r w:rsidR="00986B24">
        <w:t>–</w:t>
      </w:r>
      <w:r w:rsidRPr="003E6C4F">
        <w:t>20 and</w:t>
      </w:r>
      <w:r w:rsidRPr="003E6C4F">
        <w:rPr>
          <w:rFonts w:hint="eastAsia"/>
          <w:rtl/>
        </w:rPr>
        <w:t>‍‍</w:t>
      </w:r>
      <w:r w:rsidRPr="003E6C4F">
        <w:rPr>
          <w:rFonts w:hint="cs"/>
          <w:rtl/>
        </w:rPr>
        <w:t>‍‍</w:t>
      </w:r>
      <w:r w:rsidRPr="003E6C4F">
        <w:t xml:space="preserve"> 2022</w:t>
      </w:r>
      <w:r w:rsidR="00635DBF">
        <w:t>–</w:t>
      </w:r>
      <w:r w:rsidRPr="003E6C4F">
        <w:t>23. This reduced the assessed GST needs of states with an above-average capacity to raise stamp duties (New South Wales and Victoria) and increased the assessed GST needs of the other states.</w:t>
      </w:r>
    </w:p>
    <w:p w14:paraId="30018651" w14:textId="5331A22D" w:rsidR="00A01D8A" w:rsidRPr="003E6C4F" w:rsidRDefault="00A01D8A" w:rsidP="00A01D8A">
      <w:r w:rsidRPr="003E6C4F">
        <w:lastRenderedPageBreak/>
        <w:t>Every state experienced a decrease in the per</w:t>
      </w:r>
      <w:r w:rsidR="00226614">
        <w:t> </w:t>
      </w:r>
      <w:r w:rsidRPr="003E6C4F">
        <w:t>capita value of property transferred between 2021</w:t>
      </w:r>
      <w:r w:rsidR="00950B48">
        <w:t>–</w:t>
      </w:r>
      <w:r w:rsidRPr="003E6C4F">
        <w:t>22 and 2022</w:t>
      </w:r>
      <w:r w:rsidR="00950B48">
        <w:t>–</w:t>
      </w:r>
      <w:r w:rsidRPr="003E6C4F">
        <w:t xml:space="preserve">23. However, compared </w:t>
      </w:r>
      <w:r w:rsidR="00950B48">
        <w:t>with</w:t>
      </w:r>
      <w:r w:rsidRPr="003E6C4F">
        <w:t xml:space="preserve"> the assessment year removed from the 3</w:t>
      </w:r>
      <w:r w:rsidR="00CC6B20">
        <w:noBreakHyphen/>
      </w:r>
      <w:r w:rsidRPr="003E6C4F">
        <w:t>year average (2019</w:t>
      </w:r>
      <w:r w:rsidR="00950B48">
        <w:t>–</w:t>
      </w:r>
      <w:r w:rsidRPr="003E6C4F">
        <w:t>20), there was a 36% increase nationally. Queensland, Western </w:t>
      </w:r>
      <w:proofErr w:type="gramStart"/>
      <w:r w:rsidRPr="003E6C4F">
        <w:t>Australia</w:t>
      </w:r>
      <w:proofErr w:type="gramEnd"/>
      <w:r w:rsidRPr="003E6C4F">
        <w:t xml:space="preserve"> and the ACT experienced above-average growth over this period (see </w:t>
      </w:r>
      <w:r w:rsidR="00965B7E">
        <w:t>Figure 2-3</w:t>
      </w:r>
      <w:r w:rsidR="007C559F">
        <w:fldChar w:fldCharType="begin"/>
      </w:r>
      <w:r w:rsidR="007C559F">
        <w:instrText xml:space="preserve"> REF Figure_2_3 \h </w:instrText>
      </w:r>
      <w:r w:rsidR="007C559F">
        <w:fldChar w:fldCharType="end"/>
      </w:r>
      <w:r w:rsidRPr="003E6C4F">
        <w:t>). This reduced their assessed GST needs and increased the assessed GST needs of other states.</w:t>
      </w:r>
    </w:p>
    <w:p w14:paraId="458AAF16" w14:textId="0B2BB6AB" w:rsidR="00A01D8A" w:rsidRPr="003E6C4F" w:rsidRDefault="00A01D8A" w:rsidP="00783B54">
      <w:pPr>
        <w:pStyle w:val="CGCTableHead"/>
      </w:pPr>
      <w:bookmarkStart w:id="229" w:name="Figure_2_3"/>
      <w:bookmarkEnd w:id="229"/>
      <w:r w:rsidRPr="003E6C4F">
        <w:t>Figure 2-3</w:t>
      </w:r>
      <w:r w:rsidRPr="003E6C4F">
        <w:tab/>
        <w:t>Value of property transfers per capita, 2019</w:t>
      </w:r>
      <w:r w:rsidR="00434E47">
        <w:t>–</w:t>
      </w:r>
      <w:r w:rsidRPr="003E6C4F">
        <w:t>20 to 2022</w:t>
      </w:r>
      <w:r w:rsidR="00434E47">
        <w:t>–</w:t>
      </w:r>
      <w:r w:rsidRPr="003E6C4F">
        <w:rPr>
          <w:rFonts w:ascii="Times New Roman" w:hAnsi="Times New Roman" w:cs="Times New Roman"/>
        </w:rPr>
        <w:t>‍</w:t>
      </w:r>
      <w:proofErr w:type="gramStart"/>
      <w:r w:rsidRPr="003E6C4F">
        <w:t>23</w:t>
      </w:r>
      <w:proofErr w:type="gramEnd"/>
    </w:p>
    <w:p w14:paraId="746BBAC7" w14:textId="43BCBC73" w:rsidR="00A01D8A" w:rsidRDefault="006A52E1" w:rsidP="00A01D8A">
      <w:pPr>
        <w:rPr>
          <w:b/>
        </w:rPr>
      </w:pPr>
      <w:r w:rsidRPr="006A52E1">
        <w:rPr>
          <w:noProof/>
        </w:rPr>
        <w:drawing>
          <wp:inline distT="0" distB="0" distL="0" distR="0" wp14:anchorId="067D6FBD" wp14:editId="62FDF56A">
            <wp:extent cx="5657850" cy="3571875"/>
            <wp:effectExtent l="0" t="0" r="0" b="9525"/>
            <wp:docPr id="207947738" name="Picture 207947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ln>
                      <a:noFill/>
                    </a:ln>
                  </pic:spPr>
                </pic:pic>
              </a:graphicData>
            </a:graphic>
          </wp:inline>
        </w:drawing>
      </w:r>
    </w:p>
    <w:p w14:paraId="63E951B0" w14:textId="77777777" w:rsidR="00A01D8A" w:rsidRPr="003E6C4F" w:rsidRDefault="00A01D8A" w:rsidP="00783B54">
      <w:pPr>
        <w:pStyle w:val="Tablefootnote"/>
        <w:rPr>
          <w:highlight w:val="green"/>
        </w:rPr>
      </w:pPr>
      <w:r w:rsidRPr="003E6C4F">
        <w:t>Source: Commission calculation based on annual data provided by states.</w:t>
      </w:r>
    </w:p>
    <w:p w14:paraId="08EFAE46" w14:textId="77777777" w:rsidR="00A01D8A" w:rsidRPr="003E6C4F" w:rsidRDefault="00A01D8A" w:rsidP="00783B54">
      <w:pPr>
        <w:pStyle w:val="Heading4"/>
      </w:pPr>
      <w:r w:rsidRPr="003E6C4F">
        <w:t>Wage costs</w:t>
      </w:r>
    </w:p>
    <w:p w14:paraId="6DFD6508" w14:textId="0740E22F" w:rsidR="00A01D8A" w:rsidRPr="003E6C4F" w:rsidRDefault="00A01D8A" w:rsidP="00A01D8A">
      <w:r w:rsidRPr="003E6C4F">
        <w:t xml:space="preserve">Assessed wage </w:t>
      </w:r>
      <w:r w:rsidRPr="003E6C4F" w:rsidDel="004A6A6D">
        <w:t xml:space="preserve">costs </w:t>
      </w:r>
      <w:r w:rsidRPr="003E6C4F">
        <w:t>between 2019</w:t>
      </w:r>
      <w:r w:rsidR="00735E50">
        <w:t>–</w:t>
      </w:r>
      <w:r w:rsidRPr="003E6C4F">
        <w:t>20 and 2022</w:t>
      </w:r>
      <w:r w:rsidR="00735E50">
        <w:t>–</w:t>
      </w:r>
      <w:r w:rsidRPr="003E6C4F">
        <w:t xml:space="preserve">23 grew faster than the national average in New South Wales, Victoria, Queensland, and the Northern Territory (see </w:t>
      </w:r>
      <w:r w:rsidR="0050368D">
        <w:fldChar w:fldCharType="begin"/>
      </w:r>
      <w:r w:rsidR="0050368D">
        <w:instrText xml:space="preserve"> REF Figure_2_4 \h </w:instrText>
      </w:r>
      <w:r w:rsidR="0050368D">
        <w:fldChar w:fldCharType="separate"/>
      </w:r>
      <w:r w:rsidR="00047120" w:rsidRPr="003E6C4F">
        <w:t>Figure 2-4</w:t>
      </w:r>
      <w:r w:rsidR="0050368D">
        <w:fldChar w:fldCharType="end"/>
      </w:r>
      <w:r w:rsidRPr="003E6C4F">
        <w:t>). This increased their assessed GST needs.</w:t>
      </w:r>
    </w:p>
    <w:p w14:paraId="2D19C730" w14:textId="007ED057" w:rsidR="00A01D8A" w:rsidRPr="003E6C4F" w:rsidRDefault="00A01D8A" w:rsidP="00A01D8A">
      <w:r w:rsidRPr="003E6C4F">
        <w:t>Assessed wage costs between these 2 years grew more slowly than average in other states, which reduced their assessed GST needs.</w:t>
      </w:r>
    </w:p>
    <w:p w14:paraId="29EBDC54" w14:textId="77777777" w:rsidR="00A55CB9" w:rsidRDefault="00A55CB9">
      <w:pPr>
        <w:tabs>
          <w:tab w:val="clear" w:pos="567"/>
        </w:tabs>
        <w:spacing w:before="0" w:line="240" w:lineRule="auto"/>
        <w:rPr>
          <w:rFonts w:eastAsiaTheme="majorEastAsia" w:cs="Open Sans"/>
          <w:bCs/>
          <w:color w:val="006991"/>
          <w:sz w:val="40"/>
          <w:szCs w:val="40"/>
        </w:rPr>
      </w:pPr>
      <w:r>
        <w:br w:type="page"/>
      </w:r>
    </w:p>
    <w:p w14:paraId="0BEFC38B" w14:textId="73EE7A14" w:rsidR="0076492B" w:rsidRPr="003E6C4F" w:rsidRDefault="0076492B" w:rsidP="0076492B">
      <w:pPr>
        <w:pStyle w:val="CGCTableHead"/>
      </w:pPr>
      <w:bookmarkStart w:id="230" w:name="Figure_2_4"/>
      <w:r w:rsidRPr="003E6C4F">
        <w:lastRenderedPageBreak/>
        <w:t>Figure 2-4</w:t>
      </w:r>
      <w:bookmarkEnd w:id="230"/>
      <w:r w:rsidRPr="003E6C4F">
        <w:tab/>
      </w:r>
      <w:r w:rsidR="00EE2469" w:rsidRPr="0095123E">
        <w:t>Assessed r</w:t>
      </w:r>
      <w:r w:rsidRPr="0095123E">
        <w:t>elative wage costs, 2019</w:t>
      </w:r>
      <w:r w:rsidR="007923B8">
        <w:t>–</w:t>
      </w:r>
      <w:r w:rsidRPr="003E6C4F">
        <w:t>20 to 2022</w:t>
      </w:r>
      <w:r w:rsidR="007923B8">
        <w:t>–</w:t>
      </w:r>
      <w:proofErr w:type="gramStart"/>
      <w:r w:rsidRPr="003E6C4F">
        <w:t>23</w:t>
      </w:r>
      <w:proofErr w:type="gramEnd"/>
    </w:p>
    <w:p w14:paraId="082D75C1" w14:textId="093A886D" w:rsidR="0076492B" w:rsidRDefault="00F54104" w:rsidP="0076492B">
      <w:r w:rsidRPr="00F54104">
        <w:rPr>
          <w:noProof/>
        </w:rPr>
        <w:drawing>
          <wp:inline distT="0" distB="0" distL="0" distR="0" wp14:anchorId="171B5618" wp14:editId="1DD36458">
            <wp:extent cx="5657850" cy="3571875"/>
            <wp:effectExtent l="0" t="0" r="0" b="9525"/>
            <wp:docPr id="1449163978" name="Picture 1449163978" descr="A column chart showing relative wages for each state, annually from 2019–20 to 202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63978" name="Picture 9" descr="A column chart showing relative wages for each state, annually from 2019–20 to 2022–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ln>
                      <a:noFill/>
                    </a:ln>
                  </pic:spPr>
                </pic:pic>
              </a:graphicData>
            </a:graphic>
          </wp:inline>
        </w:drawing>
      </w:r>
    </w:p>
    <w:p w14:paraId="530B20D0" w14:textId="77777777" w:rsidR="0076492B" w:rsidRPr="003E6C4F" w:rsidRDefault="0076492B" w:rsidP="0076492B">
      <w:pPr>
        <w:pStyle w:val="CGCTablenote"/>
      </w:pPr>
      <w:r w:rsidRPr="003E6C4F">
        <w:t>Source: Commission calculation.</w:t>
      </w:r>
    </w:p>
    <w:p w14:paraId="6CF6B223" w14:textId="77777777" w:rsidR="0076492B" w:rsidRPr="003E6C4F" w:rsidRDefault="0076492B" w:rsidP="00A514F4">
      <w:pPr>
        <w:pStyle w:val="Heading4"/>
      </w:pPr>
      <w:r w:rsidRPr="003E6C4F">
        <w:t>Commonwealth payments</w:t>
      </w:r>
    </w:p>
    <w:p w14:paraId="4F1CDC1B" w14:textId="77777777" w:rsidR="0076492B" w:rsidRPr="00206266" w:rsidRDefault="0076492B" w:rsidP="0076492B">
      <w:r w:rsidRPr="00206266">
        <w:t xml:space="preserve">The Commonwealth makes payments to states for specific purposes. If a payment is for a state-type service for which the Commission assesses needs, then this revenue </w:t>
      </w:r>
      <w:r>
        <w:t xml:space="preserve">is included </w:t>
      </w:r>
      <w:r w:rsidRPr="00206266">
        <w:t>when assessing how much GST a state requires.</w:t>
      </w:r>
    </w:p>
    <w:p w14:paraId="2134C729" w14:textId="77777777" w:rsidR="0076492B" w:rsidRPr="00625404" w:rsidRDefault="0076492B" w:rsidP="0076492B">
      <w:r w:rsidRPr="00206266">
        <w:t xml:space="preserve">For some Commonwealth </w:t>
      </w:r>
      <w:r w:rsidRPr="00752F30">
        <w:t xml:space="preserve">payments, the terms of reference specify whether they should be excluded from the Commission’s assessment of GST needs. </w:t>
      </w:r>
      <w:r w:rsidRPr="005E062D">
        <w:t>The 2024 Update Terms of Reference directed the Commission to exclude several Commonwealth payments to states. Of these, payments relating to the Social Housing Accelerator program were relevant to the 2024 Update.</w:t>
      </w:r>
      <w:r w:rsidRPr="005E062D">
        <w:rPr>
          <w:rStyle w:val="FootnoteReference"/>
          <w:vertAlign w:val="superscript"/>
        </w:rPr>
        <w:footnoteReference w:id="9"/>
      </w:r>
      <w:r w:rsidRPr="00752F30">
        <w:t xml:space="preserve"> The Commission continues to exclude Commonwealth payments that were quarantined in earlier terms of reference</w:t>
      </w:r>
      <w:r w:rsidRPr="00625404">
        <w:t>.</w:t>
      </w:r>
    </w:p>
    <w:p w14:paraId="00C93116" w14:textId="77777777" w:rsidR="0076492B" w:rsidRPr="00625404" w:rsidRDefault="0076492B" w:rsidP="0076492B">
      <w:r w:rsidRPr="00625404">
        <w:t xml:space="preserve">To the extent that a state receives above-average per capita amounts of assessed Commonwealth payments, it is assessed to require less GST per capita. Conversely, if a state receives below-average amounts, it is assessed to require more GST per capita. </w:t>
      </w:r>
    </w:p>
    <w:p w14:paraId="416CCD84" w14:textId="5C9FEA7C" w:rsidR="0076492B" w:rsidRPr="0093225D" w:rsidRDefault="0076492B" w:rsidP="0076492B">
      <w:r w:rsidRPr="0093225D">
        <w:t>Between 2019</w:t>
      </w:r>
      <w:r w:rsidR="008B14B4">
        <w:t>–</w:t>
      </w:r>
      <w:r w:rsidRPr="0093225D">
        <w:t>20 and 2022</w:t>
      </w:r>
      <w:r w:rsidR="008B14B4">
        <w:t>–</w:t>
      </w:r>
      <w:r w:rsidRPr="0093225D">
        <w:t xml:space="preserve">23, there were changes in the interstate distribution of some payments for specific purposes, </w:t>
      </w:r>
      <w:r w:rsidRPr="00471C4E">
        <w:t>particularly for rail infrastructure, road infrastructure, national health reform and education. This</w:t>
      </w:r>
      <w:r w:rsidRPr="0093225D">
        <w:t xml:space="preserve"> had flow-on effects for GST pool distribution. New and ceased payments for specific purposes in 202</w:t>
      </w:r>
      <w:r>
        <w:t>2</w:t>
      </w:r>
      <w:r w:rsidR="00882995">
        <w:t>–</w:t>
      </w:r>
      <w:r w:rsidRPr="0093225D">
        <w:t>2</w:t>
      </w:r>
      <w:r>
        <w:t>3</w:t>
      </w:r>
      <w:r w:rsidRPr="0093225D">
        <w:t xml:space="preserve"> also affected GST distribution.</w:t>
      </w:r>
    </w:p>
    <w:p w14:paraId="06152776" w14:textId="68779160" w:rsidR="0076492B" w:rsidRDefault="0076492B" w:rsidP="0076492B">
      <w:r>
        <w:t>Western Australia, South Australia and Tasmania received greater shares of assessed Commonwealth payments in 2022</w:t>
      </w:r>
      <w:r w:rsidR="003A22CA">
        <w:t>–</w:t>
      </w:r>
      <w:r>
        <w:t>23 than in 2019</w:t>
      </w:r>
      <w:r w:rsidR="003A22CA">
        <w:t>–</w:t>
      </w:r>
      <w:r>
        <w:t>20, reducing their assessed GST needs. The other states received smaller shares of Commonwealth payments in 2022</w:t>
      </w:r>
      <w:r w:rsidR="003A22CA">
        <w:t>–</w:t>
      </w:r>
      <w:r>
        <w:t>23 than in 2019</w:t>
      </w:r>
      <w:r w:rsidR="003A22CA">
        <w:t>–</w:t>
      </w:r>
      <w:r>
        <w:t xml:space="preserve">20, increasing their assessed GST needs (see </w:t>
      </w:r>
      <w:r w:rsidR="0079611D">
        <w:fldChar w:fldCharType="begin"/>
      </w:r>
      <w:r w:rsidR="0079611D">
        <w:instrText xml:space="preserve"> REF Table_2_9 \h </w:instrText>
      </w:r>
      <w:r w:rsidR="0079611D">
        <w:fldChar w:fldCharType="separate"/>
      </w:r>
      <w:r w:rsidR="00047120" w:rsidRPr="003E6C4F">
        <w:t>Table 2-9</w:t>
      </w:r>
      <w:r w:rsidR="0079611D">
        <w:fldChar w:fldCharType="end"/>
      </w:r>
      <w:r>
        <w:t>).</w:t>
      </w:r>
    </w:p>
    <w:p w14:paraId="53AA6595" w14:textId="77777777" w:rsidR="00FC336B" w:rsidRDefault="00FC336B">
      <w:pPr>
        <w:tabs>
          <w:tab w:val="clear" w:pos="567"/>
        </w:tabs>
        <w:spacing w:before="0" w:line="240" w:lineRule="auto"/>
        <w:rPr>
          <w:rFonts w:ascii="Work Sans SemiBold" w:hAnsi="Work Sans SemiBold" w:cs="Cambria Math"/>
          <w:bCs/>
          <w:color w:val="000000"/>
          <w:szCs w:val="21"/>
          <w:shd w:val="clear" w:color="auto" w:fill="FFFFFF"/>
          <w14:shadow w14:blurRad="50800" w14:dist="50800" w14:dir="5400000" w14:sx="0" w14:sy="0" w14:kx="0" w14:ky="0" w14:algn="ctr">
            <w14:srgbClr w14:val="000000">
              <w14:alpha w14:val="1000"/>
            </w14:srgbClr>
          </w14:shadow>
        </w:rPr>
      </w:pPr>
      <w:r>
        <w:br w:type="page"/>
      </w:r>
    </w:p>
    <w:p w14:paraId="6279BC12" w14:textId="027DA739" w:rsidR="00E2769E" w:rsidRPr="003E6C4F" w:rsidRDefault="00E2769E" w:rsidP="00FC336B">
      <w:pPr>
        <w:pStyle w:val="CGCTableHead"/>
        <w:ind w:left="1440" w:hanging="1440"/>
      </w:pPr>
      <w:bookmarkStart w:id="231" w:name="Table_2_9"/>
      <w:r w:rsidRPr="003E6C4F">
        <w:lastRenderedPageBreak/>
        <w:t>Table 2-9</w:t>
      </w:r>
      <w:bookmarkEnd w:id="231"/>
      <w:r w:rsidRPr="003E6C4F">
        <w:tab/>
        <w:t>Changes in the estimated GST distribution due to changes in Commonwealth payments, 2022</w:t>
      </w:r>
      <w:r w:rsidR="005A5FCD">
        <w:t>–</w:t>
      </w:r>
      <w:r w:rsidRPr="003E6C4F">
        <w:t>23 to 2023</w:t>
      </w:r>
      <w:r w:rsidR="005A5FCD">
        <w:t>–</w:t>
      </w:r>
      <w:r w:rsidRPr="003E6C4F">
        <w:t>24</w:t>
      </w:r>
    </w:p>
    <w:tbl>
      <w:tblPr>
        <w:tblW w:w="9020" w:type="dxa"/>
        <w:tblLook w:val="04A0" w:firstRow="1" w:lastRow="0" w:firstColumn="1" w:lastColumn="0" w:noHBand="0" w:noVBand="1"/>
      </w:tblPr>
      <w:tblGrid>
        <w:gridCol w:w="2720"/>
        <w:gridCol w:w="700"/>
        <w:gridCol w:w="700"/>
        <w:gridCol w:w="700"/>
        <w:gridCol w:w="700"/>
        <w:gridCol w:w="700"/>
        <w:gridCol w:w="700"/>
        <w:gridCol w:w="700"/>
        <w:gridCol w:w="700"/>
        <w:gridCol w:w="700"/>
      </w:tblGrid>
      <w:tr w:rsidR="00FE48E3" w:rsidRPr="00FE48E3" w14:paraId="3965827C" w14:textId="77777777" w:rsidTr="00FE48E3">
        <w:trPr>
          <w:trHeight w:val="555"/>
        </w:trPr>
        <w:tc>
          <w:tcPr>
            <w:tcW w:w="2720" w:type="dxa"/>
            <w:tcBorders>
              <w:top w:val="nil"/>
              <w:left w:val="nil"/>
              <w:bottom w:val="nil"/>
              <w:right w:val="nil"/>
            </w:tcBorders>
            <w:shd w:val="clear" w:color="000000" w:fill="006991"/>
            <w:vAlign w:val="center"/>
            <w:hideMark/>
          </w:tcPr>
          <w:p w14:paraId="7330F440" w14:textId="77777777" w:rsidR="00FE48E3" w:rsidRPr="00FE48E3" w:rsidRDefault="00FE48E3" w:rsidP="00FE48E3">
            <w:pPr>
              <w:tabs>
                <w:tab w:val="clear" w:pos="567"/>
              </w:tabs>
              <w:spacing w:before="0" w:line="240" w:lineRule="auto"/>
              <w:rPr>
                <w:rFonts w:ascii="Open Sans Semibold" w:eastAsia="Times New Roman" w:hAnsi="Open Sans Semibold" w:cs="Open Sans Semibold"/>
                <w:color w:val="FFFFFF"/>
                <w:sz w:val="16"/>
                <w:szCs w:val="16"/>
                <w:lang w:eastAsia="en-AU"/>
              </w:rPr>
            </w:pPr>
            <w:r w:rsidRPr="00FE48E3">
              <w:rPr>
                <w:rFonts w:ascii="Open Sans Semibold" w:hAnsi="Open Sans Semibold" w:cs="Open Sans Semibold"/>
                <w:color w:val="FFFFFF"/>
                <w:sz w:val="16"/>
                <w:szCs w:val="16"/>
              </w:rPr>
              <w:t> </w:t>
            </w:r>
          </w:p>
        </w:tc>
        <w:tc>
          <w:tcPr>
            <w:tcW w:w="700" w:type="dxa"/>
            <w:tcBorders>
              <w:top w:val="nil"/>
              <w:left w:val="nil"/>
              <w:bottom w:val="nil"/>
              <w:right w:val="nil"/>
            </w:tcBorders>
            <w:shd w:val="clear" w:color="000000" w:fill="006991"/>
            <w:vAlign w:val="center"/>
            <w:hideMark/>
          </w:tcPr>
          <w:p w14:paraId="381722CD"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48E3">
              <w:rPr>
                <w:rFonts w:ascii="Open Sans Semibold" w:hAnsi="Open Sans Semibold" w:cs="Open Sans Semibold"/>
                <w:color w:val="FFFFFF"/>
                <w:sz w:val="16"/>
                <w:szCs w:val="16"/>
              </w:rPr>
              <w:t>NSW</w:t>
            </w:r>
          </w:p>
        </w:tc>
        <w:tc>
          <w:tcPr>
            <w:tcW w:w="700" w:type="dxa"/>
            <w:tcBorders>
              <w:top w:val="nil"/>
              <w:left w:val="nil"/>
              <w:bottom w:val="nil"/>
              <w:right w:val="nil"/>
            </w:tcBorders>
            <w:shd w:val="clear" w:color="000000" w:fill="006991"/>
            <w:vAlign w:val="center"/>
            <w:hideMark/>
          </w:tcPr>
          <w:p w14:paraId="6A9EED82"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48E3">
              <w:rPr>
                <w:rFonts w:ascii="Open Sans Semibold" w:hAnsi="Open Sans Semibold" w:cs="Open Sans Semibold"/>
                <w:color w:val="FFFFFF"/>
                <w:sz w:val="16"/>
                <w:szCs w:val="16"/>
              </w:rPr>
              <w:t>Vic</w:t>
            </w:r>
          </w:p>
        </w:tc>
        <w:tc>
          <w:tcPr>
            <w:tcW w:w="700" w:type="dxa"/>
            <w:tcBorders>
              <w:top w:val="nil"/>
              <w:left w:val="nil"/>
              <w:bottom w:val="nil"/>
              <w:right w:val="nil"/>
            </w:tcBorders>
            <w:shd w:val="clear" w:color="000000" w:fill="006991"/>
            <w:vAlign w:val="center"/>
            <w:hideMark/>
          </w:tcPr>
          <w:p w14:paraId="6E0A88AA"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48E3">
              <w:rPr>
                <w:rFonts w:ascii="Open Sans Semibold" w:hAnsi="Open Sans Semibold" w:cs="Open Sans Semibold"/>
                <w:color w:val="FFFFFF"/>
                <w:sz w:val="16"/>
                <w:szCs w:val="16"/>
              </w:rPr>
              <w:t>Qld</w:t>
            </w:r>
          </w:p>
        </w:tc>
        <w:tc>
          <w:tcPr>
            <w:tcW w:w="700" w:type="dxa"/>
            <w:tcBorders>
              <w:top w:val="nil"/>
              <w:left w:val="nil"/>
              <w:bottom w:val="nil"/>
              <w:right w:val="nil"/>
            </w:tcBorders>
            <w:shd w:val="clear" w:color="000000" w:fill="006991"/>
            <w:vAlign w:val="center"/>
            <w:hideMark/>
          </w:tcPr>
          <w:p w14:paraId="2529C5F0"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48E3">
              <w:rPr>
                <w:rFonts w:ascii="Open Sans Semibold" w:hAnsi="Open Sans Semibold" w:cs="Open Sans Semibold"/>
                <w:color w:val="FFFFFF"/>
                <w:sz w:val="16"/>
                <w:szCs w:val="16"/>
              </w:rPr>
              <w:t>WA</w:t>
            </w:r>
          </w:p>
        </w:tc>
        <w:tc>
          <w:tcPr>
            <w:tcW w:w="700" w:type="dxa"/>
            <w:tcBorders>
              <w:top w:val="nil"/>
              <w:left w:val="nil"/>
              <w:bottom w:val="nil"/>
              <w:right w:val="nil"/>
            </w:tcBorders>
            <w:shd w:val="clear" w:color="000000" w:fill="006991"/>
            <w:vAlign w:val="center"/>
            <w:hideMark/>
          </w:tcPr>
          <w:p w14:paraId="4E9B5C7B"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48E3">
              <w:rPr>
                <w:rFonts w:ascii="Open Sans Semibold" w:hAnsi="Open Sans Semibold" w:cs="Open Sans Semibold"/>
                <w:color w:val="FFFFFF"/>
                <w:sz w:val="16"/>
                <w:szCs w:val="16"/>
              </w:rPr>
              <w:t>SA</w:t>
            </w:r>
          </w:p>
        </w:tc>
        <w:tc>
          <w:tcPr>
            <w:tcW w:w="700" w:type="dxa"/>
            <w:tcBorders>
              <w:top w:val="nil"/>
              <w:left w:val="nil"/>
              <w:bottom w:val="nil"/>
              <w:right w:val="nil"/>
            </w:tcBorders>
            <w:shd w:val="clear" w:color="000000" w:fill="006991"/>
            <w:vAlign w:val="center"/>
            <w:hideMark/>
          </w:tcPr>
          <w:p w14:paraId="3937C1C9"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48E3">
              <w:rPr>
                <w:rFonts w:ascii="Open Sans Semibold" w:hAnsi="Open Sans Semibold" w:cs="Open Sans Semibold"/>
                <w:color w:val="FFFFFF"/>
                <w:sz w:val="16"/>
                <w:szCs w:val="16"/>
              </w:rPr>
              <w:t>Tas</w:t>
            </w:r>
          </w:p>
        </w:tc>
        <w:tc>
          <w:tcPr>
            <w:tcW w:w="700" w:type="dxa"/>
            <w:tcBorders>
              <w:top w:val="nil"/>
              <w:left w:val="nil"/>
              <w:bottom w:val="nil"/>
              <w:right w:val="nil"/>
            </w:tcBorders>
            <w:shd w:val="clear" w:color="000000" w:fill="006991"/>
            <w:vAlign w:val="center"/>
            <w:hideMark/>
          </w:tcPr>
          <w:p w14:paraId="2B121376"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48E3">
              <w:rPr>
                <w:rFonts w:ascii="Open Sans Semibold" w:hAnsi="Open Sans Semibold" w:cs="Open Sans Semibold"/>
                <w:color w:val="FFFFFF"/>
                <w:sz w:val="16"/>
                <w:szCs w:val="16"/>
              </w:rPr>
              <w:t>ACT</w:t>
            </w:r>
          </w:p>
        </w:tc>
        <w:tc>
          <w:tcPr>
            <w:tcW w:w="700" w:type="dxa"/>
            <w:tcBorders>
              <w:top w:val="nil"/>
              <w:left w:val="nil"/>
              <w:bottom w:val="nil"/>
              <w:right w:val="nil"/>
            </w:tcBorders>
            <w:shd w:val="clear" w:color="000000" w:fill="006991"/>
            <w:vAlign w:val="center"/>
            <w:hideMark/>
          </w:tcPr>
          <w:p w14:paraId="6F816EBB"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48E3">
              <w:rPr>
                <w:rFonts w:ascii="Open Sans Semibold" w:hAnsi="Open Sans Semibold" w:cs="Open Sans Semibold"/>
                <w:color w:val="FFFFFF"/>
                <w:sz w:val="16"/>
                <w:szCs w:val="16"/>
              </w:rPr>
              <w:t>NT</w:t>
            </w:r>
          </w:p>
        </w:tc>
        <w:tc>
          <w:tcPr>
            <w:tcW w:w="700" w:type="dxa"/>
            <w:tcBorders>
              <w:top w:val="nil"/>
              <w:left w:val="nil"/>
              <w:bottom w:val="nil"/>
              <w:right w:val="nil"/>
            </w:tcBorders>
            <w:shd w:val="clear" w:color="000000" w:fill="006991"/>
            <w:vAlign w:val="center"/>
            <w:hideMark/>
          </w:tcPr>
          <w:p w14:paraId="5381E61B"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FE48E3">
              <w:rPr>
                <w:rFonts w:ascii="Open Sans Semibold" w:hAnsi="Open Sans Semibold" w:cs="Open Sans Semibold"/>
                <w:color w:val="FFFFFF"/>
                <w:sz w:val="16"/>
                <w:szCs w:val="16"/>
              </w:rPr>
              <w:t>Total Effect</w:t>
            </w:r>
          </w:p>
        </w:tc>
      </w:tr>
      <w:tr w:rsidR="00FE48E3" w:rsidRPr="00FE48E3" w14:paraId="5C49E129" w14:textId="77777777" w:rsidTr="00FE48E3">
        <w:trPr>
          <w:trHeight w:val="259"/>
        </w:trPr>
        <w:tc>
          <w:tcPr>
            <w:tcW w:w="2720" w:type="dxa"/>
            <w:tcBorders>
              <w:top w:val="single" w:sz="4" w:space="0" w:color="ADD6EA"/>
              <w:left w:val="nil"/>
              <w:bottom w:val="nil"/>
              <w:right w:val="nil"/>
            </w:tcBorders>
            <w:shd w:val="clear" w:color="000000" w:fill="B6D5E4"/>
            <w:vAlign w:val="center"/>
            <w:hideMark/>
          </w:tcPr>
          <w:p w14:paraId="064B9F60" w14:textId="77777777" w:rsidR="00FE48E3" w:rsidRPr="00FE48E3" w:rsidRDefault="00FE48E3" w:rsidP="00FE48E3">
            <w:pPr>
              <w:tabs>
                <w:tab w:val="clear" w:pos="567"/>
              </w:tabs>
              <w:spacing w:before="0" w:line="240" w:lineRule="auto"/>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 </w:t>
            </w:r>
          </w:p>
        </w:tc>
        <w:tc>
          <w:tcPr>
            <w:tcW w:w="700" w:type="dxa"/>
            <w:tcBorders>
              <w:top w:val="single" w:sz="4" w:space="0" w:color="ADD6EA"/>
              <w:left w:val="nil"/>
              <w:bottom w:val="nil"/>
              <w:right w:val="nil"/>
            </w:tcBorders>
            <w:shd w:val="clear" w:color="000000" w:fill="B6D5E4"/>
            <w:noWrap/>
            <w:vAlign w:val="center"/>
            <w:hideMark/>
          </w:tcPr>
          <w:p w14:paraId="1E2DCE90"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$m</w:t>
            </w:r>
          </w:p>
        </w:tc>
        <w:tc>
          <w:tcPr>
            <w:tcW w:w="700" w:type="dxa"/>
            <w:tcBorders>
              <w:top w:val="single" w:sz="4" w:space="0" w:color="ADD6EA"/>
              <w:left w:val="nil"/>
              <w:bottom w:val="nil"/>
              <w:right w:val="nil"/>
            </w:tcBorders>
            <w:shd w:val="clear" w:color="000000" w:fill="B6D5E4"/>
            <w:noWrap/>
            <w:vAlign w:val="center"/>
            <w:hideMark/>
          </w:tcPr>
          <w:p w14:paraId="5E5A35FD"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$m</w:t>
            </w:r>
          </w:p>
        </w:tc>
        <w:tc>
          <w:tcPr>
            <w:tcW w:w="700" w:type="dxa"/>
            <w:tcBorders>
              <w:top w:val="single" w:sz="4" w:space="0" w:color="ADD6EA"/>
              <w:left w:val="nil"/>
              <w:bottom w:val="nil"/>
              <w:right w:val="nil"/>
            </w:tcBorders>
            <w:shd w:val="clear" w:color="000000" w:fill="B6D5E4"/>
            <w:noWrap/>
            <w:vAlign w:val="center"/>
            <w:hideMark/>
          </w:tcPr>
          <w:p w14:paraId="45D61648"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$m</w:t>
            </w:r>
          </w:p>
        </w:tc>
        <w:tc>
          <w:tcPr>
            <w:tcW w:w="700" w:type="dxa"/>
            <w:tcBorders>
              <w:top w:val="single" w:sz="4" w:space="0" w:color="ADD6EA"/>
              <w:left w:val="nil"/>
              <w:bottom w:val="nil"/>
              <w:right w:val="nil"/>
            </w:tcBorders>
            <w:shd w:val="clear" w:color="000000" w:fill="B6D5E4"/>
            <w:noWrap/>
            <w:vAlign w:val="center"/>
            <w:hideMark/>
          </w:tcPr>
          <w:p w14:paraId="4121AD29"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$m</w:t>
            </w:r>
          </w:p>
        </w:tc>
        <w:tc>
          <w:tcPr>
            <w:tcW w:w="700" w:type="dxa"/>
            <w:tcBorders>
              <w:top w:val="single" w:sz="4" w:space="0" w:color="ADD6EA"/>
              <w:left w:val="nil"/>
              <w:bottom w:val="nil"/>
              <w:right w:val="nil"/>
            </w:tcBorders>
            <w:shd w:val="clear" w:color="000000" w:fill="B6D5E4"/>
            <w:noWrap/>
            <w:vAlign w:val="center"/>
            <w:hideMark/>
          </w:tcPr>
          <w:p w14:paraId="43FCD20A"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$m</w:t>
            </w:r>
          </w:p>
        </w:tc>
        <w:tc>
          <w:tcPr>
            <w:tcW w:w="700" w:type="dxa"/>
            <w:tcBorders>
              <w:top w:val="single" w:sz="4" w:space="0" w:color="ADD6EA"/>
              <w:left w:val="nil"/>
              <w:bottom w:val="nil"/>
              <w:right w:val="nil"/>
            </w:tcBorders>
            <w:shd w:val="clear" w:color="000000" w:fill="B6D5E4"/>
            <w:noWrap/>
            <w:vAlign w:val="center"/>
            <w:hideMark/>
          </w:tcPr>
          <w:p w14:paraId="5512A2CC"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$m</w:t>
            </w:r>
          </w:p>
        </w:tc>
        <w:tc>
          <w:tcPr>
            <w:tcW w:w="700" w:type="dxa"/>
            <w:tcBorders>
              <w:top w:val="single" w:sz="4" w:space="0" w:color="ADD6EA"/>
              <w:left w:val="nil"/>
              <w:bottom w:val="nil"/>
              <w:right w:val="nil"/>
            </w:tcBorders>
            <w:shd w:val="clear" w:color="000000" w:fill="B6D5E4"/>
            <w:noWrap/>
            <w:vAlign w:val="center"/>
            <w:hideMark/>
          </w:tcPr>
          <w:p w14:paraId="46FC4BCB"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$m</w:t>
            </w:r>
          </w:p>
        </w:tc>
        <w:tc>
          <w:tcPr>
            <w:tcW w:w="700" w:type="dxa"/>
            <w:tcBorders>
              <w:top w:val="single" w:sz="4" w:space="0" w:color="ADD6EA"/>
              <w:left w:val="nil"/>
              <w:bottom w:val="nil"/>
              <w:right w:val="nil"/>
            </w:tcBorders>
            <w:shd w:val="clear" w:color="000000" w:fill="B6D5E4"/>
            <w:noWrap/>
            <w:vAlign w:val="center"/>
            <w:hideMark/>
          </w:tcPr>
          <w:p w14:paraId="57F482DC"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$m</w:t>
            </w:r>
          </w:p>
        </w:tc>
        <w:tc>
          <w:tcPr>
            <w:tcW w:w="700" w:type="dxa"/>
            <w:tcBorders>
              <w:top w:val="single" w:sz="4" w:space="0" w:color="ADD6EA"/>
              <w:left w:val="nil"/>
              <w:bottom w:val="nil"/>
              <w:right w:val="nil"/>
            </w:tcBorders>
            <w:shd w:val="clear" w:color="000000" w:fill="B6D5E4"/>
            <w:noWrap/>
            <w:vAlign w:val="center"/>
            <w:hideMark/>
          </w:tcPr>
          <w:p w14:paraId="5A4D2323"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$m</w:t>
            </w:r>
          </w:p>
        </w:tc>
      </w:tr>
      <w:tr w:rsidR="00FE48E3" w:rsidRPr="00FE48E3" w14:paraId="57B7C24D" w14:textId="77777777" w:rsidTr="00FE48E3">
        <w:trPr>
          <w:trHeight w:val="315"/>
        </w:trPr>
        <w:tc>
          <w:tcPr>
            <w:tcW w:w="2720" w:type="dxa"/>
            <w:tcBorders>
              <w:top w:val="single" w:sz="4" w:space="0" w:color="ADD6EA"/>
              <w:left w:val="nil"/>
              <w:bottom w:val="nil"/>
              <w:right w:val="nil"/>
            </w:tcBorders>
            <w:shd w:val="clear" w:color="auto" w:fill="auto"/>
            <w:vAlign w:val="center"/>
            <w:hideMark/>
          </w:tcPr>
          <w:p w14:paraId="194FCDDE" w14:textId="77777777" w:rsidR="00FE48E3" w:rsidRPr="00FE48E3" w:rsidRDefault="00FE48E3" w:rsidP="00FE48E3">
            <w:pPr>
              <w:tabs>
                <w:tab w:val="clear" w:pos="567"/>
              </w:tabs>
              <w:spacing w:before="0" w:line="240" w:lineRule="auto"/>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Building Australia Fund - Rail</w:t>
            </w:r>
          </w:p>
        </w:tc>
        <w:tc>
          <w:tcPr>
            <w:tcW w:w="700" w:type="dxa"/>
            <w:tcBorders>
              <w:top w:val="single" w:sz="4" w:space="0" w:color="ADD6EA"/>
              <w:left w:val="nil"/>
              <w:bottom w:val="nil"/>
              <w:right w:val="nil"/>
            </w:tcBorders>
            <w:shd w:val="clear" w:color="auto" w:fill="auto"/>
            <w:noWrap/>
            <w:vAlign w:val="center"/>
            <w:hideMark/>
          </w:tcPr>
          <w:p w14:paraId="25998DAC"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-168</w:t>
            </w:r>
          </w:p>
        </w:tc>
        <w:tc>
          <w:tcPr>
            <w:tcW w:w="700" w:type="dxa"/>
            <w:tcBorders>
              <w:top w:val="single" w:sz="4" w:space="0" w:color="ADD6EA"/>
              <w:left w:val="nil"/>
              <w:bottom w:val="nil"/>
              <w:right w:val="nil"/>
            </w:tcBorders>
            <w:shd w:val="clear" w:color="auto" w:fill="auto"/>
            <w:noWrap/>
            <w:vAlign w:val="center"/>
            <w:hideMark/>
          </w:tcPr>
          <w:p w14:paraId="0EDCD907"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78</w:t>
            </w:r>
          </w:p>
        </w:tc>
        <w:tc>
          <w:tcPr>
            <w:tcW w:w="700" w:type="dxa"/>
            <w:tcBorders>
              <w:top w:val="single" w:sz="4" w:space="0" w:color="ADD6EA"/>
              <w:left w:val="nil"/>
              <w:bottom w:val="nil"/>
              <w:right w:val="nil"/>
            </w:tcBorders>
            <w:shd w:val="clear" w:color="auto" w:fill="auto"/>
            <w:noWrap/>
            <w:vAlign w:val="center"/>
            <w:hideMark/>
          </w:tcPr>
          <w:p w14:paraId="497E9757"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90</w:t>
            </w:r>
          </w:p>
        </w:tc>
        <w:tc>
          <w:tcPr>
            <w:tcW w:w="700" w:type="dxa"/>
            <w:tcBorders>
              <w:top w:val="single" w:sz="4" w:space="0" w:color="ADD6EA"/>
              <w:left w:val="nil"/>
              <w:bottom w:val="nil"/>
              <w:right w:val="nil"/>
            </w:tcBorders>
            <w:shd w:val="clear" w:color="auto" w:fill="auto"/>
            <w:noWrap/>
            <w:vAlign w:val="center"/>
            <w:hideMark/>
          </w:tcPr>
          <w:p w14:paraId="1880CE7B"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-80</w:t>
            </w:r>
          </w:p>
        </w:tc>
        <w:tc>
          <w:tcPr>
            <w:tcW w:w="700" w:type="dxa"/>
            <w:tcBorders>
              <w:top w:val="single" w:sz="4" w:space="0" w:color="ADD6EA"/>
              <w:left w:val="nil"/>
              <w:bottom w:val="nil"/>
              <w:right w:val="nil"/>
            </w:tcBorders>
            <w:shd w:val="clear" w:color="auto" w:fill="auto"/>
            <w:noWrap/>
            <w:vAlign w:val="center"/>
            <w:hideMark/>
          </w:tcPr>
          <w:p w14:paraId="207E116A"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63</w:t>
            </w:r>
          </w:p>
        </w:tc>
        <w:tc>
          <w:tcPr>
            <w:tcW w:w="700" w:type="dxa"/>
            <w:tcBorders>
              <w:top w:val="single" w:sz="4" w:space="0" w:color="ADD6EA"/>
              <w:left w:val="nil"/>
              <w:bottom w:val="nil"/>
              <w:right w:val="nil"/>
            </w:tcBorders>
            <w:shd w:val="clear" w:color="auto" w:fill="auto"/>
            <w:noWrap/>
            <w:vAlign w:val="center"/>
            <w:hideMark/>
          </w:tcPr>
          <w:p w14:paraId="1F6EC2FC"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7</w:t>
            </w:r>
          </w:p>
        </w:tc>
        <w:tc>
          <w:tcPr>
            <w:tcW w:w="700" w:type="dxa"/>
            <w:tcBorders>
              <w:top w:val="single" w:sz="4" w:space="0" w:color="ADD6EA"/>
              <w:left w:val="nil"/>
              <w:bottom w:val="nil"/>
              <w:right w:val="nil"/>
            </w:tcBorders>
            <w:shd w:val="clear" w:color="auto" w:fill="auto"/>
            <w:noWrap/>
            <w:vAlign w:val="center"/>
            <w:hideMark/>
          </w:tcPr>
          <w:p w14:paraId="773B0F37"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4</w:t>
            </w:r>
          </w:p>
        </w:tc>
        <w:tc>
          <w:tcPr>
            <w:tcW w:w="700" w:type="dxa"/>
            <w:tcBorders>
              <w:top w:val="single" w:sz="4" w:space="0" w:color="ADD6EA"/>
              <w:left w:val="nil"/>
              <w:bottom w:val="nil"/>
              <w:right w:val="nil"/>
            </w:tcBorders>
            <w:shd w:val="clear" w:color="auto" w:fill="auto"/>
            <w:noWrap/>
            <w:vAlign w:val="center"/>
            <w:hideMark/>
          </w:tcPr>
          <w:p w14:paraId="2FC3B0BC"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6</w:t>
            </w:r>
          </w:p>
        </w:tc>
        <w:tc>
          <w:tcPr>
            <w:tcW w:w="700" w:type="dxa"/>
            <w:tcBorders>
              <w:top w:val="single" w:sz="4" w:space="0" w:color="ADD6EA"/>
              <w:left w:val="nil"/>
              <w:bottom w:val="nil"/>
              <w:right w:val="nil"/>
            </w:tcBorders>
            <w:shd w:val="clear" w:color="auto" w:fill="auto"/>
            <w:noWrap/>
            <w:vAlign w:val="center"/>
            <w:hideMark/>
          </w:tcPr>
          <w:p w14:paraId="015FEA9A"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248</w:t>
            </w:r>
          </w:p>
        </w:tc>
      </w:tr>
      <w:tr w:rsidR="00FE48E3" w:rsidRPr="00FE48E3" w14:paraId="5CB83BB6" w14:textId="77777777" w:rsidTr="00FE48E3">
        <w:trPr>
          <w:trHeight w:val="555"/>
        </w:trPr>
        <w:tc>
          <w:tcPr>
            <w:tcW w:w="2720" w:type="dxa"/>
            <w:tcBorders>
              <w:top w:val="single" w:sz="4" w:space="0" w:color="ADD6EA"/>
              <w:left w:val="nil"/>
              <w:bottom w:val="nil"/>
              <w:right w:val="nil"/>
            </w:tcBorders>
            <w:shd w:val="clear" w:color="auto" w:fill="auto"/>
            <w:vAlign w:val="center"/>
            <w:hideMark/>
          </w:tcPr>
          <w:p w14:paraId="3FA5F232" w14:textId="77777777" w:rsidR="00FE48E3" w:rsidRPr="00FE48E3" w:rsidRDefault="00FE48E3" w:rsidP="00FE48E3">
            <w:pPr>
              <w:tabs>
                <w:tab w:val="clear" w:pos="567"/>
              </w:tabs>
              <w:spacing w:before="0" w:line="240" w:lineRule="auto"/>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Infrastructure investment - National network roads</w:t>
            </w:r>
          </w:p>
        </w:tc>
        <w:tc>
          <w:tcPr>
            <w:tcW w:w="700" w:type="dxa"/>
            <w:tcBorders>
              <w:top w:val="single" w:sz="4" w:space="0" w:color="ADD6EA"/>
              <w:left w:val="nil"/>
              <w:bottom w:val="nil"/>
              <w:right w:val="nil"/>
            </w:tcBorders>
            <w:shd w:val="clear" w:color="auto" w:fill="auto"/>
            <w:noWrap/>
            <w:vAlign w:val="center"/>
            <w:hideMark/>
          </w:tcPr>
          <w:p w14:paraId="5C492E85"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73</w:t>
            </w:r>
          </w:p>
        </w:tc>
        <w:tc>
          <w:tcPr>
            <w:tcW w:w="700" w:type="dxa"/>
            <w:tcBorders>
              <w:top w:val="single" w:sz="4" w:space="0" w:color="ADD6EA"/>
              <w:left w:val="nil"/>
              <w:bottom w:val="nil"/>
              <w:right w:val="nil"/>
            </w:tcBorders>
            <w:shd w:val="clear" w:color="auto" w:fill="auto"/>
            <w:noWrap/>
            <w:vAlign w:val="center"/>
            <w:hideMark/>
          </w:tcPr>
          <w:p w14:paraId="7E8A93A8"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29</w:t>
            </w:r>
          </w:p>
        </w:tc>
        <w:tc>
          <w:tcPr>
            <w:tcW w:w="700" w:type="dxa"/>
            <w:tcBorders>
              <w:top w:val="single" w:sz="4" w:space="0" w:color="ADD6EA"/>
              <w:left w:val="nil"/>
              <w:bottom w:val="nil"/>
              <w:right w:val="nil"/>
            </w:tcBorders>
            <w:shd w:val="clear" w:color="auto" w:fill="auto"/>
            <w:noWrap/>
            <w:vAlign w:val="center"/>
            <w:hideMark/>
          </w:tcPr>
          <w:p w14:paraId="254F9117"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48</w:t>
            </w:r>
          </w:p>
        </w:tc>
        <w:tc>
          <w:tcPr>
            <w:tcW w:w="700" w:type="dxa"/>
            <w:tcBorders>
              <w:top w:val="single" w:sz="4" w:space="0" w:color="ADD6EA"/>
              <w:left w:val="nil"/>
              <w:bottom w:val="nil"/>
              <w:right w:val="nil"/>
            </w:tcBorders>
            <w:shd w:val="clear" w:color="auto" w:fill="auto"/>
            <w:noWrap/>
            <w:vAlign w:val="center"/>
            <w:hideMark/>
          </w:tcPr>
          <w:p w14:paraId="787DD8F9"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-46</w:t>
            </w:r>
          </w:p>
        </w:tc>
        <w:tc>
          <w:tcPr>
            <w:tcW w:w="700" w:type="dxa"/>
            <w:tcBorders>
              <w:top w:val="single" w:sz="4" w:space="0" w:color="ADD6EA"/>
              <w:left w:val="nil"/>
              <w:bottom w:val="nil"/>
              <w:right w:val="nil"/>
            </w:tcBorders>
            <w:shd w:val="clear" w:color="auto" w:fill="auto"/>
            <w:noWrap/>
            <w:vAlign w:val="center"/>
            <w:hideMark/>
          </w:tcPr>
          <w:p w14:paraId="0EF9BC73"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-66</w:t>
            </w:r>
          </w:p>
        </w:tc>
        <w:tc>
          <w:tcPr>
            <w:tcW w:w="700" w:type="dxa"/>
            <w:tcBorders>
              <w:top w:val="single" w:sz="4" w:space="0" w:color="ADD6EA"/>
              <w:left w:val="nil"/>
              <w:bottom w:val="nil"/>
              <w:right w:val="nil"/>
            </w:tcBorders>
            <w:shd w:val="clear" w:color="auto" w:fill="auto"/>
            <w:noWrap/>
            <w:vAlign w:val="center"/>
            <w:hideMark/>
          </w:tcPr>
          <w:p w14:paraId="1DBF4226"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-28</w:t>
            </w:r>
          </w:p>
        </w:tc>
        <w:tc>
          <w:tcPr>
            <w:tcW w:w="700" w:type="dxa"/>
            <w:tcBorders>
              <w:top w:val="single" w:sz="4" w:space="0" w:color="ADD6EA"/>
              <w:left w:val="nil"/>
              <w:bottom w:val="nil"/>
              <w:right w:val="nil"/>
            </w:tcBorders>
            <w:shd w:val="clear" w:color="auto" w:fill="auto"/>
            <w:noWrap/>
            <w:vAlign w:val="center"/>
            <w:hideMark/>
          </w:tcPr>
          <w:p w14:paraId="4D597263"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3</w:t>
            </w:r>
          </w:p>
        </w:tc>
        <w:tc>
          <w:tcPr>
            <w:tcW w:w="700" w:type="dxa"/>
            <w:tcBorders>
              <w:top w:val="single" w:sz="4" w:space="0" w:color="ADD6EA"/>
              <w:left w:val="nil"/>
              <w:bottom w:val="nil"/>
              <w:right w:val="nil"/>
            </w:tcBorders>
            <w:shd w:val="clear" w:color="auto" w:fill="auto"/>
            <w:noWrap/>
            <w:vAlign w:val="center"/>
            <w:hideMark/>
          </w:tcPr>
          <w:p w14:paraId="7B861DD9"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-14</w:t>
            </w:r>
          </w:p>
        </w:tc>
        <w:tc>
          <w:tcPr>
            <w:tcW w:w="700" w:type="dxa"/>
            <w:tcBorders>
              <w:top w:val="single" w:sz="4" w:space="0" w:color="ADD6EA"/>
              <w:left w:val="nil"/>
              <w:bottom w:val="nil"/>
              <w:right w:val="nil"/>
            </w:tcBorders>
            <w:shd w:val="clear" w:color="auto" w:fill="auto"/>
            <w:noWrap/>
            <w:vAlign w:val="center"/>
            <w:hideMark/>
          </w:tcPr>
          <w:p w14:paraId="6333FE86"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154</w:t>
            </w:r>
          </w:p>
        </w:tc>
      </w:tr>
      <w:tr w:rsidR="00FE48E3" w:rsidRPr="00FE48E3" w14:paraId="67BAF053" w14:textId="77777777" w:rsidTr="00FE48E3">
        <w:trPr>
          <w:trHeight w:val="375"/>
        </w:trPr>
        <w:tc>
          <w:tcPr>
            <w:tcW w:w="2720" w:type="dxa"/>
            <w:tcBorders>
              <w:top w:val="single" w:sz="4" w:space="0" w:color="ADD6EA"/>
              <w:left w:val="nil"/>
              <w:bottom w:val="nil"/>
              <w:right w:val="nil"/>
            </w:tcBorders>
            <w:shd w:val="clear" w:color="auto" w:fill="auto"/>
            <w:vAlign w:val="center"/>
            <w:hideMark/>
          </w:tcPr>
          <w:p w14:paraId="22D79793" w14:textId="77777777" w:rsidR="00FE48E3" w:rsidRPr="00FE48E3" w:rsidRDefault="00FE48E3" w:rsidP="00FE48E3">
            <w:pPr>
              <w:tabs>
                <w:tab w:val="clear" w:pos="567"/>
              </w:tabs>
              <w:spacing w:before="0" w:line="240" w:lineRule="auto"/>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National health reform funding</w:t>
            </w:r>
          </w:p>
        </w:tc>
        <w:tc>
          <w:tcPr>
            <w:tcW w:w="700" w:type="dxa"/>
            <w:tcBorders>
              <w:top w:val="single" w:sz="4" w:space="0" w:color="ADD6EA"/>
              <w:left w:val="nil"/>
              <w:bottom w:val="nil"/>
              <w:right w:val="nil"/>
            </w:tcBorders>
            <w:shd w:val="clear" w:color="auto" w:fill="auto"/>
            <w:noWrap/>
            <w:vAlign w:val="center"/>
            <w:hideMark/>
          </w:tcPr>
          <w:p w14:paraId="43DEAFCE"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-28</w:t>
            </w:r>
          </w:p>
        </w:tc>
        <w:tc>
          <w:tcPr>
            <w:tcW w:w="700" w:type="dxa"/>
            <w:tcBorders>
              <w:top w:val="single" w:sz="4" w:space="0" w:color="ADD6EA"/>
              <w:left w:val="nil"/>
              <w:bottom w:val="nil"/>
              <w:right w:val="nil"/>
            </w:tcBorders>
            <w:shd w:val="clear" w:color="auto" w:fill="auto"/>
            <w:noWrap/>
            <w:vAlign w:val="center"/>
            <w:hideMark/>
          </w:tcPr>
          <w:p w14:paraId="510B3DAA"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58</w:t>
            </w:r>
          </w:p>
        </w:tc>
        <w:tc>
          <w:tcPr>
            <w:tcW w:w="700" w:type="dxa"/>
            <w:tcBorders>
              <w:top w:val="single" w:sz="4" w:space="0" w:color="ADD6EA"/>
              <w:left w:val="nil"/>
              <w:bottom w:val="nil"/>
              <w:right w:val="nil"/>
            </w:tcBorders>
            <w:shd w:val="clear" w:color="auto" w:fill="auto"/>
            <w:noWrap/>
            <w:vAlign w:val="center"/>
            <w:hideMark/>
          </w:tcPr>
          <w:p w14:paraId="374975B4"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-32</w:t>
            </w:r>
          </w:p>
        </w:tc>
        <w:tc>
          <w:tcPr>
            <w:tcW w:w="700" w:type="dxa"/>
            <w:tcBorders>
              <w:top w:val="single" w:sz="4" w:space="0" w:color="ADD6EA"/>
              <w:left w:val="nil"/>
              <w:bottom w:val="nil"/>
              <w:right w:val="nil"/>
            </w:tcBorders>
            <w:shd w:val="clear" w:color="auto" w:fill="auto"/>
            <w:noWrap/>
            <w:vAlign w:val="center"/>
            <w:hideMark/>
          </w:tcPr>
          <w:p w14:paraId="18355728"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23</w:t>
            </w:r>
          </w:p>
        </w:tc>
        <w:tc>
          <w:tcPr>
            <w:tcW w:w="700" w:type="dxa"/>
            <w:tcBorders>
              <w:top w:val="single" w:sz="4" w:space="0" w:color="ADD6EA"/>
              <w:left w:val="nil"/>
              <w:bottom w:val="nil"/>
              <w:right w:val="nil"/>
            </w:tcBorders>
            <w:shd w:val="clear" w:color="auto" w:fill="auto"/>
            <w:noWrap/>
            <w:vAlign w:val="center"/>
            <w:hideMark/>
          </w:tcPr>
          <w:p w14:paraId="515D4810"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11</w:t>
            </w:r>
          </w:p>
        </w:tc>
        <w:tc>
          <w:tcPr>
            <w:tcW w:w="700" w:type="dxa"/>
            <w:tcBorders>
              <w:top w:val="single" w:sz="4" w:space="0" w:color="ADD6EA"/>
              <w:left w:val="nil"/>
              <w:bottom w:val="nil"/>
              <w:right w:val="nil"/>
            </w:tcBorders>
            <w:shd w:val="clear" w:color="auto" w:fill="auto"/>
            <w:noWrap/>
            <w:vAlign w:val="center"/>
            <w:hideMark/>
          </w:tcPr>
          <w:p w14:paraId="02A25FF0"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-25</w:t>
            </w:r>
          </w:p>
        </w:tc>
        <w:tc>
          <w:tcPr>
            <w:tcW w:w="700" w:type="dxa"/>
            <w:tcBorders>
              <w:top w:val="single" w:sz="4" w:space="0" w:color="ADD6EA"/>
              <w:left w:val="nil"/>
              <w:bottom w:val="nil"/>
              <w:right w:val="nil"/>
            </w:tcBorders>
            <w:shd w:val="clear" w:color="auto" w:fill="auto"/>
            <w:noWrap/>
            <w:vAlign w:val="center"/>
            <w:hideMark/>
          </w:tcPr>
          <w:p w14:paraId="2A4730A9"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w:t>
            </w:r>
          </w:p>
        </w:tc>
        <w:tc>
          <w:tcPr>
            <w:tcW w:w="700" w:type="dxa"/>
            <w:tcBorders>
              <w:top w:val="single" w:sz="4" w:space="0" w:color="ADD6EA"/>
              <w:left w:val="nil"/>
              <w:bottom w:val="nil"/>
              <w:right w:val="nil"/>
            </w:tcBorders>
            <w:shd w:val="clear" w:color="auto" w:fill="auto"/>
            <w:noWrap/>
            <w:vAlign w:val="center"/>
            <w:hideMark/>
          </w:tcPr>
          <w:p w14:paraId="08229F43"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-10</w:t>
            </w:r>
          </w:p>
        </w:tc>
        <w:tc>
          <w:tcPr>
            <w:tcW w:w="700" w:type="dxa"/>
            <w:tcBorders>
              <w:top w:val="single" w:sz="4" w:space="0" w:color="ADD6EA"/>
              <w:left w:val="nil"/>
              <w:bottom w:val="nil"/>
              <w:right w:val="nil"/>
            </w:tcBorders>
            <w:shd w:val="clear" w:color="auto" w:fill="auto"/>
            <w:noWrap/>
            <w:vAlign w:val="center"/>
            <w:hideMark/>
          </w:tcPr>
          <w:p w14:paraId="33448BFB"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94</w:t>
            </w:r>
          </w:p>
        </w:tc>
      </w:tr>
      <w:tr w:rsidR="00FE48E3" w:rsidRPr="00FE48E3" w14:paraId="6326FB87" w14:textId="77777777" w:rsidTr="00FE48E3">
        <w:trPr>
          <w:trHeight w:val="555"/>
        </w:trPr>
        <w:tc>
          <w:tcPr>
            <w:tcW w:w="2720" w:type="dxa"/>
            <w:tcBorders>
              <w:top w:val="single" w:sz="4" w:space="0" w:color="ADD6EA"/>
              <w:left w:val="nil"/>
              <w:bottom w:val="nil"/>
              <w:right w:val="nil"/>
            </w:tcBorders>
            <w:shd w:val="clear" w:color="auto" w:fill="auto"/>
            <w:vAlign w:val="center"/>
            <w:hideMark/>
          </w:tcPr>
          <w:p w14:paraId="09A29FAF" w14:textId="77777777" w:rsidR="00FE48E3" w:rsidRPr="00FE48E3" w:rsidRDefault="00FE48E3" w:rsidP="00FE48E3">
            <w:pPr>
              <w:tabs>
                <w:tab w:val="clear" w:pos="567"/>
              </w:tabs>
              <w:spacing w:before="0" w:line="240" w:lineRule="auto"/>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Quality schools (government schools)</w:t>
            </w:r>
          </w:p>
        </w:tc>
        <w:tc>
          <w:tcPr>
            <w:tcW w:w="700" w:type="dxa"/>
            <w:tcBorders>
              <w:top w:val="single" w:sz="4" w:space="0" w:color="ADD6EA"/>
              <w:left w:val="nil"/>
              <w:bottom w:val="nil"/>
              <w:right w:val="nil"/>
            </w:tcBorders>
            <w:shd w:val="clear" w:color="auto" w:fill="auto"/>
            <w:vAlign w:val="center"/>
            <w:hideMark/>
          </w:tcPr>
          <w:p w14:paraId="3ED4B5E5"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39</w:t>
            </w:r>
          </w:p>
        </w:tc>
        <w:tc>
          <w:tcPr>
            <w:tcW w:w="700" w:type="dxa"/>
            <w:tcBorders>
              <w:top w:val="single" w:sz="4" w:space="0" w:color="ADD6EA"/>
              <w:left w:val="nil"/>
              <w:bottom w:val="nil"/>
              <w:right w:val="nil"/>
            </w:tcBorders>
            <w:shd w:val="clear" w:color="auto" w:fill="auto"/>
            <w:vAlign w:val="center"/>
            <w:hideMark/>
          </w:tcPr>
          <w:p w14:paraId="0152EA50"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-47</w:t>
            </w:r>
          </w:p>
        </w:tc>
        <w:tc>
          <w:tcPr>
            <w:tcW w:w="700" w:type="dxa"/>
            <w:tcBorders>
              <w:top w:val="single" w:sz="4" w:space="0" w:color="ADD6EA"/>
              <w:left w:val="nil"/>
              <w:bottom w:val="nil"/>
              <w:right w:val="nil"/>
            </w:tcBorders>
            <w:shd w:val="clear" w:color="auto" w:fill="auto"/>
            <w:vAlign w:val="center"/>
            <w:hideMark/>
          </w:tcPr>
          <w:p w14:paraId="64F3A38D"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23</w:t>
            </w:r>
          </w:p>
        </w:tc>
        <w:tc>
          <w:tcPr>
            <w:tcW w:w="700" w:type="dxa"/>
            <w:tcBorders>
              <w:top w:val="single" w:sz="4" w:space="0" w:color="ADD6EA"/>
              <w:left w:val="nil"/>
              <w:bottom w:val="nil"/>
              <w:right w:val="nil"/>
            </w:tcBorders>
            <w:shd w:val="clear" w:color="auto" w:fill="auto"/>
            <w:vAlign w:val="center"/>
            <w:hideMark/>
          </w:tcPr>
          <w:p w14:paraId="71D643AB"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-32</w:t>
            </w:r>
          </w:p>
        </w:tc>
        <w:tc>
          <w:tcPr>
            <w:tcW w:w="700" w:type="dxa"/>
            <w:tcBorders>
              <w:top w:val="single" w:sz="4" w:space="0" w:color="ADD6EA"/>
              <w:left w:val="nil"/>
              <w:bottom w:val="nil"/>
              <w:right w:val="nil"/>
            </w:tcBorders>
            <w:shd w:val="clear" w:color="auto" w:fill="auto"/>
            <w:vAlign w:val="center"/>
            <w:hideMark/>
          </w:tcPr>
          <w:p w14:paraId="43EEEE8F"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w:t>
            </w:r>
          </w:p>
        </w:tc>
        <w:tc>
          <w:tcPr>
            <w:tcW w:w="700" w:type="dxa"/>
            <w:tcBorders>
              <w:top w:val="single" w:sz="4" w:space="0" w:color="ADD6EA"/>
              <w:left w:val="nil"/>
              <w:bottom w:val="nil"/>
              <w:right w:val="nil"/>
            </w:tcBorders>
            <w:shd w:val="clear" w:color="auto" w:fill="auto"/>
            <w:vAlign w:val="center"/>
            <w:hideMark/>
          </w:tcPr>
          <w:p w14:paraId="4042AC1B"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9</w:t>
            </w:r>
          </w:p>
        </w:tc>
        <w:tc>
          <w:tcPr>
            <w:tcW w:w="700" w:type="dxa"/>
            <w:tcBorders>
              <w:top w:val="single" w:sz="4" w:space="0" w:color="ADD6EA"/>
              <w:left w:val="nil"/>
              <w:bottom w:val="nil"/>
              <w:right w:val="nil"/>
            </w:tcBorders>
            <w:shd w:val="clear" w:color="auto" w:fill="auto"/>
            <w:vAlign w:val="center"/>
            <w:hideMark/>
          </w:tcPr>
          <w:p w14:paraId="58D15E93"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-4</w:t>
            </w:r>
          </w:p>
        </w:tc>
        <w:tc>
          <w:tcPr>
            <w:tcW w:w="700" w:type="dxa"/>
            <w:tcBorders>
              <w:top w:val="single" w:sz="4" w:space="0" w:color="ADD6EA"/>
              <w:left w:val="nil"/>
              <w:bottom w:val="nil"/>
              <w:right w:val="nil"/>
            </w:tcBorders>
            <w:shd w:val="clear" w:color="auto" w:fill="auto"/>
            <w:vAlign w:val="center"/>
            <w:hideMark/>
          </w:tcPr>
          <w:p w14:paraId="73261447"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14</w:t>
            </w:r>
          </w:p>
        </w:tc>
        <w:tc>
          <w:tcPr>
            <w:tcW w:w="700" w:type="dxa"/>
            <w:tcBorders>
              <w:top w:val="single" w:sz="4" w:space="0" w:color="ADD6EA"/>
              <w:left w:val="nil"/>
              <w:bottom w:val="nil"/>
              <w:right w:val="nil"/>
            </w:tcBorders>
            <w:shd w:val="clear" w:color="auto" w:fill="auto"/>
            <w:vAlign w:val="center"/>
            <w:hideMark/>
          </w:tcPr>
          <w:p w14:paraId="16E4D0B2"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85</w:t>
            </w:r>
          </w:p>
        </w:tc>
      </w:tr>
      <w:tr w:rsidR="00FE48E3" w:rsidRPr="00FE48E3" w14:paraId="3D87FC98" w14:textId="77777777" w:rsidTr="00FE48E3">
        <w:trPr>
          <w:trHeight w:val="555"/>
        </w:trPr>
        <w:tc>
          <w:tcPr>
            <w:tcW w:w="2720" w:type="dxa"/>
            <w:tcBorders>
              <w:top w:val="single" w:sz="4" w:space="0" w:color="ADD6EA"/>
              <w:left w:val="nil"/>
              <w:bottom w:val="nil"/>
              <w:right w:val="nil"/>
            </w:tcBorders>
            <w:shd w:val="clear" w:color="auto" w:fill="auto"/>
            <w:vAlign w:val="center"/>
            <w:hideMark/>
          </w:tcPr>
          <w:p w14:paraId="698C5317" w14:textId="77777777" w:rsidR="00FE48E3" w:rsidRPr="00FE48E3" w:rsidRDefault="00FE48E3" w:rsidP="00FE48E3">
            <w:pPr>
              <w:tabs>
                <w:tab w:val="clear" w:pos="567"/>
              </w:tabs>
              <w:spacing w:before="0" w:line="240" w:lineRule="auto"/>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Infrastructure Growth Package - Western Sydney Infrastructure Plan</w:t>
            </w:r>
          </w:p>
        </w:tc>
        <w:tc>
          <w:tcPr>
            <w:tcW w:w="700" w:type="dxa"/>
            <w:tcBorders>
              <w:top w:val="single" w:sz="4" w:space="0" w:color="ADD6EA"/>
              <w:left w:val="nil"/>
              <w:bottom w:val="nil"/>
              <w:right w:val="nil"/>
            </w:tcBorders>
            <w:shd w:val="clear" w:color="auto" w:fill="auto"/>
            <w:noWrap/>
            <w:vAlign w:val="center"/>
            <w:hideMark/>
          </w:tcPr>
          <w:p w14:paraId="475C8C85"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75</w:t>
            </w:r>
          </w:p>
        </w:tc>
        <w:tc>
          <w:tcPr>
            <w:tcW w:w="700" w:type="dxa"/>
            <w:tcBorders>
              <w:top w:val="single" w:sz="4" w:space="0" w:color="ADD6EA"/>
              <w:left w:val="nil"/>
              <w:bottom w:val="nil"/>
              <w:right w:val="nil"/>
            </w:tcBorders>
            <w:shd w:val="clear" w:color="auto" w:fill="auto"/>
            <w:noWrap/>
            <w:vAlign w:val="center"/>
            <w:hideMark/>
          </w:tcPr>
          <w:p w14:paraId="4487AB20"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-28</w:t>
            </w:r>
          </w:p>
        </w:tc>
        <w:tc>
          <w:tcPr>
            <w:tcW w:w="700" w:type="dxa"/>
            <w:tcBorders>
              <w:top w:val="single" w:sz="4" w:space="0" w:color="ADD6EA"/>
              <w:left w:val="nil"/>
              <w:bottom w:val="nil"/>
              <w:right w:val="nil"/>
            </w:tcBorders>
            <w:shd w:val="clear" w:color="auto" w:fill="auto"/>
            <w:noWrap/>
            <w:vAlign w:val="center"/>
            <w:hideMark/>
          </w:tcPr>
          <w:p w14:paraId="23BCB82E"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-22</w:t>
            </w:r>
          </w:p>
        </w:tc>
        <w:tc>
          <w:tcPr>
            <w:tcW w:w="700" w:type="dxa"/>
            <w:tcBorders>
              <w:top w:val="single" w:sz="4" w:space="0" w:color="ADD6EA"/>
              <w:left w:val="nil"/>
              <w:bottom w:val="nil"/>
              <w:right w:val="nil"/>
            </w:tcBorders>
            <w:shd w:val="clear" w:color="auto" w:fill="auto"/>
            <w:noWrap/>
            <w:vAlign w:val="center"/>
            <w:hideMark/>
          </w:tcPr>
          <w:p w14:paraId="19F2701D"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-12</w:t>
            </w:r>
          </w:p>
        </w:tc>
        <w:tc>
          <w:tcPr>
            <w:tcW w:w="700" w:type="dxa"/>
            <w:tcBorders>
              <w:top w:val="single" w:sz="4" w:space="0" w:color="ADD6EA"/>
              <w:left w:val="nil"/>
              <w:bottom w:val="nil"/>
              <w:right w:val="nil"/>
            </w:tcBorders>
            <w:shd w:val="clear" w:color="auto" w:fill="auto"/>
            <w:noWrap/>
            <w:vAlign w:val="center"/>
            <w:hideMark/>
          </w:tcPr>
          <w:p w14:paraId="04C3D33E"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-8</w:t>
            </w:r>
          </w:p>
        </w:tc>
        <w:tc>
          <w:tcPr>
            <w:tcW w:w="700" w:type="dxa"/>
            <w:tcBorders>
              <w:top w:val="single" w:sz="4" w:space="0" w:color="ADD6EA"/>
              <w:left w:val="nil"/>
              <w:bottom w:val="nil"/>
              <w:right w:val="nil"/>
            </w:tcBorders>
            <w:shd w:val="clear" w:color="auto" w:fill="auto"/>
            <w:noWrap/>
            <w:vAlign w:val="center"/>
            <w:hideMark/>
          </w:tcPr>
          <w:p w14:paraId="678BA8AB"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w:t>
            </w:r>
          </w:p>
        </w:tc>
        <w:tc>
          <w:tcPr>
            <w:tcW w:w="700" w:type="dxa"/>
            <w:tcBorders>
              <w:top w:val="single" w:sz="4" w:space="0" w:color="ADD6EA"/>
              <w:left w:val="nil"/>
              <w:bottom w:val="nil"/>
              <w:right w:val="nil"/>
            </w:tcBorders>
            <w:shd w:val="clear" w:color="auto" w:fill="auto"/>
            <w:noWrap/>
            <w:vAlign w:val="center"/>
            <w:hideMark/>
          </w:tcPr>
          <w:p w14:paraId="73D29C55"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w:t>
            </w:r>
          </w:p>
        </w:tc>
        <w:tc>
          <w:tcPr>
            <w:tcW w:w="700" w:type="dxa"/>
            <w:tcBorders>
              <w:top w:val="single" w:sz="4" w:space="0" w:color="ADD6EA"/>
              <w:left w:val="nil"/>
              <w:bottom w:val="nil"/>
              <w:right w:val="nil"/>
            </w:tcBorders>
            <w:shd w:val="clear" w:color="auto" w:fill="auto"/>
            <w:noWrap/>
            <w:vAlign w:val="center"/>
            <w:hideMark/>
          </w:tcPr>
          <w:p w14:paraId="71C45E83"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w:t>
            </w:r>
          </w:p>
        </w:tc>
        <w:tc>
          <w:tcPr>
            <w:tcW w:w="700" w:type="dxa"/>
            <w:tcBorders>
              <w:top w:val="single" w:sz="4" w:space="0" w:color="ADD6EA"/>
              <w:left w:val="nil"/>
              <w:bottom w:val="nil"/>
              <w:right w:val="nil"/>
            </w:tcBorders>
            <w:shd w:val="clear" w:color="auto" w:fill="auto"/>
            <w:noWrap/>
            <w:vAlign w:val="center"/>
            <w:hideMark/>
          </w:tcPr>
          <w:p w14:paraId="156ACEB0"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75</w:t>
            </w:r>
          </w:p>
        </w:tc>
      </w:tr>
      <w:tr w:rsidR="00FE48E3" w:rsidRPr="00FE48E3" w14:paraId="78865C1C" w14:textId="77777777" w:rsidTr="00FE48E3">
        <w:trPr>
          <w:trHeight w:val="555"/>
        </w:trPr>
        <w:tc>
          <w:tcPr>
            <w:tcW w:w="2720" w:type="dxa"/>
            <w:tcBorders>
              <w:top w:val="single" w:sz="4" w:space="0" w:color="ADD6EA"/>
              <w:left w:val="nil"/>
              <w:bottom w:val="nil"/>
              <w:right w:val="nil"/>
            </w:tcBorders>
            <w:shd w:val="clear" w:color="auto" w:fill="auto"/>
            <w:vAlign w:val="center"/>
            <w:hideMark/>
          </w:tcPr>
          <w:p w14:paraId="24F23813" w14:textId="77777777" w:rsidR="00FE48E3" w:rsidRPr="00FE48E3" w:rsidRDefault="00FE48E3" w:rsidP="00FE48E3">
            <w:pPr>
              <w:tabs>
                <w:tab w:val="clear" w:pos="567"/>
              </w:tabs>
              <w:spacing w:before="0" w:line="240" w:lineRule="auto"/>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Infrastructure investment - Other roads</w:t>
            </w:r>
          </w:p>
        </w:tc>
        <w:tc>
          <w:tcPr>
            <w:tcW w:w="700" w:type="dxa"/>
            <w:tcBorders>
              <w:top w:val="single" w:sz="4" w:space="0" w:color="ADD6EA"/>
              <w:left w:val="nil"/>
              <w:bottom w:val="nil"/>
              <w:right w:val="nil"/>
            </w:tcBorders>
            <w:shd w:val="clear" w:color="auto" w:fill="auto"/>
            <w:noWrap/>
            <w:vAlign w:val="center"/>
            <w:hideMark/>
          </w:tcPr>
          <w:p w14:paraId="7B5DF71B"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36</w:t>
            </w:r>
          </w:p>
        </w:tc>
        <w:tc>
          <w:tcPr>
            <w:tcW w:w="700" w:type="dxa"/>
            <w:tcBorders>
              <w:top w:val="single" w:sz="4" w:space="0" w:color="ADD6EA"/>
              <w:left w:val="nil"/>
              <w:bottom w:val="nil"/>
              <w:right w:val="nil"/>
            </w:tcBorders>
            <w:shd w:val="clear" w:color="auto" w:fill="auto"/>
            <w:noWrap/>
            <w:vAlign w:val="center"/>
            <w:hideMark/>
          </w:tcPr>
          <w:p w14:paraId="5EDDCE94"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7</w:t>
            </w:r>
          </w:p>
        </w:tc>
        <w:tc>
          <w:tcPr>
            <w:tcW w:w="700" w:type="dxa"/>
            <w:tcBorders>
              <w:top w:val="single" w:sz="4" w:space="0" w:color="ADD6EA"/>
              <w:left w:val="nil"/>
              <w:bottom w:val="nil"/>
              <w:right w:val="nil"/>
            </w:tcBorders>
            <w:shd w:val="clear" w:color="auto" w:fill="auto"/>
            <w:noWrap/>
            <w:vAlign w:val="center"/>
            <w:hideMark/>
          </w:tcPr>
          <w:p w14:paraId="7E4AE2B2"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-25</w:t>
            </w:r>
          </w:p>
        </w:tc>
        <w:tc>
          <w:tcPr>
            <w:tcW w:w="700" w:type="dxa"/>
            <w:tcBorders>
              <w:top w:val="single" w:sz="4" w:space="0" w:color="ADD6EA"/>
              <w:left w:val="nil"/>
              <w:bottom w:val="nil"/>
              <w:right w:val="nil"/>
            </w:tcBorders>
            <w:shd w:val="clear" w:color="auto" w:fill="auto"/>
            <w:noWrap/>
            <w:vAlign w:val="center"/>
            <w:hideMark/>
          </w:tcPr>
          <w:p w14:paraId="19E7CC30"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7</w:t>
            </w:r>
          </w:p>
        </w:tc>
        <w:tc>
          <w:tcPr>
            <w:tcW w:w="700" w:type="dxa"/>
            <w:tcBorders>
              <w:top w:val="single" w:sz="4" w:space="0" w:color="ADD6EA"/>
              <w:left w:val="nil"/>
              <w:bottom w:val="nil"/>
              <w:right w:val="nil"/>
            </w:tcBorders>
            <w:shd w:val="clear" w:color="auto" w:fill="auto"/>
            <w:noWrap/>
            <w:vAlign w:val="center"/>
            <w:hideMark/>
          </w:tcPr>
          <w:p w14:paraId="6C911B49"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-39</w:t>
            </w:r>
          </w:p>
        </w:tc>
        <w:tc>
          <w:tcPr>
            <w:tcW w:w="700" w:type="dxa"/>
            <w:tcBorders>
              <w:top w:val="single" w:sz="4" w:space="0" w:color="ADD6EA"/>
              <w:left w:val="nil"/>
              <w:bottom w:val="nil"/>
              <w:right w:val="nil"/>
            </w:tcBorders>
            <w:shd w:val="clear" w:color="auto" w:fill="auto"/>
            <w:noWrap/>
            <w:vAlign w:val="center"/>
            <w:hideMark/>
          </w:tcPr>
          <w:p w14:paraId="15D0B529"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-8</w:t>
            </w:r>
          </w:p>
        </w:tc>
        <w:tc>
          <w:tcPr>
            <w:tcW w:w="700" w:type="dxa"/>
            <w:tcBorders>
              <w:top w:val="single" w:sz="4" w:space="0" w:color="ADD6EA"/>
              <w:left w:val="nil"/>
              <w:bottom w:val="nil"/>
              <w:right w:val="nil"/>
            </w:tcBorders>
            <w:shd w:val="clear" w:color="auto" w:fill="auto"/>
            <w:noWrap/>
            <w:vAlign w:val="center"/>
            <w:hideMark/>
          </w:tcPr>
          <w:p w14:paraId="02C2A045"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w:t>
            </w:r>
          </w:p>
        </w:tc>
        <w:tc>
          <w:tcPr>
            <w:tcW w:w="700" w:type="dxa"/>
            <w:tcBorders>
              <w:top w:val="single" w:sz="4" w:space="0" w:color="ADD6EA"/>
              <w:left w:val="nil"/>
              <w:bottom w:val="nil"/>
              <w:right w:val="nil"/>
            </w:tcBorders>
            <w:shd w:val="clear" w:color="auto" w:fill="auto"/>
            <w:noWrap/>
            <w:vAlign w:val="center"/>
            <w:hideMark/>
          </w:tcPr>
          <w:p w14:paraId="7F8B1748"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21</w:t>
            </w:r>
          </w:p>
        </w:tc>
        <w:tc>
          <w:tcPr>
            <w:tcW w:w="700" w:type="dxa"/>
            <w:tcBorders>
              <w:top w:val="single" w:sz="4" w:space="0" w:color="ADD6EA"/>
              <w:left w:val="nil"/>
              <w:bottom w:val="nil"/>
              <w:right w:val="nil"/>
            </w:tcBorders>
            <w:shd w:val="clear" w:color="auto" w:fill="auto"/>
            <w:noWrap/>
            <w:vAlign w:val="center"/>
            <w:hideMark/>
          </w:tcPr>
          <w:p w14:paraId="16092969"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72</w:t>
            </w:r>
          </w:p>
        </w:tc>
      </w:tr>
      <w:tr w:rsidR="00FE48E3" w:rsidRPr="00FE48E3" w14:paraId="52D4A1EE" w14:textId="77777777" w:rsidTr="00FE48E3">
        <w:trPr>
          <w:trHeight w:val="315"/>
        </w:trPr>
        <w:tc>
          <w:tcPr>
            <w:tcW w:w="2720" w:type="dxa"/>
            <w:tcBorders>
              <w:top w:val="single" w:sz="4" w:space="0" w:color="ADD6EA"/>
              <w:left w:val="nil"/>
              <w:bottom w:val="nil"/>
              <w:right w:val="nil"/>
            </w:tcBorders>
            <w:shd w:val="clear" w:color="auto" w:fill="auto"/>
            <w:vAlign w:val="center"/>
            <w:hideMark/>
          </w:tcPr>
          <w:p w14:paraId="55889C80" w14:textId="77777777" w:rsidR="00FE48E3" w:rsidRPr="00FE48E3" w:rsidRDefault="00FE48E3" w:rsidP="00FE48E3">
            <w:pPr>
              <w:tabs>
                <w:tab w:val="clear" w:pos="567"/>
              </w:tabs>
              <w:spacing w:before="0" w:line="240" w:lineRule="auto"/>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Skilling Australians Fund</w:t>
            </w:r>
          </w:p>
        </w:tc>
        <w:tc>
          <w:tcPr>
            <w:tcW w:w="700" w:type="dxa"/>
            <w:tcBorders>
              <w:top w:val="single" w:sz="4" w:space="0" w:color="ADD6EA"/>
              <w:left w:val="nil"/>
              <w:bottom w:val="nil"/>
              <w:right w:val="nil"/>
            </w:tcBorders>
            <w:shd w:val="clear" w:color="auto" w:fill="auto"/>
            <w:noWrap/>
            <w:vAlign w:val="center"/>
            <w:hideMark/>
          </w:tcPr>
          <w:p w14:paraId="74E8BDED"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25</w:t>
            </w:r>
          </w:p>
        </w:tc>
        <w:tc>
          <w:tcPr>
            <w:tcW w:w="700" w:type="dxa"/>
            <w:tcBorders>
              <w:top w:val="single" w:sz="4" w:space="0" w:color="ADD6EA"/>
              <w:left w:val="nil"/>
              <w:bottom w:val="nil"/>
              <w:right w:val="nil"/>
            </w:tcBorders>
            <w:shd w:val="clear" w:color="auto" w:fill="auto"/>
            <w:noWrap/>
            <w:vAlign w:val="center"/>
            <w:hideMark/>
          </w:tcPr>
          <w:p w14:paraId="1FCB2EBA"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-22</w:t>
            </w:r>
          </w:p>
        </w:tc>
        <w:tc>
          <w:tcPr>
            <w:tcW w:w="700" w:type="dxa"/>
            <w:tcBorders>
              <w:top w:val="single" w:sz="4" w:space="0" w:color="ADD6EA"/>
              <w:left w:val="nil"/>
              <w:bottom w:val="nil"/>
              <w:right w:val="nil"/>
            </w:tcBorders>
            <w:shd w:val="clear" w:color="auto" w:fill="auto"/>
            <w:noWrap/>
            <w:vAlign w:val="center"/>
            <w:hideMark/>
          </w:tcPr>
          <w:p w14:paraId="50CC5256"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-17</w:t>
            </w:r>
          </w:p>
        </w:tc>
        <w:tc>
          <w:tcPr>
            <w:tcW w:w="700" w:type="dxa"/>
            <w:tcBorders>
              <w:top w:val="single" w:sz="4" w:space="0" w:color="ADD6EA"/>
              <w:left w:val="nil"/>
              <w:bottom w:val="nil"/>
              <w:right w:val="nil"/>
            </w:tcBorders>
            <w:shd w:val="clear" w:color="auto" w:fill="auto"/>
            <w:noWrap/>
            <w:vAlign w:val="center"/>
            <w:hideMark/>
          </w:tcPr>
          <w:p w14:paraId="497F92FF"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7</w:t>
            </w:r>
          </w:p>
        </w:tc>
        <w:tc>
          <w:tcPr>
            <w:tcW w:w="700" w:type="dxa"/>
            <w:tcBorders>
              <w:top w:val="single" w:sz="4" w:space="0" w:color="ADD6EA"/>
              <w:left w:val="nil"/>
              <w:bottom w:val="nil"/>
              <w:right w:val="nil"/>
            </w:tcBorders>
            <w:shd w:val="clear" w:color="auto" w:fill="auto"/>
            <w:noWrap/>
            <w:vAlign w:val="center"/>
            <w:hideMark/>
          </w:tcPr>
          <w:p w14:paraId="3E370DBD"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4</w:t>
            </w:r>
          </w:p>
        </w:tc>
        <w:tc>
          <w:tcPr>
            <w:tcW w:w="700" w:type="dxa"/>
            <w:tcBorders>
              <w:top w:val="single" w:sz="4" w:space="0" w:color="ADD6EA"/>
              <w:left w:val="nil"/>
              <w:bottom w:val="nil"/>
              <w:right w:val="nil"/>
            </w:tcBorders>
            <w:shd w:val="clear" w:color="auto" w:fill="auto"/>
            <w:noWrap/>
            <w:vAlign w:val="center"/>
            <w:hideMark/>
          </w:tcPr>
          <w:p w14:paraId="6116E1FA"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w:t>
            </w:r>
          </w:p>
        </w:tc>
        <w:tc>
          <w:tcPr>
            <w:tcW w:w="700" w:type="dxa"/>
            <w:tcBorders>
              <w:top w:val="single" w:sz="4" w:space="0" w:color="ADD6EA"/>
              <w:left w:val="nil"/>
              <w:bottom w:val="nil"/>
              <w:right w:val="nil"/>
            </w:tcBorders>
            <w:shd w:val="clear" w:color="auto" w:fill="auto"/>
            <w:noWrap/>
            <w:vAlign w:val="center"/>
            <w:hideMark/>
          </w:tcPr>
          <w:p w14:paraId="45E81740"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w:t>
            </w:r>
          </w:p>
        </w:tc>
        <w:tc>
          <w:tcPr>
            <w:tcW w:w="700" w:type="dxa"/>
            <w:tcBorders>
              <w:top w:val="single" w:sz="4" w:space="0" w:color="ADD6EA"/>
              <w:left w:val="nil"/>
              <w:bottom w:val="nil"/>
              <w:right w:val="nil"/>
            </w:tcBorders>
            <w:shd w:val="clear" w:color="auto" w:fill="auto"/>
            <w:noWrap/>
            <w:vAlign w:val="center"/>
            <w:hideMark/>
          </w:tcPr>
          <w:p w14:paraId="73D0CD83"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w:t>
            </w:r>
          </w:p>
        </w:tc>
        <w:tc>
          <w:tcPr>
            <w:tcW w:w="700" w:type="dxa"/>
            <w:tcBorders>
              <w:top w:val="single" w:sz="4" w:space="0" w:color="ADD6EA"/>
              <w:left w:val="nil"/>
              <w:bottom w:val="nil"/>
              <w:right w:val="nil"/>
            </w:tcBorders>
            <w:shd w:val="clear" w:color="auto" w:fill="auto"/>
            <w:noWrap/>
            <w:vAlign w:val="center"/>
            <w:hideMark/>
          </w:tcPr>
          <w:p w14:paraId="2C68FD92"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39</w:t>
            </w:r>
          </w:p>
        </w:tc>
      </w:tr>
      <w:tr w:rsidR="00FE48E3" w:rsidRPr="00FE48E3" w14:paraId="26AC0407" w14:textId="77777777" w:rsidTr="00FE48E3">
        <w:trPr>
          <w:trHeight w:val="315"/>
        </w:trPr>
        <w:tc>
          <w:tcPr>
            <w:tcW w:w="2720" w:type="dxa"/>
            <w:tcBorders>
              <w:top w:val="single" w:sz="4" w:space="0" w:color="ADD6EA"/>
              <w:left w:val="nil"/>
              <w:bottom w:val="nil"/>
              <w:right w:val="nil"/>
            </w:tcBorders>
            <w:shd w:val="clear" w:color="auto" w:fill="auto"/>
            <w:vAlign w:val="center"/>
            <w:hideMark/>
          </w:tcPr>
          <w:p w14:paraId="425503C6" w14:textId="77777777" w:rsidR="00FE48E3" w:rsidRPr="00FE48E3" w:rsidRDefault="00FE48E3" w:rsidP="00FE48E3">
            <w:pPr>
              <w:tabs>
                <w:tab w:val="clear" w:pos="567"/>
              </w:tabs>
              <w:spacing w:before="0" w:line="240" w:lineRule="auto"/>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Urban Congestion Fund</w:t>
            </w:r>
          </w:p>
        </w:tc>
        <w:tc>
          <w:tcPr>
            <w:tcW w:w="700" w:type="dxa"/>
            <w:tcBorders>
              <w:top w:val="single" w:sz="4" w:space="0" w:color="ADD6EA"/>
              <w:left w:val="nil"/>
              <w:bottom w:val="nil"/>
              <w:right w:val="nil"/>
            </w:tcBorders>
            <w:shd w:val="clear" w:color="auto" w:fill="auto"/>
            <w:noWrap/>
            <w:vAlign w:val="center"/>
            <w:hideMark/>
          </w:tcPr>
          <w:p w14:paraId="527E9460"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-18</w:t>
            </w:r>
          </w:p>
        </w:tc>
        <w:tc>
          <w:tcPr>
            <w:tcW w:w="700" w:type="dxa"/>
            <w:tcBorders>
              <w:top w:val="single" w:sz="4" w:space="0" w:color="ADD6EA"/>
              <w:left w:val="nil"/>
              <w:bottom w:val="nil"/>
              <w:right w:val="nil"/>
            </w:tcBorders>
            <w:shd w:val="clear" w:color="auto" w:fill="auto"/>
            <w:noWrap/>
            <w:vAlign w:val="center"/>
            <w:hideMark/>
          </w:tcPr>
          <w:p w14:paraId="5D0F11B9"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32</w:t>
            </w:r>
          </w:p>
        </w:tc>
        <w:tc>
          <w:tcPr>
            <w:tcW w:w="700" w:type="dxa"/>
            <w:tcBorders>
              <w:top w:val="single" w:sz="4" w:space="0" w:color="ADD6EA"/>
              <w:left w:val="nil"/>
              <w:bottom w:val="nil"/>
              <w:right w:val="nil"/>
            </w:tcBorders>
            <w:shd w:val="clear" w:color="auto" w:fill="auto"/>
            <w:noWrap/>
            <w:vAlign w:val="center"/>
            <w:hideMark/>
          </w:tcPr>
          <w:p w14:paraId="2627C0CC"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-7</w:t>
            </w:r>
          </w:p>
        </w:tc>
        <w:tc>
          <w:tcPr>
            <w:tcW w:w="700" w:type="dxa"/>
            <w:tcBorders>
              <w:top w:val="single" w:sz="4" w:space="0" w:color="ADD6EA"/>
              <w:left w:val="nil"/>
              <w:bottom w:val="nil"/>
              <w:right w:val="nil"/>
            </w:tcBorders>
            <w:shd w:val="clear" w:color="auto" w:fill="auto"/>
            <w:noWrap/>
            <w:vAlign w:val="center"/>
            <w:hideMark/>
          </w:tcPr>
          <w:p w14:paraId="5E1C1CBD"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0</w:t>
            </w:r>
          </w:p>
        </w:tc>
        <w:tc>
          <w:tcPr>
            <w:tcW w:w="700" w:type="dxa"/>
            <w:tcBorders>
              <w:top w:val="single" w:sz="4" w:space="0" w:color="ADD6EA"/>
              <w:left w:val="nil"/>
              <w:bottom w:val="nil"/>
              <w:right w:val="nil"/>
            </w:tcBorders>
            <w:shd w:val="clear" w:color="auto" w:fill="auto"/>
            <w:noWrap/>
            <w:vAlign w:val="center"/>
            <w:hideMark/>
          </w:tcPr>
          <w:p w14:paraId="77875533"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-4</w:t>
            </w:r>
          </w:p>
        </w:tc>
        <w:tc>
          <w:tcPr>
            <w:tcW w:w="700" w:type="dxa"/>
            <w:tcBorders>
              <w:top w:val="single" w:sz="4" w:space="0" w:color="ADD6EA"/>
              <w:left w:val="nil"/>
              <w:bottom w:val="nil"/>
              <w:right w:val="nil"/>
            </w:tcBorders>
            <w:shd w:val="clear" w:color="auto" w:fill="auto"/>
            <w:noWrap/>
            <w:vAlign w:val="center"/>
            <w:hideMark/>
          </w:tcPr>
          <w:p w14:paraId="1DDC7DDD"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w:t>
            </w:r>
          </w:p>
        </w:tc>
        <w:tc>
          <w:tcPr>
            <w:tcW w:w="700" w:type="dxa"/>
            <w:tcBorders>
              <w:top w:val="single" w:sz="4" w:space="0" w:color="ADD6EA"/>
              <w:left w:val="nil"/>
              <w:bottom w:val="nil"/>
              <w:right w:val="nil"/>
            </w:tcBorders>
            <w:shd w:val="clear" w:color="auto" w:fill="auto"/>
            <w:noWrap/>
            <w:vAlign w:val="center"/>
            <w:hideMark/>
          </w:tcPr>
          <w:p w14:paraId="2ED55656"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w:t>
            </w:r>
          </w:p>
        </w:tc>
        <w:tc>
          <w:tcPr>
            <w:tcW w:w="700" w:type="dxa"/>
            <w:tcBorders>
              <w:top w:val="single" w:sz="4" w:space="0" w:color="ADD6EA"/>
              <w:left w:val="nil"/>
              <w:bottom w:val="nil"/>
              <w:right w:val="nil"/>
            </w:tcBorders>
            <w:shd w:val="clear" w:color="auto" w:fill="auto"/>
            <w:noWrap/>
            <w:vAlign w:val="center"/>
            <w:hideMark/>
          </w:tcPr>
          <w:p w14:paraId="495DECEB"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w:t>
            </w:r>
          </w:p>
        </w:tc>
        <w:tc>
          <w:tcPr>
            <w:tcW w:w="700" w:type="dxa"/>
            <w:tcBorders>
              <w:top w:val="single" w:sz="4" w:space="0" w:color="ADD6EA"/>
              <w:left w:val="nil"/>
              <w:bottom w:val="nil"/>
              <w:right w:val="nil"/>
            </w:tcBorders>
            <w:shd w:val="clear" w:color="auto" w:fill="auto"/>
            <w:noWrap/>
            <w:vAlign w:val="center"/>
            <w:hideMark/>
          </w:tcPr>
          <w:p w14:paraId="3356DEBF"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32</w:t>
            </w:r>
          </w:p>
        </w:tc>
      </w:tr>
      <w:tr w:rsidR="00FE48E3" w:rsidRPr="00FE48E3" w14:paraId="3500AE19" w14:textId="77777777" w:rsidTr="00FE48E3">
        <w:trPr>
          <w:trHeight w:val="315"/>
        </w:trPr>
        <w:tc>
          <w:tcPr>
            <w:tcW w:w="2720" w:type="dxa"/>
            <w:tcBorders>
              <w:top w:val="single" w:sz="4" w:space="0" w:color="ADD6EA"/>
              <w:left w:val="nil"/>
              <w:bottom w:val="nil"/>
              <w:right w:val="nil"/>
            </w:tcBorders>
            <w:shd w:val="clear" w:color="auto" w:fill="auto"/>
            <w:vAlign w:val="center"/>
            <w:hideMark/>
          </w:tcPr>
          <w:p w14:paraId="302354B0" w14:textId="77777777" w:rsidR="00FE48E3" w:rsidRPr="00FE48E3" w:rsidRDefault="00FE48E3" w:rsidP="00FE48E3">
            <w:pPr>
              <w:tabs>
                <w:tab w:val="clear" w:pos="567"/>
              </w:tabs>
              <w:spacing w:before="0" w:line="240" w:lineRule="auto"/>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 xml:space="preserve">Other </w:t>
            </w:r>
          </w:p>
        </w:tc>
        <w:tc>
          <w:tcPr>
            <w:tcW w:w="700" w:type="dxa"/>
            <w:tcBorders>
              <w:top w:val="single" w:sz="4" w:space="0" w:color="ADD6EA"/>
              <w:left w:val="nil"/>
              <w:bottom w:val="nil"/>
              <w:right w:val="nil"/>
            </w:tcBorders>
            <w:shd w:val="clear" w:color="auto" w:fill="auto"/>
            <w:vAlign w:val="center"/>
            <w:hideMark/>
          </w:tcPr>
          <w:p w14:paraId="5674BD1A"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-5</w:t>
            </w:r>
          </w:p>
        </w:tc>
        <w:tc>
          <w:tcPr>
            <w:tcW w:w="700" w:type="dxa"/>
            <w:tcBorders>
              <w:top w:val="single" w:sz="4" w:space="0" w:color="ADD6EA"/>
              <w:left w:val="nil"/>
              <w:bottom w:val="nil"/>
              <w:right w:val="nil"/>
            </w:tcBorders>
            <w:shd w:val="clear" w:color="auto" w:fill="auto"/>
            <w:vAlign w:val="center"/>
            <w:hideMark/>
          </w:tcPr>
          <w:p w14:paraId="57876E21"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-29</w:t>
            </w:r>
          </w:p>
        </w:tc>
        <w:tc>
          <w:tcPr>
            <w:tcW w:w="700" w:type="dxa"/>
            <w:tcBorders>
              <w:top w:val="single" w:sz="4" w:space="0" w:color="ADD6EA"/>
              <w:left w:val="nil"/>
              <w:bottom w:val="nil"/>
              <w:right w:val="nil"/>
            </w:tcBorders>
            <w:shd w:val="clear" w:color="auto" w:fill="auto"/>
            <w:vAlign w:val="center"/>
            <w:hideMark/>
          </w:tcPr>
          <w:p w14:paraId="0198C01C"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36</w:t>
            </w:r>
          </w:p>
        </w:tc>
        <w:tc>
          <w:tcPr>
            <w:tcW w:w="700" w:type="dxa"/>
            <w:tcBorders>
              <w:top w:val="single" w:sz="4" w:space="0" w:color="ADD6EA"/>
              <w:left w:val="nil"/>
              <w:bottom w:val="nil"/>
              <w:right w:val="nil"/>
            </w:tcBorders>
            <w:shd w:val="clear" w:color="auto" w:fill="auto"/>
            <w:vAlign w:val="center"/>
            <w:hideMark/>
          </w:tcPr>
          <w:p w14:paraId="5C0E96A9"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-19</w:t>
            </w:r>
          </w:p>
        </w:tc>
        <w:tc>
          <w:tcPr>
            <w:tcW w:w="700" w:type="dxa"/>
            <w:tcBorders>
              <w:top w:val="single" w:sz="4" w:space="0" w:color="ADD6EA"/>
              <w:left w:val="nil"/>
              <w:bottom w:val="nil"/>
              <w:right w:val="nil"/>
            </w:tcBorders>
            <w:shd w:val="clear" w:color="auto" w:fill="auto"/>
            <w:vAlign w:val="center"/>
            <w:hideMark/>
          </w:tcPr>
          <w:p w14:paraId="36B6BCD8"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13</w:t>
            </w:r>
          </w:p>
        </w:tc>
        <w:tc>
          <w:tcPr>
            <w:tcW w:w="700" w:type="dxa"/>
            <w:tcBorders>
              <w:top w:val="single" w:sz="4" w:space="0" w:color="ADD6EA"/>
              <w:left w:val="nil"/>
              <w:bottom w:val="nil"/>
              <w:right w:val="nil"/>
            </w:tcBorders>
            <w:shd w:val="clear" w:color="auto" w:fill="auto"/>
            <w:vAlign w:val="center"/>
            <w:hideMark/>
          </w:tcPr>
          <w:p w14:paraId="1B777B8B"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11</w:t>
            </w:r>
          </w:p>
        </w:tc>
        <w:tc>
          <w:tcPr>
            <w:tcW w:w="700" w:type="dxa"/>
            <w:tcBorders>
              <w:top w:val="single" w:sz="4" w:space="0" w:color="ADD6EA"/>
              <w:left w:val="nil"/>
              <w:bottom w:val="nil"/>
              <w:right w:val="nil"/>
            </w:tcBorders>
            <w:shd w:val="clear" w:color="auto" w:fill="auto"/>
            <w:vAlign w:val="center"/>
            <w:hideMark/>
          </w:tcPr>
          <w:p w14:paraId="51CB4B80"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3</w:t>
            </w:r>
          </w:p>
        </w:tc>
        <w:tc>
          <w:tcPr>
            <w:tcW w:w="700" w:type="dxa"/>
            <w:tcBorders>
              <w:top w:val="single" w:sz="4" w:space="0" w:color="ADD6EA"/>
              <w:left w:val="nil"/>
              <w:bottom w:val="nil"/>
              <w:right w:val="nil"/>
            </w:tcBorders>
            <w:shd w:val="clear" w:color="auto" w:fill="auto"/>
            <w:vAlign w:val="center"/>
            <w:hideMark/>
          </w:tcPr>
          <w:p w14:paraId="7F1C5CB1"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-10</w:t>
            </w:r>
          </w:p>
        </w:tc>
        <w:tc>
          <w:tcPr>
            <w:tcW w:w="700" w:type="dxa"/>
            <w:tcBorders>
              <w:top w:val="single" w:sz="4" w:space="0" w:color="ADD6EA"/>
              <w:left w:val="nil"/>
              <w:bottom w:val="nil"/>
              <w:right w:val="nil"/>
            </w:tcBorders>
            <w:shd w:val="clear" w:color="auto" w:fill="auto"/>
            <w:noWrap/>
            <w:vAlign w:val="center"/>
            <w:hideMark/>
          </w:tcPr>
          <w:p w14:paraId="7E1CE16A" w14:textId="77777777" w:rsidR="00FE48E3" w:rsidRPr="00FE48E3" w:rsidRDefault="00FE48E3" w:rsidP="00FE48E3">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FE48E3">
              <w:rPr>
                <w:rFonts w:ascii="Open Sans Light" w:hAnsi="Open Sans Light" w:cs="Open Sans Light"/>
                <w:color w:val="000000"/>
                <w:sz w:val="16"/>
                <w:szCs w:val="16"/>
              </w:rPr>
              <w:t>63</w:t>
            </w:r>
          </w:p>
        </w:tc>
      </w:tr>
      <w:tr w:rsidR="00FE48E3" w:rsidRPr="00FE48E3" w14:paraId="328D13B0" w14:textId="77777777" w:rsidTr="00FE48E3">
        <w:trPr>
          <w:trHeight w:val="315"/>
        </w:trPr>
        <w:tc>
          <w:tcPr>
            <w:tcW w:w="2720" w:type="dxa"/>
            <w:tcBorders>
              <w:top w:val="single" w:sz="4" w:space="0" w:color="ADD6EA"/>
              <w:left w:val="nil"/>
              <w:bottom w:val="single" w:sz="4" w:space="0" w:color="ADD6EA"/>
              <w:right w:val="nil"/>
            </w:tcBorders>
            <w:shd w:val="clear" w:color="000000" w:fill="D6E7F0"/>
            <w:vAlign w:val="center"/>
            <w:hideMark/>
          </w:tcPr>
          <w:p w14:paraId="7623C208" w14:textId="77777777" w:rsidR="00FE48E3" w:rsidRPr="00FE48E3" w:rsidRDefault="00FE48E3" w:rsidP="00FE48E3">
            <w:pPr>
              <w:tabs>
                <w:tab w:val="clear" w:pos="567"/>
              </w:tabs>
              <w:spacing w:before="0" w:line="240" w:lineRule="auto"/>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Total</w:t>
            </w:r>
          </w:p>
        </w:tc>
        <w:tc>
          <w:tcPr>
            <w:tcW w:w="700" w:type="dxa"/>
            <w:tcBorders>
              <w:top w:val="single" w:sz="4" w:space="0" w:color="ADD6EA"/>
              <w:left w:val="nil"/>
              <w:bottom w:val="single" w:sz="4" w:space="0" w:color="ADD6EA"/>
              <w:right w:val="nil"/>
            </w:tcBorders>
            <w:shd w:val="clear" w:color="000000" w:fill="D6E7F0"/>
            <w:noWrap/>
            <w:vAlign w:val="center"/>
            <w:hideMark/>
          </w:tcPr>
          <w:p w14:paraId="54D79BA6"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29</w:t>
            </w:r>
          </w:p>
        </w:tc>
        <w:tc>
          <w:tcPr>
            <w:tcW w:w="700" w:type="dxa"/>
            <w:tcBorders>
              <w:top w:val="single" w:sz="4" w:space="0" w:color="ADD6EA"/>
              <w:left w:val="nil"/>
              <w:bottom w:val="single" w:sz="4" w:space="0" w:color="ADD6EA"/>
              <w:right w:val="nil"/>
            </w:tcBorders>
            <w:shd w:val="clear" w:color="000000" w:fill="D6E7F0"/>
            <w:noWrap/>
            <w:vAlign w:val="center"/>
            <w:hideMark/>
          </w:tcPr>
          <w:p w14:paraId="6E7B1B20"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79</w:t>
            </w:r>
          </w:p>
        </w:tc>
        <w:tc>
          <w:tcPr>
            <w:tcW w:w="700" w:type="dxa"/>
            <w:tcBorders>
              <w:top w:val="single" w:sz="4" w:space="0" w:color="ADD6EA"/>
              <w:left w:val="nil"/>
              <w:bottom w:val="single" w:sz="4" w:space="0" w:color="ADD6EA"/>
              <w:right w:val="nil"/>
            </w:tcBorders>
            <w:shd w:val="clear" w:color="000000" w:fill="D6E7F0"/>
            <w:noWrap/>
            <w:vAlign w:val="center"/>
            <w:hideMark/>
          </w:tcPr>
          <w:p w14:paraId="03CC8314"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94</w:t>
            </w:r>
          </w:p>
        </w:tc>
        <w:tc>
          <w:tcPr>
            <w:tcW w:w="700" w:type="dxa"/>
            <w:tcBorders>
              <w:top w:val="single" w:sz="4" w:space="0" w:color="ADD6EA"/>
              <w:left w:val="nil"/>
              <w:bottom w:val="single" w:sz="4" w:space="0" w:color="ADD6EA"/>
              <w:right w:val="nil"/>
            </w:tcBorders>
            <w:shd w:val="clear" w:color="000000" w:fill="D6E7F0"/>
            <w:noWrap/>
            <w:vAlign w:val="center"/>
            <w:hideMark/>
          </w:tcPr>
          <w:p w14:paraId="57CD51D5"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-151</w:t>
            </w:r>
          </w:p>
        </w:tc>
        <w:tc>
          <w:tcPr>
            <w:tcW w:w="700" w:type="dxa"/>
            <w:tcBorders>
              <w:top w:val="single" w:sz="4" w:space="0" w:color="ADD6EA"/>
              <w:left w:val="nil"/>
              <w:bottom w:val="single" w:sz="4" w:space="0" w:color="ADD6EA"/>
              <w:right w:val="nil"/>
            </w:tcBorders>
            <w:shd w:val="clear" w:color="000000" w:fill="D6E7F0"/>
            <w:noWrap/>
            <w:vAlign w:val="center"/>
            <w:hideMark/>
          </w:tcPr>
          <w:p w14:paraId="7AC941BA"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-27</w:t>
            </w:r>
          </w:p>
        </w:tc>
        <w:tc>
          <w:tcPr>
            <w:tcW w:w="700" w:type="dxa"/>
            <w:tcBorders>
              <w:top w:val="single" w:sz="4" w:space="0" w:color="ADD6EA"/>
              <w:left w:val="nil"/>
              <w:bottom w:val="single" w:sz="4" w:space="0" w:color="ADD6EA"/>
              <w:right w:val="nil"/>
            </w:tcBorders>
            <w:shd w:val="clear" w:color="000000" w:fill="D6E7F0"/>
            <w:noWrap/>
            <w:vAlign w:val="center"/>
            <w:hideMark/>
          </w:tcPr>
          <w:p w14:paraId="15EB653F"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-36</w:t>
            </w:r>
          </w:p>
        </w:tc>
        <w:tc>
          <w:tcPr>
            <w:tcW w:w="700" w:type="dxa"/>
            <w:tcBorders>
              <w:top w:val="single" w:sz="4" w:space="0" w:color="ADD6EA"/>
              <w:left w:val="nil"/>
              <w:bottom w:val="single" w:sz="4" w:space="0" w:color="ADD6EA"/>
              <w:right w:val="nil"/>
            </w:tcBorders>
            <w:shd w:val="clear" w:color="000000" w:fill="D6E7F0"/>
            <w:noWrap/>
            <w:vAlign w:val="center"/>
            <w:hideMark/>
          </w:tcPr>
          <w:p w14:paraId="0297F24A"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8</w:t>
            </w:r>
          </w:p>
        </w:tc>
        <w:tc>
          <w:tcPr>
            <w:tcW w:w="700" w:type="dxa"/>
            <w:tcBorders>
              <w:top w:val="single" w:sz="4" w:space="0" w:color="ADD6EA"/>
              <w:left w:val="nil"/>
              <w:bottom w:val="single" w:sz="4" w:space="0" w:color="ADD6EA"/>
              <w:right w:val="nil"/>
            </w:tcBorders>
            <w:shd w:val="clear" w:color="000000" w:fill="D6E7F0"/>
            <w:noWrap/>
            <w:vAlign w:val="center"/>
            <w:hideMark/>
          </w:tcPr>
          <w:p w14:paraId="1A36B08A"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5</w:t>
            </w:r>
          </w:p>
        </w:tc>
        <w:tc>
          <w:tcPr>
            <w:tcW w:w="700" w:type="dxa"/>
            <w:tcBorders>
              <w:top w:val="single" w:sz="4" w:space="0" w:color="ADD6EA"/>
              <w:left w:val="nil"/>
              <w:bottom w:val="single" w:sz="4" w:space="0" w:color="ADD6EA"/>
              <w:right w:val="nil"/>
            </w:tcBorders>
            <w:shd w:val="clear" w:color="000000" w:fill="D6E7F0"/>
            <w:noWrap/>
            <w:vAlign w:val="center"/>
            <w:hideMark/>
          </w:tcPr>
          <w:p w14:paraId="3F1F65B1" w14:textId="77777777" w:rsidR="00FE48E3" w:rsidRPr="00FE48E3" w:rsidRDefault="00FE48E3" w:rsidP="00FE48E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FE48E3">
              <w:rPr>
                <w:rFonts w:ascii="Open Sans Semibold" w:hAnsi="Open Sans Semibold" w:cs="Open Sans Semibold"/>
                <w:color w:val="000000"/>
                <w:sz w:val="16"/>
                <w:szCs w:val="16"/>
              </w:rPr>
              <w:t>215</w:t>
            </w:r>
          </w:p>
        </w:tc>
      </w:tr>
    </w:tbl>
    <w:p w14:paraId="69391F5A" w14:textId="77777777" w:rsidR="00E2769E" w:rsidRPr="00E84F2B" w:rsidRDefault="00E2769E" w:rsidP="00E2769E">
      <w:pPr>
        <w:pStyle w:val="CGCTablenote"/>
        <w:rPr>
          <w:highlight w:val="green"/>
        </w:rPr>
      </w:pPr>
      <w:r w:rsidRPr="00130A9E">
        <w:t xml:space="preserve">Source: Commission </w:t>
      </w:r>
      <w:r w:rsidRPr="000E61A2">
        <w:t>calculation.</w:t>
      </w:r>
    </w:p>
    <w:p w14:paraId="4F74A66C" w14:textId="1E54B544" w:rsidR="00E2769E" w:rsidRPr="003E6C4F" w:rsidRDefault="00E2769E" w:rsidP="00E2769E">
      <w:pPr>
        <w:pStyle w:val="Heading4"/>
      </w:pPr>
      <w:bookmarkStart w:id="232" w:name="Urban_centre_characteristics"/>
      <w:r w:rsidRPr="003E6C4F">
        <w:t>Urban centre characteristics</w:t>
      </w:r>
    </w:p>
    <w:bookmarkEnd w:id="232"/>
    <w:p w14:paraId="49215832" w14:textId="79ABCAF8" w:rsidR="00E2769E" w:rsidRPr="003E6C4F" w:rsidRDefault="00E2769E" w:rsidP="00E2769E">
      <w:r w:rsidRPr="005E062D">
        <w:t>The characteristics of urban centres, including population and population-weighted density, contribute to states’ urban transport spending needs. As previously mentioned, the population-weighted density for all years has been revised following the release of new 2021 Census data. When comparing the revised 2019</w:t>
      </w:r>
      <w:r w:rsidR="00413618">
        <w:t>–</w:t>
      </w:r>
      <w:r w:rsidRPr="005E062D">
        <w:t>20 population-weighted density with the 2022</w:t>
      </w:r>
      <w:r w:rsidR="00413618">
        <w:t>–</w:t>
      </w:r>
      <w:r w:rsidRPr="005E062D">
        <w:t>23 population-weighted density, New South Wales and Victoria had below</w:t>
      </w:r>
      <w:r w:rsidR="00FC336B" w:rsidRPr="005E062D">
        <w:noBreakHyphen/>
      </w:r>
      <w:r w:rsidRPr="005E062D">
        <w:t>average growth and Queensland had above-average growth. Further, relatively slow growth in recurrent urban transport spending from 2019</w:t>
      </w:r>
      <w:r w:rsidR="00413618">
        <w:t>–</w:t>
      </w:r>
      <w:r w:rsidRPr="005E062D">
        <w:t>20 to 2022</w:t>
      </w:r>
      <w:r w:rsidR="00413618">
        <w:t>–</w:t>
      </w:r>
      <w:r w:rsidRPr="005E062D">
        <w:t>23 reduced the impact of urban centre characteristics in this update. These reduced the relative spending needs for urban transport in New South Wales and Victoria and increased the relative spending needs for the other states.</w:t>
      </w:r>
    </w:p>
    <w:p w14:paraId="77872F93" w14:textId="77777777" w:rsidR="00372E50" w:rsidRDefault="00372E50">
      <w:pPr>
        <w:tabs>
          <w:tab w:val="clear" w:pos="567"/>
        </w:tabs>
        <w:spacing w:before="0" w:line="240" w:lineRule="auto"/>
        <w:rPr>
          <w:rFonts w:eastAsiaTheme="majorEastAsia" w:cs="Open Sans"/>
          <w:bCs/>
          <w:color w:val="006991"/>
          <w:sz w:val="40"/>
          <w:szCs w:val="40"/>
        </w:rPr>
      </w:pPr>
      <w:r>
        <w:br w:type="page"/>
      </w:r>
    </w:p>
    <w:p w14:paraId="488AF686" w14:textId="77777777" w:rsidR="00754FDC" w:rsidRPr="003E6C4F" w:rsidRDefault="00754FDC" w:rsidP="00754FDC">
      <w:pPr>
        <w:pStyle w:val="Heading2"/>
      </w:pPr>
      <w:r w:rsidRPr="003E6C4F">
        <w:lastRenderedPageBreak/>
        <w:t xml:space="preserve">Why GST shares </w:t>
      </w:r>
      <w:proofErr w:type="gramStart"/>
      <w:r w:rsidRPr="003E6C4F">
        <w:t>differ</w:t>
      </w:r>
      <w:proofErr w:type="gramEnd"/>
    </w:p>
    <w:p w14:paraId="16205178" w14:textId="365AB9B9" w:rsidR="00754FDC" w:rsidRPr="003E6C4F" w:rsidRDefault="00754FDC" w:rsidP="00754FDC">
      <w:r w:rsidRPr="003E6C4F">
        <w:t>The previous sections in this chapter focus on the factors driving the GST distribution outcomes in the 2024 Update compared with the 2023 Update. This section focuses on the factors that determine whether a state has an above-</w:t>
      </w:r>
      <w:r w:rsidR="0048256E">
        <w:t>average</w:t>
      </w:r>
      <w:r w:rsidRPr="003E6C4F">
        <w:t xml:space="preserve"> or below-average fiscal capacity.</w:t>
      </w:r>
    </w:p>
    <w:p w14:paraId="70E21373" w14:textId="226F38F8" w:rsidR="00754FDC" w:rsidRPr="003E6C4F" w:rsidRDefault="00754FDC" w:rsidP="00754FDC">
      <w:r w:rsidRPr="003E6C4F">
        <w:t>States’ circumstances affect their revenues and expenditures, and their resulting fiscal capacities. The Commission takes this into account when assessing how much GST each state needs. A state with above-average</w:t>
      </w:r>
      <w:r w:rsidR="00934781">
        <w:t xml:space="preserve"> assessed GST</w:t>
      </w:r>
      <w:r w:rsidRPr="003E6C4F">
        <w:t xml:space="preserve"> needs receives more than an equal per capita allocation (see </w:t>
      </w:r>
      <w:r w:rsidR="007202F0">
        <w:fldChar w:fldCharType="begin"/>
      </w:r>
      <w:r w:rsidR="007202F0">
        <w:instrText xml:space="preserve"> REF Table_2_10 \h </w:instrText>
      </w:r>
      <w:r w:rsidR="007202F0">
        <w:fldChar w:fldCharType="separate"/>
      </w:r>
      <w:r w:rsidR="00047120" w:rsidRPr="003E6C4F">
        <w:t>Table 2-10</w:t>
      </w:r>
      <w:r w:rsidR="007202F0">
        <w:fldChar w:fldCharType="end"/>
      </w:r>
      <w:r w:rsidRPr="003E6C4F">
        <w:t>). Over the 3-year assessment period for the 2024</w:t>
      </w:r>
      <w:r w:rsidR="006963A3">
        <w:t> </w:t>
      </w:r>
      <w:r w:rsidRPr="003E6C4F">
        <w:t xml:space="preserve">Update, Victoria, Queensland, South Australia, Tasmania, the </w:t>
      </w:r>
      <w:proofErr w:type="gramStart"/>
      <w:r w:rsidRPr="003E6C4F">
        <w:t>ACT</w:t>
      </w:r>
      <w:proofErr w:type="gramEnd"/>
      <w:r w:rsidRPr="003E6C4F">
        <w:t xml:space="preserve"> and the Northern Territory were assessed to have above-average</w:t>
      </w:r>
      <w:r w:rsidR="0095488E">
        <w:t xml:space="preserve"> GST</w:t>
      </w:r>
      <w:r w:rsidRPr="003E6C4F">
        <w:t xml:space="preserve"> needs, with an average assessed relativity above one. New South Wales and Western Australia had below-average needs, with an assessed relativity below one.</w:t>
      </w:r>
    </w:p>
    <w:p w14:paraId="2C111F16" w14:textId="4578F916" w:rsidR="00754FDC" w:rsidRPr="003E6C4F" w:rsidRDefault="00754FDC" w:rsidP="00754FDC">
      <w:r w:rsidRPr="003E6C4F">
        <w:t xml:space="preserve">New South Wales, Queensland and Western Australia had above-average capacity to raise revenue. New South </w:t>
      </w:r>
      <w:proofErr w:type="spellStart"/>
      <w:r w:rsidRPr="003E6C4F">
        <w:t>Wales’</w:t>
      </w:r>
      <w:proofErr w:type="spellEnd"/>
      <w:r w:rsidRPr="003E6C4F">
        <w:t xml:space="preserve"> revenue</w:t>
      </w:r>
      <w:r w:rsidR="00F229E9">
        <w:t xml:space="preserve"> </w:t>
      </w:r>
      <w:r w:rsidRPr="003E6C4F">
        <w:t>raising capacity reflected its strength in property sales, land values and payroll. For Queensland and Western Australia, mining production was the key driver, and Western Australia also had a strong payroll tax base.</w:t>
      </w:r>
    </w:p>
    <w:p w14:paraId="27E24FA8" w14:textId="68C2ABC3" w:rsidR="00754FDC" w:rsidRPr="003E6C4F" w:rsidRDefault="00754FDC" w:rsidP="00754FDC">
      <w:r w:rsidRPr="003E6C4F">
        <w:t xml:space="preserve">Queensland, Western Australia, </w:t>
      </w:r>
      <w:proofErr w:type="gramStart"/>
      <w:r w:rsidRPr="003E6C4F">
        <w:t>Tasmania</w:t>
      </w:r>
      <w:proofErr w:type="gramEnd"/>
      <w:r w:rsidRPr="003E6C4F">
        <w:t xml:space="preserve"> and the Northern Territory had above-average expense needs. Population dispersion was a key reason for the higher expense needs of these states as it costs more to provide services in more remote regions. On average, it costs more to provide services to First Nations people because of </w:t>
      </w:r>
      <w:r w:rsidR="00BA0214">
        <w:t>greater</w:t>
      </w:r>
      <w:r w:rsidRPr="003E6C4F">
        <w:t xml:space="preserve"> complexity of needs and higher use of services. This, along with socio-economic status, drove above</w:t>
      </w:r>
      <w:r w:rsidR="00FC336B">
        <w:noBreakHyphen/>
      </w:r>
      <w:r w:rsidRPr="003E6C4F">
        <w:t>average expense needs for these states. South Australia’s low socio-economic status and old</w:t>
      </w:r>
      <w:r w:rsidR="001D7D7A">
        <w:t>er</w:t>
      </w:r>
      <w:r w:rsidRPr="003E6C4F">
        <w:t xml:space="preserve"> age </w:t>
      </w:r>
      <w:r w:rsidR="001D7D7A">
        <w:t>profile</w:t>
      </w:r>
      <w:r w:rsidRPr="003E6C4F">
        <w:t xml:space="preserve"> increase its expense needs, but low wage costs and urban centre characteristics more than offset this</w:t>
      </w:r>
      <w:r w:rsidR="00753368">
        <w:t>,</w:t>
      </w:r>
      <w:r w:rsidRPr="003E6C4F">
        <w:t xml:space="preserve"> giving it below-average expense needs overall. While the ACT had high expense needs from administrative scale, its small non-state sector provision of health services and high wage costs, these were more than offset by its socio-demographic composition. </w:t>
      </w:r>
    </w:p>
    <w:p w14:paraId="3016B081" w14:textId="2E2E3261" w:rsidR="00754FDC" w:rsidRPr="0095123E" w:rsidRDefault="00754FDC" w:rsidP="00754FDC">
      <w:r w:rsidRPr="003E6C4F">
        <w:t xml:space="preserve">Queensland, Western Australia, </w:t>
      </w:r>
      <w:proofErr w:type="gramStart"/>
      <w:r w:rsidRPr="003E6C4F">
        <w:t>Tasmania</w:t>
      </w:r>
      <w:proofErr w:type="gramEnd"/>
      <w:r w:rsidRPr="003E6C4F">
        <w:t xml:space="preserve"> </w:t>
      </w:r>
      <w:r w:rsidRPr="0095123E">
        <w:t>and the ACT had above-average investment needs resulting from higher population growth over the period 2019</w:t>
      </w:r>
      <w:r w:rsidR="007514E8">
        <w:t>–</w:t>
      </w:r>
      <w:r w:rsidRPr="0095123E">
        <w:t>20 to 2022</w:t>
      </w:r>
      <w:r w:rsidR="007514E8">
        <w:t>–</w:t>
      </w:r>
      <w:r w:rsidRPr="0095123E">
        <w:t xml:space="preserve">23. New South Wales, Victoria and the Northern Territory had </w:t>
      </w:r>
      <w:r w:rsidR="00EF7F1F" w:rsidRPr="0095123E">
        <w:t xml:space="preserve">above-average </w:t>
      </w:r>
      <w:r w:rsidRPr="0095123E">
        <w:t>investment needs due to capital improvements. This includes major urban transport projects in New South Wales and Victoria and projects across a range of services for the Northern</w:t>
      </w:r>
      <w:r w:rsidR="00C97280">
        <w:t> </w:t>
      </w:r>
      <w:r w:rsidRPr="0095123E">
        <w:t xml:space="preserve">Territory. The cost of construction resulted in </w:t>
      </w:r>
      <w:r w:rsidR="00642F54" w:rsidRPr="0095123E">
        <w:t>a</w:t>
      </w:r>
      <w:r w:rsidR="001466E7" w:rsidRPr="0095123E">
        <w:t>bove-average</w:t>
      </w:r>
      <w:r w:rsidR="00642F54" w:rsidRPr="0095123E">
        <w:t xml:space="preserve"> </w:t>
      </w:r>
      <w:r w:rsidRPr="0095123E">
        <w:t xml:space="preserve">investment needs in New South Wales, Western Australia, the </w:t>
      </w:r>
      <w:proofErr w:type="gramStart"/>
      <w:r w:rsidRPr="0095123E">
        <w:t>ACT</w:t>
      </w:r>
      <w:proofErr w:type="gramEnd"/>
      <w:r w:rsidRPr="0095123E">
        <w:t xml:space="preserve"> and the Northern Territory.</w:t>
      </w:r>
    </w:p>
    <w:p w14:paraId="717E21D9" w14:textId="77BC5540" w:rsidR="00754FDC" w:rsidRPr="003E6C4F" w:rsidRDefault="00754FDC" w:rsidP="00754FDC">
      <w:r w:rsidRPr="0095123E">
        <w:t xml:space="preserve">The </w:t>
      </w:r>
      <w:r w:rsidR="00AC0F39" w:rsidRPr="0095123E">
        <w:t xml:space="preserve">2018 </w:t>
      </w:r>
      <w:r w:rsidR="002332CF" w:rsidRPr="0095123E">
        <w:t xml:space="preserve">legislated </w:t>
      </w:r>
      <w:r w:rsidR="00AC0F39" w:rsidRPr="0095123E">
        <w:t xml:space="preserve">arrangements </w:t>
      </w:r>
      <w:r w:rsidR="00B57B34" w:rsidRPr="0095123E">
        <w:t>prescribe the</w:t>
      </w:r>
      <w:r w:rsidR="00B57B34">
        <w:t xml:space="preserve"> </w:t>
      </w:r>
      <w:r w:rsidRPr="003E6C4F">
        <w:t>blending of assessed and standard state relativities and the application of the GST relativity floor. Th</w:t>
      </w:r>
      <w:r w:rsidR="00B57B34">
        <w:t>ese</w:t>
      </w:r>
      <w:r w:rsidRPr="003E6C4F">
        <w:t xml:space="preserve"> reduced GST revenue for all states except Western Australia.</w:t>
      </w:r>
    </w:p>
    <w:p w14:paraId="450AC396" w14:textId="77777777" w:rsidR="006C29F1" w:rsidRDefault="006C29F1">
      <w:pPr>
        <w:tabs>
          <w:tab w:val="clear" w:pos="567"/>
        </w:tabs>
        <w:spacing w:before="0" w:line="240" w:lineRule="auto"/>
        <w:rPr>
          <w:rFonts w:eastAsiaTheme="majorEastAsia" w:cs="Open Sans"/>
          <w:bCs/>
          <w:color w:val="006991"/>
          <w:sz w:val="40"/>
          <w:szCs w:val="40"/>
        </w:rPr>
      </w:pPr>
      <w:r>
        <w:br w:type="page"/>
      </w:r>
    </w:p>
    <w:p w14:paraId="48FE336C" w14:textId="18EB7A4E" w:rsidR="006C29F1" w:rsidRPr="003E6C4F" w:rsidRDefault="006C29F1" w:rsidP="006C29F1">
      <w:pPr>
        <w:pStyle w:val="CGCTableHead"/>
      </w:pPr>
      <w:bookmarkStart w:id="233" w:name="Table_2_10"/>
      <w:r w:rsidRPr="003E6C4F">
        <w:lastRenderedPageBreak/>
        <w:t>Table 2-10</w:t>
      </w:r>
      <w:bookmarkEnd w:id="233"/>
      <w:r w:rsidRPr="003E6C4F">
        <w:tab/>
        <w:t>Drivers of difference from an equal per capita distribution of GST, 2024</w:t>
      </w:r>
      <w:r w:rsidR="004F11F5">
        <w:t>–</w:t>
      </w:r>
      <w:r w:rsidRPr="003E6C4F">
        <w:t>25</w:t>
      </w:r>
    </w:p>
    <w:tbl>
      <w:tblPr>
        <w:tblW w:w="9064" w:type="dxa"/>
        <w:tblLook w:val="04A0" w:firstRow="1" w:lastRow="0" w:firstColumn="1" w:lastColumn="0" w:noHBand="0" w:noVBand="1"/>
      </w:tblPr>
      <w:tblGrid>
        <w:gridCol w:w="2690"/>
        <w:gridCol w:w="692"/>
        <w:gridCol w:w="693"/>
        <w:gridCol w:w="693"/>
        <w:gridCol w:w="838"/>
        <w:gridCol w:w="734"/>
        <w:gridCol w:w="745"/>
        <w:gridCol w:w="570"/>
        <w:gridCol w:w="693"/>
        <w:gridCol w:w="716"/>
      </w:tblGrid>
      <w:tr w:rsidR="004F1C5F" w:rsidRPr="004F1C5F" w14:paraId="00D524C2" w14:textId="77777777" w:rsidTr="00D16F76">
        <w:trPr>
          <w:trHeight w:val="555"/>
        </w:trPr>
        <w:tc>
          <w:tcPr>
            <w:tcW w:w="2692" w:type="dxa"/>
            <w:tcBorders>
              <w:top w:val="nil"/>
              <w:left w:val="nil"/>
              <w:bottom w:val="nil"/>
              <w:right w:val="nil"/>
            </w:tcBorders>
            <w:shd w:val="clear" w:color="000000" w:fill="006991"/>
            <w:vAlign w:val="center"/>
            <w:hideMark/>
          </w:tcPr>
          <w:p w14:paraId="509EE57C" w14:textId="77777777" w:rsidR="004F1C5F" w:rsidRPr="004F1C5F" w:rsidRDefault="004F1C5F" w:rsidP="004F1C5F">
            <w:pPr>
              <w:tabs>
                <w:tab w:val="clear" w:pos="567"/>
              </w:tabs>
              <w:spacing w:before="0" w:line="240" w:lineRule="auto"/>
              <w:rPr>
                <w:rFonts w:ascii="Open Sans Semibold" w:eastAsia="Times New Roman" w:hAnsi="Open Sans Semibold" w:cs="Open Sans Semibold"/>
                <w:color w:val="FFFFFF"/>
                <w:sz w:val="16"/>
                <w:szCs w:val="16"/>
                <w:lang w:eastAsia="en-AU"/>
              </w:rPr>
            </w:pPr>
            <w:r w:rsidRPr="004F1C5F">
              <w:rPr>
                <w:rFonts w:ascii="Open Sans Semibold" w:eastAsia="Times New Roman" w:hAnsi="Open Sans Semibold" w:cs="Open Sans Semibold"/>
                <w:color w:val="FFFFFF"/>
                <w:sz w:val="16"/>
                <w:szCs w:val="16"/>
                <w:lang w:eastAsia="en-AU"/>
              </w:rPr>
              <w:t> </w:t>
            </w:r>
          </w:p>
        </w:tc>
        <w:tc>
          <w:tcPr>
            <w:tcW w:w="693" w:type="dxa"/>
            <w:tcBorders>
              <w:top w:val="nil"/>
              <w:left w:val="nil"/>
              <w:bottom w:val="nil"/>
              <w:right w:val="nil"/>
            </w:tcBorders>
            <w:shd w:val="clear" w:color="000000" w:fill="006991"/>
            <w:vAlign w:val="center"/>
            <w:hideMark/>
          </w:tcPr>
          <w:p w14:paraId="7AD69445"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F1C5F">
              <w:rPr>
                <w:rFonts w:ascii="Open Sans Semibold" w:eastAsia="Times New Roman" w:hAnsi="Open Sans Semibold" w:cs="Open Sans Semibold"/>
                <w:color w:val="FFFFFF"/>
                <w:sz w:val="16"/>
                <w:szCs w:val="16"/>
                <w:lang w:eastAsia="en-AU"/>
              </w:rPr>
              <w:t>NSW</w:t>
            </w:r>
          </w:p>
        </w:tc>
        <w:tc>
          <w:tcPr>
            <w:tcW w:w="693" w:type="dxa"/>
            <w:tcBorders>
              <w:top w:val="nil"/>
              <w:left w:val="nil"/>
              <w:bottom w:val="nil"/>
              <w:right w:val="nil"/>
            </w:tcBorders>
            <w:shd w:val="clear" w:color="000000" w:fill="006991"/>
            <w:vAlign w:val="center"/>
            <w:hideMark/>
          </w:tcPr>
          <w:p w14:paraId="15030D2F"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F1C5F">
              <w:rPr>
                <w:rFonts w:ascii="Open Sans Semibold" w:eastAsia="Times New Roman" w:hAnsi="Open Sans Semibold" w:cs="Open Sans Semibold"/>
                <w:color w:val="FFFFFF"/>
                <w:sz w:val="16"/>
                <w:szCs w:val="16"/>
                <w:lang w:eastAsia="en-AU"/>
              </w:rPr>
              <w:t>Vic</w:t>
            </w:r>
          </w:p>
        </w:tc>
        <w:tc>
          <w:tcPr>
            <w:tcW w:w="693" w:type="dxa"/>
            <w:tcBorders>
              <w:top w:val="nil"/>
              <w:left w:val="nil"/>
              <w:bottom w:val="nil"/>
              <w:right w:val="nil"/>
            </w:tcBorders>
            <w:shd w:val="clear" w:color="000000" w:fill="006991"/>
            <w:vAlign w:val="center"/>
            <w:hideMark/>
          </w:tcPr>
          <w:p w14:paraId="311D9021"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F1C5F">
              <w:rPr>
                <w:rFonts w:ascii="Open Sans Semibold" w:eastAsia="Times New Roman" w:hAnsi="Open Sans Semibold" w:cs="Open Sans Semibold"/>
                <w:color w:val="FFFFFF"/>
                <w:sz w:val="16"/>
                <w:szCs w:val="16"/>
                <w:lang w:eastAsia="en-AU"/>
              </w:rPr>
              <w:t>Qld</w:t>
            </w:r>
          </w:p>
        </w:tc>
        <w:tc>
          <w:tcPr>
            <w:tcW w:w="838" w:type="dxa"/>
            <w:tcBorders>
              <w:top w:val="nil"/>
              <w:left w:val="nil"/>
              <w:bottom w:val="nil"/>
              <w:right w:val="nil"/>
            </w:tcBorders>
            <w:shd w:val="clear" w:color="000000" w:fill="006991"/>
            <w:vAlign w:val="center"/>
            <w:hideMark/>
          </w:tcPr>
          <w:p w14:paraId="562F0379"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F1C5F">
              <w:rPr>
                <w:rFonts w:ascii="Open Sans Semibold" w:eastAsia="Times New Roman" w:hAnsi="Open Sans Semibold" w:cs="Open Sans Semibold"/>
                <w:color w:val="FFFFFF"/>
                <w:sz w:val="16"/>
                <w:szCs w:val="16"/>
                <w:lang w:eastAsia="en-AU"/>
              </w:rPr>
              <w:t>WA</w:t>
            </w:r>
          </w:p>
        </w:tc>
        <w:tc>
          <w:tcPr>
            <w:tcW w:w="734" w:type="dxa"/>
            <w:tcBorders>
              <w:top w:val="nil"/>
              <w:left w:val="nil"/>
              <w:bottom w:val="nil"/>
              <w:right w:val="nil"/>
            </w:tcBorders>
            <w:shd w:val="clear" w:color="000000" w:fill="006991"/>
            <w:vAlign w:val="center"/>
            <w:hideMark/>
          </w:tcPr>
          <w:p w14:paraId="64A52FB7"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F1C5F">
              <w:rPr>
                <w:rFonts w:ascii="Open Sans Semibold" w:eastAsia="Times New Roman" w:hAnsi="Open Sans Semibold" w:cs="Open Sans Semibold"/>
                <w:color w:val="FFFFFF"/>
                <w:sz w:val="16"/>
                <w:szCs w:val="16"/>
                <w:lang w:eastAsia="en-AU"/>
              </w:rPr>
              <w:t>SA</w:t>
            </w:r>
          </w:p>
        </w:tc>
        <w:tc>
          <w:tcPr>
            <w:tcW w:w="745" w:type="dxa"/>
            <w:tcBorders>
              <w:top w:val="nil"/>
              <w:left w:val="nil"/>
              <w:bottom w:val="nil"/>
              <w:right w:val="nil"/>
            </w:tcBorders>
            <w:shd w:val="clear" w:color="000000" w:fill="006991"/>
            <w:vAlign w:val="center"/>
            <w:hideMark/>
          </w:tcPr>
          <w:p w14:paraId="30247BDD"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F1C5F">
              <w:rPr>
                <w:rFonts w:ascii="Open Sans Semibold" w:eastAsia="Times New Roman" w:hAnsi="Open Sans Semibold" w:cs="Open Sans Semibold"/>
                <w:color w:val="FFFFFF"/>
                <w:sz w:val="16"/>
                <w:szCs w:val="16"/>
                <w:lang w:eastAsia="en-AU"/>
              </w:rPr>
              <w:t>Tas</w:t>
            </w:r>
          </w:p>
        </w:tc>
        <w:tc>
          <w:tcPr>
            <w:tcW w:w="570" w:type="dxa"/>
            <w:tcBorders>
              <w:top w:val="nil"/>
              <w:left w:val="nil"/>
              <w:bottom w:val="nil"/>
              <w:right w:val="nil"/>
            </w:tcBorders>
            <w:shd w:val="clear" w:color="000000" w:fill="006991"/>
            <w:vAlign w:val="center"/>
            <w:hideMark/>
          </w:tcPr>
          <w:p w14:paraId="02B094D9"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F1C5F">
              <w:rPr>
                <w:rFonts w:ascii="Open Sans Semibold" w:eastAsia="Times New Roman" w:hAnsi="Open Sans Semibold" w:cs="Open Sans Semibold"/>
                <w:color w:val="FFFFFF"/>
                <w:sz w:val="16"/>
                <w:szCs w:val="16"/>
                <w:lang w:eastAsia="en-AU"/>
              </w:rPr>
              <w:t>ACT</w:t>
            </w:r>
          </w:p>
        </w:tc>
        <w:tc>
          <w:tcPr>
            <w:tcW w:w="693" w:type="dxa"/>
            <w:tcBorders>
              <w:top w:val="nil"/>
              <w:left w:val="nil"/>
              <w:bottom w:val="nil"/>
              <w:right w:val="nil"/>
            </w:tcBorders>
            <w:shd w:val="clear" w:color="000000" w:fill="006991"/>
            <w:vAlign w:val="center"/>
            <w:hideMark/>
          </w:tcPr>
          <w:p w14:paraId="4B4AE7DA"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F1C5F">
              <w:rPr>
                <w:rFonts w:ascii="Open Sans Semibold" w:eastAsia="Times New Roman" w:hAnsi="Open Sans Semibold" w:cs="Open Sans Semibold"/>
                <w:color w:val="FFFFFF"/>
                <w:sz w:val="16"/>
                <w:szCs w:val="16"/>
                <w:lang w:eastAsia="en-AU"/>
              </w:rPr>
              <w:t>NT</w:t>
            </w:r>
          </w:p>
        </w:tc>
        <w:tc>
          <w:tcPr>
            <w:tcW w:w="713" w:type="dxa"/>
            <w:tcBorders>
              <w:top w:val="nil"/>
              <w:left w:val="nil"/>
              <w:bottom w:val="nil"/>
              <w:right w:val="nil"/>
            </w:tcBorders>
            <w:shd w:val="clear" w:color="000000" w:fill="006991"/>
            <w:vAlign w:val="center"/>
            <w:hideMark/>
          </w:tcPr>
          <w:p w14:paraId="13AD77AF"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F1C5F">
              <w:rPr>
                <w:rFonts w:ascii="Open Sans Semibold" w:eastAsia="Times New Roman" w:hAnsi="Open Sans Semibold" w:cs="Open Sans Semibold"/>
                <w:color w:val="FFFFFF"/>
                <w:sz w:val="16"/>
                <w:szCs w:val="16"/>
                <w:lang w:eastAsia="en-AU"/>
              </w:rPr>
              <w:t>Total Effect</w:t>
            </w:r>
          </w:p>
        </w:tc>
      </w:tr>
      <w:tr w:rsidR="004F1C5F" w:rsidRPr="004F1C5F" w14:paraId="0309B479" w14:textId="77777777" w:rsidTr="00D16F76">
        <w:trPr>
          <w:trHeight w:val="259"/>
        </w:trPr>
        <w:tc>
          <w:tcPr>
            <w:tcW w:w="2692" w:type="dxa"/>
            <w:tcBorders>
              <w:top w:val="single" w:sz="4" w:space="0" w:color="ADD6EA"/>
              <w:left w:val="nil"/>
              <w:bottom w:val="nil"/>
              <w:right w:val="nil"/>
            </w:tcBorders>
            <w:shd w:val="clear" w:color="000000" w:fill="B6D5E4"/>
            <w:vAlign w:val="center"/>
            <w:hideMark/>
          </w:tcPr>
          <w:p w14:paraId="0BEFD217" w14:textId="77777777" w:rsidR="004F1C5F" w:rsidRPr="004F1C5F" w:rsidRDefault="004F1C5F" w:rsidP="004F1C5F">
            <w:pPr>
              <w:tabs>
                <w:tab w:val="clear" w:pos="567"/>
              </w:tabs>
              <w:spacing w:before="0" w:line="240" w:lineRule="auto"/>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 </w:t>
            </w:r>
          </w:p>
        </w:tc>
        <w:tc>
          <w:tcPr>
            <w:tcW w:w="693" w:type="dxa"/>
            <w:tcBorders>
              <w:top w:val="single" w:sz="4" w:space="0" w:color="ADD6EA"/>
              <w:left w:val="nil"/>
              <w:bottom w:val="nil"/>
              <w:right w:val="nil"/>
            </w:tcBorders>
            <w:shd w:val="clear" w:color="000000" w:fill="B6D5E4"/>
            <w:noWrap/>
            <w:vAlign w:val="center"/>
            <w:hideMark/>
          </w:tcPr>
          <w:p w14:paraId="0A5B64E5"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$m</w:t>
            </w:r>
          </w:p>
        </w:tc>
        <w:tc>
          <w:tcPr>
            <w:tcW w:w="693" w:type="dxa"/>
            <w:tcBorders>
              <w:top w:val="single" w:sz="4" w:space="0" w:color="ADD6EA"/>
              <w:left w:val="nil"/>
              <w:bottom w:val="nil"/>
              <w:right w:val="nil"/>
            </w:tcBorders>
            <w:shd w:val="clear" w:color="000000" w:fill="B6D5E4"/>
            <w:noWrap/>
            <w:vAlign w:val="center"/>
            <w:hideMark/>
          </w:tcPr>
          <w:p w14:paraId="6F3A6E6E"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$m</w:t>
            </w:r>
          </w:p>
        </w:tc>
        <w:tc>
          <w:tcPr>
            <w:tcW w:w="693" w:type="dxa"/>
            <w:tcBorders>
              <w:top w:val="single" w:sz="4" w:space="0" w:color="ADD6EA"/>
              <w:left w:val="nil"/>
              <w:bottom w:val="nil"/>
              <w:right w:val="nil"/>
            </w:tcBorders>
            <w:shd w:val="clear" w:color="000000" w:fill="B6D5E4"/>
            <w:noWrap/>
            <w:vAlign w:val="center"/>
            <w:hideMark/>
          </w:tcPr>
          <w:p w14:paraId="2FAB743A"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$m</w:t>
            </w:r>
          </w:p>
        </w:tc>
        <w:tc>
          <w:tcPr>
            <w:tcW w:w="838" w:type="dxa"/>
            <w:tcBorders>
              <w:top w:val="single" w:sz="4" w:space="0" w:color="ADD6EA"/>
              <w:left w:val="nil"/>
              <w:bottom w:val="nil"/>
              <w:right w:val="nil"/>
            </w:tcBorders>
            <w:shd w:val="clear" w:color="000000" w:fill="B6D5E4"/>
            <w:noWrap/>
            <w:vAlign w:val="center"/>
            <w:hideMark/>
          </w:tcPr>
          <w:p w14:paraId="5F96937C"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$m</w:t>
            </w:r>
          </w:p>
        </w:tc>
        <w:tc>
          <w:tcPr>
            <w:tcW w:w="734" w:type="dxa"/>
            <w:tcBorders>
              <w:top w:val="single" w:sz="4" w:space="0" w:color="ADD6EA"/>
              <w:left w:val="nil"/>
              <w:bottom w:val="nil"/>
              <w:right w:val="nil"/>
            </w:tcBorders>
            <w:shd w:val="clear" w:color="000000" w:fill="B6D5E4"/>
            <w:noWrap/>
            <w:vAlign w:val="center"/>
            <w:hideMark/>
          </w:tcPr>
          <w:p w14:paraId="2EA4E1A7"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$m</w:t>
            </w:r>
          </w:p>
        </w:tc>
        <w:tc>
          <w:tcPr>
            <w:tcW w:w="745" w:type="dxa"/>
            <w:tcBorders>
              <w:top w:val="single" w:sz="4" w:space="0" w:color="ADD6EA"/>
              <w:left w:val="nil"/>
              <w:bottom w:val="nil"/>
              <w:right w:val="nil"/>
            </w:tcBorders>
            <w:shd w:val="clear" w:color="000000" w:fill="B6D5E4"/>
            <w:noWrap/>
            <w:vAlign w:val="center"/>
            <w:hideMark/>
          </w:tcPr>
          <w:p w14:paraId="067182D6"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$m</w:t>
            </w:r>
          </w:p>
        </w:tc>
        <w:tc>
          <w:tcPr>
            <w:tcW w:w="570" w:type="dxa"/>
            <w:tcBorders>
              <w:top w:val="single" w:sz="4" w:space="0" w:color="ADD6EA"/>
              <w:left w:val="nil"/>
              <w:bottom w:val="nil"/>
              <w:right w:val="nil"/>
            </w:tcBorders>
            <w:shd w:val="clear" w:color="000000" w:fill="B6D5E4"/>
            <w:noWrap/>
            <w:vAlign w:val="center"/>
            <w:hideMark/>
          </w:tcPr>
          <w:p w14:paraId="4BB503F0"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$m</w:t>
            </w:r>
          </w:p>
        </w:tc>
        <w:tc>
          <w:tcPr>
            <w:tcW w:w="693" w:type="dxa"/>
            <w:tcBorders>
              <w:top w:val="single" w:sz="4" w:space="0" w:color="ADD6EA"/>
              <w:left w:val="nil"/>
              <w:bottom w:val="nil"/>
              <w:right w:val="nil"/>
            </w:tcBorders>
            <w:shd w:val="clear" w:color="000000" w:fill="B6D5E4"/>
            <w:noWrap/>
            <w:vAlign w:val="center"/>
            <w:hideMark/>
          </w:tcPr>
          <w:p w14:paraId="7A64F0DD"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$m</w:t>
            </w:r>
          </w:p>
        </w:tc>
        <w:tc>
          <w:tcPr>
            <w:tcW w:w="713" w:type="dxa"/>
            <w:tcBorders>
              <w:top w:val="single" w:sz="4" w:space="0" w:color="ADD6EA"/>
              <w:left w:val="nil"/>
              <w:bottom w:val="nil"/>
              <w:right w:val="nil"/>
            </w:tcBorders>
            <w:shd w:val="clear" w:color="000000" w:fill="B6D5E4"/>
            <w:noWrap/>
            <w:vAlign w:val="center"/>
            <w:hideMark/>
          </w:tcPr>
          <w:p w14:paraId="0D7956F5"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$m</w:t>
            </w:r>
          </w:p>
        </w:tc>
      </w:tr>
      <w:tr w:rsidR="004F1C5F" w:rsidRPr="004F1C5F" w14:paraId="332F55ED" w14:textId="77777777" w:rsidTr="00D16F76">
        <w:trPr>
          <w:trHeight w:val="315"/>
        </w:trPr>
        <w:tc>
          <w:tcPr>
            <w:tcW w:w="2692" w:type="dxa"/>
            <w:tcBorders>
              <w:top w:val="single" w:sz="4" w:space="0" w:color="ADD6EA"/>
              <w:left w:val="nil"/>
              <w:bottom w:val="nil"/>
              <w:right w:val="nil"/>
            </w:tcBorders>
            <w:shd w:val="clear" w:color="auto" w:fill="auto"/>
            <w:vAlign w:val="center"/>
            <w:hideMark/>
          </w:tcPr>
          <w:p w14:paraId="265D33AA" w14:textId="77777777" w:rsidR="004F1C5F" w:rsidRPr="004F1C5F" w:rsidRDefault="004F1C5F" w:rsidP="004F1C5F">
            <w:pPr>
              <w:tabs>
                <w:tab w:val="clear" w:pos="567"/>
              </w:tabs>
              <w:spacing w:before="0" w:line="240" w:lineRule="auto"/>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REVENUE RAISING CAPACITY</w:t>
            </w:r>
          </w:p>
        </w:tc>
        <w:tc>
          <w:tcPr>
            <w:tcW w:w="693" w:type="dxa"/>
            <w:tcBorders>
              <w:top w:val="single" w:sz="4" w:space="0" w:color="ADD6EA"/>
              <w:left w:val="nil"/>
              <w:bottom w:val="nil"/>
              <w:right w:val="nil"/>
            </w:tcBorders>
            <w:shd w:val="clear" w:color="auto" w:fill="auto"/>
            <w:vAlign w:val="center"/>
            <w:hideMark/>
          </w:tcPr>
          <w:p w14:paraId="6093D2F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693" w:type="dxa"/>
            <w:tcBorders>
              <w:top w:val="single" w:sz="4" w:space="0" w:color="ADD6EA"/>
              <w:left w:val="nil"/>
              <w:bottom w:val="nil"/>
              <w:right w:val="nil"/>
            </w:tcBorders>
            <w:shd w:val="clear" w:color="auto" w:fill="auto"/>
            <w:vAlign w:val="center"/>
            <w:hideMark/>
          </w:tcPr>
          <w:p w14:paraId="2210D57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693" w:type="dxa"/>
            <w:tcBorders>
              <w:top w:val="single" w:sz="4" w:space="0" w:color="ADD6EA"/>
              <w:left w:val="nil"/>
              <w:bottom w:val="nil"/>
              <w:right w:val="nil"/>
            </w:tcBorders>
            <w:shd w:val="clear" w:color="auto" w:fill="auto"/>
            <w:vAlign w:val="center"/>
            <w:hideMark/>
          </w:tcPr>
          <w:p w14:paraId="7AD96B7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838" w:type="dxa"/>
            <w:tcBorders>
              <w:top w:val="single" w:sz="4" w:space="0" w:color="ADD6EA"/>
              <w:left w:val="nil"/>
              <w:bottom w:val="nil"/>
              <w:right w:val="nil"/>
            </w:tcBorders>
            <w:shd w:val="clear" w:color="auto" w:fill="auto"/>
            <w:vAlign w:val="center"/>
            <w:hideMark/>
          </w:tcPr>
          <w:p w14:paraId="01FC105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734" w:type="dxa"/>
            <w:tcBorders>
              <w:top w:val="single" w:sz="4" w:space="0" w:color="ADD6EA"/>
              <w:left w:val="nil"/>
              <w:bottom w:val="nil"/>
              <w:right w:val="nil"/>
            </w:tcBorders>
            <w:shd w:val="clear" w:color="auto" w:fill="auto"/>
            <w:vAlign w:val="center"/>
            <w:hideMark/>
          </w:tcPr>
          <w:p w14:paraId="3E0BB34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745" w:type="dxa"/>
            <w:tcBorders>
              <w:top w:val="single" w:sz="4" w:space="0" w:color="ADD6EA"/>
              <w:left w:val="nil"/>
              <w:bottom w:val="nil"/>
              <w:right w:val="nil"/>
            </w:tcBorders>
            <w:shd w:val="clear" w:color="auto" w:fill="auto"/>
            <w:vAlign w:val="center"/>
            <w:hideMark/>
          </w:tcPr>
          <w:p w14:paraId="61EA2E5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570" w:type="dxa"/>
            <w:tcBorders>
              <w:top w:val="single" w:sz="4" w:space="0" w:color="ADD6EA"/>
              <w:left w:val="nil"/>
              <w:bottom w:val="nil"/>
              <w:right w:val="nil"/>
            </w:tcBorders>
            <w:shd w:val="clear" w:color="auto" w:fill="auto"/>
            <w:vAlign w:val="center"/>
            <w:hideMark/>
          </w:tcPr>
          <w:p w14:paraId="7000DE9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693" w:type="dxa"/>
            <w:tcBorders>
              <w:top w:val="single" w:sz="4" w:space="0" w:color="ADD6EA"/>
              <w:left w:val="nil"/>
              <w:bottom w:val="nil"/>
              <w:right w:val="nil"/>
            </w:tcBorders>
            <w:shd w:val="clear" w:color="auto" w:fill="auto"/>
            <w:vAlign w:val="center"/>
            <w:hideMark/>
          </w:tcPr>
          <w:p w14:paraId="6C68A4B7"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713" w:type="dxa"/>
            <w:tcBorders>
              <w:top w:val="single" w:sz="4" w:space="0" w:color="ADD6EA"/>
              <w:left w:val="nil"/>
              <w:bottom w:val="nil"/>
              <w:right w:val="nil"/>
            </w:tcBorders>
            <w:shd w:val="clear" w:color="auto" w:fill="auto"/>
            <w:vAlign w:val="center"/>
            <w:hideMark/>
          </w:tcPr>
          <w:p w14:paraId="0583FA8B"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r>
      <w:tr w:rsidR="004F1C5F" w:rsidRPr="004F1C5F" w14:paraId="1CDAD85D" w14:textId="77777777" w:rsidTr="00D16F76">
        <w:trPr>
          <w:trHeight w:val="315"/>
        </w:trPr>
        <w:tc>
          <w:tcPr>
            <w:tcW w:w="2692" w:type="dxa"/>
            <w:tcBorders>
              <w:top w:val="single" w:sz="4" w:space="0" w:color="ADD6EA"/>
              <w:left w:val="nil"/>
              <w:bottom w:val="nil"/>
              <w:right w:val="nil"/>
            </w:tcBorders>
            <w:shd w:val="clear" w:color="auto" w:fill="auto"/>
            <w:noWrap/>
            <w:vAlign w:val="center"/>
            <w:hideMark/>
          </w:tcPr>
          <w:p w14:paraId="3A003E1D"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Mining production</w:t>
            </w:r>
          </w:p>
        </w:tc>
        <w:tc>
          <w:tcPr>
            <w:tcW w:w="693" w:type="dxa"/>
            <w:tcBorders>
              <w:top w:val="single" w:sz="4" w:space="0" w:color="ADD6EA"/>
              <w:left w:val="nil"/>
              <w:bottom w:val="nil"/>
              <w:right w:val="nil"/>
            </w:tcBorders>
            <w:shd w:val="clear" w:color="auto" w:fill="auto"/>
            <w:noWrap/>
            <w:vAlign w:val="center"/>
            <w:hideMark/>
          </w:tcPr>
          <w:p w14:paraId="365BB04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4,058</w:t>
            </w:r>
          </w:p>
        </w:tc>
        <w:tc>
          <w:tcPr>
            <w:tcW w:w="693" w:type="dxa"/>
            <w:tcBorders>
              <w:top w:val="single" w:sz="4" w:space="0" w:color="ADD6EA"/>
              <w:left w:val="nil"/>
              <w:bottom w:val="nil"/>
              <w:right w:val="nil"/>
            </w:tcBorders>
            <w:shd w:val="clear" w:color="auto" w:fill="auto"/>
            <w:noWrap/>
            <w:vAlign w:val="center"/>
            <w:hideMark/>
          </w:tcPr>
          <w:p w14:paraId="76869A8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7,632</w:t>
            </w:r>
          </w:p>
        </w:tc>
        <w:tc>
          <w:tcPr>
            <w:tcW w:w="693" w:type="dxa"/>
            <w:tcBorders>
              <w:top w:val="single" w:sz="4" w:space="0" w:color="ADD6EA"/>
              <w:left w:val="nil"/>
              <w:bottom w:val="nil"/>
              <w:right w:val="nil"/>
            </w:tcBorders>
            <w:shd w:val="clear" w:color="auto" w:fill="auto"/>
            <w:noWrap/>
            <w:vAlign w:val="center"/>
            <w:hideMark/>
          </w:tcPr>
          <w:p w14:paraId="24E2840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-3,056</w:t>
            </w:r>
          </w:p>
        </w:tc>
        <w:tc>
          <w:tcPr>
            <w:tcW w:w="838" w:type="dxa"/>
            <w:tcBorders>
              <w:top w:val="single" w:sz="4" w:space="0" w:color="ADD6EA"/>
              <w:left w:val="nil"/>
              <w:bottom w:val="nil"/>
              <w:right w:val="nil"/>
            </w:tcBorders>
            <w:shd w:val="clear" w:color="auto" w:fill="auto"/>
            <w:noWrap/>
            <w:vAlign w:val="center"/>
            <w:hideMark/>
          </w:tcPr>
          <w:p w14:paraId="20F0FFA7"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-11,407</w:t>
            </w:r>
          </w:p>
        </w:tc>
        <w:tc>
          <w:tcPr>
            <w:tcW w:w="734" w:type="dxa"/>
            <w:tcBorders>
              <w:top w:val="single" w:sz="4" w:space="0" w:color="ADD6EA"/>
              <w:left w:val="nil"/>
              <w:bottom w:val="nil"/>
              <w:right w:val="nil"/>
            </w:tcBorders>
            <w:shd w:val="clear" w:color="auto" w:fill="auto"/>
            <w:noWrap/>
            <w:vAlign w:val="center"/>
            <w:hideMark/>
          </w:tcPr>
          <w:p w14:paraId="588C7917"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1,656</w:t>
            </w:r>
          </w:p>
        </w:tc>
        <w:tc>
          <w:tcPr>
            <w:tcW w:w="745" w:type="dxa"/>
            <w:tcBorders>
              <w:top w:val="single" w:sz="4" w:space="0" w:color="ADD6EA"/>
              <w:left w:val="nil"/>
              <w:bottom w:val="nil"/>
              <w:right w:val="nil"/>
            </w:tcBorders>
            <w:shd w:val="clear" w:color="auto" w:fill="auto"/>
            <w:noWrap/>
            <w:vAlign w:val="center"/>
            <w:hideMark/>
          </w:tcPr>
          <w:p w14:paraId="200E55E1"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530</w:t>
            </w:r>
          </w:p>
        </w:tc>
        <w:tc>
          <w:tcPr>
            <w:tcW w:w="570" w:type="dxa"/>
            <w:tcBorders>
              <w:top w:val="single" w:sz="4" w:space="0" w:color="ADD6EA"/>
              <w:left w:val="nil"/>
              <w:bottom w:val="nil"/>
              <w:right w:val="nil"/>
            </w:tcBorders>
            <w:shd w:val="clear" w:color="auto" w:fill="auto"/>
            <w:noWrap/>
            <w:vAlign w:val="center"/>
            <w:hideMark/>
          </w:tcPr>
          <w:p w14:paraId="6101492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541</w:t>
            </w:r>
          </w:p>
        </w:tc>
        <w:tc>
          <w:tcPr>
            <w:tcW w:w="693" w:type="dxa"/>
            <w:tcBorders>
              <w:top w:val="single" w:sz="4" w:space="0" w:color="ADD6EA"/>
              <w:left w:val="nil"/>
              <w:bottom w:val="nil"/>
              <w:right w:val="nil"/>
            </w:tcBorders>
            <w:shd w:val="clear" w:color="auto" w:fill="auto"/>
            <w:noWrap/>
            <w:vAlign w:val="center"/>
            <w:hideMark/>
          </w:tcPr>
          <w:p w14:paraId="095FD0F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46</w:t>
            </w:r>
          </w:p>
        </w:tc>
        <w:tc>
          <w:tcPr>
            <w:tcW w:w="713" w:type="dxa"/>
            <w:tcBorders>
              <w:top w:val="single" w:sz="4" w:space="0" w:color="ADD6EA"/>
              <w:left w:val="nil"/>
              <w:bottom w:val="nil"/>
              <w:right w:val="nil"/>
            </w:tcBorders>
            <w:shd w:val="clear" w:color="auto" w:fill="auto"/>
            <w:noWrap/>
            <w:vAlign w:val="center"/>
            <w:hideMark/>
          </w:tcPr>
          <w:p w14:paraId="3BE0098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14,463</w:t>
            </w:r>
          </w:p>
        </w:tc>
      </w:tr>
      <w:tr w:rsidR="004F1C5F" w:rsidRPr="004F1C5F" w14:paraId="1A31A6A4" w14:textId="77777777" w:rsidTr="00D16F76">
        <w:trPr>
          <w:trHeight w:val="315"/>
        </w:trPr>
        <w:tc>
          <w:tcPr>
            <w:tcW w:w="2692" w:type="dxa"/>
            <w:tcBorders>
              <w:top w:val="single" w:sz="4" w:space="0" w:color="ADD6EA"/>
              <w:left w:val="nil"/>
              <w:bottom w:val="nil"/>
              <w:right w:val="nil"/>
            </w:tcBorders>
            <w:shd w:val="clear" w:color="auto" w:fill="auto"/>
            <w:noWrap/>
            <w:vAlign w:val="center"/>
            <w:hideMark/>
          </w:tcPr>
          <w:p w14:paraId="12AB2A79"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Property sales</w:t>
            </w:r>
          </w:p>
        </w:tc>
        <w:tc>
          <w:tcPr>
            <w:tcW w:w="693" w:type="dxa"/>
            <w:tcBorders>
              <w:top w:val="single" w:sz="4" w:space="0" w:color="ADD6EA"/>
              <w:left w:val="nil"/>
              <w:bottom w:val="nil"/>
              <w:right w:val="nil"/>
            </w:tcBorders>
            <w:shd w:val="clear" w:color="auto" w:fill="auto"/>
            <w:noWrap/>
            <w:vAlign w:val="center"/>
            <w:hideMark/>
          </w:tcPr>
          <w:p w14:paraId="4B8930C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-2,776</w:t>
            </w:r>
          </w:p>
        </w:tc>
        <w:tc>
          <w:tcPr>
            <w:tcW w:w="693" w:type="dxa"/>
            <w:tcBorders>
              <w:top w:val="single" w:sz="4" w:space="0" w:color="ADD6EA"/>
              <w:left w:val="nil"/>
              <w:bottom w:val="nil"/>
              <w:right w:val="nil"/>
            </w:tcBorders>
            <w:shd w:val="clear" w:color="auto" w:fill="auto"/>
            <w:noWrap/>
            <w:vAlign w:val="center"/>
            <w:hideMark/>
          </w:tcPr>
          <w:p w14:paraId="6920634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-323</w:t>
            </w:r>
          </w:p>
        </w:tc>
        <w:tc>
          <w:tcPr>
            <w:tcW w:w="693" w:type="dxa"/>
            <w:tcBorders>
              <w:top w:val="single" w:sz="4" w:space="0" w:color="ADD6EA"/>
              <w:left w:val="nil"/>
              <w:bottom w:val="nil"/>
              <w:right w:val="nil"/>
            </w:tcBorders>
            <w:shd w:val="clear" w:color="auto" w:fill="auto"/>
            <w:noWrap/>
            <w:vAlign w:val="center"/>
            <w:hideMark/>
          </w:tcPr>
          <w:p w14:paraId="1A8DB51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780</w:t>
            </w:r>
          </w:p>
        </w:tc>
        <w:tc>
          <w:tcPr>
            <w:tcW w:w="838" w:type="dxa"/>
            <w:tcBorders>
              <w:top w:val="single" w:sz="4" w:space="0" w:color="ADD6EA"/>
              <w:left w:val="nil"/>
              <w:bottom w:val="nil"/>
              <w:right w:val="nil"/>
            </w:tcBorders>
            <w:shd w:val="clear" w:color="auto" w:fill="auto"/>
            <w:noWrap/>
            <w:vAlign w:val="center"/>
            <w:hideMark/>
          </w:tcPr>
          <w:p w14:paraId="49684D4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980</w:t>
            </w:r>
          </w:p>
        </w:tc>
        <w:tc>
          <w:tcPr>
            <w:tcW w:w="734" w:type="dxa"/>
            <w:tcBorders>
              <w:top w:val="single" w:sz="4" w:space="0" w:color="ADD6EA"/>
              <w:left w:val="nil"/>
              <w:bottom w:val="nil"/>
              <w:right w:val="nil"/>
            </w:tcBorders>
            <w:shd w:val="clear" w:color="auto" w:fill="auto"/>
            <w:noWrap/>
            <w:vAlign w:val="center"/>
            <w:hideMark/>
          </w:tcPr>
          <w:p w14:paraId="416A740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912</w:t>
            </w:r>
          </w:p>
        </w:tc>
        <w:tc>
          <w:tcPr>
            <w:tcW w:w="745" w:type="dxa"/>
            <w:tcBorders>
              <w:top w:val="single" w:sz="4" w:space="0" w:color="ADD6EA"/>
              <w:left w:val="nil"/>
              <w:bottom w:val="nil"/>
              <w:right w:val="nil"/>
            </w:tcBorders>
            <w:shd w:val="clear" w:color="auto" w:fill="auto"/>
            <w:noWrap/>
            <w:vAlign w:val="center"/>
            <w:hideMark/>
          </w:tcPr>
          <w:p w14:paraId="2BF2812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301</w:t>
            </w:r>
          </w:p>
        </w:tc>
        <w:tc>
          <w:tcPr>
            <w:tcW w:w="570" w:type="dxa"/>
            <w:tcBorders>
              <w:top w:val="single" w:sz="4" w:space="0" w:color="ADD6EA"/>
              <w:left w:val="nil"/>
              <w:bottom w:val="nil"/>
              <w:right w:val="nil"/>
            </w:tcBorders>
            <w:shd w:val="clear" w:color="auto" w:fill="auto"/>
            <w:noWrap/>
            <w:vAlign w:val="center"/>
            <w:hideMark/>
          </w:tcPr>
          <w:p w14:paraId="1151364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-33</w:t>
            </w:r>
          </w:p>
        </w:tc>
        <w:tc>
          <w:tcPr>
            <w:tcW w:w="693" w:type="dxa"/>
            <w:tcBorders>
              <w:top w:val="single" w:sz="4" w:space="0" w:color="ADD6EA"/>
              <w:left w:val="nil"/>
              <w:bottom w:val="nil"/>
              <w:right w:val="nil"/>
            </w:tcBorders>
            <w:shd w:val="clear" w:color="auto" w:fill="auto"/>
            <w:noWrap/>
            <w:vAlign w:val="center"/>
            <w:hideMark/>
          </w:tcPr>
          <w:p w14:paraId="739CAA8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160</w:t>
            </w:r>
          </w:p>
        </w:tc>
        <w:tc>
          <w:tcPr>
            <w:tcW w:w="713" w:type="dxa"/>
            <w:tcBorders>
              <w:top w:val="single" w:sz="4" w:space="0" w:color="ADD6EA"/>
              <w:left w:val="nil"/>
              <w:bottom w:val="nil"/>
              <w:right w:val="nil"/>
            </w:tcBorders>
            <w:shd w:val="clear" w:color="auto" w:fill="auto"/>
            <w:noWrap/>
            <w:vAlign w:val="center"/>
            <w:hideMark/>
          </w:tcPr>
          <w:p w14:paraId="5C4690E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3,132</w:t>
            </w:r>
          </w:p>
        </w:tc>
      </w:tr>
      <w:tr w:rsidR="004F1C5F" w:rsidRPr="004F1C5F" w14:paraId="50B7F7F4" w14:textId="77777777" w:rsidTr="00D16F76">
        <w:trPr>
          <w:trHeight w:val="315"/>
        </w:trPr>
        <w:tc>
          <w:tcPr>
            <w:tcW w:w="2692" w:type="dxa"/>
            <w:tcBorders>
              <w:top w:val="single" w:sz="4" w:space="0" w:color="ADD6EA"/>
              <w:left w:val="nil"/>
              <w:bottom w:val="nil"/>
              <w:right w:val="nil"/>
            </w:tcBorders>
            <w:shd w:val="clear" w:color="auto" w:fill="auto"/>
            <w:noWrap/>
            <w:vAlign w:val="center"/>
            <w:hideMark/>
          </w:tcPr>
          <w:p w14:paraId="7DD2A84F"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Taxable land values</w:t>
            </w:r>
          </w:p>
        </w:tc>
        <w:tc>
          <w:tcPr>
            <w:tcW w:w="693" w:type="dxa"/>
            <w:tcBorders>
              <w:top w:val="single" w:sz="4" w:space="0" w:color="ADD6EA"/>
              <w:left w:val="nil"/>
              <w:bottom w:val="nil"/>
              <w:right w:val="nil"/>
            </w:tcBorders>
            <w:shd w:val="clear" w:color="auto" w:fill="auto"/>
            <w:noWrap/>
            <w:vAlign w:val="center"/>
            <w:hideMark/>
          </w:tcPr>
          <w:p w14:paraId="158FCA8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-2,160</w:t>
            </w:r>
          </w:p>
        </w:tc>
        <w:tc>
          <w:tcPr>
            <w:tcW w:w="693" w:type="dxa"/>
            <w:tcBorders>
              <w:top w:val="single" w:sz="4" w:space="0" w:color="ADD6EA"/>
              <w:left w:val="nil"/>
              <w:bottom w:val="nil"/>
              <w:right w:val="nil"/>
            </w:tcBorders>
            <w:shd w:val="clear" w:color="auto" w:fill="auto"/>
            <w:noWrap/>
            <w:vAlign w:val="center"/>
            <w:hideMark/>
          </w:tcPr>
          <w:p w14:paraId="485938D7"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-677</w:t>
            </w:r>
          </w:p>
        </w:tc>
        <w:tc>
          <w:tcPr>
            <w:tcW w:w="693" w:type="dxa"/>
            <w:tcBorders>
              <w:top w:val="single" w:sz="4" w:space="0" w:color="ADD6EA"/>
              <w:left w:val="nil"/>
              <w:bottom w:val="nil"/>
              <w:right w:val="nil"/>
            </w:tcBorders>
            <w:shd w:val="clear" w:color="auto" w:fill="auto"/>
            <w:noWrap/>
            <w:vAlign w:val="center"/>
            <w:hideMark/>
          </w:tcPr>
          <w:p w14:paraId="21E678DB"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1,370</w:t>
            </w:r>
          </w:p>
        </w:tc>
        <w:tc>
          <w:tcPr>
            <w:tcW w:w="838" w:type="dxa"/>
            <w:tcBorders>
              <w:top w:val="single" w:sz="4" w:space="0" w:color="ADD6EA"/>
              <w:left w:val="nil"/>
              <w:bottom w:val="nil"/>
              <w:right w:val="nil"/>
            </w:tcBorders>
            <w:shd w:val="clear" w:color="auto" w:fill="auto"/>
            <w:noWrap/>
            <w:vAlign w:val="center"/>
            <w:hideMark/>
          </w:tcPr>
          <w:p w14:paraId="21B740D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533</w:t>
            </w:r>
          </w:p>
        </w:tc>
        <w:tc>
          <w:tcPr>
            <w:tcW w:w="734" w:type="dxa"/>
            <w:tcBorders>
              <w:top w:val="single" w:sz="4" w:space="0" w:color="ADD6EA"/>
              <w:left w:val="nil"/>
              <w:bottom w:val="nil"/>
              <w:right w:val="nil"/>
            </w:tcBorders>
            <w:shd w:val="clear" w:color="auto" w:fill="auto"/>
            <w:noWrap/>
            <w:vAlign w:val="center"/>
            <w:hideMark/>
          </w:tcPr>
          <w:p w14:paraId="0E3FB621"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550</w:t>
            </w:r>
          </w:p>
        </w:tc>
        <w:tc>
          <w:tcPr>
            <w:tcW w:w="745" w:type="dxa"/>
            <w:tcBorders>
              <w:top w:val="single" w:sz="4" w:space="0" w:color="ADD6EA"/>
              <w:left w:val="nil"/>
              <w:bottom w:val="nil"/>
              <w:right w:val="nil"/>
            </w:tcBorders>
            <w:shd w:val="clear" w:color="auto" w:fill="auto"/>
            <w:noWrap/>
            <w:vAlign w:val="center"/>
            <w:hideMark/>
          </w:tcPr>
          <w:p w14:paraId="3D3AB5A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196</w:t>
            </w:r>
          </w:p>
        </w:tc>
        <w:tc>
          <w:tcPr>
            <w:tcW w:w="570" w:type="dxa"/>
            <w:tcBorders>
              <w:top w:val="single" w:sz="4" w:space="0" w:color="ADD6EA"/>
              <w:left w:val="nil"/>
              <w:bottom w:val="nil"/>
              <w:right w:val="nil"/>
            </w:tcBorders>
            <w:shd w:val="clear" w:color="auto" w:fill="auto"/>
            <w:noWrap/>
            <w:vAlign w:val="center"/>
            <w:hideMark/>
          </w:tcPr>
          <w:p w14:paraId="105895B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144</w:t>
            </w:r>
          </w:p>
        </w:tc>
        <w:tc>
          <w:tcPr>
            <w:tcW w:w="693" w:type="dxa"/>
            <w:tcBorders>
              <w:top w:val="single" w:sz="4" w:space="0" w:color="ADD6EA"/>
              <w:left w:val="nil"/>
              <w:bottom w:val="nil"/>
              <w:right w:val="nil"/>
            </w:tcBorders>
            <w:shd w:val="clear" w:color="auto" w:fill="auto"/>
            <w:noWrap/>
            <w:vAlign w:val="center"/>
            <w:hideMark/>
          </w:tcPr>
          <w:p w14:paraId="3173C46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44</w:t>
            </w:r>
          </w:p>
        </w:tc>
        <w:tc>
          <w:tcPr>
            <w:tcW w:w="713" w:type="dxa"/>
            <w:tcBorders>
              <w:top w:val="single" w:sz="4" w:space="0" w:color="ADD6EA"/>
              <w:left w:val="nil"/>
              <w:bottom w:val="nil"/>
              <w:right w:val="nil"/>
            </w:tcBorders>
            <w:shd w:val="clear" w:color="auto" w:fill="auto"/>
            <w:noWrap/>
            <w:vAlign w:val="center"/>
            <w:hideMark/>
          </w:tcPr>
          <w:p w14:paraId="41435F9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2,837</w:t>
            </w:r>
          </w:p>
        </w:tc>
      </w:tr>
      <w:tr w:rsidR="004F1C5F" w:rsidRPr="004F1C5F" w14:paraId="3B6E83C1" w14:textId="77777777" w:rsidTr="00D16F76">
        <w:trPr>
          <w:trHeight w:val="315"/>
        </w:trPr>
        <w:tc>
          <w:tcPr>
            <w:tcW w:w="2692" w:type="dxa"/>
            <w:tcBorders>
              <w:top w:val="single" w:sz="4" w:space="0" w:color="ADD6EA"/>
              <w:left w:val="nil"/>
              <w:bottom w:val="nil"/>
              <w:right w:val="nil"/>
            </w:tcBorders>
            <w:shd w:val="clear" w:color="auto" w:fill="auto"/>
            <w:noWrap/>
            <w:vAlign w:val="center"/>
            <w:hideMark/>
          </w:tcPr>
          <w:p w14:paraId="3CB03763"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Taxable payrolls</w:t>
            </w:r>
          </w:p>
        </w:tc>
        <w:tc>
          <w:tcPr>
            <w:tcW w:w="693" w:type="dxa"/>
            <w:tcBorders>
              <w:top w:val="single" w:sz="4" w:space="0" w:color="ADD6EA"/>
              <w:left w:val="nil"/>
              <w:bottom w:val="nil"/>
              <w:right w:val="nil"/>
            </w:tcBorders>
            <w:shd w:val="clear" w:color="auto" w:fill="auto"/>
            <w:noWrap/>
            <w:vAlign w:val="center"/>
            <w:hideMark/>
          </w:tcPr>
          <w:p w14:paraId="4F49B27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-550</w:t>
            </w:r>
          </w:p>
        </w:tc>
        <w:tc>
          <w:tcPr>
            <w:tcW w:w="693" w:type="dxa"/>
            <w:tcBorders>
              <w:top w:val="single" w:sz="4" w:space="0" w:color="ADD6EA"/>
              <w:left w:val="nil"/>
              <w:bottom w:val="nil"/>
              <w:right w:val="nil"/>
            </w:tcBorders>
            <w:shd w:val="clear" w:color="auto" w:fill="auto"/>
            <w:noWrap/>
            <w:vAlign w:val="center"/>
            <w:hideMark/>
          </w:tcPr>
          <w:p w14:paraId="594FA551"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w:t>
            </w:r>
          </w:p>
        </w:tc>
        <w:tc>
          <w:tcPr>
            <w:tcW w:w="693" w:type="dxa"/>
            <w:tcBorders>
              <w:top w:val="single" w:sz="4" w:space="0" w:color="ADD6EA"/>
              <w:left w:val="nil"/>
              <w:bottom w:val="nil"/>
              <w:right w:val="nil"/>
            </w:tcBorders>
            <w:shd w:val="clear" w:color="auto" w:fill="auto"/>
            <w:noWrap/>
            <w:vAlign w:val="center"/>
            <w:hideMark/>
          </w:tcPr>
          <w:p w14:paraId="5F85EF7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866</w:t>
            </w:r>
          </w:p>
        </w:tc>
        <w:tc>
          <w:tcPr>
            <w:tcW w:w="838" w:type="dxa"/>
            <w:tcBorders>
              <w:top w:val="single" w:sz="4" w:space="0" w:color="ADD6EA"/>
              <w:left w:val="nil"/>
              <w:bottom w:val="nil"/>
              <w:right w:val="nil"/>
            </w:tcBorders>
            <w:shd w:val="clear" w:color="auto" w:fill="auto"/>
            <w:noWrap/>
            <w:vAlign w:val="center"/>
            <w:hideMark/>
          </w:tcPr>
          <w:p w14:paraId="3040764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-1,200</w:t>
            </w:r>
          </w:p>
        </w:tc>
        <w:tc>
          <w:tcPr>
            <w:tcW w:w="734" w:type="dxa"/>
            <w:tcBorders>
              <w:top w:val="single" w:sz="4" w:space="0" w:color="ADD6EA"/>
              <w:left w:val="nil"/>
              <w:bottom w:val="nil"/>
              <w:right w:val="nil"/>
            </w:tcBorders>
            <w:shd w:val="clear" w:color="auto" w:fill="auto"/>
            <w:noWrap/>
            <w:vAlign w:val="center"/>
            <w:hideMark/>
          </w:tcPr>
          <w:p w14:paraId="3407728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547</w:t>
            </w:r>
          </w:p>
        </w:tc>
        <w:tc>
          <w:tcPr>
            <w:tcW w:w="745" w:type="dxa"/>
            <w:tcBorders>
              <w:top w:val="single" w:sz="4" w:space="0" w:color="ADD6EA"/>
              <w:left w:val="nil"/>
              <w:bottom w:val="nil"/>
              <w:right w:val="nil"/>
            </w:tcBorders>
            <w:shd w:val="clear" w:color="auto" w:fill="auto"/>
            <w:noWrap/>
            <w:vAlign w:val="center"/>
            <w:hideMark/>
          </w:tcPr>
          <w:p w14:paraId="1CC1062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258</w:t>
            </w:r>
          </w:p>
        </w:tc>
        <w:tc>
          <w:tcPr>
            <w:tcW w:w="570" w:type="dxa"/>
            <w:tcBorders>
              <w:top w:val="single" w:sz="4" w:space="0" w:color="ADD6EA"/>
              <w:left w:val="nil"/>
              <w:bottom w:val="nil"/>
              <w:right w:val="nil"/>
            </w:tcBorders>
            <w:shd w:val="clear" w:color="auto" w:fill="auto"/>
            <w:noWrap/>
            <w:vAlign w:val="center"/>
            <w:hideMark/>
          </w:tcPr>
          <w:p w14:paraId="3416A61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66</w:t>
            </w:r>
          </w:p>
        </w:tc>
        <w:tc>
          <w:tcPr>
            <w:tcW w:w="693" w:type="dxa"/>
            <w:tcBorders>
              <w:top w:val="single" w:sz="4" w:space="0" w:color="ADD6EA"/>
              <w:left w:val="nil"/>
              <w:bottom w:val="nil"/>
              <w:right w:val="nil"/>
            </w:tcBorders>
            <w:shd w:val="clear" w:color="auto" w:fill="auto"/>
            <w:noWrap/>
            <w:vAlign w:val="center"/>
            <w:hideMark/>
          </w:tcPr>
          <w:p w14:paraId="63EFA87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w:t>
            </w:r>
          </w:p>
        </w:tc>
        <w:tc>
          <w:tcPr>
            <w:tcW w:w="713" w:type="dxa"/>
            <w:tcBorders>
              <w:top w:val="single" w:sz="4" w:space="0" w:color="ADD6EA"/>
              <w:left w:val="nil"/>
              <w:bottom w:val="nil"/>
              <w:right w:val="nil"/>
            </w:tcBorders>
            <w:shd w:val="clear" w:color="auto" w:fill="auto"/>
            <w:noWrap/>
            <w:vAlign w:val="center"/>
            <w:hideMark/>
          </w:tcPr>
          <w:p w14:paraId="7C1E8F5B"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1,749</w:t>
            </w:r>
          </w:p>
        </w:tc>
      </w:tr>
      <w:tr w:rsidR="004F1C5F" w:rsidRPr="004F1C5F" w14:paraId="3D6E6193" w14:textId="77777777" w:rsidTr="00D16F76">
        <w:trPr>
          <w:trHeight w:val="315"/>
        </w:trPr>
        <w:tc>
          <w:tcPr>
            <w:tcW w:w="2692" w:type="dxa"/>
            <w:tcBorders>
              <w:top w:val="single" w:sz="4" w:space="0" w:color="ADD6EA"/>
              <w:left w:val="nil"/>
              <w:bottom w:val="nil"/>
              <w:right w:val="nil"/>
            </w:tcBorders>
            <w:shd w:val="clear" w:color="auto" w:fill="auto"/>
            <w:vAlign w:val="center"/>
            <w:hideMark/>
          </w:tcPr>
          <w:p w14:paraId="19C159F5"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Other revenue effects</w:t>
            </w:r>
          </w:p>
        </w:tc>
        <w:tc>
          <w:tcPr>
            <w:tcW w:w="693" w:type="dxa"/>
            <w:tcBorders>
              <w:top w:val="single" w:sz="4" w:space="0" w:color="ADD6EA"/>
              <w:left w:val="nil"/>
              <w:bottom w:val="nil"/>
              <w:right w:val="nil"/>
            </w:tcBorders>
            <w:shd w:val="clear" w:color="auto" w:fill="auto"/>
            <w:noWrap/>
            <w:vAlign w:val="center"/>
            <w:hideMark/>
          </w:tcPr>
          <w:p w14:paraId="29A4D37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93</w:t>
            </w:r>
          </w:p>
        </w:tc>
        <w:tc>
          <w:tcPr>
            <w:tcW w:w="693" w:type="dxa"/>
            <w:tcBorders>
              <w:top w:val="single" w:sz="4" w:space="0" w:color="ADD6EA"/>
              <w:left w:val="nil"/>
              <w:bottom w:val="nil"/>
              <w:right w:val="nil"/>
            </w:tcBorders>
            <w:shd w:val="clear" w:color="auto" w:fill="auto"/>
            <w:noWrap/>
            <w:vAlign w:val="center"/>
            <w:hideMark/>
          </w:tcPr>
          <w:p w14:paraId="335220D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114</w:t>
            </w:r>
          </w:p>
        </w:tc>
        <w:tc>
          <w:tcPr>
            <w:tcW w:w="693" w:type="dxa"/>
            <w:tcBorders>
              <w:top w:val="single" w:sz="4" w:space="0" w:color="ADD6EA"/>
              <w:left w:val="nil"/>
              <w:bottom w:val="nil"/>
              <w:right w:val="nil"/>
            </w:tcBorders>
            <w:shd w:val="clear" w:color="auto" w:fill="auto"/>
            <w:noWrap/>
            <w:vAlign w:val="center"/>
            <w:hideMark/>
          </w:tcPr>
          <w:p w14:paraId="70C22441"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-71</w:t>
            </w:r>
          </w:p>
        </w:tc>
        <w:tc>
          <w:tcPr>
            <w:tcW w:w="838" w:type="dxa"/>
            <w:tcBorders>
              <w:top w:val="single" w:sz="4" w:space="0" w:color="ADD6EA"/>
              <w:left w:val="nil"/>
              <w:bottom w:val="nil"/>
              <w:right w:val="nil"/>
            </w:tcBorders>
            <w:shd w:val="clear" w:color="auto" w:fill="auto"/>
            <w:noWrap/>
            <w:vAlign w:val="center"/>
            <w:hideMark/>
          </w:tcPr>
          <w:p w14:paraId="62F5B72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-57</w:t>
            </w:r>
          </w:p>
        </w:tc>
        <w:tc>
          <w:tcPr>
            <w:tcW w:w="734" w:type="dxa"/>
            <w:tcBorders>
              <w:top w:val="single" w:sz="4" w:space="0" w:color="ADD6EA"/>
              <w:left w:val="nil"/>
              <w:bottom w:val="nil"/>
              <w:right w:val="nil"/>
            </w:tcBorders>
            <w:shd w:val="clear" w:color="auto" w:fill="auto"/>
            <w:noWrap/>
            <w:vAlign w:val="center"/>
            <w:hideMark/>
          </w:tcPr>
          <w:p w14:paraId="077FBEB7"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-150</w:t>
            </w:r>
          </w:p>
        </w:tc>
        <w:tc>
          <w:tcPr>
            <w:tcW w:w="745" w:type="dxa"/>
            <w:tcBorders>
              <w:top w:val="single" w:sz="4" w:space="0" w:color="ADD6EA"/>
              <w:left w:val="nil"/>
              <w:bottom w:val="nil"/>
              <w:right w:val="nil"/>
            </w:tcBorders>
            <w:shd w:val="clear" w:color="auto" w:fill="auto"/>
            <w:noWrap/>
            <w:vAlign w:val="center"/>
            <w:hideMark/>
          </w:tcPr>
          <w:p w14:paraId="4AC435C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w:t>
            </w:r>
          </w:p>
        </w:tc>
        <w:tc>
          <w:tcPr>
            <w:tcW w:w="570" w:type="dxa"/>
            <w:tcBorders>
              <w:top w:val="single" w:sz="4" w:space="0" w:color="ADD6EA"/>
              <w:left w:val="nil"/>
              <w:bottom w:val="nil"/>
              <w:right w:val="nil"/>
            </w:tcBorders>
            <w:shd w:val="clear" w:color="auto" w:fill="auto"/>
            <w:noWrap/>
            <w:vAlign w:val="center"/>
            <w:hideMark/>
          </w:tcPr>
          <w:p w14:paraId="644F7E6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58</w:t>
            </w:r>
          </w:p>
        </w:tc>
        <w:tc>
          <w:tcPr>
            <w:tcW w:w="693" w:type="dxa"/>
            <w:tcBorders>
              <w:top w:val="single" w:sz="4" w:space="0" w:color="ADD6EA"/>
              <w:left w:val="nil"/>
              <w:bottom w:val="nil"/>
              <w:right w:val="nil"/>
            </w:tcBorders>
            <w:shd w:val="clear" w:color="auto" w:fill="auto"/>
            <w:noWrap/>
            <w:vAlign w:val="center"/>
            <w:hideMark/>
          </w:tcPr>
          <w:p w14:paraId="58B0822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15</w:t>
            </w:r>
          </w:p>
        </w:tc>
        <w:tc>
          <w:tcPr>
            <w:tcW w:w="713" w:type="dxa"/>
            <w:tcBorders>
              <w:top w:val="single" w:sz="4" w:space="0" w:color="ADD6EA"/>
              <w:left w:val="nil"/>
              <w:bottom w:val="nil"/>
              <w:right w:val="nil"/>
            </w:tcBorders>
            <w:shd w:val="clear" w:color="auto" w:fill="auto"/>
            <w:noWrap/>
            <w:vAlign w:val="center"/>
            <w:hideMark/>
          </w:tcPr>
          <w:p w14:paraId="067E7C2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280</w:t>
            </w:r>
          </w:p>
        </w:tc>
      </w:tr>
      <w:tr w:rsidR="004F1C5F" w:rsidRPr="004F1C5F" w14:paraId="78577B3C" w14:textId="77777777" w:rsidTr="00D16F76">
        <w:trPr>
          <w:trHeight w:val="315"/>
        </w:trPr>
        <w:tc>
          <w:tcPr>
            <w:tcW w:w="2692" w:type="dxa"/>
            <w:tcBorders>
              <w:top w:val="single" w:sz="4" w:space="0" w:color="ADD6EA"/>
              <w:left w:val="nil"/>
              <w:bottom w:val="single" w:sz="4" w:space="0" w:color="ADD6EA"/>
              <w:right w:val="nil"/>
            </w:tcBorders>
            <w:shd w:val="clear" w:color="000000" w:fill="B6D5E4"/>
            <w:vAlign w:val="center"/>
            <w:hideMark/>
          </w:tcPr>
          <w:p w14:paraId="4EA22A14" w14:textId="77777777" w:rsidR="004F1C5F" w:rsidRPr="004F1C5F" w:rsidRDefault="004F1C5F" w:rsidP="004F1C5F">
            <w:pPr>
              <w:tabs>
                <w:tab w:val="clear" w:pos="567"/>
              </w:tabs>
              <w:spacing w:before="0" w:line="240" w:lineRule="auto"/>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TOTAL REVENUE</w:t>
            </w:r>
          </w:p>
        </w:tc>
        <w:tc>
          <w:tcPr>
            <w:tcW w:w="693" w:type="dxa"/>
            <w:tcBorders>
              <w:top w:val="single" w:sz="4" w:space="0" w:color="ADD6EA"/>
              <w:left w:val="nil"/>
              <w:bottom w:val="single" w:sz="4" w:space="0" w:color="ADD6EA"/>
              <w:right w:val="nil"/>
            </w:tcBorders>
            <w:shd w:val="clear" w:color="000000" w:fill="B6D5E4"/>
            <w:noWrap/>
            <w:vAlign w:val="center"/>
            <w:hideMark/>
          </w:tcPr>
          <w:p w14:paraId="3E352DC3"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-1,335</w:t>
            </w:r>
          </w:p>
        </w:tc>
        <w:tc>
          <w:tcPr>
            <w:tcW w:w="693" w:type="dxa"/>
            <w:tcBorders>
              <w:top w:val="single" w:sz="4" w:space="0" w:color="ADD6EA"/>
              <w:left w:val="nil"/>
              <w:bottom w:val="single" w:sz="4" w:space="0" w:color="ADD6EA"/>
              <w:right w:val="nil"/>
            </w:tcBorders>
            <w:shd w:val="clear" w:color="000000" w:fill="B6D5E4"/>
            <w:noWrap/>
            <w:vAlign w:val="center"/>
            <w:hideMark/>
          </w:tcPr>
          <w:p w14:paraId="19296C48"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6,751</w:t>
            </w:r>
          </w:p>
        </w:tc>
        <w:tc>
          <w:tcPr>
            <w:tcW w:w="693" w:type="dxa"/>
            <w:tcBorders>
              <w:top w:val="single" w:sz="4" w:space="0" w:color="ADD6EA"/>
              <w:left w:val="nil"/>
              <w:bottom w:val="single" w:sz="4" w:space="0" w:color="ADD6EA"/>
              <w:right w:val="nil"/>
            </w:tcBorders>
            <w:shd w:val="clear" w:color="000000" w:fill="B6D5E4"/>
            <w:noWrap/>
            <w:vAlign w:val="center"/>
            <w:hideMark/>
          </w:tcPr>
          <w:p w14:paraId="652BC2D9"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-112</w:t>
            </w:r>
          </w:p>
        </w:tc>
        <w:tc>
          <w:tcPr>
            <w:tcW w:w="838" w:type="dxa"/>
            <w:tcBorders>
              <w:top w:val="single" w:sz="4" w:space="0" w:color="ADD6EA"/>
              <w:left w:val="nil"/>
              <w:bottom w:val="single" w:sz="4" w:space="0" w:color="ADD6EA"/>
              <w:right w:val="nil"/>
            </w:tcBorders>
            <w:shd w:val="clear" w:color="000000" w:fill="B6D5E4"/>
            <w:noWrap/>
            <w:vAlign w:val="center"/>
            <w:hideMark/>
          </w:tcPr>
          <w:p w14:paraId="5ADEDD9D"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-11,150</w:t>
            </w:r>
          </w:p>
        </w:tc>
        <w:tc>
          <w:tcPr>
            <w:tcW w:w="734" w:type="dxa"/>
            <w:tcBorders>
              <w:top w:val="single" w:sz="4" w:space="0" w:color="ADD6EA"/>
              <w:left w:val="nil"/>
              <w:bottom w:val="single" w:sz="4" w:space="0" w:color="ADD6EA"/>
              <w:right w:val="nil"/>
            </w:tcBorders>
            <w:shd w:val="clear" w:color="000000" w:fill="B6D5E4"/>
            <w:noWrap/>
            <w:vAlign w:val="center"/>
            <w:hideMark/>
          </w:tcPr>
          <w:p w14:paraId="32E8C79F"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3,515</w:t>
            </w:r>
          </w:p>
        </w:tc>
        <w:tc>
          <w:tcPr>
            <w:tcW w:w="745" w:type="dxa"/>
            <w:tcBorders>
              <w:top w:val="single" w:sz="4" w:space="0" w:color="ADD6EA"/>
              <w:left w:val="nil"/>
              <w:bottom w:val="single" w:sz="4" w:space="0" w:color="ADD6EA"/>
              <w:right w:val="nil"/>
            </w:tcBorders>
            <w:shd w:val="clear" w:color="000000" w:fill="B6D5E4"/>
            <w:noWrap/>
            <w:vAlign w:val="center"/>
            <w:hideMark/>
          </w:tcPr>
          <w:p w14:paraId="273EF4B5"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1,283</w:t>
            </w:r>
          </w:p>
        </w:tc>
        <w:tc>
          <w:tcPr>
            <w:tcW w:w="570" w:type="dxa"/>
            <w:tcBorders>
              <w:top w:val="single" w:sz="4" w:space="0" w:color="ADD6EA"/>
              <w:left w:val="nil"/>
              <w:bottom w:val="single" w:sz="4" w:space="0" w:color="ADD6EA"/>
              <w:right w:val="nil"/>
            </w:tcBorders>
            <w:shd w:val="clear" w:color="000000" w:fill="B6D5E4"/>
            <w:noWrap/>
            <w:vAlign w:val="center"/>
            <w:hideMark/>
          </w:tcPr>
          <w:p w14:paraId="353E8458"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776</w:t>
            </w:r>
          </w:p>
        </w:tc>
        <w:tc>
          <w:tcPr>
            <w:tcW w:w="693" w:type="dxa"/>
            <w:tcBorders>
              <w:top w:val="single" w:sz="4" w:space="0" w:color="ADD6EA"/>
              <w:left w:val="nil"/>
              <w:bottom w:val="single" w:sz="4" w:space="0" w:color="ADD6EA"/>
              <w:right w:val="nil"/>
            </w:tcBorders>
            <w:shd w:val="clear" w:color="000000" w:fill="B6D5E4"/>
            <w:noWrap/>
            <w:vAlign w:val="center"/>
            <w:hideMark/>
          </w:tcPr>
          <w:p w14:paraId="3A67ED79"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271</w:t>
            </w:r>
          </w:p>
        </w:tc>
        <w:tc>
          <w:tcPr>
            <w:tcW w:w="713" w:type="dxa"/>
            <w:tcBorders>
              <w:top w:val="single" w:sz="4" w:space="0" w:color="ADD6EA"/>
              <w:left w:val="nil"/>
              <w:bottom w:val="single" w:sz="4" w:space="0" w:color="ADD6EA"/>
              <w:right w:val="nil"/>
            </w:tcBorders>
            <w:shd w:val="clear" w:color="000000" w:fill="B6D5E4"/>
            <w:noWrap/>
            <w:vAlign w:val="center"/>
            <w:hideMark/>
          </w:tcPr>
          <w:p w14:paraId="400E1C10"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12,597</w:t>
            </w:r>
          </w:p>
        </w:tc>
      </w:tr>
      <w:tr w:rsidR="004F1C5F" w:rsidRPr="004F1C5F" w14:paraId="0A3C026F" w14:textId="77777777" w:rsidTr="00D16F76">
        <w:trPr>
          <w:trHeight w:val="315"/>
        </w:trPr>
        <w:tc>
          <w:tcPr>
            <w:tcW w:w="2692" w:type="dxa"/>
            <w:tcBorders>
              <w:top w:val="nil"/>
              <w:left w:val="nil"/>
              <w:bottom w:val="nil"/>
              <w:right w:val="nil"/>
            </w:tcBorders>
            <w:shd w:val="clear" w:color="auto" w:fill="auto"/>
            <w:vAlign w:val="center"/>
            <w:hideMark/>
          </w:tcPr>
          <w:p w14:paraId="4F1F9C70" w14:textId="77777777" w:rsidR="004F1C5F" w:rsidRPr="004F1C5F" w:rsidRDefault="004F1C5F" w:rsidP="004F1C5F">
            <w:pPr>
              <w:tabs>
                <w:tab w:val="clear" w:pos="567"/>
              </w:tabs>
              <w:spacing w:before="0" w:line="240" w:lineRule="auto"/>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COMMONWEALTH PAYMENTS</w:t>
            </w:r>
          </w:p>
        </w:tc>
        <w:tc>
          <w:tcPr>
            <w:tcW w:w="693" w:type="dxa"/>
            <w:tcBorders>
              <w:top w:val="nil"/>
              <w:left w:val="nil"/>
              <w:bottom w:val="nil"/>
              <w:right w:val="nil"/>
            </w:tcBorders>
            <w:shd w:val="clear" w:color="auto" w:fill="auto"/>
            <w:noWrap/>
            <w:vAlign w:val="center"/>
            <w:hideMark/>
          </w:tcPr>
          <w:p w14:paraId="0AC1676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685</w:t>
            </w:r>
          </w:p>
        </w:tc>
        <w:tc>
          <w:tcPr>
            <w:tcW w:w="693" w:type="dxa"/>
            <w:tcBorders>
              <w:top w:val="nil"/>
              <w:left w:val="nil"/>
              <w:bottom w:val="nil"/>
              <w:right w:val="nil"/>
            </w:tcBorders>
            <w:shd w:val="clear" w:color="auto" w:fill="auto"/>
            <w:noWrap/>
            <w:vAlign w:val="center"/>
            <w:hideMark/>
          </w:tcPr>
          <w:p w14:paraId="38A8B7C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1,400</w:t>
            </w:r>
          </w:p>
        </w:tc>
        <w:tc>
          <w:tcPr>
            <w:tcW w:w="693" w:type="dxa"/>
            <w:tcBorders>
              <w:top w:val="nil"/>
              <w:left w:val="nil"/>
              <w:bottom w:val="nil"/>
              <w:right w:val="nil"/>
            </w:tcBorders>
            <w:shd w:val="clear" w:color="auto" w:fill="auto"/>
            <w:noWrap/>
            <w:vAlign w:val="center"/>
            <w:hideMark/>
          </w:tcPr>
          <w:p w14:paraId="3B9F339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-1,310</w:t>
            </w:r>
          </w:p>
        </w:tc>
        <w:tc>
          <w:tcPr>
            <w:tcW w:w="838" w:type="dxa"/>
            <w:tcBorders>
              <w:top w:val="nil"/>
              <w:left w:val="nil"/>
              <w:bottom w:val="nil"/>
              <w:right w:val="nil"/>
            </w:tcBorders>
            <w:shd w:val="clear" w:color="auto" w:fill="auto"/>
            <w:noWrap/>
            <w:vAlign w:val="center"/>
            <w:hideMark/>
          </w:tcPr>
          <w:p w14:paraId="658A3F8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-344</w:t>
            </w:r>
          </w:p>
        </w:tc>
        <w:tc>
          <w:tcPr>
            <w:tcW w:w="734" w:type="dxa"/>
            <w:tcBorders>
              <w:top w:val="nil"/>
              <w:left w:val="nil"/>
              <w:bottom w:val="nil"/>
              <w:right w:val="nil"/>
            </w:tcBorders>
            <w:shd w:val="clear" w:color="auto" w:fill="auto"/>
            <w:noWrap/>
            <w:vAlign w:val="center"/>
            <w:hideMark/>
          </w:tcPr>
          <w:p w14:paraId="03B50A6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52</w:t>
            </w:r>
          </w:p>
        </w:tc>
        <w:tc>
          <w:tcPr>
            <w:tcW w:w="745" w:type="dxa"/>
            <w:tcBorders>
              <w:top w:val="nil"/>
              <w:left w:val="nil"/>
              <w:bottom w:val="nil"/>
              <w:right w:val="nil"/>
            </w:tcBorders>
            <w:shd w:val="clear" w:color="auto" w:fill="auto"/>
            <w:noWrap/>
            <w:vAlign w:val="center"/>
            <w:hideMark/>
          </w:tcPr>
          <w:p w14:paraId="535D90E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-116</w:t>
            </w:r>
          </w:p>
        </w:tc>
        <w:tc>
          <w:tcPr>
            <w:tcW w:w="570" w:type="dxa"/>
            <w:tcBorders>
              <w:top w:val="nil"/>
              <w:left w:val="nil"/>
              <w:bottom w:val="nil"/>
              <w:right w:val="nil"/>
            </w:tcBorders>
            <w:shd w:val="clear" w:color="auto" w:fill="auto"/>
            <w:noWrap/>
            <w:vAlign w:val="center"/>
            <w:hideMark/>
          </w:tcPr>
          <w:p w14:paraId="478D96B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154</w:t>
            </w:r>
          </w:p>
        </w:tc>
        <w:tc>
          <w:tcPr>
            <w:tcW w:w="693" w:type="dxa"/>
            <w:tcBorders>
              <w:top w:val="nil"/>
              <w:left w:val="nil"/>
              <w:bottom w:val="nil"/>
              <w:right w:val="nil"/>
            </w:tcBorders>
            <w:shd w:val="clear" w:color="auto" w:fill="auto"/>
            <w:noWrap/>
            <w:vAlign w:val="center"/>
            <w:hideMark/>
          </w:tcPr>
          <w:p w14:paraId="1DDB89F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-521</w:t>
            </w:r>
          </w:p>
        </w:tc>
        <w:tc>
          <w:tcPr>
            <w:tcW w:w="713" w:type="dxa"/>
            <w:tcBorders>
              <w:top w:val="nil"/>
              <w:left w:val="nil"/>
              <w:bottom w:val="nil"/>
              <w:right w:val="nil"/>
            </w:tcBorders>
            <w:shd w:val="clear" w:color="auto" w:fill="auto"/>
            <w:noWrap/>
            <w:vAlign w:val="center"/>
            <w:hideMark/>
          </w:tcPr>
          <w:p w14:paraId="0A48143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2,291</w:t>
            </w:r>
          </w:p>
        </w:tc>
      </w:tr>
      <w:tr w:rsidR="004F1C5F" w:rsidRPr="004F1C5F" w14:paraId="7169B558" w14:textId="77777777" w:rsidTr="00D16F76">
        <w:trPr>
          <w:trHeight w:val="315"/>
        </w:trPr>
        <w:tc>
          <w:tcPr>
            <w:tcW w:w="2692" w:type="dxa"/>
            <w:tcBorders>
              <w:top w:val="single" w:sz="4" w:space="0" w:color="ADD6EA"/>
              <w:left w:val="nil"/>
              <w:bottom w:val="nil"/>
              <w:right w:val="nil"/>
            </w:tcBorders>
            <w:shd w:val="clear" w:color="auto" w:fill="auto"/>
            <w:vAlign w:val="center"/>
            <w:hideMark/>
          </w:tcPr>
          <w:p w14:paraId="3B36133F" w14:textId="77777777" w:rsidR="004F1C5F" w:rsidRPr="004F1C5F" w:rsidRDefault="004F1C5F" w:rsidP="004F1C5F">
            <w:pPr>
              <w:tabs>
                <w:tab w:val="clear" w:pos="567"/>
              </w:tabs>
              <w:spacing w:before="0" w:line="240" w:lineRule="auto"/>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EXPENSE NEEDS</w:t>
            </w:r>
          </w:p>
        </w:tc>
        <w:tc>
          <w:tcPr>
            <w:tcW w:w="693" w:type="dxa"/>
            <w:tcBorders>
              <w:top w:val="single" w:sz="4" w:space="0" w:color="ADD6EA"/>
              <w:left w:val="nil"/>
              <w:bottom w:val="nil"/>
              <w:right w:val="nil"/>
            </w:tcBorders>
            <w:shd w:val="clear" w:color="auto" w:fill="auto"/>
            <w:noWrap/>
            <w:vAlign w:val="center"/>
            <w:hideMark/>
          </w:tcPr>
          <w:p w14:paraId="248D373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693" w:type="dxa"/>
            <w:tcBorders>
              <w:top w:val="single" w:sz="4" w:space="0" w:color="ADD6EA"/>
              <w:left w:val="nil"/>
              <w:bottom w:val="nil"/>
              <w:right w:val="nil"/>
            </w:tcBorders>
            <w:shd w:val="clear" w:color="auto" w:fill="auto"/>
            <w:noWrap/>
            <w:vAlign w:val="center"/>
            <w:hideMark/>
          </w:tcPr>
          <w:p w14:paraId="588B54C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693" w:type="dxa"/>
            <w:tcBorders>
              <w:top w:val="single" w:sz="4" w:space="0" w:color="ADD6EA"/>
              <w:left w:val="nil"/>
              <w:bottom w:val="nil"/>
              <w:right w:val="nil"/>
            </w:tcBorders>
            <w:shd w:val="clear" w:color="auto" w:fill="auto"/>
            <w:noWrap/>
            <w:vAlign w:val="center"/>
            <w:hideMark/>
          </w:tcPr>
          <w:p w14:paraId="74411BE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838" w:type="dxa"/>
            <w:tcBorders>
              <w:top w:val="single" w:sz="4" w:space="0" w:color="ADD6EA"/>
              <w:left w:val="nil"/>
              <w:bottom w:val="nil"/>
              <w:right w:val="nil"/>
            </w:tcBorders>
            <w:shd w:val="clear" w:color="auto" w:fill="auto"/>
            <w:noWrap/>
            <w:vAlign w:val="center"/>
            <w:hideMark/>
          </w:tcPr>
          <w:p w14:paraId="00D9630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734" w:type="dxa"/>
            <w:tcBorders>
              <w:top w:val="single" w:sz="4" w:space="0" w:color="ADD6EA"/>
              <w:left w:val="nil"/>
              <w:bottom w:val="nil"/>
              <w:right w:val="nil"/>
            </w:tcBorders>
            <w:shd w:val="clear" w:color="auto" w:fill="auto"/>
            <w:noWrap/>
            <w:vAlign w:val="center"/>
            <w:hideMark/>
          </w:tcPr>
          <w:p w14:paraId="2EB9279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745" w:type="dxa"/>
            <w:tcBorders>
              <w:top w:val="single" w:sz="4" w:space="0" w:color="ADD6EA"/>
              <w:left w:val="nil"/>
              <w:bottom w:val="nil"/>
              <w:right w:val="nil"/>
            </w:tcBorders>
            <w:shd w:val="clear" w:color="auto" w:fill="auto"/>
            <w:noWrap/>
            <w:vAlign w:val="center"/>
            <w:hideMark/>
          </w:tcPr>
          <w:p w14:paraId="102F8A3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570" w:type="dxa"/>
            <w:tcBorders>
              <w:top w:val="single" w:sz="4" w:space="0" w:color="ADD6EA"/>
              <w:left w:val="nil"/>
              <w:bottom w:val="nil"/>
              <w:right w:val="nil"/>
            </w:tcBorders>
            <w:shd w:val="clear" w:color="auto" w:fill="auto"/>
            <w:noWrap/>
            <w:vAlign w:val="center"/>
            <w:hideMark/>
          </w:tcPr>
          <w:p w14:paraId="0AD7441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693" w:type="dxa"/>
            <w:tcBorders>
              <w:top w:val="single" w:sz="4" w:space="0" w:color="ADD6EA"/>
              <w:left w:val="nil"/>
              <w:bottom w:val="nil"/>
              <w:right w:val="nil"/>
            </w:tcBorders>
            <w:shd w:val="clear" w:color="auto" w:fill="auto"/>
            <w:noWrap/>
            <w:vAlign w:val="center"/>
            <w:hideMark/>
          </w:tcPr>
          <w:p w14:paraId="7F5B836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713" w:type="dxa"/>
            <w:tcBorders>
              <w:top w:val="single" w:sz="4" w:space="0" w:color="ADD6EA"/>
              <w:left w:val="nil"/>
              <w:bottom w:val="nil"/>
              <w:right w:val="nil"/>
            </w:tcBorders>
            <w:shd w:val="clear" w:color="auto" w:fill="auto"/>
            <w:noWrap/>
            <w:vAlign w:val="center"/>
            <w:hideMark/>
          </w:tcPr>
          <w:p w14:paraId="74CCD73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r>
      <w:tr w:rsidR="004F1C5F" w:rsidRPr="004F1C5F" w14:paraId="3B530150" w14:textId="77777777" w:rsidTr="00D16F76">
        <w:trPr>
          <w:trHeight w:val="315"/>
        </w:trPr>
        <w:tc>
          <w:tcPr>
            <w:tcW w:w="5609" w:type="dxa"/>
            <w:gridSpan w:val="5"/>
            <w:tcBorders>
              <w:top w:val="single" w:sz="4" w:space="0" w:color="ADD6EA"/>
              <w:left w:val="nil"/>
              <w:bottom w:val="single" w:sz="4" w:space="0" w:color="ADD6EA"/>
              <w:right w:val="nil"/>
            </w:tcBorders>
            <w:shd w:val="clear" w:color="auto" w:fill="auto"/>
            <w:vAlign w:val="center"/>
            <w:hideMark/>
          </w:tcPr>
          <w:p w14:paraId="7F5ED2BF"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Socio-demographic composition (SDC)</w:t>
            </w:r>
          </w:p>
        </w:tc>
        <w:tc>
          <w:tcPr>
            <w:tcW w:w="734" w:type="dxa"/>
            <w:tcBorders>
              <w:top w:val="single" w:sz="4" w:space="0" w:color="ADD6EA"/>
              <w:left w:val="nil"/>
              <w:bottom w:val="nil"/>
              <w:right w:val="nil"/>
            </w:tcBorders>
            <w:shd w:val="clear" w:color="auto" w:fill="auto"/>
            <w:vAlign w:val="bottom"/>
            <w:hideMark/>
          </w:tcPr>
          <w:p w14:paraId="73C7EB3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745" w:type="dxa"/>
            <w:tcBorders>
              <w:top w:val="single" w:sz="4" w:space="0" w:color="ADD6EA"/>
              <w:left w:val="nil"/>
              <w:bottom w:val="nil"/>
              <w:right w:val="nil"/>
            </w:tcBorders>
            <w:shd w:val="clear" w:color="auto" w:fill="auto"/>
            <w:vAlign w:val="bottom"/>
            <w:hideMark/>
          </w:tcPr>
          <w:p w14:paraId="579854C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570" w:type="dxa"/>
            <w:tcBorders>
              <w:top w:val="single" w:sz="4" w:space="0" w:color="ADD6EA"/>
              <w:left w:val="nil"/>
              <w:bottom w:val="nil"/>
              <w:right w:val="nil"/>
            </w:tcBorders>
            <w:shd w:val="clear" w:color="auto" w:fill="auto"/>
            <w:vAlign w:val="bottom"/>
            <w:hideMark/>
          </w:tcPr>
          <w:p w14:paraId="09F868F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693" w:type="dxa"/>
            <w:tcBorders>
              <w:top w:val="single" w:sz="4" w:space="0" w:color="ADD6EA"/>
              <w:left w:val="nil"/>
              <w:bottom w:val="nil"/>
              <w:right w:val="nil"/>
            </w:tcBorders>
            <w:shd w:val="clear" w:color="auto" w:fill="auto"/>
            <w:vAlign w:val="bottom"/>
            <w:hideMark/>
          </w:tcPr>
          <w:p w14:paraId="19DFF1C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c>
          <w:tcPr>
            <w:tcW w:w="713" w:type="dxa"/>
            <w:tcBorders>
              <w:top w:val="single" w:sz="4" w:space="0" w:color="ADD6EA"/>
              <w:left w:val="nil"/>
              <w:bottom w:val="nil"/>
              <w:right w:val="nil"/>
            </w:tcBorders>
            <w:shd w:val="clear" w:color="auto" w:fill="auto"/>
            <w:vAlign w:val="bottom"/>
            <w:hideMark/>
          </w:tcPr>
          <w:p w14:paraId="3F4B003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 </w:t>
            </w:r>
          </w:p>
        </w:tc>
      </w:tr>
      <w:tr w:rsidR="004F1C5F" w:rsidRPr="004F1C5F" w14:paraId="712B1A9E" w14:textId="77777777" w:rsidTr="00D16F76">
        <w:trPr>
          <w:trHeight w:val="315"/>
        </w:trPr>
        <w:tc>
          <w:tcPr>
            <w:tcW w:w="2692" w:type="dxa"/>
            <w:tcBorders>
              <w:top w:val="nil"/>
              <w:left w:val="nil"/>
              <w:bottom w:val="nil"/>
              <w:right w:val="nil"/>
            </w:tcBorders>
            <w:shd w:val="clear" w:color="auto" w:fill="auto"/>
            <w:noWrap/>
            <w:vAlign w:val="center"/>
            <w:hideMark/>
          </w:tcPr>
          <w:p w14:paraId="7A6625A9" w14:textId="77777777" w:rsidR="004F1C5F" w:rsidRPr="004F1C5F" w:rsidRDefault="004F1C5F" w:rsidP="004F1C5F">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Population dispersion</w:t>
            </w:r>
          </w:p>
        </w:tc>
        <w:tc>
          <w:tcPr>
            <w:tcW w:w="693" w:type="dxa"/>
            <w:tcBorders>
              <w:top w:val="nil"/>
              <w:left w:val="nil"/>
              <w:bottom w:val="nil"/>
              <w:right w:val="nil"/>
            </w:tcBorders>
            <w:shd w:val="clear" w:color="auto" w:fill="auto"/>
            <w:noWrap/>
            <w:vAlign w:val="center"/>
            <w:hideMark/>
          </w:tcPr>
          <w:p w14:paraId="3BBFCF2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-2,353</w:t>
            </w:r>
          </w:p>
        </w:tc>
        <w:tc>
          <w:tcPr>
            <w:tcW w:w="693" w:type="dxa"/>
            <w:tcBorders>
              <w:top w:val="nil"/>
              <w:left w:val="nil"/>
              <w:bottom w:val="nil"/>
              <w:right w:val="nil"/>
            </w:tcBorders>
            <w:shd w:val="clear" w:color="auto" w:fill="auto"/>
            <w:noWrap/>
            <w:vAlign w:val="center"/>
            <w:hideMark/>
          </w:tcPr>
          <w:p w14:paraId="487B410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-1,875</w:t>
            </w:r>
          </w:p>
        </w:tc>
        <w:tc>
          <w:tcPr>
            <w:tcW w:w="693" w:type="dxa"/>
            <w:tcBorders>
              <w:top w:val="nil"/>
              <w:left w:val="nil"/>
              <w:bottom w:val="nil"/>
              <w:right w:val="nil"/>
            </w:tcBorders>
            <w:shd w:val="clear" w:color="auto" w:fill="auto"/>
            <w:noWrap/>
            <w:vAlign w:val="center"/>
            <w:hideMark/>
          </w:tcPr>
          <w:p w14:paraId="3B7A309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1,163</w:t>
            </w:r>
          </w:p>
        </w:tc>
        <w:tc>
          <w:tcPr>
            <w:tcW w:w="838" w:type="dxa"/>
            <w:tcBorders>
              <w:top w:val="nil"/>
              <w:left w:val="nil"/>
              <w:bottom w:val="nil"/>
              <w:right w:val="nil"/>
            </w:tcBorders>
            <w:shd w:val="clear" w:color="auto" w:fill="auto"/>
            <w:noWrap/>
            <w:vAlign w:val="center"/>
            <w:hideMark/>
          </w:tcPr>
          <w:p w14:paraId="59A6C72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781</w:t>
            </w:r>
          </w:p>
        </w:tc>
        <w:tc>
          <w:tcPr>
            <w:tcW w:w="734" w:type="dxa"/>
            <w:tcBorders>
              <w:top w:val="single" w:sz="4" w:space="0" w:color="ADD6EA"/>
              <w:left w:val="nil"/>
              <w:bottom w:val="nil"/>
              <w:right w:val="nil"/>
            </w:tcBorders>
            <w:shd w:val="clear" w:color="auto" w:fill="auto"/>
            <w:noWrap/>
            <w:vAlign w:val="center"/>
            <w:hideMark/>
          </w:tcPr>
          <w:p w14:paraId="6E33FDA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125</w:t>
            </w:r>
          </w:p>
        </w:tc>
        <w:tc>
          <w:tcPr>
            <w:tcW w:w="745" w:type="dxa"/>
            <w:tcBorders>
              <w:top w:val="single" w:sz="4" w:space="0" w:color="ADD6EA"/>
              <w:left w:val="nil"/>
              <w:bottom w:val="nil"/>
              <w:right w:val="nil"/>
            </w:tcBorders>
            <w:shd w:val="clear" w:color="auto" w:fill="auto"/>
            <w:noWrap/>
            <w:vAlign w:val="center"/>
            <w:hideMark/>
          </w:tcPr>
          <w:p w14:paraId="5B962C7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747</w:t>
            </w:r>
          </w:p>
        </w:tc>
        <w:tc>
          <w:tcPr>
            <w:tcW w:w="570" w:type="dxa"/>
            <w:tcBorders>
              <w:top w:val="single" w:sz="4" w:space="0" w:color="ADD6EA"/>
              <w:left w:val="nil"/>
              <w:bottom w:val="nil"/>
              <w:right w:val="nil"/>
            </w:tcBorders>
            <w:shd w:val="clear" w:color="auto" w:fill="auto"/>
            <w:noWrap/>
            <w:vAlign w:val="center"/>
            <w:hideMark/>
          </w:tcPr>
          <w:p w14:paraId="2B34610B"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-327</w:t>
            </w:r>
          </w:p>
        </w:tc>
        <w:tc>
          <w:tcPr>
            <w:tcW w:w="693" w:type="dxa"/>
            <w:tcBorders>
              <w:top w:val="single" w:sz="4" w:space="0" w:color="ADD6EA"/>
              <w:left w:val="nil"/>
              <w:bottom w:val="nil"/>
              <w:right w:val="nil"/>
            </w:tcBorders>
            <w:shd w:val="clear" w:color="auto" w:fill="auto"/>
            <w:noWrap/>
            <w:vAlign w:val="center"/>
            <w:hideMark/>
          </w:tcPr>
          <w:p w14:paraId="137BA2F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1,739</w:t>
            </w:r>
          </w:p>
        </w:tc>
        <w:tc>
          <w:tcPr>
            <w:tcW w:w="713" w:type="dxa"/>
            <w:tcBorders>
              <w:top w:val="single" w:sz="4" w:space="0" w:color="ADD6EA"/>
              <w:left w:val="nil"/>
              <w:bottom w:val="nil"/>
              <w:right w:val="nil"/>
            </w:tcBorders>
            <w:shd w:val="clear" w:color="auto" w:fill="auto"/>
            <w:noWrap/>
            <w:vAlign w:val="center"/>
            <w:hideMark/>
          </w:tcPr>
          <w:p w14:paraId="09287C0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4,556</w:t>
            </w:r>
          </w:p>
        </w:tc>
      </w:tr>
      <w:tr w:rsidR="004F1C5F" w:rsidRPr="004F1C5F" w14:paraId="766BFB35" w14:textId="77777777" w:rsidTr="00D16F76">
        <w:trPr>
          <w:trHeight w:val="315"/>
        </w:trPr>
        <w:tc>
          <w:tcPr>
            <w:tcW w:w="2692" w:type="dxa"/>
            <w:tcBorders>
              <w:top w:val="single" w:sz="4" w:space="0" w:color="ADD6EA"/>
              <w:left w:val="nil"/>
              <w:bottom w:val="nil"/>
              <w:right w:val="nil"/>
            </w:tcBorders>
            <w:shd w:val="clear" w:color="auto" w:fill="auto"/>
            <w:noWrap/>
            <w:vAlign w:val="center"/>
            <w:hideMark/>
          </w:tcPr>
          <w:p w14:paraId="1DA905D4" w14:textId="77777777" w:rsidR="004F1C5F" w:rsidRPr="004F1C5F" w:rsidRDefault="004F1C5F" w:rsidP="004F1C5F">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Indigenous status</w:t>
            </w:r>
          </w:p>
        </w:tc>
        <w:tc>
          <w:tcPr>
            <w:tcW w:w="693" w:type="dxa"/>
            <w:tcBorders>
              <w:top w:val="single" w:sz="4" w:space="0" w:color="ADD6EA"/>
              <w:left w:val="nil"/>
              <w:bottom w:val="nil"/>
              <w:right w:val="nil"/>
            </w:tcBorders>
            <w:shd w:val="clear" w:color="auto" w:fill="auto"/>
            <w:noWrap/>
            <w:vAlign w:val="center"/>
            <w:hideMark/>
          </w:tcPr>
          <w:p w14:paraId="7851552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344</w:t>
            </w:r>
          </w:p>
        </w:tc>
        <w:tc>
          <w:tcPr>
            <w:tcW w:w="693" w:type="dxa"/>
            <w:tcBorders>
              <w:top w:val="single" w:sz="4" w:space="0" w:color="ADD6EA"/>
              <w:left w:val="nil"/>
              <w:bottom w:val="nil"/>
              <w:right w:val="nil"/>
            </w:tcBorders>
            <w:shd w:val="clear" w:color="auto" w:fill="auto"/>
            <w:noWrap/>
            <w:vAlign w:val="center"/>
            <w:hideMark/>
          </w:tcPr>
          <w:p w14:paraId="633DA44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-2,534</w:t>
            </w:r>
          </w:p>
        </w:tc>
        <w:tc>
          <w:tcPr>
            <w:tcW w:w="693" w:type="dxa"/>
            <w:tcBorders>
              <w:top w:val="single" w:sz="4" w:space="0" w:color="ADD6EA"/>
              <w:left w:val="nil"/>
              <w:bottom w:val="nil"/>
              <w:right w:val="nil"/>
            </w:tcBorders>
            <w:shd w:val="clear" w:color="auto" w:fill="auto"/>
            <w:noWrap/>
            <w:vAlign w:val="center"/>
            <w:hideMark/>
          </w:tcPr>
          <w:p w14:paraId="4ED3CDE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1,095</w:t>
            </w:r>
          </w:p>
        </w:tc>
        <w:tc>
          <w:tcPr>
            <w:tcW w:w="838" w:type="dxa"/>
            <w:tcBorders>
              <w:top w:val="single" w:sz="4" w:space="0" w:color="ADD6EA"/>
              <w:left w:val="nil"/>
              <w:bottom w:val="nil"/>
              <w:right w:val="nil"/>
            </w:tcBorders>
            <w:shd w:val="clear" w:color="auto" w:fill="auto"/>
            <w:noWrap/>
            <w:vAlign w:val="center"/>
            <w:hideMark/>
          </w:tcPr>
          <w:p w14:paraId="2E8EBA6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236</w:t>
            </w:r>
          </w:p>
        </w:tc>
        <w:tc>
          <w:tcPr>
            <w:tcW w:w="734" w:type="dxa"/>
            <w:tcBorders>
              <w:top w:val="single" w:sz="4" w:space="0" w:color="ADD6EA"/>
              <w:left w:val="nil"/>
              <w:bottom w:val="nil"/>
              <w:right w:val="nil"/>
            </w:tcBorders>
            <w:shd w:val="clear" w:color="auto" w:fill="auto"/>
            <w:noWrap/>
            <w:vAlign w:val="center"/>
            <w:hideMark/>
          </w:tcPr>
          <w:p w14:paraId="349311E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-241</w:t>
            </w:r>
          </w:p>
        </w:tc>
        <w:tc>
          <w:tcPr>
            <w:tcW w:w="745" w:type="dxa"/>
            <w:tcBorders>
              <w:top w:val="single" w:sz="4" w:space="0" w:color="ADD6EA"/>
              <w:left w:val="nil"/>
              <w:bottom w:val="nil"/>
              <w:right w:val="nil"/>
            </w:tcBorders>
            <w:shd w:val="clear" w:color="auto" w:fill="auto"/>
            <w:noWrap/>
            <w:vAlign w:val="center"/>
            <w:hideMark/>
          </w:tcPr>
          <w:p w14:paraId="0922EC7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162</w:t>
            </w:r>
          </w:p>
        </w:tc>
        <w:tc>
          <w:tcPr>
            <w:tcW w:w="570" w:type="dxa"/>
            <w:tcBorders>
              <w:top w:val="single" w:sz="4" w:space="0" w:color="ADD6EA"/>
              <w:left w:val="nil"/>
              <w:bottom w:val="nil"/>
              <w:right w:val="nil"/>
            </w:tcBorders>
            <w:shd w:val="clear" w:color="auto" w:fill="auto"/>
            <w:noWrap/>
            <w:vAlign w:val="center"/>
            <w:hideMark/>
          </w:tcPr>
          <w:p w14:paraId="1BD65C6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-113</w:t>
            </w:r>
          </w:p>
        </w:tc>
        <w:tc>
          <w:tcPr>
            <w:tcW w:w="693" w:type="dxa"/>
            <w:tcBorders>
              <w:top w:val="single" w:sz="4" w:space="0" w:color="ADD6EA"/>
              <w:left w:val="nil"/>
              <w:bottom w:val="nil"/>
              <w:right w:val="nil"/>
            </w:tcBorders>
            <w:shd w:val="clear" w:color="auto" w:fill="auto"/>
            <w:noWrap/>
            <w:vAlign w:val="center"/>
            <w:hideMark/>
          </w:tcPr>
          <w:p w14:paraId="09A2FC9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1,052</w:t>
            </w:r>
          </w:p>
        </w:tc>
        <w:tc>
          <w:tcPr>
            <w:tcW w:w="713" w:type="dxa"/>
            <w:tcBorders>
              <w:top w:val="single" w:sz="4" w:space="0" w:color="ADD6EA"/>
              <w:left w:val="nil"/>
              <w:bottom w:val="nil"/>
              <w:right w:val="nil"/>
            </w:tcBorders>
            <w:shd w:val="clear" w:color="auto" w:fill="auto"/>
            <w:noWrap/>
            <w:vAlign w:val="center"/>
            <w:hideMark/>
          </w:tcPr>
          <w:p w14:paraId="4CBFD57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2,889</w:t>
            </w:r>
          </w:p>
        </w:tc>
      </w:tr>
      <w:tr w:rsidR="004F1C5F" w:rsidRPr="004F1C5F" w14:paraId="7EC9B51E" w14:textId="77777777" w:rsidTr="00D16F76">
        <w:trPr>
          <w:trHeight w:val="315"/>
        </w:trPr>
        <w:tc>
          <w:tcPr>
            <w:tcW w:w="2692" w:type="dxa"/>
            <w:tcBorders>
              <w:top w:val="single" w:sz="4" w:space="0" w:color="ADD6EA"/>
              <w:left w:val="nil"/>
              <w:bottom w:val="nil"/>
              <w:right w:val="nil"/>
            </w:tcBorders>
            <w:shd w:val="clear" w:color="auto" w:fill="auto"/>
            <w:vAlign w:val="center"/>
            <w:hideMark/>
          </w:tcPr>
          <w:p w14:paraId="27911212" w14:textId="77777777" w:rsidR="004F1C5F" w:rsidRPr="004F1C5F" w:rsidRDefault="004F1C5F" w:rsidP="004F1C5F">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Non-Indigenous disadvantage</w:t>
            </w:r>
          </w:p>
        </w:tc>
        <w:tc>
          <w:tcPr>
            <w:tcW w:w="693" w:type="dxa"/>
            <w:tcBorders>
              <w:top w:val="single" w:sz="4" w:space="0" w:color="ADD6EA"/>
              <w:left w:val="nil"/>
              <w:bottom w:val="nil"/>
              <w:right w:val="nil"/>
            </w:tcBorders>
            <w:shd w:val="clear" w:color="auto" w:fill="auto"/>
            <w:vAlign w:val="center"/>
            <w:hideMark/>
          </w:tcPr>
          <w:p w14:paraId="036F131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-112</w:t>
            </w:r>
          </w:p>
        </w:tc>
        <w:tc>
          <w:tcPr>
            <w:tcW w:w="693" w:type="dxa"/>
            <w:tcBorders>
              <w:top w:val="single" w:sz="4" w:space="0" w:color="ADD6EA"/>
              <w:left w:val="nil"/>
              <w:bottom w:val="nil"/>
              <w:right w:val="nil"/>
            </w:tcBorders>
            <w:shd w:val="clear" w:color="auto" w:fill="auto"/>
            <w:vAlign w:val="center"/>
            <w:hideMark/>
          </w:tcPr>
          <w:p w14:paraId="573BDE9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-324</w:t>
            </w:r>
          </w:p>
        </w:tc>
        <w:tc>
          <w:tcPr>
            <w:tcW w:w="693" w:type="dxa"/>
            <w:tcBorders>
              <w:top w:val="single" w:sz="4" w:space="0" w:color="ADD6EA"/>
              <w:left w:val="nil"/>
              <w:bottom w:val="nil"/>
              <w:right w:val="nil"/>
            </w:tcBorders>
            <w:shd w:val="clear" w:color="auto" w:fill="auto"/>
            <w:vAlign w:val="center"/>
            <w:hideMark/>
          </w:tcPr>
          <w:p w14:paraId="2ED788D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444</w:t>
            </w:r>
          </w:p>
        </w:tc>
        <w:tc>
          <w:tcPr>
            <w:tcW w:w="838" w:type="dxa"/>
            <w:tcBorders>
              <w:top w:val="single" w:sz="4" w:space="0" w:color="ADD6EA"/>
              <w:left w:val="nil"/>
              <w:bottom w:val="nil"/>
              <w:right w:val="nil"/>
            </w:tcBorders>
            <w:shd w:val="clear" w:color="auto" w:fill="auto"/>
            <w:vAlign w:val="center"/>
            <w:hideMark/>
          </w:tcPr>
          <w:p w14:paraId="1DA9AA9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-140</w:t>
            </w:r>
          </w:p>
        </w:tc>
        <w:tc>
          <w:tcPr>
            <w:tcW w:w="734" w:type="dxa"/>
            <w:tcBorders>
              <w:top w:val="single" w:sz="4" w:space="0" w:color="ADD6EA"/>
              <w:left w:val="nil"/>
              <w:bottom w:val="nil"/>
              <w:right w:val="nil"/>
            </w:tcBorders>
            <w:shd w:val="clear" w:color="auto" w:fill="auto"/>
            <w:vAlign w:val="center"/>
            <w:hideMark/>
          </w:tcPr>
          <w:p w14:paraId="110196A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406</w:t>
            </w:r>
          </w:p>
        </w:tc>
        <w:tc>
          <w:tcPr>
            <w:tcW w:w="745" w:type="dxa"/>
            <w:tcBorders>
              <w:top w:val="single" w:sz="4" w:space="0" w:color="ADD6EA"/>
              <w:left w:val="nil"/>
              <w:bottom w:val="nil"/>
              <w:right w:val="nil"/>
            </w:tcBorders>
            <w:shd w:val="clear" w:color="auto" w:fill="auto"/>
            <w:vAlign w:val="center"/>
            <w:hideMark/>
          </w:tcPr>
          <w:p w14:paraId="04FD68E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150</w:t>
            </w:r>
          </w:p>
        </w:tc>
        <w:tc>
          <w:tcPr>
            <w:tcW w:w="570" w:type="dxa"/>
            <w:tcBorders>
              <w:top w:val="single" w:sz="4" w:space="0" w:color="ADD6EA"/>
              <w:left w:val="nil"/>
              <w:bottom w:val="nil"/>
              <w:right w:val="nil"/>
            </w:tcBorders>
            <w:shd w:val="clear" w:color="auto" w:fill="auto"/>
            <w:vAlign w:val="center"/>
            <w:hideMark/>
          </w:tcPr>
          <w:p w14:paraId="08AF00E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-328</w:t>
            </w:r>
          </w:p>
        </w:tc>
        <w:tc>
          <w:tcPr>
            <w:tcW w:w="693" w:type="dxa"/>
            <w:tcBorders>
              <w:top w:val="single" w:sz="4" w:space="0" w:color="ADD6EA"/>
              <w:left w:val="nil"/>
              <w:bottom w:val="nil"/>
              <w:right w:val="nil"/>
            </w:tcBorders>
            <w:shd w:val="clear" w:color="auto" w:fill="auto"/>
            <w:vAlign w:val="center"/>
            <w:hideMark/>
          </w:tcPr>
          <w:p w14:paraId="3CC339B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-96</w:t>
            </w:r>
          </w:p>
        </w:tc>
        <w:tc>
          <w:tcPr>
            <w:tcW w:w="713" w:type="dxa"/>
            <w:tcBorders>
              <w:top w:val="single" w:sz="4" w:space="0" w:color="ADD6EA"/>
              <w:left w:val="nil"/>
              <w:bottom w:val="nil"/>
              <w:right w:val="nil"/>
            </w:tcBorders>
            <w:shd w:val="clear" w:color="auto" w:fill="auto"/>
            <w:vAlign w:val="center"/>
            <w:hideMark/>
          </w:tcPr>
          <w:p w14:paraId="288B305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1,000</w:t>
            </w:r>
          </w:p>
        </w:tc>
      </w:tr>
      <w:tr w:rsidR="004F1C5F" w:rsidRPr="004F1C5F" w14:paraId="4CA76D48" w14:textId="77777777" w:rsidTr="00D16F76">
        <w:trPr>
          <w:trHeight w:val="315"/>
        </w:trPr>
        <w:tc>
          <w:tcPr>
            <w:tcW w:w="2692" w:type="dxa"/>
            <w:tcBorders>
              <w:top w:val="single" w:sz="4" w:space="0" w:color="ADD6EA"/>
              <w:left w:val="nil"/>
              <w:bottom w:val="nil"/>
              <w:right w:val="nil"/>
            </w:tcBorders>
            <w:shd w:val="clear" w:color="auto" w:fill="auto"/>
            <w:noWrap/>
            <w:vAlign w:val="center"/>
            <w:hideMark/>
          </w:tcPr>
          <w:p w14:paraId="1B363F5B" w14:textId="77777777" w:rsidR="004F1C5F" w:rsidRPr="004F1C5F" w:rsidRDefault="004F1C5F" w:rsidP="004F1C5F">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Age</w:t>
            </w:r>
          </w:p>
        </w:tc>
        <w:tc>
          <w:tcPr>
            <w:tcW w:w="693" w:type="dxa"/>
            <w:tcBorders>
              <w:top w:val="single" w:sz="4" w:space="0" w:color="ADD6EA"/>
              <w:left w:val="nil"/>
              <w:bottom w:val="nil"/>
              <w:right w:val="nil"/>
            </w:tcBorders>
            <w:shd w:val="clear" w:color="auto" w:fill="auto"/>
            <w:noWrap/>
            <w:vAlign w:val="center"/>
            <w:hideMark/>
          </w:tcPr>
          <w:p w14:paraId="0B29387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285</w:t>
            </w:r>
          </w:p>
        </w:tc>
        <w:tc>
          <w:tcPr>
            <w:tcW w:w="693" w:type="dxa"/>
            <w:tcBorders>
              <w:top w:val="single" w:sz="4" w:space="0" w:color="ADD6EA"/>
              <w:left w:val="nil"/>
              <w:bottom w:val="nil"/>
              <w:right w:val="nil"/>
            </w:tcBorders>
            <w:shd w:val="clear" w:color="auto" w:fill="auto"/>
            <w:noWrap/>
            <w:vAlign w:val="center"/>
            <w:hideMark/>
          </w:tcPr>
          <w:p w14:paraId="4768D04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-126</w:t>
            </w:r>
          </w:p>
        </w:tc>
        <w:tc>
          <w:tcPr>
            <w:tcW w:w="693" w:type="dxa"/>
            <w:tcBorders>
              <w:top w:val="single" w:sz="4" w:space="0" w:color="ADD6EA"/>
              <w:left w:val="nil"/>
              <w:bottom w:val="nil"/>
              <w:right w:val="nil"/>
            </w:tcBorders>
            <w:shd w:val="clear" w:color="auto" w:fill="auto"/>
            <w:noWrap/>
            <w:vAlign w:val="center"/>
            <w:hideMark/>
          </w:tcPr>
          <w:p w14:paraId="1B0A13F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-199</w:t>
            </w:r>
          </w:p>
        </w:tc>
        <w:tc>
          <w:tcPr>
            <w:tcW w:w="838" w:type="dxa"/>
            <w:tcBorders>
              <w:top w:val="single" w:sz="4" w:space="0" w:color="ADD6EA"/>
              <w:left w:val="nil"/>
              <w:bottom w:val="nil"/>
              <w:right w:val="nil"/>
            </w:tcBorders>
            <w:shd w:val="clear" w:color="auto" w:fill="auto"/>
            <w:noWrap/>
            <w:vAlign w:val="center"/>
            <w:hideMark/>
          </w:tcPr>
          <w:p w14:paraId="6CAD006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-87</w:t>
            </w:r>
          </w:p>
        </w:tc>
        <w:tc>
          <w:tcPr>
            <w:tcW w:w="734" w:type="dxa"/>
            <w:tcBorders>
              <w:top w:val="single" w:sz="4" w:space="0" w:color="ADD6EA"/>
              <w:left w:val="nil"/>
              <w:bottom w:val="nil"/>
              <w:right w:val="nil"/>
            </w:tcBorders>
            <w:shd w:val="clear" w:color="auto" w:fill="auto"/>
            <w:noWrap/>
            <w:vAlign w:val="center"/>
            <w:hideMark/>
          </w:tcPr>
          <w:p w14:paraId="43F69F61"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257</w:t>
            </w:r>
          </w:p>
        </w:tc>
        <w:tc>
          <w:tcPr>
            <w:tcW w:w="745" w:type="dxa"/>
            <w:tcBorders>
              <w:top w:val="single" w:sz="4" w:space="0" w:color="ADD6EA"/>
              <w:left w:val="nil"/>
              <w:bottom w:val="nil"/>
              <w:right w:val="nil"/>
            </w:tcBorders>
            <w:shd w:val="clear" w:color="auto" w:fill="auto"/>
            <w:noWrap/>
            <w:vAlign w:val="center"/>
            <w:hideMark/>
          </w:tcPr>
          <w:p w14:paraId="674D2C3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-19</w:t>
            </w:r>
          </w:p>
        </w:tc>
        <w:tc>
          <w:tcPr>
            <w:tcW w:w="570" w:type="dxa"/>
            <w:tcBorders>
              <w:top w:val="single" w:sz="4" w:space="0" w:color="ADD6EA"/>
              <w:left w:val="nil"/>
              <w:bottom w:val="nil"/>
              <w:right w:val="nil"/>
            </w:tcBorders>
            <w:shd w:val="clear" w:color="auto" w:fill="auto"/>
            <w:noWrap/>
            <w:vAlign w:val="center"/>
            <w:hideMark/>
          </w:tcPr>
          <w:p w14:paraId="16A6545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-36</w:t>
            </w:r>
          </w:p>
        </w:tc>
        <w:tc>
          <w:tcPr>
            <w:tcW w:w="693" w:type="dxa"/>
            <w:tcBorders>
              <w:top w:val="single" w:sz="4" w:space="0" w:color="ADD6EA"/>
              <w:left w:val="nil"/>
              <w:bottom w:val="nil"/>
              <w:right w:val="nil"/>
            </w:tcBorders>
            <w:shd w:val="clear" w:color="auto" w:fill="auto"/>
            <w:noWrap/>
            <w:vAlign w:val="center"/>
            <w:hideMark/>
          </w:tcPr>
          <w:p w14:paraId="05FE219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-75</w:t>
            </w:r>
          </w:p>
        </w:tc>
        <w:tc>
          <w:tcPr>
            <w:tcW w:w="713" w:type="dxa"/>
            <w:tcBorders>
              <w:top w:val="single" w:sz="4" w:space="0" w:color="ADD6EA"/>
              <w:left w:val="nil"/>
              <w:bottom w:val="nil"/>
              <w:right w:val="nil"/>
            </w:tcBorders>
            <w:shd w:val="clear" w:color="auto" w:fill="auto"/>
            <w:noWrap/>
            <w:vAlign w:val="center"/>
            <w:hideMark/>
          </w:tcPr>
          <w:p w14:paraId="015C4A9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542</w:t>
            </w:r>
          </w:p>
        </w:tc>
      </w:tr>
      <w:tr w:rsidR="004F1C5F" w:rsidRPr="004F1C5F" w14:paraId="7F961C58" w14:textId="77777777" w:rsidTr="00D16F76">
        <w:trPr>
          <w:trHeight w:val="315"/>
        </w:trPr>
        <w:tc>
          <w:tcPr>
            <w:tcW w:w="2692" w:type="dxa"/>
            <w:tcBorders>
              <w:top w:val="single" w:sz="4" w:space="0" w:color="ADD6EA"/>
              <w:left w:val="nil"/>
              <w:bottom w:val="nil"/>
              <w:right w:val="nil"/>
            </w:tcBorders>
            <w:shd w:val="clear" w:color="auto" w:fill="auto"/>
            <w:vAlign w:val="center"/>
            <w:hideMark/>
          </w:tcPr>
          <w:p w14:paraId="4E1853D9" w14:textId="77777777" w:rsidR="004F1C5F" w:rsidRPr="004F1C5F" w:rsidRDefault="004F1C5F" w:rsidP="004F1C5F">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Other SDC</w:t>
            </w:r>
          </w:p>
        </w:tc>
        <w:tc>
          <w:tcPr>
            <w:tcW w:w="693" w:type="dxa"/>
            <w:tcBorders>
              <w:top w:val="single" w:sz="4" w:space="0" w:color="ADD6EA"/>
              <w:left w:val="nil"/>
              <w:bottom w:val="nil"/>
              <w:right w:val="nil"/>
            </w:tcBorders>
            <w:shd w:val="clear" w:color="auto" w:fill="auto"/>
            <w:noWrap/>
            <w:vAlign w:val="center"/>
            <w:hideMark/>
          </w:tcPr>
          <w:p w14:paraId="1655985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-64</w:t>
            </w:r>
          </w:p>
        </w:tc>
        <w:tc>
          <w:tcPr>
            <w:tcW w:w="693" w:type="dxa"/>
            <w:tcBorders>
              <w:top w:val="single" w:sz="4" w:space="0" w:color="ADD6EA"/>
              <w:left w:val="nil"/>
              <w:bottom w:val="nil"/>
              <w:right w:val="nil"/>
            </w:tcBorders>
            <w:shd w:val="clear" w:color="auto" w:fill="auto"/>
            <w:noWrap/>
            <w:vAlign w:val="center"/>
            <w:hideMark/>
          </w:tcPr>
          <w:p w14:paraId="6CC1A8F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-207</w:t>
            </w:r>
          </w:p>
        </w:tc>
        <w:tc>
          <w:tcPr>
            <w:tcW w:w="693" w:type="dxa"/>
            <w:tcBorders>
              <w:top w:val="single" w:sz="4" w:space="0" w:color="ADD6EA"/>
              <w:left w:val="nil"/>
              <w:bottom w:val="nil"/>
              <w:right w:val="nil"/>
            </w:tcBorders>
            <w:shd w:val="clear" w:color="auto" w:fill="auto"/>
            <w:noWrap/>
            <w:vAlign w:val="center"/>
            <w:hideMark/>
          </w:tcPr>
          <w:p w14:paraId="5C7B7BB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136</w:t>
            </w:r>
          </w:p>
        </w:tc>
        <w:tc>
          <w:tcPr>
            <w:tcW w:w="838" w:type="dxa"/>
            <w:tcBorders>
              <w:top w:val="single" w:sz="4" w:space="0" w:color="ADD6EA"/>
              <w:left w:val="nil"/>
              <w:bottom w:val="nil"/>
              <w:right w:val="nil"/>
            </w:tcBorders>
            <w:shd w:val="clear" w:color="auto" w:fill="auto"/>
            <w:noWrap/>
            <w:vAlign w:val="center"/>
            <w:hideMark/>
          </w:tcPr>
          <w:p w14:paraId="08453A9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45</w:t>
            </w:r>
          </w:p>
        </w:tc>
        <w:tc>
          <w:tcPr>
            <w:tcW w:w="734" w:type="dxa"/>
            <w:tcBorders>
              <w:top w:val="single" w:sz="4" w:space="0" w:color="ADD6EA"/>
              <w:left w:val="nil"/>
              <w:bottom w:val="nil"/>
              <w:right w:val="nil"/>
            </w:tcBorders>
            <w:shd w:val="clear" w:color="auto" w:fill="auto"/>
            <w:noWrap/>
            <w:vAlign w:val="center"/>
            <w:hideMark/>
          </w:tcPr>
          <w:p w14:paraId="62E5DEB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22</w:t>
            </w:r>
          </w:p>
        </w:tc>
        <w:tc>
          <w:tcPr>
            <w:tcW w:w="745" w:type="dxa"/>
            <w:tcBorders>
              <w:top w:val="single" w:sz="4" w:space="0" w:color="ADD6EA"/>
              <w:left w:val="nil"/>
              <w:bottom w:val="nil"/>
              <w:right w:val="nil"/>
            </w:tcBorders>
            <w:shd w:val="clear" w:color="auto" w:fill="auto"/>
            <w:noWrap/>
            <w:vAlign w:val="center"/>
            <w:hideMark/>
          </w:tcPr>
          <w:p w14:paraId="279EECB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-21</w:t>
            </w:r>
          </w:p>
        </w:tc>
        <w:tc>
          <w:tcPr>
            <w:tcW w:w="570" w:type="dxa"/>
            <w:tcBorders>
              <w:top w:val="single" w:sz="4" w:space="0" w:color="ADD6EA"/>
              <w:left w:val="nil"/>
              <w:bottom w:val="nil"/>
              <w:right w:val="nil"/>
            </w:tcBorders>
            <w:shd w:val="clear" w:color="auto" w:fill="auto"/>
            <w:noWrap/>
            <w:vAlign w:val="center"/>
            <w:hideMark/>
          </w:tcPr>
          <w:p w14:paraId="16EC5CE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-34</w:t>
            </w:r>
          </w:p>
        </w:tc>
        <w:tc>
          <w:tcPr>
            <w:tcW w:w="693" w:type="dxa"/>
            <w:tcBorders>
              <w:top w:val="single" w:sz="4" w:space="0" w:color="ADD6EA"/>
              <w:left w:val="nil"/>
              <w:bottom w:val="nil"/>
              <w:right w:val="nil"/>
            </w:tcBorders>
            <w:shd w:val="clear" w:color="auto" w:fill="auto"/>
            <w:noWrap/>
            <w:vAlign w:val="center"/>
            <w:hideMark/>
          </w:tcPr>
          <w:p w14:paraId="04B5191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121</w:t>
            </w:r>
          </w:p>
        </w:tc>
        <w:tc>
          <w:tcPr>
            <w:tcW w:w="713" w:type="dxa"/>
            <w:tcBorders>
              <w:top w:val="single" w:sz="4" w:space="0" w:color="ADD6EA"/>
              <w:left w:val="nil"/>
              <w:bottom w:val="nil"/>
              <w:right w:val="nil"/>
            </w:tcBorders>
            <w:shd w:val="clear" w:color="auto" w:fill="auto"/>
            <w:noWrap/>
            <w:vAlign w:val="center"/>
            <w:hideMark/>
          </w:tcPr>
          <w:p w14:paraId="3290FF1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325</w:t>
            </w:r>
          </w:p>
        </w:tc>
      </w:tr>
      <w:tr w:rsidR="004F1C5F" w:rsidRPr="004F1C5F" w14:paraId="24C070E2" w14:textId="77777777" w:rsidTr="00D16F76">
        <w:trPr>
          <w:trHeight w:val="315"/>
        </w:trPr>
        <w:tc>
          <w:tcPr>
            <w:tcW w:w="2692" w:type="dxa"/>
            <w:tcBorders>
              <w:top w:val="single" w:sz="4" w:space="0" w:color="ADD6EA"/>
              <w:left w:val="nil"/>
              <w:bottom w:val="single" w:sz="4" w:space="0" w:color="ADD6EA"/>
              <w:right w:val="nil"/>
            </w:tcBorders>
            <w:shd w:val="clear" w:color="000000" w:fill="B6D5E4"/>
            <w:vAlign w:val="center"/>
            <w:hideMark/>
          </w:tcPr>
          <w:p w14:paraId="3CCA4EC2" w14:textId="77777777" w:rsidR="004F1C5F" w:rsidRPr="004F1C5F" w:rsidRDefault="004F1C5F" w:rsidP="004F1C5F">
            <w:pPr>
              <w:tabs>
                <w:tab w:val="clear" w:pos="567"/>
              </w:tabs>
              <w:spacing w:before="0" w:line="240" w:lineRule="auto"/>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Total SDC</w:t>
            </w:r>
          </w:p>
        </w:tc>
        <w:tc>
          <w:tcPr>
            <w:tcW w:w="693" w:type="dxa"/>
            <w:tcBorders>
              <w:top w:val="single" w:sz="4" w:space="0" w:color="ADD6EA"/>
              <w:left w:val="nil"/>
              <w:bottom w:val="single" w:sz="4" w:space="0" w:color="ADD6EA"/>
              <w:right w:val="nil"/>
            </w:tcBorders>
            <w:shd w:val="clear" w:color="000000" w:fill="B6D5E4"/>
            <w:noWrap/>
            <w:vAlign w:val="center"/>
            <w:hideMark/>
          </w:tcPr>
          <w:p w14:paraId="383C4CCE"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-1,900</w:t>
            </w:r>
          </w:p>
        </w:tc>
        <w:tc>
          <w:tcPr>
            <w:tcW w:w="693" w:type="dxa"/>
            <w:tcBorders>
              <w:top w:val="single" w:sz="4" w:space="0" w:color="ADD6EA"/>
              <w:left w:val="nil"/>
              <w:bottom w:val="single" w:sz="4" w:space="0" w:color="ADD6EA"/>
              <w:right w:val="nil"/>
            </w:tcBorders>
            <w:shd w:val="clear" w:color="000000" w:fill="B6D5E4"/>
            <w:noWrap/>
            <w:vAlign w:val="center"/>
            <w:hideMark/>
          </w:tcPr>
          <w:p w14:paraId="7C5B5CFD"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-5,067</w:t>
            </w:r>
          </w:p>
        </w:tc>
        <w:tc>
          <w:tcPr>
            <w:tcW w:w="693" w:type="dxa"/>
            <w:tcBorders>
              <w:top w:val="single" w:sz="4" w:space="0" w:color="ADD6EA"/>
              <w:left w:val="nil"/>
              <w:bottom w:val="single" w:sz="4" w:space="0" w:color="ADD6EA"/>
              <w:right w:val="nil"/>
            </w:tcBorders>
            <w:shd w:val="clear" w:color="000000" w:fill="B6D5E4"/>
            <w:noWrap/>
            <w:vAlign w:val="center"/>
            <w:hideMark/>
          </w:tcPr>
          <w:p w14:paraId="580B542A"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2,639</w:t>
            </w:r>
          </w:p>
        </w:tc>
        <w:tc>
          <w:tcPr>
            <w:tcW w:w="838" w:type="dxa"/>
            <w:tcBorders>
              <w:top w:val="single" w:sz="4" w:space="0" w:color="ADD6EA"/>
              <w:left w:val="nil"/>
              <w:bottom w:val="single" w:sz="4" w:space="0" w:color="ADD6EA"/>
              <w:right w:val="nil"/>
            </w:tcBorders>
            <w:shd w:val="clear" w:color="000000" w:fill="B6D5E4"/>
            <w:noWrap/>
            <w:vAlign w:val="center"/>
            <w:hideMark/>
          </w:tcPr>
          <w:p w14:paraId="45A8ABA5"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836</w:t>
            </w:r>
          </w:p>
        </w:tc>
        <w:tc>
          <w:tcPr>
            <w:tcW w:w="734" w:type="dxa"/>
            <w:tcBorders>
              <w:top w:val="single" w:sz="4" w:space="0" w:color="ADD6EA"/>
              <w:left w:val="nil"/>
              <w:bottom w:val="single" w:sz="4" w:space="0" w:color="ADD6EA"/>
              <w:right w:val="nil"/>
            </w:tcBorders>
            <w:shd w:val="clear" w:color="000000" w:fill="B6D5E4"/>
            <w:noWrap/>
            <w:vAlign w:val="center"/>
            <w:hideMark/>
          </w:tcPr>
          <w:p w14:paraId="72CDB15B"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569</w:t>
            </w:r>
          </w:p>
        </w:tc>
        <w:tc>
          <w:tcPr>
            <w:tcW w:w="745" w:type="dxa"/>
            <w:tcBorders>
              <w:top w:val="single" w:sz="4" w:space="0" w:color="ADD6EA"/>
              <w:left w:val="nil"/>
              <w:bottom w:val="single" w:sz="4" w:space="0" w:color="ADD6EA"/>
              <w:right w:val="nil"/>
            </w:tcBorders>
            <w:shd w:val="clear" w:color="000000" w:fill="B6D5E4"/>
            <w:noWrap/>
            <w:vAlign w:val="center"/>
            <w:hideMark/>
          </w:tcPr>
          <w:p w14:paraId="5819D6C9"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1,019</w:t>
            </w:r>
          </w:p>
        </w:tc>
        <w:tc>
          <w:tcPr>
            <w:tcW w:w="570" w:type="dxa"/>
            <w:tcBorders>
              <w:top w:val="single" w:sz="4" w:space="0" w:color="ADD6EA"/>
              <w:left w:val="nil"/>
              <w:bottom w:val="single" w:sz="4" w:space="0" w:color="ADD6EA"/>
              <w:right w:val="nil"/>
            </w:tcBorders>
            <w:shd w:val="clear" w:color="000000" w:fill="B6D5E4"/>
            <w:noWrap/>
            <w:vAlign w:val="center"/>
            <w:hideMark/>
          </w:tcPr>
          <w:p w14:paraId="7251B80E"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-838</w:t>
            </w:r>
          </w:p>
        </w:tc>
        <w:tc>
          <w:tcPr>
            <w:tcW w:w="693" w:type="dxa"/>
            <w:tcBorders>
              <w:top w:val="single" w:sz="4" w:space="0" w:color="ADD6EA"/>
              <w:left w:val="nil"/>
              <w:bottom w:val="single" w:sz="4" w:space="0" w:color="ADD6EA"/>
              <w:right w:val="nil"/>
            </w:tcBorders>
            <w:shd w:val="clear" w:color="000000" w:fill="B6D5E4"/>
            <w:noWrap/>
            <w:vAlign w:val="center"/>
            <w:hideMark/>
          </w:tcPr>
          <w:p w14:paraId="440EE586"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2,742</w:t>
            </w:r>
          </w:p>
        </w:tc>
        <w:tc>
          <w:tcPr>
            <w:tcW w:w="713" w:type="dxa"/>
            <w:tcBorders>
              <w:top w:val="single" w:sz="4" w:space="0" w:color="ADD6EA"/>
              <w:left w:val="nil"/>
              <w:bottom w:val="single" w:sz="4" w:space="0" w:color="ADD6EA"/>
              <w:right w:val="nil"/>
            </w:tcBorders>
            <w:shd w:val="clear" w:color="000000" w:fill="B6D5E4"/>
            <w:noWrap/>
            <w:vAlign w:val="center"/>
            <w:hideMark/>
          </w:tcPr>
          <w:p w14:paraId="0A882A03"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7,805</w:t>
            </w:r>
          </w:p>
        </w:tc>
      </w:tr>
      <w:tr w:rsidR="004F1C5F" w:rsidRPr="004F1C5F" w14:paraId="4F67A586" w14:textId="77777777" w:rsidTr="00D16F76">
        <w:trPr>
          <w:trHeight w:val="315"/>
        </w:trPr>
        <w:tc>
          <w:tcPr>
            <w:tcW w:w="2692" w:type="dxa"/>
            <w:tcBorders>
              <w:top w:val="nil"/>
              <w:left w:val="nil"/>
              <w:bottom w:val="nil"/>
              <w:right w:val="nil"/>
            </w:tcBorders>
            <w:shd w:val="clear" w:color="auto" w:fill="auto"/>
            <w:noWrap/>
            <w:vAlign w:val="center"/>
            <w:hideMark/>
          </w:tcPr>
          <w:p w14:paraId="05B765FF" w14:textId="77777777" w:rsidR="004F1C5F" w:rsidRPr="004F1C5F" w:rsidRDefault="004F1C5F" w:rsidP="004F1C5F">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Urban centre characteristics</w:t>
            </w:r>
          </w:p>
        </w:tc>
        <w:tc>
          <w:tcPr>
            <w:tcW w:w="693" w:type="dxa"/>
            <w:tcBorders>
              <w:top w:val="nil"/>
              <w:left w:val="nil"/>
              <w:bottom w:val="nil"/>
              <w:right w:val="nil"/>
            </w:tcBorders>
            <w:shd w:val="clear" w:color="auto" w:fill="auto"/>
            <w:noWrap/>
            <w:vAlign w:val="center"/>
            <w:hideMark/>
          </w:tcPr>
          <w:p w14:paraId="67D09D9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1,177</w:t>
            </w:r>
          </w:p>
        </w:tc>
        <w:tc>
          <w:tcPr>
            <w:tcW w:w="693" w:type="dxa"/>
            <w:tcBorders>
              <w:top w:val="nil"/>
              <w:left w:val="nil"/>
              <w:bottom w:val="nil"/>
              <w:right w:val="nil"/>
            </w:tcBorders>
            <w:shd w:val="clear" w:color="auto" w:fill="auto"/>
            <w:noWrap/>
            <w:vAlign w:val="center"/>
            <w:hideMark/>
          </w:tcPr>
          <w:p w14:paraId="493A54F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641</w:t>
            </w:r>
          </w:p>
        </w:tc>
        <w:tc>
          <w:tcPr>
            <w:tcW w:w="693" w:type="dxa"/>
            <w:tcBorders>
              <w:top w:val="nil"/>
              <w:left w:val="nil"/>
              <w:bottom w:val="nil"/>
              <w:right w:val="nil"/>
            </w:tcBorders>
            <w:shd w:val="clear" w:color="auto" w:fill="auto"/>
            <w:noWrap/>
            <w:vAlign w:val="center"/>
            <w:hideMark/>
          </w:tcPr>
          <w:p w14:paraId="5DD9660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-690</w:t>
            </w:r>
          </w:p>
        </w:tc>
        <w:tc>
          <w:tcPr>
            <w:tcW w:w="838" w:type="dxa"/>
            <w:tcBorders>
              <w:top w:val="nil"/>
              <w:left w:val="nil"/>
              <w:bottom w:val="nil"/>
              <w:right w:val="nil"/>
            </w:tcBorders>
            <w:shd w:val="clear" w:color="auto" w:fill="auto"/>
            <w:noWrap/>
            <w:vAlign w:val="center"/>
            <w:hideMark/>
          </w:tcPr>
          <w:p w14:paraId="782C41DB"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-346</w:t>
            </w:r>
          </w:p>
        </w:tc>
        <w:tc>
          <w:tcPr>
            <w:tcW w:w="734" w:type="dxa"/>
            <w:tcBorders>
              <w:top w:val="nil"/>
              <w:left w:val="nil"/>
              <w:bottom w:val="nil"/>
              <w:right w:val="nil"/>
            </w:tcBorders>
            <w:shd w:val="clear" w:color="auto" w:fill="auto"/>
            <w:noWrap/>
            <w:vAlign w:val="center"/>
            <w:hideMark/>
          </w:tcPr>
          <w:p w14:paraId="54E75F8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-385</w:t>
            </w:r>
          </w:p>
        </w:tc>
        <w:tc>
          <w:tcPr>
            <w:tcW w:w="745" w:type="dxa"/>
            <w:tcBorders>
              <w:top w:val="nil"/>
              <w:left w:val="nil"/>
              <w:bottom w:val="nil"/>
              <w:right w:val="nil"/>
            </w:tcBorders>
            <w:shd w:val="clear" w:color="auto" w:fill="auto"/>
            <w:noWrap/>
            <w:vAlign w:val="center"/>
            <w:hideMark/>
          </w:tcPr>
          <w:p w14:paraId="4B497AC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-239</w:t>
            </w:r>
          </w:p>
        </w:tc>
        <w:tc>
          <w:tcPr>
            <w:tcW w:w="570" w:type="dxa"/>
            <w:tcBorders>
              <w:top w:val="nil"/>
              <w:left w:val="nil"/>
              <w:bottom w:val="nil"/>
              <w:right w:val="nil"/>
            </w:tcBorders>
            <w:shd w:val="clear" w:color="auto" w:fill="auto"/>
            <w:noWrap/>
            <w:vAlign w:val="center"/>
            <w:hideMark/>
          </w:tcPr>
          <w:p w14:paraId="5CF7832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-54</w:t>
            </w:r>
          </w:p>
        </w:tc>
        <w:tc>
          <w:tcPr>
            <w:tcW w:w="693" w:type="dxa"/>
            <w:tcBorders>
              <w:top w:val="nil"/>
              <w:left w:val="nil"/>
              <w:bottom w:val="nil"/>
              <w:right w:val="nil"/>
            </w:tcBorders>
            <w:shd w:val="clear" w:color="auto" w:fill="auto"/>
            <w:noWrap/>
            <w:vAlign w:val="center"/>
            <w:hideMark/>
          </w:tcPr>
          <w:p w14:paraId="1E70244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-103</w:t>
            </w:r>
          </w:p>
        </w:tc>
        <w:tc>
          <w:tcPr>
            <w:tcW w:w="713" w:type="dxa"/>
            <w:tcBorders>
              <w:top w:val="nil"/>
              <w:left w:val="nil"/>
              <w:bottom w:val="nil"/>
              <w:right w:val="nil"/>
            </w:tcBorders>
            <w:shd w:val="clear" w:color="auto" w:fill="auto"/>
            <w:noWrap/>
            <w:vAlign w:val="center"/>
            <w:hideMark/>
          </w:tcPr>
          <w:p w14:paraId="4F2B68F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1,818</w:t>
            </w:r>
          </w:p>
        </w:tc>
      </w:tr>
      <w:tr w:rsidR="004F1C5F" w:rsidRPr="004F1C5F" w14:paraId="2BF1629D" w14:textId="77777777" w:rsidTr="00D16F76">
        <w:trPr>
          <w:trHeight w:val="315"/>
        </w:trPr>
        <w:tc>
          <w:tcPr>
            <w:tcW w:w="2692" w:type="dxa"/>
            <w:tcBorders>
              <w:top w:val="single" w:sz="4" w:space="0" w:color="ADD6EA"/>
              <w:left w:val="nil"/>
              <w:bottom w:val="nil"/>
              <w:right w:val="nil"/>
            </w:tcBorders>
            <w:shd w:val="clear" w:color="auto" w:fill="auto"/>
            <w:noWrap/>
            <w:vAlign w:val="center"/>
            <w:hideMark/>
          </w:tcPr>
          <w:p w14:paraId="5645E9EF" w14:textId="77777777" w:rsidR="004F1C5F" w:rsidRPr="004F1C5F" w:rsidRDefault="004F1C5F" w:rsidP="004F1C5F">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Wage costs</w:t>
            </w:r>
          </w:p>
        </w:tc>
        <w:tc>
          <w:tcPr>
            <w:tcW w:w="693" w:type="dxa"/>
            <w:tcBorders>
              <w:top w:val="single" w:sz="4" w:space="0" w:color="ADD6EA"/>
              <w:left w:val="nil"/>
              <w:bottom w:val="nil"/>
              <w:right w:val="nil"/>
            </w:tcBorders>
            <w:shd w:val="clear" w:color="auto" w:fill="auto"/>
            <w:noWrap/>
            <w:vAlign w:val="center"/>
            <w:hideMark/>
          </w:tcPr>
          <w:p w14:paraId="532C510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709</w:t>
            </w:r>
          </w:p>
        </w:tc>
        <w:tc>
          <w:tcPr>
            <w:tcW w:w="693" w:type="dxa"/>
            <w:tcBorders>
              <w:top w:val="single" w:sz="4" w:space="0" w:color="ADD6EA"/>
              <w:left w:val="nil"/>
              <w:bottom w:val="nil"/>
              <w:right w:val="nil"/>
            </w:tcBorders>
            <w:shd w:val="clear" w:color="auto" w:fill="auto"/>
            <w:noWrap/>
            <w:vAlign w:val="center"/>
            <w:hideMark/>
          </w:tcPr>
          <w:p w14:paraId="662CBC1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-197</w:t>
            </w:r>
          </w:p>
        </w:tc>
        <w:tc>
          <w:tcPr>
            <w:tcW w:w="693" w:type="dxa"/>
            <w:tcBorders>
              <w:top w:val="single" w:sz="4" w:space="0" w:color="ADD6EA"/>
              <w:left w:val="nil"/>
              <w:bottom w:val="nil"/>
              <w:right w:val="nil"/>
            </w:tcBorders>
            <w:shd w:val="clear" w:color="auto" w:fill="auto"/>
            <w:noWrap/>
            <w:vAlign w:val="center"/>
            <w:hideMark/>
          </w:tcPr>
          <w:p w14:paraId="5D390D6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-634</w:t>
            </w:r>
          </w:p>
        </w:tc>
        <w:tc>
          <w:tcPr>
            <w:tcW w:w="838" w:type="dxa"/>
            <w:tcBorders>
              <w:top w:val="single" w:sz="4" w:space="0" w:color="ADD6EA"/>
              <w:left w:val="nil"/>
              <w:bottom w:val="nil"/>
              <w:right w:val="nil"/>
            </w:tcBorders>
            <w:shd w:val="clear" w:color="auto" w:fill="auto"/>
            <w:noWrap/>
            <w:vAlign w:val="center"/>
            <w:hideMark/>
          </w:tcPr>
          <w:p w14:paraId="70C33D91"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708</w:t>
            </w:r>
          </w:p>
        </w:tc>
        <w:tc>
          <w:tcPr>
            <w:tcW w:w="734" w:type="dxa"/>
            <w:tcBorders>
              <w:top w:val="single" w:sz="4" w:space="0" w:color="ADD6EA"/>
              <w:left w:val="nil"/>
              <w:bottom w:val="nil"/>
              <w:right w:val="nil"/>
            </w:tcBorders>
            <w:shd w:val="clear" w:color="auto" w:fill="auto"/>
            <w:noWrap/>
            <w:vAlign w:val="center"/>
            <w:hideMark/>
          </w:tcPr>
          <w:p w14:paraId="0D1DE32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-559</w:t>
            </w:r>
          </w:p>
        </w:tc>
        <w:tc>
          <w:tcPr>
            <w:tcW w:w="745" w:type="dxa"/>
            <w:tcBorders>
              <w:top w:val="single" w:sz="4" w:space="0" w:color="ADD6EA"/>
              <w:left w:val="nil"/>
              <w:bottom w:val="nil"/>
              <w:right w:val="nil"/>
            </w:tcBorders>
            <w:shd w:val="clear" w:color="auto" w:fill="auto"/>
            <w:noWrap/>
            <w:vAlign w:val="center"/>
            <w:hideMark/>
          </w:tcPr>
          <w:p w14:paraId="4E9F41C7"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-292</w:t>
            </w:r>
          </w:p>
        </w:tc>
        <w:tc>
          <w:tcPr>
            <w:tcW w:w="570" w:type="dxa"/>
            <w:tcBorders>
              <w:top w:val="single" w:sz="4" w:space="0" w:color="ADD6EA"/>
              <w:left w:val="nil"/>
              <w:bottom w:val="nil"/>
              <w:right w:val="nil"/>
            </w:tcBorders>
            <w:shd w:val="clear" w:color="auto" w:fill="auto"/>
            <w:noWrap/>
            <w:vAlign w:val="center"/>
            <w:hideMark/>
          </w:tcPr>
          <w:p w14:paraId="4EAB527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155</w:t>
            </w:r>
          </w:p>
        </w:tc>
        <w:tc>
          <w:tcPr>
            <w:tcW w:w="693" w:type="dxa"/>
            <w:tcBorders>
              <w:top w:val="single" w:sz="4" w:space="0" w:color="ADD6EA"/>
              <w:left w:val="nil"/>
              <w:bottom w:val="nil"/>
              <w:right w:val="nil"/>
            </w:tcBorders>
            <w:shd w:val="clear" w:color="auto" w:fill="auto"/>
            <w:noWrap/>
            <w:vAlign w:val="center"/>
            <w:hideMark/>
          </w:tcPr>
          <w:p w14:paraId="1D88BED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111</w:t>
            </w:r>
          </w:p>
        </w:tc>
        <w:tc>
          <w:tcPr>
            <w:tcW w:w="713" w:type="dxa"/>
            <w:tcBorders>
              <w:top w:val="single" w:sz="4" w:space="0" w:color="ADD6EA"/>
              <w:left w:val="nil"/>
              <w:bottom w:val="nil"/>
              <w:right w:val="nil"/>
            </w:tcBorders>
            <w:shd w:val="clear" w:color="auto" w:fill="auto"/>
            <w:noWrap/>
            <w:vAlign w:val="center"/>
            <w:hideMark/>
          </w:tcPr>
          <w:p w14:paraId="220EC6E7"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1,682</w:t>
            </w:r>
          </w:p>
        </w:tc>
      </w:tr>
      <w:tr w:rsidR="004F1C5F" w:rsidRPr="004F1C5F" w14:paraId="7E19F723" w14:textId="77777777" w:rsidTr="00D16F76">
        <w:trPr>
          <w:trHeight w:val="315"/>
        </w:trPr>
        <w:tc>
          <w:tcPr>
            <w:tcW w:w="2692" w:type="dxa"/>
            <w:tcBorders>
              <w:top w:val="single" w:sz="4" w:space="0" w:color="ADD6EA"/>
              <w:left w:val="nil"/>
              <w:bottom w:val="nil"/>
              <w:right w:val="nil"/>
            </w:tcBorders>
            <w:shd w:val="clear" w:color="auto" w:fill="auto"/>
            <w:noWrap/>
            <w:vAlign w:val="center"/>
            <w:hideMark/>
          </w:tcPr>
          <w:p w14:paraId="6660DA94" w14:textId="77777777" w:rsidR="004F1C5F" w:rsidRPr="004F1C5F" w:rsidRDefault="004F1C5F" w:rsidP="004F1C5F">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Administrative scale</w:t>
            </w:r>
          </w:p>
        </w:tc>
        <w:tc>
          <w:tcPr>
            <w:tcW w:w="693" w:type="dxa"/>
            <w:tcBorders>
              <w:top w:val="single" w:sz="4" w:space="0" w:color="ADD6EA"/>
              <w:left w:val="nil"/>
              <w:bottom w:val="nil"/>
              <w:right w:val="nil"/>
            </w:tcBorders>
            <w:shd w:val="clear" w:color="auto" w:fill="auto"/>
            <w:noWrap/>
            <w:vAlign w:val="center"/>
            <w:hideMark/>
          </w:tcPr>
          <w:p w14:paraId="2CAE4CC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-677</w:t>
            </w:r>
          </w:p>
        </w:tc>
        <w:tc>
          <w:tcPr>
            <w:tcW w:w="693" w:type="dxa"/>
            <w:tcBorders>
              <w:top w:val="single" w:sz="4" w:space="0" w:color="ADD6EA"/>
              <w:left w:val="nil"/>
              <w:bottom w:val="nil"/>
              <w:right w:val="nil"/>
            </w:tcBorders>
            <w:shd w:val="clear" w:color="auto" w:fill="auto"/>
            <w:noWrap/>
            <w:vAlign w:val="center"/>
            <w:hideMark/>
          </w:tcPr>
          <w:p w14:paraId="35C49FE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-472</w:t>
            </w:r>
          </w:p>
        </w:tc>
        <w:tc>
          <w:tcPr>
            <w:tcW w:w="693" w:type="dxa"/>
            <w:tcBorders>
              <w:top w:val="single" w:sz="4" w:space="0" w:color="ADD6EA"/>
              <w:left w:val="nil"/>
              <w:bottom w:val="nil"/>
              <w:right w:val="nil"/>
            </w:tcBorders>
            <w:shd w:val="clear" w:color="auto" w:fill="auto"/>
            <w:noWrap/>
            <w:vAlign w:val="center"/>
            <w:hideMark/>
          </w:tcPr>
          <w:p w14:paraId="53361A9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-282</w:t>
            </w:r>
          </w:p>
        </w:tc>
        <w:tc>
          <w:tcPr>
            <w:tcW w:w="838" w:type="dxa"/>
            <w:tcBorders>
              <w:top w:val="single" w:sz="4" w:space="0" w:color="ADD6EA"/>
              <w:left w:val="nil"/>
              <w:bottom w:val="nil"/>
              <w:right w:val="nil"/>
            </w:tcBorders>
            <w:shd w:val="clear" w:color="auto" w:fill="auto"/>
            <w:noWrap/>
            <w:vAlign w:val="center"/>
            <w:hideMark/>
          </w:tcPr>
          <w:p w14:paraId="5DA6A78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70</w:t>
            </w:r>
          </w:p>
        </w:tc>
        <w:tc>
          <w:tcPr>
            <w:tcW w:w="734" w:type="dxa"/>
            <w:tcBorders>
              <w:top w:val="single" w:sz="4" w:space="0" w:color="ADD6EA"/>
              <w:left w:val="nil"/>
              <w:bottom w:val="nil"/>
              <w:right w:val="nil"/>
            </w:tcBorders>
            <w:shd w:val="clear" w:color="auto" w:fill="auto"/>
            <w:noWrap/>
            <w:vAlign w:val="center"/>
            <w:hideMark/>
          </w:tcPr>
          <w:p w14:paraId="5D7611B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201</w:t>
            </w:r>
          </w:p>
        </w:tc>
        <w:tc>
          <w:tcPr>
            <w:tcW w:w="745" w:type="dxa"/>
            <w:tcBorders>
              <w:top w:val="single" w:sz="4" w:space="0" w:color="ADD6EA"/>
              <w:left w:val="nil"/>
              <w:bottom w:val="nil"/>
              <w:right w:val="nil"/>
            </w:tcBorders>
            <w:shd w:val="clear" w:color="auto" w:fill="auto"/>
            <w:noWrap/>
            <w:vAlign w:val="center"/>
            <w:hideMark/>
          </w:tcPr>
          <w:p w14:paraId="1592058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366</w:t>
            </w:r>
          </w:p>
        </w:tc>
        <w:tc>
          <w:tcPr>
            <w:tcW w:w="570" w:type="dxa"/>
            <w:tcBorders>
              <w:top w:val="single" w:sz="4" w:space="0" w:color="ADD6EA"/>
              <w:left w:val="nil"/>
              <w:bottom w:val="nil"/>
              <w:right w:val="nil"/>
            </w:tcBorders>
            <w:shd w:val="clear" w:color="auto" w:fill="auto"/>
            <w:noWrap/>
            <w:vAlign w:val="center"/>
            <w:hideMark/>
          </w:tcPr>
          <w:p w14:paraId="1DEBBFE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379</w:t>
            </w:r>
          </w:p>
        </w:tc>
        <w:tc>
          <w:tcPr>
            <w:tcW w:w="693" w:type="dxa"/>
            <w:tcBorders>
              <w:top w:val="single" w:sz="4" w:space="0" w:color="ADD6EA"/>
              <w:left w:val="nil"/>
              <w:bottom w:val="nil"/>
              <w:right w:val="nil"/>
            </w:tcBorders>
            <w:shd w:val="clear" w:color="auto" w:fill="auto"/>
            <w:noWrap/>
            <w:vAlign w:val="center"/>
            <w:hideMark/>
          </w:tcPr>
          <w:p w14:paraId="782EA86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415</w:t>
            </w:r>
          </w:p>
        </w:tc>
        <w:tc>
          <w:tcPr>
            <w:tcW w:w="713" w:type="dxa"/>
            <w:tcBorders>
              <w:top w:val="single" w:sz="4" w:space="0" w:color="ADD6EA"/>
              <w:left w:val="nil"/>
              <w:bottom w:val="nil"/>
              <w:right w:val="nil"/>
            </w:tcBorders>
            <w:shd w:val="clear" w:color="auto" w:fill="auto"/>
            <w:noWrap/>
            <w:vAlign w:val="center"/>
            <w:hideMark/>
          </w:tcPr>
          <w:p w14:paraId="3100932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1,431</w:t>
            </w:r>
          </w:p>
        </w:tc>
      </w:tr>
      <w:tr w:rsidR="004F1C5F" w:rsidRPr="004F1C5F" w14:paraId="0E13538F" w14:textId="77777777" w:rsidTr="00D16F76">
        <w:trPr>
          <w:trHeight w:val="315"/>
        </w:trPr>
        <w:tc>
          <w:tcPr>
            <w:tcW w:w="2692" w:type="dxa"/>
            <w:tcBorders>
              <w:top w:val="single" w:sz="4" w:space="0" w:color="ADD6EA"/>
              <w:left w:val="nil"/>
              <w:bottom w:val="nil"/>
              <w:right w:val="nil"/>
            </w:tcBorders>
            <w:shd w:val="clear" w:color="auto" w:fill="auto"/>
            <w:noWrap/>
            <w:vAlign w:val="center"/>
            <w:hideMark/>
          </w:tcPr>
          <w:p w14:paraId="452AEDDB" w14:textId="79213F1E" w:rsidR="004F1C5F" w:rsidRPr="004F1C5F" w:rsidRDefault="004F1C5F" w:rsidP="004F1C5F">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Non-</w:t>
            </w:r>
            <w:r w:rsidR="006C207D">
              <w:rPr>
                <w:rFonts w:ascii="Open Sans Light" w:eastAsia="Times New Roman" w:hAnsi="Open Sans Light" w:cs="Open Sans Light"/>
                <w:color w:val="000000"/>
                <w:sz w:val="16"/>
                <w:szCs w:val="16"/>
                <w:lang w:eastAsia="en-AU"/>
              </w:rPr>
              <w:t>s</w:t>
            </w:r>
            <w:r w:rsidRPr="004F1C5F">
              <w:rPr>
                <w:rFonts w:ascii="Open Sans Light" w:eastAsia="Times New Roman" w:hAnsi="Open Sans Light" w:cs="Open Sans Light"/>
                <w:color w:val="000000"/>
                <w:sz w:val="16"/>
                <w:szCs w:val="16"/>
                <w:lang w:eastAsia="en-AU"/>
              </w:rPr>
              <w:t>tate sector</w:t>
            </w:r>
          </w:p>
        </w:tc>
        <w:tc>
          <w:tcPr>
            <w:tcW w:w="693" w:type="dxa"/>
            <w:tcBorders>
              <w:top w:val="single" w:sz="4" w:space="0" w:color="ADD6EA"/>
              <w:left w:val="nil"/>
              <w:bottom w:val="nil"/>
              <w:right w:val="nil"/>
            </w:tcBorders>
            <w:shd w:val="clear" w:color="auto" w:fill="auto"/>
            <w:noWrap/>
            <w:vAlign w:val="center"/>
            <w:hideMark/>
          </w:tcPr>
          <w:p w14:paraId="1AF3B30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-534</w:t>
            </w:r>
          </w:p>
        </w:tc>
        <w:tc>
          <w:tcPr>
            <w:tcW w:w="693" w:type="dxa"/>
            <w:tcBorders>
              <w:top w:val="single" w:sz="4" w:space="0" w:color="ADD6EA"/>
              <w:left w:val="nil"/>
              <w:bottom w:val="nil"/>
              <w:right w:val="nil"/>
            </w:tcBorders>
            <w:shd w:val="clear" w:color="auto" w:fill="auto"/>
            <w:noWrap/>
            <w:vAlign w:val="center"/>
            <w:hideMark/>
          </w:tcPr>
          <w:p w14:paraId="12276CB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-150</w:t>
            </w:r>
          </w:p>
        </w:tc>
        <w:tc>
          <w:tcPr>
            <w:tcW w:w="693" w:type="dxa"/>
            <w:tcBorders>
              <w:top w:val="single" w:sz="4" w:space="0" w:color="ADD6EA"/>
              <w:left w:val="nil"/>
              <w:bottom w:val="nil"/>
              <w:right w:val="nil"/>
            </w:tcBorders>
            <w:shd w:val="clear" w:color="auto" w:fill="auto"/>
            <w:noWrap/>
            <w:vAlign w:val="center"/>
            <w:hideMark/>
          </w:tcPr>
          <w:p w14:paraId="0D83185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198</w:t>
            </w:r>
          </w:p>
        </w:tc>
        <w:tc>
          <w:tcPr>
            <w:tcW w:w="838" w:type="dxa"/>
            <w:tcBorders>
              <w:top w:val="single" w:sz="4" w:space="0" w:color="ADD6EA"/>
              <w:left w:val="nil"/>
              <w:bottom w:val="nil"/>
              <w:right w:val="nil"/>
            </w:tcBorders>
            <w:shd w:val="clear" w:color="auto" w:fill="auto"/>
            <w:noWrap/>
            <w:vAlign w:val="center"/>
            <w:hideMark/>
          </w:tcPr>
          <w:p w14:paraId="7949128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416</w:t>
            </w:r>
          </w:p>
        </w:tc>
        <w:tc>
          <w:tcPr>
            <w:tcW w:w="734" w:type="dxa"/>
            <w:tcBorders>
              <w:top w:val="single" w:sz="4" w:space="0" w:color="ADD6EA"/>
              <w:left w:val="nil"/>
              <w:bottom w:val="nil"/>
              <w:right w:val="nil"/>
            </w:tcBorders>
            <w:shd w:val="clear" w:color="auto" w:fill="auto"/>
            <w:noWrap/>
            <w:vAlign w:val="center"/>
            <w:hideMark/>
          </w:tcPr>
          <w:p w14:paraId="0359825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-42</w:t>
            </w:r>
          </w:p>
        </w:tc>
        <w:tc>
          <w:tcPr>
            <w:tcW w:w="745" w:type="dxa"/>
            <w:tcBorders>
              <w:top w:val="single" w:sz="4" w:space="0" w:color="ADD6EA"/>
              <w:left w:val="nil"/>
              <w:bottom w:val="nil"/>
              <w:right w:val="nil"/>
            </w:tcBorders>
            <w:shd w:val="clear" w:color="auto" w:fill="auto"/>
            <w:noWrap/>
            <w:vAlign w:val="center"/>
            <w:hideMark/>
          </w:tcPr>
          <w:p w14:paraId="1BEB0D3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-24</w:t>
            </w:r>
          </w:p>
        </w:tc>
        <w:tc>
          <w:tcPr>
            <w:tcW w:w="570" w:type="dxa"/>
            <w:tcBorders>
              <w:top w:val="single" w:sz="4" w:space="0" w:color="ADD6EA"/>
              <w:left w:val="nil"/>
              <w:bottom w:val="nil"/>
              <w:right w:val="nil"/>
            </w:tcBorders>
            <w:shd w:val="clear" w:color="auto" w:fill="auto"/>
            <w:noWrap/>
            <w:vAlign w:val="center"/>
            <w:hideMark/>
          </w:tcPr>
          <w:p w14:paraId="2366D23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167</w:t>
            </w:r>
          </w:p>
        </w:tc>
        <w:tc>
          <w:tcPr>
            <w:tcW w:w="693" w:type="dxa"/>
            <w:tcBorders>
              <w:top w:val="single" w:sz="4" w:space="0" w:color="ADD6EA"/>
              <w:left w:val="nil"/>
              <w:bottom w:val="nil"/>
              <w:right w:val="nil"/>
            </w:tcBorders>
            <w:shd w:val="clear" w:color="auto" w:fill="auto"/>
            <w:noWrap/>
            <w:vAlign w:val="center"/>
            <w:hideMark/>
          </w:tcPr>
          <w:p w14:paraId="3A9C7781"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-31</w:t>
            </w:r>
          </w:p>
        </w:tc>
        <w:tc>
          <w:tcPr>
            <w:tcW w:w="713" w:type="dxa"/>
            <w:tcBorders>
              <w:top w:val="single" w:sz="4" w:space="0" w:color="ADD6EA"/>
              <w:left w:val="nil"/>
              <w:bottom w:val="nil"/>
              <w:right w:val="nil"/>
            </w:tcBorders>
            <w:shd w:val="clear" w:color="auto" w:fill="auto"/>
            <w:noWrap/>
            <w:vAlign w:val="center"/>
            <w:hideMark/>
          </w:tcPr>
          <w:p w14:paraId="1FA167A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782</w:t>
            </w:r>
          </w:p>
        </w:tc>
      </w:tr>
      <w:tr w:rsidR="004F1C5F" w:rsidRPr="004F1C5F" w14:paraId="53B10F15" w14:textId="77777777" w:rsidTr="00D16F76">
        <w:trPr>
          <w:trHeight w:val="315"/>
        </w:trPr>
        <w:tc>
          <w:tcPr>
            <w:tcW w:w="2692" w:type="dxa"/>
            <w:tcBorders>
              <w:top w:val="single" w:sz="4" w:space="0" w:color="ADD6EA"/>
              <w:left w:val="nil"/>
              <w:bottom w:val="nil"/>
              <w:right w:val="nil"/>
            </w:tcBorders>
            <w:shd w:val="clear" w:color="auto" w:fill="auto"/>
            <w:noWrap/>
            <w:vAlign w:val="center"/>
            <w:hideMark/>
          </w:tcPr>
          <w:p w14:paraId="16794428" w14:textId="77777777" w:rsidR="004F1C5F" w:rsidRPr="004F1C5F" w:rsidRDefault="004F1C5F" w:rsidP="004F1C5F">
            <w:pPr>
              <w:tabs>
                <w:tab w:val="clear" w:pos="567"/>
              </w:tabs>
              <w:spacing w:before="0" w:line="240" w:lineRule="auto"/>
              <w:ind w:firstLineChars="200" w:firstLine="32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Natural disaster relief</w:t>
            </w:r>
          </w:p>
        </w:tc>
        <w:tc>
          <w:tcPr>
            <w:tcW w:w="693" w:type="dxa"/>
            <w:tcBorders>
              <w:top w:val="single" w:sz="4" w:space="0" w:color="ADD6EA"/>
              <w:left w:val="nil"/>
              <w:bottom w:val="nil"/>
              <w:right w:val="nil"/>
            </w:tcBorders>
            <w:shd w:val="clear" w:color="auto" w:fill="auto"/>
            <w:noWrap/>
            <w:vAlign w:val="center"/>
            <w:hideMark/>
          </w:tcPr>
          <w:p w14:paraId="453876A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131</w:t>
            </w:r>
          </w:p>
        </w:tc>
        <w:tc>
          <w:tcPr>
            <w:tcW w:w="693" w:type="dxa"/>
            <w:tcBorders>
              <w:top w:val="single" w:sz="4" w:space="0" w:color="ADD6EA"/>
              <w:left w:val="nil"/>
              <w:bottom w:val="nil"/>
              <w:right w:val="nil"/>
            </w:tcBorders>
            <w:shd w:val="clear" w:color="auto" w:fill="auto"/>
            <w:noWrap/>
            <w:vAlign w:val="center"/>
            <w:hideMark/>
          </w:tcPr>
          <w:p w14:paraId="222C4FB1"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-251</w:t>
            </w:r>
          </w:p>
        </w:tc>
        <w:tc>
          <w:tcPr>
            <w:tcW w:w="693" w:type="dxa"/>
            <w:tcBorders>
              <w:top w:val="single" w:sz="4" w:space="0" w:color="ADD6EA"/>
              <w:left w:val="nil"/>
              <w:bottom w:val="nil"/>
              <w:right w:val="nil"/>
            </w:tcBorders>
            <w:shd w:val="clear" w:color="auto" w:fill="auto"/>
            <w:noWrap/>
            <w:vAlign w:val="center"/>
            <w:hideMark/>
          </w:tcPr>
          <w:p w14:paraId="18F9F22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311</w:t>
            </w:r>
          </w:p>
        </w:tc>
        <w:tc>
          <w:tcPr>
            <w:tcW w:w="838" w:type="dxa"/>
            <w:tcBorders>
              <w:top w:val="single" w:sz="4" w:space="0" w:color="ADD6EA"/>
              <w:left w:val="nil"/>
              <w:bottom w:val="nil"/>
              <w:right w:val="nil"/>
            </w:tcBorders>
            <w:shd w:val="clear" w:color="auto" w:fill="auto"/>
            <w:noWrap/>
            <w:vAlign w:val="center"/>
            <w:hideMark/>
          </w:tcPr>
          <w:p w14:paraId="47CC56A7"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-76</w:t>
            </w:r>
          </w:p>
        </w:tc>
        <w:tc>
          <w:tcPr>
            <w:tcW w:w="734" w:type="dxa"/>
            <w:tcBorders>
              <w:top w:val="single" w:sz="4" w:space="0" w:color="ADD6EA"/>
              <w:left w:val="nil"/>
              <w:bottom w:val="nil"/>
              <w:right w:val="nil"/>
            </w:tcBorders>
            <w:shd w:val="clear" w:color="auto" w:fill="auto"/>
            <w:noWrap/>
            <w:vAlign w:val="center"/>
            <w:hideMark/>
          </w:tcPr>
          <w:p w14:paraId="0525284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-61</w:t>
            </w:r>
          </w:p>
        </w:tc>
        <w:tc>
          <w:tcPr>
            <w:tcW w:w="745" w:type="dxa"/>
            <w:tcBorders>
              <w:top w:val="single" w:sz="4" w:space="0" w:color="ADD6EA"/>
              <w:left w:val="nil"/>
              <w:bottom w:val="nil"/>
              <w:right w:val="nil"/>
            </w:tcBorders>
            <w:shd w:val="clear" w:color="auto" w:fill="auto"/>
            <w:noWrap/>
            <w:vAlign w:val="center"/>
            <w:hideMark/>
          </w:tcPr>
          <w:p w14:paraId="7D85E21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-20</w:t>
            </w:r>
          </w:p>
        </w:tc>
        <w:tc>
          <w:tcPr>
            <w:tcW w:w="570" w:type="dxa"/>
            <w:tcBorders>
              <w:top w:val="single" w:sz="4" w:space="0" w:color="ADD6EA"/>
              <w:left w:val="nil"/>
              <w:bottom w:val="nil"/>
              <w:right w:val="nil"/>
            </w:tcBorders>
            <w:shd w:val="clear" w:color="auto" w:fill="auto"/>
            <w:noWrap/>
            <w:vAlign w:val="center"/>
            <w:hideMark/>
          </w:tcPr>
          <w:p w14:paraId="143F40B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-24</w:t>
            </w:r>
          </w:p>
        </w:tc>
        <w:tc>
          <w:tcPr>
            <w:tcW w:w="693" w:type="dxa"/>
            <w:tcBorders>
              <w:top w:val="single" w:sz="4" w:space="0" w:color="ADD6EA"/>
              <w:left w:val="nil"/>
              <w:bottom w:val="nil"/>
              <w:right w:val="nil"/>
            </w:tcBorders>
            <w:shd w:val="clear" w:color="auto" w:fill="auto"/>
            <w:noWrap/>
            <w:vAlign w:val="center"/>
            <w:hideMark/>
          </w:tcPr>
          <w:p w14:paraId="59A31E9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w:t>
            </w:r>
          </w:p>
        </w:tc>
        <w:tc>
          <w:tcPr>
            <w:tcW w:w="713" w:type="dxa"/>
            <w:tcBorders>
              <w:top w:val="single" w:sz="4" w:space="0" w:color="ADD6EA"/>
              <w:left w:val="nil"/>
              <w:bottom w:val="nil"/>
              <w:right w:val="nil"/>
            </w:tcBorders>
            <w:shd w:val="clear" w:color="auto" w:fill="auto"/>
            <w:noWrap/>
            <w:vAlign w:val="center"/>
            <w:hideMark/>
          </w:tcPr>
          <w:p w14:paraId="61D8C2AB"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442</w:t>
            </w:r>
          </w:p>
        </w:tc>
      </w:tr>
      <w:tr w:rsidR="004F1C5F" w:rsidRPr="004F1C5F" w14:paraId="3FBE1D71" w14:textId="77777777" w:rsidTr="00D16F76">
        <w:trPr>
          <w:trHeight w:val="315"/>
        </w:trPr>
        <w:tc>
          <w:tcPr>
            <w:tcW w:w="2692" w:type="dxa"/>
            <w:tcBorders>
              <w:top w:val="single" w:sz="4" w:space="0" w:color="ADD6EA"/>
              <w:left w:val="nil"/>
              <w:bottom w:val="nil"/>
              <w:right w:val="nil"/>
            </w:tcBorders>
            <w:shd w:val="clear" w:color="auto" w:fill="auto"/>
            <w:vAlign w:val="center"/>
            <w:hideMark/>
          </w:tcPr>
          <w:p w14:paraId="4A9C8739"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Other expenses</w:t>
            </w:r>
          </w:p>
        </w:tc>
        <w:tc>
          <w:tcPr>
            <w:tcW w:w="693" w:type="dxa"/>
            <w:tcBorders>
              <w:top w:val="single" w:sz="4" w:space="0" w:color="ADD6EA"/>
              <w:left w:val="nil"/>
              <w:bottom w:val="nil"/>
              <w:right w:val="nil"/>
            </w:tcBorders>
            <w:shd w:val="clear" w:color="auto" w:fill="auto"/>
            <w:noWrap/>
            <w:vAlign w:val="center"/>
            <w:hideMark/>
          </w:tcPr>
          <w:p w14:paraId="71FC7371"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-271</w:t>
            </w:r>
          </w:p>
        </w:tc>
        <w:tc>
          <w:tcPr>
            <w:tcW w:w="693" w:type="dxa"/>
            <w:tcBorders>
              <w:top w:val="single" w:sz="4" w:space="0" w:color="ADD6EA"/>
              <w:left w:val="nil"/>
              <w:bottom w:val="nil"/>
              <w:right w:val="nil"/>
            </w:tcBorders>
            <w:shd w:val="clear" w:color="auto" w:fill="auto"/>
            <w:noWrap/>
            <w:vAlign w:val="center"/>
            <w:hideMark/>
          </w:tcPr>
          <w:p w14:paraId="7CE598C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-608</w:t>
            </w:r>
          </w:p>
        </w:tc>
        <w:tc>
          <w:tcPr>
            <w:tcW w:w="693" w:type="dxa"/>
            <w:tcBorders>
              <w:top w:val="single" w:sz="4" w:space="0" w:color="ADD6EA"/>
              <w:left w:val="nil"/>
              <w:bottom w:val="nil"/>
              <w:right w:val="nil"/>
            </w:tcBorders>
            <w:shd w:val="clear" w:color="auto" w:fill="auto"/>
            <w:noWrap/>
            <w:vAlign w:val="center"/>
            <w:hideMark/>
          </w:tcPr>
          <w:p w14:paraId="0F24004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123</w:t>
            </w:r>
          </w:p>
        </w:tc>
        <w:tc>
          <w:tcPr>
            <w:tcW w:w="838" w:type="dxa"/>
            <w:tcBorders>
              <w:top w:val="single" w:sz="4" w:space="0" w:color="ADD6EA"/>
              <w:left w:val="nil"/>
              <w:bottom w:val="nil"/>
              <w:right w:val="nil"/>
            </w:tcBorders>
            <w:shd w:val="clear" w:color="auto" w:fill="auto"/>
            <w:noWrap/>
            <w:vAlign w:val="center"/>
            <w:hideMark/>
          </w:tcPr>
          <w:p w14:paraId="732AD3B1"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541</w:t>
            </w:r>
          </w:p>
        </w:tc>
        <w:tc>
          <w:tcPr>
            <w:tcW w:w="734" w:type="dxa"/>
            <w:tcBorders>
              <w:top w:val="single" w:sz="4" w:space="0" w:color="ADD6EA"/>
              <w:left w:val="nil"/>
              <w:bottom w:val="nil"/>
              <w:right w:val="nil"/>
            </w:tcBorders>
            <w:shd w:val="clear" w:color="auto" w:fill="auto"/>
            <w:noWrap/>
            <w:vAlign w:val="center"/>
            <w:hideMark/>
          </w:tcPr>
          <w:p w14:paraId="4D0826D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201</w:t>
            </w:r>
          </w:p>
        </w:tc>
        <w:tc>
          <w:tcPr>
            <w:tcW w:w="745" w:type="dxa"/>
            <w:tcBorders>
              <w:top w:val="single" w:sz="4" w:space="0" w:color="ADD6EA"/>
              <w:left w:val="nil"/>
              <w:bottom w:val="nil"/>
              <w:right w:val="nil"/>
            </w:tcBorders>
            <w:shd w:val="clear" w:color="auto" w:fill="auto"/>
            <w:noWrap/>
            <w:vAlign w:val="center"/>
            <w:hideMark/>
          </w:tcPr>
          <w:p w14:paraId="4CC6AB3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20</w:t>
            </w:r>
          </w:p>
        </w:tc>
        <w:tc>
          <w:tcPr>
            <w:tcW w:w="570" w:type="dxa"/>
            <w:tcBorders>
              <w:top w:val="single" w:sz="4" w:space="0" w:color="ADD6EA"/>
              <w:left w:val="nil"/>
              <w:bottom w:val="nil"/>
              <w:right w:val="nil"/>
            </w:tcBorders>
            <w:shd w:val="clear" w:color="auto" w:fill="auto"/>
            <w:noWrap/>
            <w:vAlign w:val="center"/>
            <w:hideMark/>
          </w:tcPr>
          <w:p w14:paraId="7CA273A1"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-138</w:t>
            </w:r>
          </w:p>
        </w:tc>
        <w:tc>
          <w:tcPr>
            <w:tcW w:w="693" w:type="dxa"/>
            <w:tcBorders>
              <w:top w:val="single" w:sz="4" w:space="0" w:color="ADD6EA"/>
              <w:left w:val="nil"/>
              <w:bottom w:val="nil"/>
              <w:right w:val="nil"/>
            </w:tcBorders>
            <w:shd w:val="clear" w:color="auto" w:fill="auto"/>
            <w:noWrap/>
            <w:vAlign w:val="center"/>
            <w:hideMark/>
          </w:tcPr>
          <w:p w14:paraId="7F3AD8D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133</w:t>
            </w:r>
          </w:p>
        </w:tc>
        <w:tc>
          <w:tcPr>
            <w:tcW w:w="713" w:type="dxa"/>
            <w:tcBorders>
              <w:top w:val="single" w:sz="4" w:space="0" w:color="ADD6EA"/>
              <w:left w:val="nil"/>
              <w:bottom w:val="nil"/>
              <w:right w:val="nil"/>
            </w:tcBorders>
            <w:shd w:val="clear" w:color="auto" w:fill="auto"/>
            <w:noWrap/>
            <w:vAlign w:val="center"/>
            <w:hideMark/>
          </w:tcPr>
          <w:p w14:paraId="0F9E1CA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1,018</w:t>
            </w:r>
          </w:p>
        </w:tc>
      </w:tr>
      <w:tr w:rsidR="004F1C5F" w:rsidRPr="004F1C5F" w14:paraId="4AD99A8C" w14:textId="77777777" w:rsidTr="00D16F76">
        <w:trPr>
          <w:trHeight w:val="315"/>
        </w:trPr>
        <w:tc>
          <w:tcPr>
            <w:tcW w:w="2692" w:type="dxa"/>
            <w:tcBorders>
              <w:top w:val="single" w:sz="4" w:space="0" w:color="ADD6EA"/>
              <w:left w:val="nil"/>
              <w:bottom w:val="single" w:sz="4" w:space="0" w:color="ADD6EA"/>
              <w:right w:val="nil"/>
            </w:tcBorders>
            <w:shd w:val="clear" w:color="000000" w:fill="B6D5E4"/>
            <w:vAlign w:val="center"/>
            <w:hideMark/>
          </w:tcPr>
          <w:p w14:paraId="7B7C4BAB" w14:textId="77777777" w:rsidR="004F1C5F" w:rsidRPr="004F1C5F" w:rsidRDefault="004F1C5F" w:rsidP="004F1C5F">
            <w:pPr>
              <w:tabs>
                <w:tab w:val="clear" w:pos="567"/>
              </w:tabs>
              <w:spacing w:before="0" w:line="240" w:lineRule="auto"/>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TOTAL EXPENSES</w:t>
            </w:r>
          </w:p>
        </w:tc>
        <w:tc>
          <w:tcPr>
            <w:tcW w:w="693" w:type="dxa"/>
            <w:tcBorders>
              <w:top w:val="single" w:sz="4" w:space="0" w:color="ADD6EA"/>
              <w:left w:val="nil"/>
              <w:bottom w:val="single" w:sz="4" w:space="0" w:color="ADD6EA"/>
              <w:right w:val="nil"/>
            </w:tcBorders>
            <w:shd w:val="clear" w:color="000000" w:fill="B6D5E4"/>
            <w:noWrap/>
            <w:vAlign w:val="center"/>
            <w:hideMark/>
          </w:tcPr>
          <w:p w14:paraId="6A6FD43B"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-1,366</w:t>
            </w:r>
          </w:p>
        </w:tc>
        <w:tc>
          <w:tcPr>
            <w:tcW w:w="693" w:type="dxa"/>
            <w:tcBorders>
              <w:top w:val="single" w:sz="4" w:space="0" w:color="ADD6EA"/>
              <w:left w:val="nil"/>
              <w:bottom w:val="single" w:sz="4" w:space="0" w:color="ADD6EA"/>
              <w:right w:val="nil"/>
            </w:tcBorders>
            <w:shd w:val="clear" w:color="000000" w:fill="B6D5E4"/>
            <w:noWrap/>
            <w:vAlign w:val="center"/>
            <w:hideMark/>
          </w:tcPr>
          <w:p w14:paraId="5F2DD80A"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-6,104</w:t>
            </w:r>
          </w:p>
        </w:tc>
        <w:tc>
          <w:tcPr>
            <w:tcW w:w="693" w:type="dxa"/>
            <w:tcBorders>
              <w:top w:val="single" w:sz="4" w:space="0" w:color="ADD6EA"/>
              <w:left w:val="nil"/>
              <w:bottom w:val="single" w:sz="4" w:space="0" w:color="ADD6EA"/>
              <w:right w:val="nil"/>
            </w:tcBorders>
            <w:shd w:val="clear" w:color="000000" w:fill="B6D5E4"/>
            <w:noWrap/>
            <w:vAlign w:val="center"/>
            <w:hideMark/>
          </w:tcPr>
          <w:p w14:paraId="7CC5D417"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1,664</w:t>
            </w:r>
          </w:p>
        </w:tc>
        <w:tc>
          <w:tcPr>
            <w:tcW w:w="838" w:type="dxa"/>
            <w:tcBorders>
              <w:top w:val="single" w:sz="4" w:space="0" w:color="ADD6EA"/>
              <w:left w:val="nil"/>
              <w:bottom w:val="single" w:sz="4" w:space="0" w:color="ADD6EA"/>
              <w:right w:val="nil"/>
            </w:tcBorders>
            <w:shd w:val="clear" w:color="000000" w:fill="B6D5E4"/>
            <w:noWrap/>
            <w:vAlign w:val="center"/>
            <w:hideMark/>
          </w:tcPr>
          <w:p w14:paraId="4C667C1A"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2,149</w:t>
            </w:r>
          </w:p>
        </w:tc>
        <w:tc>
          <w:tcPr>
            <w:tcW w:w="734" w:type="dxa"/>
            <w:tcBorders>
              <w:top w:val="single" w:sz="4" w:space="0" w:color="ADD6EA"/>
              <w:left w:val="nil"/>
              <w:bottom w:val="single" w:sz="4" w:space="0" w:color="ADD6EA"/>
              <w:right w:val="nil"/>
            </w:tcBorders>
            <w:shd w:val="clear" w:color="000000" w:fill="B6D5E4"/>
            <w:noWrap/>
            <w:vAlign w:val="center"/>
            <w:hideMark/>
          </w:tcPr>
          <w:p w14:paraId="12B3D421"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-76</w:t>
            </w:r>
          </w:p>
        </w:tc>
        <w:tc>
          <w:tcPr>
            <w:tcW w:w="745" w:type="dxa"/>
            <w:tcBorders>
              <w:top w:val="single" w:sz="4" w:space="0" w:color="ADD6EA"/>
              <w:left w:val="nil"/>
              <w:bottom w:val="single" w:sz="4" w:space="0" w:color="ADD6EA"/>
              <w:right w:val="nil"/>
            </w:tcBorders>
            <w:shd w:val="clear" w:color="000000" w:fill="B6D5E4"/>
            <w:noWrap/>
            <w:vAlign w:val="center"/>
            <w:hideMark/>
          </w:tcPr>
          <w:p w14:paraId="17DDB1EF"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830</w:t>
            </w:r>
          </w:p>
        </w:tc>
        <w:tc>
          <w:tcPr>
            <w:tcW w:w="570" w:type="dxa"/>
            <w:tcBorders>
              <w:top w:val="single" w:sz="4" w:space="0" w:color="ADD6EA"/>
              <w:left w:val="nil"/>
              <w:bottom w:val="single" w:sz="4" w:space="0" w:color="ADD6EA"/>
              <w:right w:val="nil"/>
            </w:tcBorders>
            <w:shd w:val="clear" w:color="000000" w:fill="B6D5E4"/>
            <w:noWrap/>
            <w:vAlign w:val="center"/>
            <w:hideMark/>
          </w:tcPr>
          <w:p w14:paraId="2EFFDD4A"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-354</w:t>
            </w:r>
          </w:p>
        </w:tc>
        <w:tc>
          <w:tcPr>
            <w:tcW w:w="693" w:type="dxa"/>
            <w:tcBorders>
              <w:top w:val="single" w:sz="4" w:space="0" w:color="ADD6EA"/>
              <w:left w:val="nil"/>
              <w:bottom w:val="single" w:sz="4" w:space="0" w:color="ADD6EA"/>
              <w:right w:val="nil"/>
            </w:tcBorders>
            <w:shd w:val="clear" w:color="000000" w:fill="B6D5E4"/>
            <w:noWrap/>
            <w:vAlign w:val="center"/>
            <w:hideMark/>
          </w:tcPr>
          <w:p w14:paraId="28D933F4"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3,257</w:t>
            </w:r>
          </w:p>
        </w:tc>
        <w:tc>
          <w:tcPr>
            <w:tcW w:w="713" w:type="dxa"/>
            <w:tcBorders>
              <w:top w:val="single" w:sz="4" w:space="0" w:color="ADD6EA"/>
              <w:left w:val="nil"/>
              <w:bottom w:val="single" w:sz="4" w:space="0" w:color="ADD6EA"/>
              <w:right w:val="nil"/>
            </w:tcBorders>
            <w:shd w:val="clear" w:color="000000" w:fill="B6D5E4"/>
            <w:noWrap/>
            <w:vAlign w:val="center"/>
            <w:hideMark/>
          </w:tcPr>
          <w:p w14:paraId="2FAAE9D7"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7,900</w:t>
            </w:r>
          </w:p>
        </w:tc>
      </w:tr>
      <w:tr w:rsidR="004F1C5F" w:rsidRPr="004F1C5F" w14:paraId="0254F716" w14:textId="77777777" w:rsidTr="00D16F76">
        <w:trPr>
          <w:trHeight w:val="315"/>
        </w:trPr>
        <w:tc>
          <w:tcPr>
            <w:tcW w:w="2692" w:type="dxa"/>
            <w:tcBorders>
              <w:top w:val="nil"/>
              <w:left w:val="nil"/>
              <w:bottom w:val="nil"/>
              <w:right w:val="nil"/>
            </w:tcBorders>
            <w:shd w:val="clear" w:color="auto" w:fill="auto"/>
            <w:vAlign w:val="center"/>
            <w:hideMark/>
          </w:tcPr>
          <w:p w14:paraId="190AC49A" w14:textId="77777777" w:rsidR="004F1C5F" w:rsidRPr="004F1C5F" w:rsidRDefault="004F1C5F" w:rsidP="004F1C5F">
            <w:pPr>
              <w:tabs>
                <w:tab w:val="clear" w:pos="567"/>
              </w:tabs>
              <w:spacing w:before="0" w:line="240" w:lineRule="auto"/>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INVESTMENT</w:t>
            </w:r>
          </w:p>
        </w:tc>
        <w:tc>
          <w:tcPr>
            <w:tcW w:w="693" w:type="dxa"/>
            <w:tcBorders>
              <w:top w:val="nil"/>
              <w:left w:val="nil"/>
              <w:bottom w:val="nil"/>
              <w:right w:val="nil"/>
            </w:tcBorders>
            <w:shd w:val="clear" w:color="auto" w:fill="auto"/>
            <w:noWrap/>
            <w:vAlign w:val="center"/>
            <w:hideMark/>
          </w:tcPr>
          <w:p w14:paraId="4D251652" w14:textId="77777777" w:rsidR="004F1C5F" w:rsidRPr="004F1C5F" w:rsidRDefault="004F1C5F" w:rsidP="004F1C5F">
            <w:pPr>
              <w:tabs>
                <w:tab w:val="clear" w:pos="567"/>
              </w:tabs>
              <w:spacing w:before="0" w:line="240" w:lineRule="auto"/>
              <w:rPr>
                <w:rFonts w:ascii="Open Sans Light" w:eastAsia="Times New Roman" w:hAnsi="Open Sans Light" w:cs="Open Sans Light"/>
                <w:color w:val="000000"/>
                <w:sz w:val="16"/>
                <w:szCs w:val="16"/>
                <w:lang w:eastAsia="en-AU"/>
              </w:rPr>
            </w:pPr>
          </w:p>
        </w:tc>
        <w:tc>
          <w:tcPr>
            <w:tcW w:w="693" w:type="dxa"/>
            <w:tcBorders>
              <w:top w:val="nil"/>
              <w:left w:val="nil"/>
              <w:bottom w:val="nil"/>
              <w:right w:val="nil"/>
            </w:tcBorders>
            <w:shd w:val="clear" w:color="auto" w:fill="auto"/>
            <w:noWrap/>
            <w:vAlign w:val="center"/>
            <w:hideMark/>
          </w:tcPr>
          <w:p w14:paraId="22D6217B" w14:textId="77777777" w:rsidR="004F1C5F" w:rsidRPr="004F1C5F" w:rsidRDefault="004F1C5F" w:rsidP="004F1C5F">
            <w:pPr>
              <w:tabs>
                <w:tab w:val="clear" w:pos="567"/>
              </w:tabs>
              <w:spacing w:before="0" w:line="240" w:lineRule="auto"/>
              <w:jc w:val="right"/>
              <w:rPr>
                <w:rFonts w:ascii="Times New Roman" w:eastAsia="Times New Roman" w:hAnsi="Times New Roman" w:cs="Times New Roman"/>
                <w:szCs w:val="20"/>
                <w:lang w:eastAsia="en-AU"/>
              </w:rPr>
            </w:pPr>
          </w:p>
        </w:tc>
        <w:tc>
          <w:tcPr>
            <w:tcW w:w="693" w:type="dxa"/>
            <w:tcBorders>
              <w:top w:val="nil"/>
              <w:left w:val="nil"/>
              <w:bottom w:val="nil"/>
              <w:right w:val="nil"/>
            </w:tcBorders>
            <w:shd w:val="clear" w:color="auto" w:fill="auto"/>
            <w:noWrap/>
            <w:vAlign w:val="center"/>
            <w:hideMark/>
          </w:tcPr>
          <w:p w14:paraId="0BCF2F6C" w14:textId="77777777" w:rsidR="004F1C5F" w:rsidRPr="004F1C5F" w:rsidRDefault="004F1C5F" w:rsidP="004F1C5F">
            <w:pPr>
              <w:tabs>
                <w:tab w:val="clear" w:pos="567"/>
              </w:tabs>
              <w:spacing w:before="0" w:line="240" w:lineRule="auto"/>
              <w:jc w:val="right"/>
              <w:rPr>
                <w:rFonts w:ascii="Times New Roman" w:eastAsia="Times New Roman" w:hAnsi="Times New Roman" w:cs="Times New Roman"/>
                <w:szCs w:val="20"/>
                <w:lang w:eastAsia="en-AU"/>
              </w:rPr>
            </w:pPr>
          </w:p>
        </w:tc>
        <w:tc>
          <w:tcPr>
            <w:tcW w:w="838" w:type="dxa"/>
            <w:tcBorders>
              <w:top w:val="nil"/>
              <w:left w:val="nil"/>
              <w:bottom w:val="nil"/>
              <w:right w:val="nil"/>
            </w:tcBorders>
            <w:shd w:val="clear" w:color="auto" w:fill="auto"/>
            <w:noWrap/>
            <w:vAlign w:val="center"/>
            <w:hideMark/>
          </w:tcPr>
          <w:p w14:paraId="265AFD81" w14:textId="77777777" w:rsidR="004F1C5F" w:rsidRPr="004F1C5F" w:rsidRDefault="004F1C5F" w:rsidP="004F1C5F">
            <w:pPr>
              <w:tabs>
                <w:tab w:val="clear" w:pos="567"/>
              </w:tabs>
              <w:spacing w:before="0" w:line="240" w:lineRule="auto"/>
              <w:jc w:val="right"/>
              <w:rPr>
                <w:rFonts w:ascii="Times New Roman" w:eastAsia="Times New Roman" w:hAnsi="Times New Roman" w:cs="Times New Roman"/>
                <w:szCs w:val="20"/>
                <w:lang w:eastAsia="en-AU"/>
              </w:rPr>
            </w:pPr>
          </w:p>
        </w:tc>
        <w:tc>
          <w:tcPr>
            <w:tcW w:w="734" w:type="dxa"/>
            <w:tcBorders>
              <w:top w:val="nil"/>
              <w:left w:val="nil"/>
              <w:bottom w:val="nil"/>
              <w:right w:val="nil"/>
            </w:tcBorders>
            <w:shd w:val="clear" w:color="auto" w:fill="auto"/>
            <w:noWrap/>
            <w:vAlign w:val="center"/>
            <w:hideMark/>
          </w:tcPr>
          <w:p w14:paraId="0BBC0B58" w14:textId="77777777" w:rsidR="004F1C5F" w:rsidRPr="004F1C5F" w:rsidRDefault="004F1C5F" w:rsidP="004F1C5F">
            <w:pPr>
              <w:tabs>
                <w:tab w:val="clear" w:pos="567"/>
              </w:tabs>
              <w:spacing w:before="0" w:line="240" w:lineRule="auto"/>
              <w:jc w:val="right"/>
              <w:rPr>
                <w:rFonts w:ascii="Times New Roman" w:eastAsia="Times New Roman" w:hAnsi="Times New Roman" w:cs="Times New Roman"/>
                <w:szCs w:val="20"/>
                <w:lang w:eastAsia="en-AU"/>
              </w:rPr>
            </w:pPr>
          </w:p>
        </w:tc>
        <w:tc>
          <w:tcPr>
            <w:tcW w:w="745" w:type="dxa"/>
            <w:tcBorders>
              <w:top w:val="nil"/>
              <w:left w:val="nil"/>
              <w:bottom w:val="nil"/>
              <w:right w:val="nil"/>
            </w:tcBorders>
            <w:shd w:val="clear" w:color="auto" w:fill="auto"/>
            <w:noWrap/>
            <w:vAlign w:val="center"/>
            <w:hideMark/>
          </w:tcPr>
          <w:p w14:paraId="480BDB67" w14:textId="77777777" w:rsidR="004F1C5F" w:rsidRPr="004F1C5F" w:rsidRDefault="004F1C5F" w:rsidP="004F1C5F">
            <w:pPr>
              <w:tabs>
                <w:tab w:val="clear" w:pos="567"/>
              </w:tabs>
              <w:spacing w:before="0" w:line="240" w:lineRule="auto"/>
              <w:jc w:val="right"/>
              <w:rPr>
                <w:rFonts w:ascii="Times New Roman" w:eastAsia="Times New Roman" w:hAnsi="Times New Roman" w:cs="Times New Roman"/>
                <w:szCs w:val="20"/>
                <w:lang w:eastAsia="en-AU"/>
              </w:rPr>
            </w:pPr>
          </w:p>
        </w:tc>
        <w:tc>
          <w:tcPr>
            <w:tcW w:w="570" w:type="dxa"/>
            <w:tcBorders>
              <w:top w:val="nil"/>
              <w:left w:val="nil"/>
              <w:bottom w:val="nil"/>
              <w:right w:val="nil"/>
            </w:tcBorders>
            <w:shd w:val="clear" w:color="auto" w:fill="auto"/>
            <w:noWrap/>
            <w:vAlign w:val="center"/>
            <w:hideMark/>
          </w:tcPr>
          <w:p w14:paraId="09ECCD3F" w14:textId="77777777" w:rsidR="004F1C5F" w:rsidRPr="004F1C5F" w:rsidRDefault="004F1C5F" w:rsidP="004F1C5F">
            <w:pPr>
              <w:tabs>
                <w:tab w:val="clear" w:pos="567"/>
              </w:tabs>
              <w:spacing w:before="0" w:line="240" w:lineRule="auto"/>
              <w:jc w:val="right"/>
              <w:rPr>
                <w:rFonts w:ascii="Times New Roman" w:eastAsia="Times New Roman" w:hAnsi="Times New Roman" w:cs="Times New Roman"/>
                <w:szCs w:val="20"/>
                <w:lang w:eastAsia="en-AU"/>
              </w:rPr>
            </w:pPr>
          </w:p>
        </w:tc>
        <w:tc>
          <w:tcPr>
            <w:tcW w:w="693" w:type="dxa"/>
            <w:tcBorders>
              <w:top w:val="nil"/>
              <w:left w:val="nil"/>
              <w:bottom w:val="nil"/>
              <w:right w:val="nil"/>
            </w:tcBorders>
            <w:shd w:val="clear" w:color="auto" w:fill="auto"/>
            <w:noWrap/>
            <w:vAlign w:val="center"/>
            <w:hideMark/>
          </w:tcPr>
          <w:p w14:paraId="5C8AA0A8" w14:textId="77777777" w:rsidR="004F1C5F" w:rsidRPr="004F1C5F" w:rsidRDefault="004F1C5F" w:rsidP="004F1C5F">
            <w:pPr>
              <w:tabs>
                <w:tab w:val="clear" w:pos="567"/>
              </w:tabs>
              <w:spacing w:before="0" w:line="240" w:lineRule="auto"/>
              <w:jc w:val="right"/>
              <w:rPr>
                <w:rFonts w:ascii="Times New Roman" w:eastAsia="Times New Roman" w:hAnsi="Times New Roman" w:cs="Times New Roman"/>
                <w:szCs w:val="20"/>
                <w:lang w:eastAsia="en-AU"/>
              </w:rPr>
            </w:pPr>
          </w:p>
        </w:tc>
        <w:tc>
          <w:tcPr>
            <w:tcW w:w="713" w:type="dxa"/>
            <w:tcBorders>
              <w:top w:val="nil"/>
              <w:left w:val="nil"/>
              <w:bottom w:val="nil"/>
              <w:right w:val="nil"/>
            </w:tcBorders>
            <w:shd w:val="clear" w:color="auto" w:fill="auto"/>
            <w:noWrap/>
            <w:vAlign w:val="center"/>
            <w:hideMark/>
          </w:tcPr>
          <w:p w14:paraId="4D4244C4" w14:textId="77777777" w:rsidR="004F1C5F" w:rsidRPr="004F1C5F" w:rsidRDefault="004F1C5F" w:rsidP="004F1C5F">
            <w:pPr>
              <w:tabs>
                <w:tab w:val="clear" w:pos="567"/>
              </w:tabs>
              <w:spacing w:before="0" w:line="240" w:lineRule="auto"/>
              <w:jc w:val="right"/>
              <w:rPr>
                <w:rFonts w:ascii="Times New Roman" w:eastAsia="Times New Roman" w:hAnsi="Times New Roman" w:cs="Times New Roman"/>
                <w:szCs w:val="20"/>
                <w:lang w:eastAsia="en-AU"/>
              </w:rPr>
            </w:pPr>
          </w:p>
        </w:tc>
      </w:tr>
      <w:tr w:rsidR="004F1C5F" w:rsidRPr="004F1C5F" w14:paraId="68D18A20" w14:textId="77777777" w:rsidTr="00D16F76">
        <w:trPr>
          <w:trHeight w:val="315"/>
        </w:trPr>
        <w:tc>
          <w:tcPr>
            <w:tcW w:w="2692" w:type="dxa"/>
            <w:tcBorders>
              <w:top w:val="single" w:sz="4" w:space="0" w:color="ADD6EA"/>
              <w:left w:val="nil"/>
              <w:bottom w:val="nil"/>
              <w:right w:val="nil"/>
            </w:tcBorders>
            <w:shd w:val="clear" w:color="auto" w:fill="auto"/>
            <w:vAlign w:val="center"/>
            <w:hideMark/>
          </w:tcPr>
          <w:p w14:paraId="1097BF57"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Population growth</w:t>
            </w:r>
          </w:p>
        </w:tc>
        <w:tc>
          <w:tcPr>
            <w:tcW w:w="693" w:type="dxa"/>
            <w:tcBorders>
              <w:top w:val="single" w:sz="4" w:space="0" w:color="ADD6EA"/>
              <w:left w:val="nil"/>
              <w:bottom w:val="nil"/>
              <w:right w:val="nil"/>
            </w:tcBorders>
            <w:shd w:val="clear" w:color="auto" w:fill="auto"/>
            <w:noWrap/>
            <w:vAlign w:val="center"/>
            <w:hideMark/>
          </w:tcPr>
          <w:p w14:paraId="289436D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-1,134</w:t>
            </w:r>
          </w:p>
        </w:tc>
        <w:tc>
          <w:tcPr>
            <w:tcW w:w="693" w:type="dxa"/>
            <w:tcBorders>
              <w:top w:val="single" w:sz="4" w:space="0" w:color="ADD6EA"/>
              <w:left w:val="nil"/>
              <w:bottom w:val="nil"/>
              <w:right w:val="nil"/>
            </w:tcBorders>
            <w:shd w:val="clear" w:color="auto" w:fill="auto"/>
            <w:noWrap/>
            <w:vAlign w:val="center"/>
            <w:hideMark/>
          </w:tcPr>
          <w:p w14:paraId="590986F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-755</w:t>
            </w:r>
          </w:p>
        </w:tc>
        <w:tc>
          <w:tcPr>
            <w:tcW w:w="693" w:type="dxa"/>
            <w:tcBorders>
              <w:top w:val="single" w:sz="4" w:space="0" w:color="ADD6EA"/>
              <w:left w:val="nil"/>
              <w:bottom w:val="nil"/>
              <w:right w:val="nil"/>
            </w:tcBorders>
            <w:shd w:val="clear" w:color="auto" w:fill="auto"/>
            <w:noWrap/>
            <w:vAlign w:val="center"/>
            <w:hideMark/>
          </w:tcPr>
          <w:p w14:paraId="5D8C756B"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1,195</w:t>
            </w:r>
          </w:p>
        </w:tc>
        <w:tc>
          <w:tcPr>
            <w:tcW w:w="838" w:type="dxa"/>
            <w:tcBorders>
              <w:top w:val="single" w:sz="4" w:space="0" w:color="ADD6EA"/>
              <w:left w:val="nil"/>
              <w:bottom w:val="nil"/>
              <w:right w:val="nil"/>
            </w:tcBorders>
            <w:shd w:val="clear" w:color="auto" w:fill="auto"/>
            <w:noWrap/>
            <w:vAlign w:val="center"/>
            <w:hideMark/>
          </w:tcPr>
          <w:p w14:paraId="70817E1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681</w:t>
            </w:r>
          </w:p>
        </w:tc>
        <w:tc>
          <w:tcPr>
            <w:tcW w:w="734" w:type="dxa"/>
            <w:tcBorders>
              <w:top w:val="single" w:sz="4" w:space="0" w:color="ADD6EA"/>
              <w:left w:val="nil"/>
              <w:bottom w:val="nil"/>
              <w:right w:val="nil"/>
            </w:tcBorders>
            <w:shd w:val="clear" w:color="auto" w:fill="auto"/>
            <w:noWrap/>
            <w:vAlign w:val="center"/>
            <w:hideMark/>
          </w:tcPr>
          <w:p w14:paraId="32CEE14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-65</w:t>
            </w:r>
          </w:p>
        </w:tc>
        <w:tc>
          <w:tcPr>
            <w:tcW w:w="745" w:type="dxa"/>
            <w:tcBorders>
              <w:top w:val="single" w:sz="4" w:space="0" w:color="ADD6EA"/>
              <w:left w:val="nil"/>
              <w:bottom w:val="nil"/>
              <w:right w:val="nil"/>
            </w:tcBorders>
            <w:shd w:val="clear" w:color="auto" w:fill="auto"/>
            <w:noWrap/>
            <w:vAlign w:val="center"/>
            <w:hideMark/>
          </w:tcPr>
          <w:p w14:paraId="45A4CE6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w:t>
            </w:r>
          </w:p>
        </w:tc>
        <w:tc>
          <w:tcPr>
            <w:tcW w:w="570" w:type="dxa"/>
            <w:tcBorders>
              <w:top w:val="single" w:sz="4" w:space="0" w:color="ADD6EA"/>
              <w:left w:val="nil"/>
              <w:bottom w:val="nil"/>
              <w:right w:val="nil"/>
            </w:tcBorders>
            <w:shd w:val="clear" w:color="auto" w:fill="auto"/>
            <w:noWrap/>
            <w:vAlign w:val="center"/>
            <w:hideMark/>
          </w:tcPr>
          <w:p w14:paraId="5E906545"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78</w:t>
            </w:r>
          </w:p>
        </w:tc>
        <w:tc>
          <w:tcPr>
            <w:tcW w:w="693" w:type="dxa"/>
            <w:tcBorders>
              <w:top w:val="single" w:sz="4" w:space="0" w:color="ADD6EA"/>
              <w:left w:val="nil"/>
              <w:bottom w:val="nil"/>
              <w:right w:val="nil"/>
            </w:tcBorders>
            <w:shd w:val="clear" w:color="auto" w:fill="auto"/>
            <w:noWrap/>
            <w:vAlign w:val="center"/>
            <w:hideMark/>
          </w:tcPr>
          <w:p w14:paraId="6489E5F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w:t>
            </w:r>
          </w:p>
        </w:tc>
        <w:tc>
          <w:tcPr>
            <w:tcW w:w="713" w:type="dxa"/>
            <w:tcBorders>
              <w:top w:val="single" w:sz="4" w:space="0" w:color="ADD6EA"/>
              <w:left w:val="nil"/>
              <w:bottom w:val="nil"/>
              <w:right w:val="nil"/>
            </w:tcBorders>
            <w:shd w:val="clear" w:color="auto" w:fill="auto"/>
            <w:noWrap/>
            <w:vAlign w:val="center"/>
            <w:hideMark/>
          </w:tcPr>
          <w:p w14:paraId="19478BF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1,965</w:t>
            </w:r>
          </w:p>
        </w:tc>
      </w:tr>
      <w:tr w:rsidR="004F1C5F" w:rsidRPr="004F1C5F" w14:paraId="2CA4CB82" w14:textId="77777777" w:rsidTr="00D16F76">
        <w:trPr>
          <w:trHeight w:val="315"/>
        </w:trPr>
        <w:tc>
          <w:tcPr>
            <w:tcW w:w="2692" w:type="dxa"/>
            <w:tcBorders>
              <w:top w:val="single" w:sz="4" w:space="0" w:color="ADD6EA"/>
              <w:left w:val="nil"/>
              <w:bottom w:val="nil"/>
              <w:right w:val="nil"/>
            </w:tcBorders>
            <w:shd w:val="clear" w:color="auto" w:fill="auto"/>
            <w:vAlign w:val="center"/>
            <w:hideMark/>
          </w:tcPr>
          <w:p w14:paraId="49ACD015"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Capital improvements</w:t>
            </w:r>
          </w:p>
        </w:tc>
        <w:tc>
          <w:tcPr>
            <w:tcW w:w="693" w:type="dxa"/>
            <w:tcBorders>
              <w:top w:val="single" w:sz="4" w:space="0" w:color="ADD6EA"/>
              <w:left w:val="nil"/>
              <w:bottom w:val="nil"/>
              <w:right w:val="nil"/>
            </w:tcBorders>
            <w:shd w:val="clear" w:color="auto" w:fill="auto"/>
            <w:noWrap/>
            <w:vAlign w:val="center"/>
            <w:hideMark/>
          </w:tcPr>
          <w:p w14:paraId="05B7830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938</w:t>
            </w:r>
          </w:p>
        </w:tc>
        <w:tc>
          <w:tcPr>
            <w:tcW w:w="693" w:type="dxa"/>
            <w:tcBorders>
              <w:top w:val="single" w:sz="4" w:space="0" w:color="ADD6EA"/>
              <w:left w:val="nil"/>
              <w:bottom w:val="nil"/>
              <w:right w:val="nil"/>
            </w:tcBorders>
            <w:shd w:val="clear" w:color="auto" w:fill="auto"/>
            <w:noWrap/>
            <w:vAlign w:val="center"/>
            <w:hideMark/>
          </w:tcPr>
          <w:p w14:paraId="6C2A95BB"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194</w:t>
            </w:r>
          </w:p>
        </w:tc>
        <w:tc>
          <w:tcPr>
            <w:tcW w:w="693" w:type="dxa"/>
            <w:tcBorders>
              <w:top w:val="single" w:sz="4" w:space="0" w:color="ADD6EA"/>
              <w:left w:val="nil"/>
              <w:bottom w:val="nil"/>
              <w:right w:val="nil"/>
            </w:tcBorders>
            <w:shd w:val="clear" w:color="auto" w:fill="auto"/>
            <w:noWrap/>
            <w:vAlign w:val="center"/>
            <w:hideMark/>
          </w:tcPr>
          <w:p w14:paraId="38BF203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-438</w:t>
            </w:r>
          </w:p>
        </w:tc>
        <w:tc>
          <w:tcPr>
            <w:tcW w:w="838" w:type="dxa"/>
            <w:tcBorders>
              <w:top w:val="single" w:sz="4" w:space="0" w:color="ADD6EA"/>
              <w:left w:val="nil"/>
              <w:bottom w:val="nil"/>
              <w:right w:val="nil"/>
            </w:tcBorders>
            <w:shd w:val="clear" w:color="auto" w:fill="auto"/>
            <w:noWrap/>
            <w:vAlign w:val="center"/>
            <w:hideMark/>
          </w:tcPr>
          <w:p w14:paraId="1744C75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-128</w:t>
            </w:r>
          </w:p>
        </w:tc>
        <w:tc>
          <w:tcPr>
            <w:tcW w:w="734" w:type="dxa"/>
            <w:tcBorders>
              <w:top w:val="single" w:sz="4" w:space="0" w:color="ADD6EA"/>
              <w:left w:val="nil"/>
              <w:bottom w:val="nil"/>
              <w:right w:val="nil"/>
            </w:tcBorders>
            <w:shd w:val="clear" w:color="auto" w:fill="auto"/>
            <w:noWrap/>
            <w:vAlign w:val="center"/>
            <w:hideMark/>
          </w:tcPr>
          <w:p w14:paraId="44A0F04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-411</w:t>
            </w:r>
          </w:p>
        </w:tc>
        <w:tc>
          <w:tcPr>
            <w:tcW w:w="745" w:type="dxa"/>
            <w:tcBorders>
              <w:top w:val="single" w:sz="4" w:space="0" w:color="ADD6EA"/>
              <w:left w:val="nil"/>
              <w:bottom w:val="nil"/>
              <w:right w:val="nil"/>
            </w:tcBorders>
            <w:shd w:val="clear" w:color="auto" w:fill="auto"/>
            <w:noWrap/>
            <w:vAlign w:val="center"/>
            <w:hideMark/>
          </w:tcPr>
          <w:p w14:paraId="6D2EEE8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-240</w:t>
            </w:r>
          </w:p>
        </w:tc>
        <w:tc>
          <w:tcPr>
            <w:tcW w:w="570" w:type="dxa"/>
            <w:tcBorders>
              <w:top w:val="single" w:sz="4" w:space="0" w:color="ADD6EA"/>
              <w:left w:val="nil"/>
              <w:bottom w:val="nil"/>
              <w:right w:val="nil"/>
            </w:tcBorders>
            <w:shd w:val="clear" w:color="auto" w:fill="auto"/>
            <w:noWrap/>
            <w:vAlign w:val="center"/>
            <w:hideMark/>
          </w:tcPr>
          <w:p w14:paraId="3C814187"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-233</w:t>
            </w:r>
          </w:p>
        </w:tc>
        <w:tc>
          <w:tcPr>
            <w:tcW w:w="693" w:type="dxa"/>
            <w:tcBorders>
              <w:top w:val="single" w:sz="4" w:space="0" w:color="ADD6EA"/>
              <w:left w:val="nil"/>
              <w:bottom w:val="nil"/>
              <w:right w:val="nil"/>
            </w:tcBorders>
            <w:shd w:val="clear" w:color="auto" w:fill="auto"/>
            <w:noWrap/>
            <w:vAlign w:val="center"/>
            <w:hideMark/>
          </w:tcPr>
          <w:p w14:paraId="45BBB06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316</w:t>
            </w:r>
          </w:p>
        </w:tc>
        <w:tc>
          <w:tcPr>
            <w:tcW w:w="713" w:type="dxa"/>
            <w:tcBorders>
              <w:top w:val="single" w:sz="4" w:space="0" w:color="ADD6EA"/>
              <w:left w:val="nil"/>
              <w:bottom w:val="nil"/>
              <w:right w:val="nil"/>
            </w:tcBorders>
            <w:shd w:val="clear" w:color="auto" w:fill="auto"/>
            <w:noWrap/>
            <w:vAlign w:val="center"/>
            <w:hideMark/>
          </w:tcPr>
          <w:p w14:paraId="4C6A7F5C"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1,449</w:t>
            </w:r>
          </w:p>
        </w:tc>
      </w:tr>
      <w:tr w:rsidR="004F1C5F" w:rsidRPr="004F1C5F" w14:paraId="68E95A16" w14:textId="77777777" w:rsidTr="00D16F76">
        <w:trPr>
          <w:trHeight w:val="315"/>
        </w:trPr>
        <w:tc>
          <w:tcPr>
            <w:tcW w:w="2692" w:type="dxa"/>
            <w:tcBorders>
              <w:top w:val="single" w:sz="4" w:space="0" w:color="ADD6EA"/>
              <w:left w:val="nil"/>
              <w:bottom w:val="nil"/>
              <w:right w:val="nil"/>
            </w:tcBorders>
            <w:shd w:val="clear" w:color="auto" w:fill="auto"/>
            <w:vAlign w:val="center"/>
            <w:hideMark/>
          </w:tcPr>
          <w:p w14:paraId="492000F5"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Cost of construction</w:t>
            </w:r>
          </w:p>
        </w:tc>
        <w:tc>
          <w:tcPr>
            <w:tcW w:w="693" w:type="dxa"/>
            <w:tcBorders>
              <w:top w:val="single" w:sz="4" w:space="0" w:color="ADD6EA"/>
              <w:left w:val="nil"/>
              <w:bottom w:val="nil"/>
              <w:right w:val="nil"/>
            </w:tcBorders>
            <w:shd w:val="clear" w:color="auto" w:fill="auto"/>
            <w:noWrap/>
            <w:vAlign w:val="center"/>
            <w:hideMark/>
          </w:tcPr>
          <w:p w14:paraId="6BD1A2D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371</w:t>
            </w:r>
          </w:p>
        </w:tc>
        <w:tc>
          <w:tcPr>
            <w:tcW w:w="693" w:type="dxa"/>
            <w:tcBorders>
              <w:top w:val="single" w:sz="4" w:space="0" w:color="ADD6EA"/>
              <w:left w:val="nil"/>
              <w:bottom w:val="nil"/>
              <w:right w:val="nil"/>
            </w:tcBorders>
            <w:shd w:val="clear" w:color="auto" w:fill="auto"/>
            <w:noWrap/>
            <w:vAlign w:val="center"/>
            <w:hideMark/>
          </w:tcPr>
          <w:p w14:paraId="6460611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-710</w:t>
            </w:r>
          </w:p>
        </w:tc>
        <w:tc>
          <w:tcPr>
            <w:tcW w:w="693" w:type="dxa"/>
            <w:tcBorders>
              <w:top w:val="single" w:sz="4" w:space="0" w:color="ADD6EA"/>
              <w:left w:val="nil"/>
              <w:bottom w:val="nil"/>
              <w:right w:val="nil"/>
            </w:tcBorders>
            <w:shd w:val="clear" w:color="auto" w:fill="auto"/>
            <w:noWrap/>
            <w:vAlign w:val="center"/>
            <w:hideMark/>
          </w:tcPr>
          <w:p w14:paraId="607A046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-191</w:t>
            </w:r>
          </w:p>
        </w:tc>
        <w:tc>
          <w:tcPr>
            <w:tcW w:w="838" w:type="dxa"/>
            <w:tcBorders>
              <w:top w:val="single" w:sz="4" w:space="0" w:color="ADD6EA"/>
              <w:left w:val="nil"/>
              <w:bottom w:val="nil"/>
              <w:right w:val="nil"/>
            </w:tcBorders>
            <w:shd w:val="clear" w:color="auto" w:fill="auto"/>
            <w:noWrap/>
            <w:vAlign w:val="center"/>
            <w:hideMark/>
          </w:tcPr>
          <w:p w14:paraId="4406C03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445</w:t>
            </w:r>
          </w:p>
        </w:tc>
        <w:tc>
          <w:tcPr>
            <w:tcW w:w="734" w:type="dxa"/>
            <w:tcBorders>
              <w:top w:val="single" w:sz="4" w:space="0" w:color="ADD6EA"/>
              <w:left w:val="nil"/>
              <w:bottom w:val="nil"/>
              <w:right w:val="nil"/>
            </w:tcBorders>
            <w:shd w:val="clear" w:color="auto" w:fill="auto"/>
            <w:noWrap/>
            <w:vAlign w:val="center"/>
            <w:hideMark/>
          </w:tcPr>
          <w:p w14:paraId="52093362"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-56</w:t>
            </w:r>
          </w:p>
        </w:tc>
        <w:tc>
          <w:tcPr>
            <w:tcW w:w="745" w:type="dxa"/>
            <w:tcBorders>
              <w:top w:val="single" w:sz="4" w:space="0" w:color="ADD6EA"/>
              <w:left w:val="nil"/>
              <w:bottom w:val="nil"/>
              <w:right w:val="nil"/>
            </w:tcBorders>
            <w:shd w:val="clear" w:color="auto" w:fill="auto"/>
            <w:noWrap/>
            <w:vAlign w:val="center"/>
            <w:hideMark/>
          </w:tcPr>
          <w:p w14:paraId="460506E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-54</w:t>
            </w:r>
          </w:p>
        </w:tc>
        <w:tc>
          <w:tcPr>
            <w:tcW w:w="570" w:type="dxa"/>
            <w:tcBorders>
              <w:top w:val="single" w:sz="4" w:space="0" w:color="ADD6EA"/>
              <w:left w:val="nil"/>
              <w:bottom w:val="nil"/>
              <w:right w:val="nil"/>
            </w:tcBorders>
            <w:shd w:val="clear" w:color="auto" w:fill="auto"/>
            <w:noWrap/>
            <w:vAlign w:val="center"/>
            <w:hideMark/>
          </w:tcPr>
          <w:p w14:paraId="49E78126"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36</w:t>
            </w:r>
          </w:p>
        </w:tc>
        <w:tc>
          <w:tcPr>
            <w:tcW w:w="693" w:type="dxa"/>
            <w:tcBorders>
              <w:top w:val="single" w:sz="4" w:space="0" w:color="ADD6EA"/>
              <w:left w:val="nil"/>
              <w:bottom w:val="nil"/>
              <w:right w:val="nil"/>
            </w:tcBorders>
            <w:shd w:val="clear" w:color="auto" w:fill="auto"/>
            <w:noWrap/>
            <w:vAlign w:val="center"/>
            <w:hideMark/>
          </w:tcPr>
          <w:p w14:paraId="51525A7B"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158</w:t>
            </w:r>
          </w:p>
        </w:tc>
        <w:tc>
          <w:tcPr>
            <w:tcW w:w="713" w:type="dxa"/>
            <w:tcBorders>
              <w:top w:val="single" w:sz="4" w:space="0" w:color="ADD6EA"/>
              <w:left w:val="nil"/>
              <w:bottom w:val="nil"/>
              <w:right w:val="nil"/>
            </w:tcBorders>
            <w:shd w:val="clear" w:color="auto" w:fill="auto"/>
            <w:noWrap/>
            <w:vAlign w:val="center"/>
            <w:hideMark/>
          </w:tcPr>
          <w:p w14:paraId="5F660C0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1,011</w:t>
            </w:r>
          </w:p>
        </w:tc>
      </w:tr>
      <w:tr w:rsidR="004F1C5F" w:rsidRPr="004F1C5F" w14:paraId="442BE715" w14:textId="77777777" w:rsidTr="00D16F76">
        <w:trPr>
          <w:trHeight w:val="315"/>
        </w:trPr>
        <w:tc>
          <w:tcPr>
            <w:tcW w:w="2692" w:type="dxa"/>
            <w:tcBorders>
              <w:top w:val="single" w:sz="4" w:space="0" w:color="ADD6EA"/>
              <w:left w:val="nil"/>
              <w:bottom w:val="single" w:sz="4" w:space="0" w:color="ADD6EA"/>
              <w:right w:val="nil"/>
            </w:tcBorders>
            <w:shd w:val="clear" w:color="000000" w:fill="B6D5E4"/>
            <w:vAlign w:val="center"/>
            <w:hideMark/>
          </w:tcPr>
          <w:p w14:paraId="5B31F880" w14:textId="77777777" w:rsidR="004F1C5F" w:rsidRPr="004F1C5F" w:rsidRDefault="004F1C5F" w:rsidP="004F1C5F">
            <w:pPr>
              <w:tabs>
                <w:tab w:val="clear" w:pos="567"/>
              </w:tabs>
              <w:spacing w:before="0" w:line="240" w:lineRule="auto"/>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TOTAL INVESTMENT</w:t>
            </w:r>
          </w:p>
        </w:tc>
        <w:tc>
          <w:tcPr>
            <w:tcW w:w="693" w:type="dxa"/>
            <w:tcBorders>
              <w:top w:val="single" w:sz="4" w:space="0" w:color="ADD6EA"/>
              <w:left w:val="nil"/>
              <w:bottom w:val="single" w:sz="4" w:space="0" w:color="ADD6EA"/>
              <w:right w:val="nil"/>
            </w:tcBorders>
            <w:shd w:val="clear" w:color="000000" w:fill="B6D5E4"/>
            <w:noWrap/>
            <w:vAlign w:val="center"/>
            <w:hideMark/>
          </w:tcPr>
          <w:p w14:paraId="27171FAB"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176</w:t>
            </w:r>
          </w:p>
        </w:tc>
        <w:tc>
          <w:tcPr>
            <w:tcW w:w="693" w:type="dxa"/>
            <w:tcBorders>
              <w:top w:val="single" w:sz="4" w:space="0" w:color="ADD6EA"/>
              <w:left w:val="nil"/>
              <w:bottom w:val="single" w:sz="4" w:space="0" w:color="ADD6EA"/>
              <w:right w:val="nil"/>
            </w:tcBorders>
            <w:shd w:val="clear" w:color="000000" w:fill="B6D5E4"/>
            <w:noWrap/>
            <w:vAlign w:val="center"/>
            <w:hideMark/>
          </w:tcPr>
          <w:p w14:paraId="3D269C71"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-1,271</w:t>
            </w:r>
          </w:p>
        </w:tc>
        <w:tc>
          <w:tcPr>
            <w:tcW w:w="693" w:type="dxa"/>
            <w:tcBorders>
              <w:top w:val="single" w:sz="4" w:space="0" w:color="ADD6EA"/>
              <w:left w:val="nil"/>
              <w:bottom w:val="single" w:sz="4" w:space="0" w:color="ADD6EA"/>
              <w:right w:val="nil"/>
            </w:tcBorders>
            <w:shd w:val="clear" w:color="000000" w:fill="B6D5E4"/>
            <w:noWrap/>
            <w:vAlign w:val="center"/>
            <w:hideMark/>
          </w:tcPr>
          <w:p w14:paraId="0D4C732B"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565</w:t>
            </w:r>
          </w:p>
        </w:tc>
        <w:tc>
          <w:tcPr>
            <w:tcW w:w="838" w:type="dxa"/>
            <w:tcBorders>
              <w:top w:val="single" w:sz="4" w:space="0" w:color="ADD6EA"/>
              <w:left w:val="nil"/>
              <w:bottom w:val="single" w:sz="4" w:space="0" w:color="ADD6EA"/>
              <w:right w:val="nil"/>
            </w:tcBorders>
            <w:shd w:val="clear" w:color="000000" w:fill="B6D5E4"/>
            <w:noWrap/>
            <w:vAlign w:val="center"/>
            <w:hideMark/>
          </w:tcPr>
          <w:p w14:paraId="48EB0379"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999</w:t>
            </w:r>
          </w:p>
        </w:tc>
        <w:tc>
          <w:tcPr>
            <w:tcW w:w="734" w:type="dxa"/>
            <w:tcBorders>
              <w:top w:val="single" w:sz="4" w:space="0" w:color="ADD6EA"/>
              <w:left w:val="nil"/>
              <w:bottom w:val="single" w:sz="4" w:space="0" w:color="ADD6EA"/>
              <w:right w:val="nil"/>
            </w:tcBorders>
            <w:shd w:val="clear" w:color="000000" w:fill="B6D5E4"/>
            <w:noWrap/>
            <w:vAlign w:val="center"/>
            <w:hideMark/>
          </w:tcPr>
          <w:p w14:paraId="7AF12467"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-532</w:t>
            </w:r>
          </w:p>
        </w:tc>
        <w:tc>
          <w:tcPr>
            <w:tcW w:w="745" w:type="dxa"/>
            <w:tcBorders>
              <w:top w:val="single" w:sz="4" w:space="0" w:color="ADD6EA"/>
              <w:left w:val="nil"/>
              <w:bottom w:val="single" w:sz="4" w:space="0" w:color="ADD6EA"/>
              <w:right w:val="nil"/>
            </w:tcBorders>
            <w:shd w:val="clear" w:color="000000" w:fill="B6D5E4"/>
            <w:noWrap/>
            <w:vAlign w:val="center"/>
            <w:hideMark/>
          </w:tcPr>
          <w:p w14:paraId="100E6F65"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-283</w:t>
            </w:r>
          </w:p>
        </w:tc>
        <w:tc>
          <w:tcPr>
            <w:tcW w:w="570" w:type="dxa"/>
            <w:tcBorders>
              <w:top w:val="single" w:sz="4" w:space="0" w:color="ADD6EA"/>
              <w:left w:val="nil"/>
              <w:bottom w:val="single" w:sz="4" w:space="0" w:color="ADD6EA"/>
              <w:right w:val="nil"/>
            </w:tcBorders>
            <w:shd w:val="clear" w:color="000000" w:fill="B6D5E4"/>
            <w:noWrap/>
            <w:vAlign w:val="center"/>
            <w:hideMark/>
          </w:tcPr>
          <w:p w14:paraId="14D41F6E"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-118</w:t>
            </w:r>
          </w:p>
        </w:tc>
        <w:tc>
          <w:tcPr>
            <w:tcW w:w="693" w:type="dxa"/>
            <w:tcBorders>
              <w:top w:val="single" w:sz="4" w:space="0" w:color="ADD6EA"/>
              <w:left w:val="nil"/>
              <w:bottom w:val="single" w:sz="4" w:space="0" w:color="ADD6EA"/>
              <w:right w:val="nil"/>
            </w:tcBorders>
            <w:shd w:val="clear" w:color="000000" w:fill="B6D5E4"/>
            <w:noWrap/>
            <w:vAlign w:val="center"/>
            <w:hideMark/>
          </w:tcPr>
          <w:p w14:paraId="28C6791B"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464</w:t>
            </w:r>
          </w:p>
        </w:tc>
        <w:tc>
          <w:tcPr>
            <w:tcW w:w="713" w:type="dxa"/>
            <w:tcBorders>
              <w:top w:val="single" w:sz="4" w:space="0" w:color="ADD6EA"/>
              <w:left w:val="nil"/>
              <w:bottom w:val="single" w:sz="4" w:space="0" w:color="ADD6EA"/>
              <w:right w:val="nil"/>
            </w:tcBorders>
            <w:shd w:val="clear" w:color="000000" w:fill="B6D5E4"/>
            <w:noWrap/>
            <w:vAlign w:val="center"/>
            <w:hideMark/>
          </w:tcPr>
          <w:p w14:paraId="6120D8D9"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2,204</w:t>
            </w:r>
          </w:p>
        </w:tc>
      </w:tr>
      <w:tr w:rsidR="004F1C5F" w:rsidRPr="004F1C5F" w14:paraId="1A782EB2" w14:textId="77777777" w:rsidTr="00D16F76">
        <w:trPr>
          <w:trHeight w:val="315"/>
        </w:trPr>
        <w:tc>
          <w:tcPr>
            <w:tcW w:w="2692" w:type="dxa"/>
            <w:tcBorders>
              <w:top w:val="nil"/>
              <w:left w:val="nil"/>
              <w:bottom w:val="nil"/>
              <w:right w:val="nil"/>
            </w:tcBorders>
            <w:shd w:val="clear" w:color="auto" w:fill="auto"/>
            <w:vAlign w:val="center"/>
            <w:hideMark/>
          </w:tcPr>
          <w:p w14:paraId="634CD9D5" w14:textId="77777777" w:rsidR="004F1C5F" w:rsidRPr="004F1C5F" w:rsidRDefault="004F1C5F" w:rsidP="004F1C5F">
            <w:pPr>
              <w:tabs>
                <w:tab w:val="clear" w:pos="567"/>
              </w:tabs>
              <w:spacing w:before="0" w:line="240" w:lineRule="auto"/>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NET BORROWING</w:t>
            </w:r>
          </w:p>
        </w:tc>
        <w:tc>
          <w:tcPr>
            <w:tcW w:w="693" w:type="dxa"/>
            <w:tcBorders>
              <w:top w:val="nil"/>
              <w:left w:val="nil"/>
              <w:bottom w:val="nil"/>
              <w:right w:val="nil"/>
            </w:tcBorders>
            <w:shd w:val="clear" w:color="auto" w:fill="auto"/>
            <w:noWrap/>
            <w:vAlign w:val="center"/>
            <w:hideMark/>
          </w:tcPr>
          <w:p w14:paraId="164DABFB"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272</w:t>
            </w:r>
          </w:p>
        </w:tc>
        <w:tc>
          <w:tcPr>
            <w:tcW w:w="693" w:type="dxa"/>
            <w:tcBorders>
              <w:top w:val="nil"/>
              <w:left w:val="nil"/>
              <w:bottom w:val="nil"/>
              <w:right w:val="nil"/>
            </w:tcBorders>
            <w:shd w:val="clear" w:color="auto" w:fill="auto"/>
            <w:noWrap/>
            <w:vAlign w:val="center"/>
            <w:hideMark/>
          </w:tcPr>
          <w:p w14:paraId="3CCB695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177</w:t>
            </w:r>
          </w:p>
        </w:tc>
        <w:tc>
          <w:tcPr>
            <w:tcW w:w="693" w:type="dxa"/>
            <w:tcBorders>
              <w:top w:val="nil"/>
              <w:left w:val="nil"/>
              <w:bottom w:val="nil"/>
              <w:right w:val="nil"/>
            </w:tcBorders>
            <w:shd w:val="clear" w:color="auto" w:fill="auto"/>
            <w:noWrap/>
            <w:vAlign w:val="center"/>
            <w:hideMark/>
          </w:tcPr>
          <w:p w14:paraId="629602E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-278</w:t>
            </w:r>
          </w:p>
        </w:tc>
        <w:tc>
          <w:tcPr>
            <w:tcW w:w="838" w:type="dxa"/>
            <w:tcBorders>
              <w:top w:val="nil"/>
              <w:left w:val="nil"/>
              <w:bottom w:val="nil"/>
              <w:right w:val="nil"/>
            </w:tcBorders>
            <w:shd w:val="clear" w:color="auto" w:fill="auto"/>
            <w:noWrap/>
            <w:vAlign w:val="center"/>
            <w:hideMark/>
          </w:tcPr>
          <w:p w14:paraId="2FFB3EC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-179</w:t>
            </w:r>
          </w:p>
        </w:tc>
        <w:tc>
          <w:tcPr>
            <w:tcW w:w="734" w:type="dxa"/>
            <w:tcBorders>
              <w:top w:val="nil"/>
              <w:left w:val="nil"/>
              <w:bottom w:val="nil"/>
              <w:right w:val="nil"/>
            </w:tcBorders>
            <w:shd w:val="clear" w:color="auto" w:fill="auto"/>
            <w:noWrap/>
            <w:vAlign w:val="center"/>
            <w:hideMark/>
          </w:tcPr>
          <w:p w14:paraId="54A320D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6</w:t>
            </w:r>
          </w:p>
        </w:tc>
        <w:tc>
          <w:tcPr>
            <w:tcW w:w="745" w:type="dxa"/>
            <w:tcBorders>
              <w:top w:val="nil"/>
              <w:left w:val="nil"/>
              <w:bottom w:val="nil"/>
              <w:right w:val="nil"/>
            </w:tcBorders>
            <w:shd w:val="clear" w:color="auto" w:fill="auto"/>
            <w:noWrap/>
            <w:vAlign w:val="center"/>
            <w:hideMark/>
          </w:tcPr>
          <w:p w14:paraId="1130CBA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8</w:t>
            </w:r>
          </w:p>
        </w:tc>
        <w:tc>
          <w:tcPr>
            <w:tcW w:w="570" w:type="dxa"/>
            <w:tcBorders>
              <w:top w:val="nil"/>
              <w:left w:val="nil"/>
              <w:bottom w:val="nil"/>
              <w:right w:val="nil"/>
            </w:tcBorders>
            <w:shd w:val="clear" w:color="auto" w:fill="auto"/>
            <w:noWrap/>
            <w:vAlign w:val="center"/>
            <w:hideMark/>
          </w:tcPr>
          <w:p w14:paraId="18027C5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-18</w:t>
            </w:r>
          </w:p>
        </w:tc>
        <w:tc>
          <w:tcPr>
            <w:tcW w:w="693" w:type="dxa"/>
            <w:tcBorders>
              <w:top w:val="nil"/>
              <w:left w:val="nil"/>
              <w:bottom w:val="nil"/>
              <w:right w:val="nil"/>
            </w:tcBorders>
            <w:shd w:val="clear" w:color="auto" w:fill="auto"/>
            <w:noWrap/>
            <w:vAlign w:val="center"/>
            <w:hideMark/>
          </w:tcPr>
          <w:p w14:paraId="326832C7"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12</w:t>
            </w:r>
          </w:p>
        </w:tc>
        <w:tc>
          <w:tcPr>
            <w:tcW w:w="713" w:type="dxa"/>
            <w:tcBorders>
              <w:top w:val="nil"/>
              <w:left w:val="nil"/>
              <w:bottom w:val="nil"/>
              <w:right w:val="nil"/>
            </w:tcBorders>
            <w:shd w:val="clear" w:color="auto" w:fill="auto"/>
            <w:noWrap/>
            <w:vAlign w:val="center"/>
            <w:hideMark/>
          </w:tcPr>
          <w:p w14:paraId="6270BFBA"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475</w:t>
            </w:r>
          </w:p>
        </w:tc>
      </w:tr>
      <w:tr w:rsidR="004F1C5F" w:rsidRPr="004F1C5F" w14:paraId="662930C0" w14:textId="77777777" w:rsidTr="00D16F76">
        <w:trPr>
          <w:trHeight w:val="555"/>
        </w:trPr>
        <w:tc>
          <w:tcPr>
            <w:tcW w:w="2692" w:type="dxa"/>
            <w:tcBorders>
              <w:top w:val="single" w:sz="4" w:space="0" w:color="ADD6EA"/>
              <w:left w:val="nil"/>
              <w:bottom w:val="single" w:sz="4" w:space="0" w:color="ADD6EA"/>
              <w:right w:val="nil"/>
            </w:tcBorders>
            <w:shd w:val="clear" w:color="000000" w:fill="B6D5E4"/>
            <w:vAlign w:val="center"/>
            <w:hideMark/>
          </w:tcPr>
          <w:p w14:paraId="0FA41A44" w14:textId="77777777" w:rsidR="004F1C5F" w:rsidRPr="004F1C5F" w:rsidRDefault="004F1C5F" w:rsidP="004F1C5F">
            <w:pPr>
              <w:tabs>
                <w:tab w:val="clear" w:pos="567"/>
              </w:tabs>
              <w:spacing w:before="0" w:line="240" w:lineRule="auto"/>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Total effect of assessed relativities (a)</w:t>
            </w:r>
          </w:p>
        </w:tc>
        <w:tc>
          <w:tcPr>
            <w:tcW w:w="693" w:type="dxa"/>
            <w:tcBorders>
              <w:top w:val="single" w:sz="4" w:space="0" w:color="ADD6EA"/>
              <w:left w:val="nil"/>
              <w:bottom w:val="single" w:sz="4" w:space="0" w:color="ADD6EA"/>
              <w:right w:val="nil"/>
            </w:tcBorders>
            <w:shd w:val="clear" w:color="000000" w:fill="B6D5E4"/>
            <w:noWrap/>
            <w:vAlign w:val="center"/>
            <w:hideMark/>
          </w:tcPr>
          <w:p w14:paraId="25904DA4"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-1,570</w:t>
            </w:r>
          </w:p>
        </w:tc>
        <w:tc>
          <w:tcPr>
            <w:tcW w:w="693" w:type="dxa"/>
            <w:tcBorders>
              <w:top w:val="single" w:sz="4" w:space="0" w:color="ADD6EA"/>
              <w:left w:val="nil"/>
              <w:bottom w:val="single" w:sz="4" w:space="0" w:color="ADD6EA"/>
              <w:right w:val="nil"/>
            </w:tcBorders>
            <w:shd w:val="clear" w:color="000000" w:fill="B6D5E4"/>
            <w:noWrap/>
            <w:vAlign w:val="center"/>
            <w:hideMark/>
          </w:tcPr>
          <w:p w14:paraId="2BFF4321"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956</w:t>
            </w:r>
          </w:p>
        </w:tc>
        <w:tc>
          <w:tcPr>
            <w:tcW w:w="693" w:type="dxa"/>
            <w:tcBorders>
              <w:top w:val="single" w:sz="4" w:space="0" w:color="ADD6EA"/>
              <w:left w:val="nil"/>
              <w:bottom w:val="single" w:sz="4" w:space="0" w:color="ADD6EA"/>
              <w:right w:val="nil"/>
            </w:tcBorders>
            <w:shd w:val="clear" w:color="000000" w:fill="B6D5E4"/>
            <w:noWrap/>
            <w:vAlign w:val="center"/>
            <w:hideMark/>
          </w:tcPr>
          <w:p w14:paraId="7ABF0574"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528</w:t>
            </w:r>
          </w:p>
        </w:tc>
        <w:tc>
          <w:tcPr>
            <w:tcW w:w="838" w:type="dxa"/>
            <w:tcBorders>
              <w:top w:val="single" w:sz="4" w:space="0" w:color="ADD6EA"/>
              <w:left w:val="nil"/>
              <w:bottom w:val="single" w:sz="4" w:space="0" w:color="ADD6EA"/>
              <w:right w:val="nil"/>
            </w:tcBorders>
            <w:shd w:val="clear" w:color="000000" w:fill="B6D5E4"/>
            <w:noWrap/>
            <w:vAlign w:val="center"/>
            <w:hideMark/>
          </w:tcPr>
          <w:p w14:paraId="0D412363"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-8,524</w:t>
            </w:r>
          </w:p>
        </w:tc>
        <w:tc>
          <w:tcPr>
            <w:tcW w:w="734" w:type="dxa"/>
            <w:tcBorders>
              <w:top w:val="single" w:sz="4" w:space="0" w:color="ADD6EA"/>
              <w:left w:val="nil"/>
              <w:bottom w:val="single" w:sz="4" w:space="0" w:color="ADD6EA"/>
              <w:right w:val="nil"/>
            </w:tcBorders>
            <w:shd w:val="clear" w:color="000000" w:fill="B6D5E4"/>
            <w:noWrap/>
            <w:vAlign w:val="center"/>
            <w:hideMark/>
          </w:tcPr>
          <w:p w14:paraId="16F74457"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2,965</w:t>
            </w:r>
          </w:p>
        </w:tc>
        <w:tc>
          <w:tcPr>
            <w:tcW w:w="745" w:type="dxa"/>
            <w:tcBorders>
              <w:top w:val="single" w:sz="4" w:space="0" w:color="ADD6EA"/>
              <w:left w:val="nil"/>
              <w:bottom w:val="single" w:sz="4" w:space="0" w:color="ADD6EA"/>
              <w:right w:val="nil"/>
            </w:tcBorders>
            <w:shd w:val="clear" w:color="000000" w:fill="B6D5E4"/>
            <w:noWrap/>
            <w:vAlign w:val="center"/>
            <w:hideMark/>
          </w:tcPr>
          <w:p w14:paraId="27057A00"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1,721</w:t>
            </w:r>
          </w:p>
        </w:tc>
        <w:tc>
          <w:tcPr>
            <w:tcW w:w="570" w:type="dxa"/>
            <w:tcBorders>
              <w:top w:val="single" w:sz="4" w:space="0" w:color="ADD6EA"/>
              <w:left w:val="nil"/>
              <w:bottom w:val="single" w:sz="4" w:space="0" w:color="ADD6EA"/>
              <w:right w:val="nil"/>
            </w:tcBorders>
            <w:shd w:val="clear" w:color="000000" w:fill="B6D5E4"/>
            <w:noWrap/>
            <w:vAlign w:val="center"/>
            <w:hideMark/>
          </w:tcPr>
          <w:p w14:paraId="182614EA"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441</w:t>
            </w:r>
          </w:p>
        </w:tc>
        <w:tc>
          <w:tcPr>
            <w:tcW w:w="693" w:type="dxa"/>
            <w:tcBorders>
              <w:top w:val="single" w:sz="4" w:space="0" w:color="ADD6EA"/>
              <w:left w:val="nil"/>
              <w:bottom w:val="single" w:sz="4" w:space="0" w:color="ADD6EA"/>
              <w:right w:val="nil"/>
            </w:tcBorders>
            <w:shd w:val="clear" w:color="000000" w:fill="B6D5E4"/>
            <w:noWrap/>
            <w:vAlign w:val="center"/>
            <w:hideMark/>
          </w:tcPr>
          <w:p w14:paraId="07FD105B"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3,483</w:t>
            </w:r>
          </w:p>
        </w:tc>
        <w:tc>
          <w:tcPr>
            <w:tcW w:w="713" w:type="dxa"/>
            <w:tcBorders>
              <w:top w:val="single" w:sz="4" w:space="0" w:color="ADD6EA"/>
              <w:left w:val="nil"/>
              <w:bottom w:val="single" w:sz="4" w:space="0" w:color="ADD6EA"/>
              <w:right w:val="nil"/>
            </w:tcBorders>
            <w:shd w:val="clear" w:color="000000" w:fill="B6D5E4"/>
            <w:noWrap/>
            <w:vAlign w:val="center"/>
            <w:hideMark/>
          </w:tcPr>
          <w:p w14:paraId="12692125"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10,094</w:t>
            </w:r>
          </w:p>
        </w:tc>
      </w:tr>
      <w:tr w:rsidR="004F1C5F" w:rsidRPr="004F1C5F" w14:paraId="7D94A90B" w14:textId="77777777" w:rsidTr="00D16F76">
        <w:trPr>
          <w:trHeight w:val="315"/>
        </w:trPr>
        <w:tc>
          <w:tcPr>
            <w:tcW w:w="2692" w:type="dxa"/>
            <w:tcBorders>
              <w:top w:val="nil"/>
              <w:left w:val="nil"/>
              <w:bottom w:val="nil"/>
              <w:right w:val="nil"/>
            </w:tcBorders>
            <w:shd w:val="clear" w:color="auto" w:fill="auto"/>
            <w:vAlign w:val="center"/>
            <w:hideMark/>
          </w:tcPr>
          <w:p w14:paraId="55402B50"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Blending relativities</w:t>
            </w:r>
          </w:p>
        </w:tc>
        <w:tc>
          <w:tcPr>
            <w:tcW w:w="693" w:type="dxa"/>
            <w:tcBorders>
              <w:top w:val="nil"/>
              <w:left w:val="nil"/>
              <w:bottom w:val="nil"/>
              <w:right w:val="nil"/>
            </w:tcBorders>
            <w:shd w:val="clear" w:color="auto" w:fill="auto"/>
            <w:noWrap/>
            <w:vAlign w:val="center"/>
            <w:hideMark/>
          </w:tcPr>
          <w:p w14:paraId="19CA75A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-1,593</w:t>
            </w:r>
          </w:p>
        </w:tc>
        <w:tc>
          <w:tcPr>
            <w:tcW w:w="693" w:type="dxa"/>
            <w:tcBorders>
              <w:top w:val="nil"/>
              <w:left w:val="nil"/>
              <w:bottom w:val="nil"/>
              <w:right w:val="nil"/>
            </w:tcBorders>
            <w:shd w:val="clear" w:color="auto" w:fill="auto"/>
            <w:noWrap/>
            <w:vAlign w:val="center"/>
            <w:hideMark/>
          </w:tcPr>
          <w:p w14:paraId="071150FB"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-1,315</w:t>
            </w:r>
          </w:p>
        </w:tc>
        <w:tc>
          <w:tcPr>
            <w:tcW w:w="693" w:type="dxa"/>
            <w:tcBorders>
              <w:top w:val="nil"/>
              <w:left w:val="nil"/>
              <w:bottom w:val="nil"/>
              <w:right w:val="nil"/>
            </w:tcBorders>
            <w:shd w:val="clear" w:color="auto" w:fill="auto"/>
            <w:noWrap/>
            <w:vAlign w:val="center"/>
            <w:hideMark/>
          </w:tcPr>
          <w:p w14:paraId="3E5C6C9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-1,046</w:t>
            </w:r>
          </w:p>
        </w:tc>
        <w:tc>
          <w:tcPr>
            <w:tcW w:w="838" w:type="dxa"/>
            <w:tcBorders>
              <w:top w:val="nil"/>
              <w:left w:val="nil"/>
              <w:bottom w:val="nil"/>
              <w:right w:val="nil"/>
            </w:tcBorders>
            <w:shd w:val="clear" w:color="auto" w:fill="auto"/>
            <w:noWrap/>
            <w:vAlign w:val="center"/>
            <w:hideMark/>
          </w:tcPr>
          <w:p w14:paraId="7ABE1080"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4,558</w:t>
            </w:r>
          </w:p>
        </w:tc>
        <w:tc>
          <w:tcPr>
            <w:tcW w:w="734" w:type="dxa"/>
            <w:tcBorders>
              <w:top w:val="nil"/>
              <w:left w:val="nil"/>
              <w:bottom w:val="nil"/>
              <w:right w:val="nil"/>
            </w:tcBorders>
            <w:shd w:val="clear" w:color="auto" w:fill="auto"/>
            <w:noWrap/>
            <w:vAlign w:val="center"/>
            <w:hideMark/>
          </w:tcPr>
          <w:p w14:paraId="688BFB2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-354</w:t>
            </w:r>
          </w:p>
        </w:tc>
        <w:tc>
          <w:tcPr>
            <w:tcW w:w="745" w:type="dxa"/>
            <w:tcBorders>
              <w:top w:val="nil"/>
              <w:left w:val="nil"/>
              <w:bottom w:val="nil"/>
              <w:right w:val="nil"/>
            </w:tcBorders>
            <w:shd w:val="clear" w:color="auto" w:fill="auto"/>
            <w:noWrap/>
            <w:vAlign w:val="center"/>
            <w:hideMark/>
          </w:tcPr>
          <w:p w14:paraId="5D2FF724"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-110</w:t>
            </w:r>
          </w:p>
        </w:tc>
        <w:tc>
          <w:tcPr>
            <w:tcW w:w="570" w:type="dxa"/>
            <w:tcBorders>
              <w:top w:val="nil"/>
              <w:left w:val="nil"/>
              <w:bottom w:val="nil"/>
              <w:right w:val="nil"/>
            </w:tcBorders>
            <w:shd w:val="clear" w:color="auto" w:fill="auto"/>
            <w:noWrap/>
            <w:vAlign w:val="center"/>
            <w:hideMark/>
          </w:tcPr>
          <w:p w14:paraId="1428FB5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-90</w:t>
            </w:r>
          </w:p>
        </w:tc>
        <w:tc>
          <w:tcPr>
            <w:tcW w:w="693" w:type="dxa"/>
            <w:tcBorders>
              <w:top w:val="nil"/>
              <w:left w:val="nil"/>
              <w:bottom w:val="nil"/>
              <w:right w:val="nil"/>
            </w:tcBorders>
            <w:shd w:val="clear" w:color="auto" w:fill="auto"/>
            <w:noWrap/>
            <w:vAlign w:val="center"/>
            <w:hideMark/>
          </w:tcPr>
          <w:p w14:paraId="033F1B97"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-50</w:t>
            </w:r>
          </w:p>
        </w:tc>
        <w:tc>
          <w:tcPr>
            <w:tcW w:w="713" w:type="dxa"/>
            <w:tcBorders>
              <w:top w:val="nil"/>
              <w:left w:val="nil"/>
              <w:bottom w:val="nil"/>
              <w:right w:val="nil"/>
            </w:tcBorders>
            <w:shd w:val="clear" w:color="auto" w:fill="auto"/>
            <w:noWrap/>
            <w:vAlign w:val="center"/>
            <w:hideMark/>
          </w:tcPr>
          <w:p w14:paraId="2712214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4,558</w:t>
            </w:r>
          </w:p>
        </w:tc>
      </w:tr>
      <w:tr w:rsidR="004F1C5F" w:rsidRPr="004F1C5F" w14:paraId="678AC0C6" w14:textId="77777777" w:rsidTr="00D16F76">
        <w:trPr>
          <w:trHeight w:val="315"/>
        </w:trPr>
        <w:tc>
          <w:tcPr>
            <w:tcW w:w="2692" w:type="dxa"/>
            <w:tcBorders>
              <w:top w:val="single" w:sz="4" w:space="0" w:color="ADD6EA"/>
              <w:left w:val="nil"/>
              <w:bottom w:val="nil"/>
              <w:right w:val="nil"/>
            </w:tcBorders>
            <w:shd w:val="clear" w:color="auto" w:fill="auto"/>
            <w:vAlign w:val="center"/>
            <w:hideMark/>
          </w:tcPr>
          <w:p w14:paraId="4B25F791" w14:textId="77777777" w:rsidR="004F1C5F" w:rsidRPr="004F1C5F" w:rsidRDefault="004F1C5F" w:rsidP="004F1C5F">
            <w:pPr>
              <w:tabs>
                <w:tab w:val="clear" w:pos="567"/>
              </w:tabs>
              <w:spacing w:before="0" w:line="240" w:lineRule="auto"/>
              <w:ind w:firstLineChars="100" w:firstLine="160"/>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Floor applied</w:t>
            </w:r>
          </w:p>
        </w:tc>
        <w:tc>
          <w:tcPr>
            <w:tcW w:w="693" w:type="dxa"/>
            <w:tcBorders>
              <w:top w:val="single" w:sz="4" w:space="0" w:color="ADD6EA"/>
              <w:left w:val="nil"/>
              <w:bottom w:val="nil"/>
              <w:right w:val="nil"/>
            </w:tcBorders>
            <w:shd w:val="clear" w:color="auto" w:fill="auto"/>
            <w:noWrap/>
            <w:vAlign w:val="center"/>
            <w:hideMark/>
          </w:tcPr>
          <w:p w14:paraId="0A97572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-542</w:t>
            </w:r>
          </w:p>
        </w:tc>
        <w:tc>
          <w:tcPr>
            <w:tcW w:w="693" w:type="dxa"/>
            <w:tcBorders>
              <w:top w:val="single" w:sz="4" w:space="0" w:color="ADD6EA"/>
              <w:left w:val="nil"/>
              <w:bottom w:val="nil"/>
              <w:right w:val="nil"/>
            </w:tcBorders>
            <w:shd w:val="clear" w:color="auto" w:fill="auto"/>
            <w:noWrap/>
            <w:vAlign w:val="center"/>
            <w:hideMark/>
          </w:tcPr>
          <w:p w14:paraId="6AF77F6E"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-447</w:t>
            </w:r>
          </w:p>
        </w:tc>
        <w:tc>
          <w:tcPr>
            <w:tcW w:w="693" w:type="dxa"/>
            <w:tcBorders>
              <w:top w:val="single" w:sz="4" w:space="0" w:color="ADD6EA"/>
              <w:left w:val="nil"/>
              <w:bottom w:val="nil"/>
              <w:right w:val="nil"/>
            </w:tcBorders>
            <w:shd w:val="clear" w:color="auto" w:fill="auto"/>
            <w:noWrap/>
            <w:vAlign w:val="center"/>
            <w:hideMark/>
          </w:tcPr>
          <w:p w14:paraId="33E0A05D"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-356</w:t>
            </w:r>
          </w:p>
        </w:tc>
        <w:tc>
          <w:tcPr>
            <w:tcW w:w="838" w:type="dxa"/>
            <w:tcBorders>
              <w:top w:val="single" w:sz="4" w:space="0" w:color="ADD6EA"/>
              <w:left w:val="nil"/>
              <w:bottom w:val="nil"/>
              <w:right w:val="nil"/>
            </w:tcBorders>
            <w:shd w:val="clear" w:color="auto" w:fill="auto"/>
            <w:noWrap/>
            <w:vAlign w:val="center"/>
            <w:hideMark/>
          </w:tcPr>
          <w:p w14:paraId="4B74DDE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1,548</w:t>
            </w:r>
          </w:p>
        </w:tc>
        <w:tc>
          <w:tcPr>
            <w:tcW w:w="734" w:type="dxa"/>
            <w:tcBorders>
              <w:top w:val="single" w:sz="4" w:space="0" w:color="ADD6EA"/>
              <w:left w:val="nil"/>
              <w:bottom w:val="nil"/>
              <w:right w:val="nil"/>
            </w:tcBorders>
            <w:shd w:val="clear" w:color="auto" w:fill="auto"/>
            <w:noWrap/>
            <w:vAlign w:val="center"/>
            <w:hideMark/>
          </w:tcPr>
          <w:p w14:paraId="5D7304F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-120</w:t>
            </w:r>
          </w:p>
        </w:tc>
        <w:tc>
          <w:tcPr>
            <w:tcW w:w="745" w:type="dxa"/>
            <w:tcBorders>
              <w:top w:val="single" w:sz="4" w:space="0" w:color="ADD6EA"/>
              <w:left w:val="nil"/>
              <w:bottom w:val="nil"/>
              <w:right w:val="nil"/>
            </w:tcBorders>
            <w:shd w:val="clear" w:color="auto" w:fill="auto"/>
            <w:noWrap/>
            <w:vAlign w:val="center"/>
            <w:hideMark/>
          </w:tcPr>
          <w:p w14:paraId="2092948F"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-37</w:t>
            </w:r>
          </w:p>
        </w:tc>
        <w:tc>
          <w:tcPr>
            <w:tcW w:w="570" w:type="dxa"/>
            <w:tcBorders>
              <w:top w:val="single" w:sz="4" w:space="0" w:color="ADD6EA"/>
              <w:left w:val="nil"/>
              <w:bottom w:val="nil"/>
              <w:right w:val="nil"/>
            </w:tcBorders>
            <w:shd w:val="clear" w:color="auto" w:fill="auto"/>
            <w:noWrap/>
            <w:vAlign w:val="center"/>
            <w:hideMark/>
          </w:tcPr>
          <w:p w14:paraId="3259EC18"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-30</w:t>
            </w:r>
          </w:p>
        </w:tc>
        <w:tc>
          <w:tcPr>
            <w:tcW w:w="693" w:type="dxa"/>
            <w:tcBorders>
              <w:top w:val="single" w:sz="4" w:space="0" w:color="ADD6EA"/>
              <w:left w:val="nil"/>
              <w:bottom w:val="nil"/>
              <w:right w:val="nil"/>
            </w:tcBorders>
            <w:shd w:val="clear" w:color="auto" w:fill="auto"/>
            <w:noWrap/>
            <w:vAlign w:val="center"/>
            <w:hideMark/>
          </w:tcPr>
          <w:p w14:paraId="3EC32CC3"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-16</w:t>
            </w:r>
          </w:p>
        </w:tc>
        <w:tc>
          <w:tcPr>
            <w:tcW w:w="713" w:type="dxa"/>
            <w:tcBorders>
              <w:top w:val="single" w:sz="4" w:space="0" w:color="ADD6EA"/>
              <w:left w:val="nil"/>
              <w:bottom w:val="nil"/>
              <w:right w:val="nil"/>
            </w:tcBorders>
            <w:shd w:val="clear" w:color="auto" w:fill="auto"/>
            <w:noWrap/>
            <w:vAlign w:val="center"/>
            <w:hideMark/>
          </w:tcPr>
          <w:p w14:paraId="6098F8B9" w14:textId="77777777" w:rsidR="004F1C5F" w:rsidRPr="004F1C5F" w:rsidRDefault="004F1C5F" w:rsidP="004F1C5F">
            <w:pPr>
              <w:tabs>
                <w:tab w:val="clear" w:pos="567"/>
              </w:tabs>
              <w:spacing w:before="0" w:line="240" w:lineRule="auto"/>
              <w:jc w:val="right"/>
              <w:rPr>
                <w:rFonts w:ascii="Open Sans Light" w:eastAsia="Times New Roman" w:hAnsi="Open Sans Light" w:cs="Open Sans Light"/>
                <w:color w:val="000000"/>
                <w:sz w:val="16"/>
                <w:szCs w:val="16"/>
                <w:lang w:eastAsia="en-AU"/>
              </w:rPr>
            </w:pPr>
            <w:r w:rsidRPr="004F1C5F">
              <w:rPr>
                <w:rFonts w:ascii="Open Sans Light" w:eastAsia="Times New Roman" w:hAnsi="Open Sans Light" w:cs="Open Sans Light"/>
                <w:color w:val="000000"/>
                <w:sz w:val="16"/>
                <w:szCs w:val="16"/>
                <w:lang w:eastAsia="en-AU"/>
              </w:rPr>
              <w:t>1,548</w:t>
            </w:r>
          </w:p>
        </w:tc>
      </w:tr>
      <w:tr w:rsidR="004F1C5F" w:rsidRPr="004F1C5F" w14:paraId="43586826" w14:textId="77777777" w:rsidTr="00D16F76">
        <w:trPr>
          <w:trHeight w:val="315"/>
        </w:trPr>
        <w:tc>
          <w:tcPr>
            <w:tcW w:w="2692" w:type="dxa"/>
            <w:tcBorders>
              <w:top w:val="nil"/>
              <w:left w:val="nil"/>
              <w:bottom w:val="nil"/>
              <w:right w:val="nil"/>
            </w:tcBorders>
            <w:shd w:val="clear" w:color="000000" w:fill="B6D5E4"/>
            <w:vAlign w:val="center"/>
            <w:hideMark/>
          </w:tcPr>
          <w:p w14:paraId="51125787" w14:textId="77777777" w:rsidR="004F1C5F" w:rsidRPr="004F1C5F" w:rsidRDefault="004F1C5F" w:rsidP="004F1C5F">
            <w:pPr>
              <w:tabs>
                <w:tab w:val="clear" w:pos="567"/>
              </w:tabs>
              <w:spacing w:before="0" w:line="240" w:lineRule="auto"/>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TOTAL</w:t>
            </w:r>
          </w:p>
        </w:tc>
        <w:tc>
          <w:tcPr>
            <w:tcW w:w="693" w:type="dxa"/>
            <w:tcBorders>
              <w:top w:val="nil"/>
              <w:left w:val="nil"/>
              <w:bottom w:val="nil"/>
              <w:right w:val="nil"/>
            </w:tcBorders>
            <w:shd w:val="clear" w:color="000000" w:fill="B6D5E4"/>
            <w:noWrap/>
            <w:vAlign w:val="center"/>
            <w:hideMark/>
          </w:tcPr>
          <w:p w14:paraId="47B4A996"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-3,705</w:t>
            </w:r>
          </w:p>
        </w:tc>
        <w:tc>
          <w:tcPr>
            <w:tcW w:w="693" w:type="dxa"/>
            <w:tcBorders>
              <w:top w:val="nil"/>
              <w:left w:val="nil"/>
              <w:bottom w:val="nil"/>
              <w:right w:val="nil"/>
            </w:tcBorders>
            <w:shd w:val="clear" w:color="000000" w:fill="B6D5E4"/>
            <w:noWrap/>
            <w:vAlign w:val="center"/>
            <w:hideMark/>
          </w:tcPr>
          <w:p w14:paraId="78DACDA2"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-806</w:t>
            </w:r>
          </w:p>
        </w:tc>
        <w:tc>
          <w:tcPr>
            <w:tcW w:w="693" w:type="dxa"/>
            <w:tcBorders>
              <w:top w:val="nil"/>
              <w:left w:val="nil"/>
              <w:bottom w:val="nil"/>
              <w:right w:val="nil"/>
            </w:tcBorders>
            <w:shd w:val="clear" w:color="000000" w:fill="B6D5E4"/>
            <w:noWrap/>
            <w:vAlign w:val="center"/>
            <w:hideMark/>
          </w:tcPr>
          <w:p w14:paraId="7D0FC080"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-874</w:t>
            </w:r>
          </w:p>
        </w:tc>
        <w:tc>
          <w:tcPr>
            <w:tcW w:w="838" w:type="dxa"/>
            <w:tcBorders>
              <w:top w:val="nil"/>
              <w:left w:val="nil"/>
              <w:bottom w:val="nil"/>
              <w:right w:val="nil"/>
            </w:tcBorders>
            <w:shd w:val="clear" w:color="000000" w:fill="B6D5E4"/>
            <w:noWrap/>
            <w:vAlign w:val="center"/>
            <w:hideMark/>
          </w:tcPr>
          <w:p w14:paraId="6058EA0E"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-2,419</w:t>
            </w:r>
          </w:p>
        </w:tc>
        <w:tc>
          <w:tcPr>
            <w:tcW w:w="734" w:type="dxa"/>
            <w:tcBorders>
              <w:top w:val="nil"/>
              <w:left w:val="nil"/>
              <w:bottom w:val="nil"/>
              <w:right w:val="nil"/>
            </w:tcBorders>
            <w:shd w:val="clear" w:color="000000" w:fill="B6D5E4"/>
            <w:noWrap/>
            <w:vAlign w:val="center"/>
            <w:hideMark/>
          </w:tcPr>
          <w:p w14:paraId="4E180928"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2,491</w:t>
            </w:r>
          </w:p>
        </w:tc>
        <w:tc>
          <w:tcPr>
            <w:tcW w:w="745" w:type="dxa"/>
            <w:tcBorders>
              <w:top w:val="nil"/>
              <w:left w:val="nil"/>
              <w:bottom w:val="nil"/>
              <w:right w:val="nil"/>
            </w:tcBorders>
            <w:shd w:val="clear" w:color="000000" w:fill="B6D5E4"/>
            <w:noWrap/>
            <w:vAlign w:val="center"/>
            <w:hideMark/>
          </w:tcPr>
          <w:p w14:paraId="0B2416DB"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1,575</w:t>
            </w:r>
          </w:p>
        </w:tc>
        <w:tc>
          <w:tcPr>
            <w:tcW w:w="570" w:type="dxa"/>
            <w:tcBorders>
              <w:top w:val="nil"/>
              <w:left w:val="nil"/>
              <w:bottom w:val="nil"/>
              <w:right w:val="nil"/>
            </w:tcBorders>
            <w:shd w:val="clear" w:color="000000" w:fill="B6D5E4"/>
            <w:noWrap/>
            <w:vAlign w:val="center"/>
            <w:hideMark/>
          </w:tcPr>
          <w:p w14:paraId="028D8270"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320</w:t>
            </w:r>
          </w:p>
        </w:tc>
        <w:tc>
          <w:tcPr>
            <w:tcW w:w="693" w:type="dxa"/>
            <w:tcBorders>
              <w:top w:val="nil"/>
              <w:left w:val="nil"/>
              <w:bottom w:val="nil"/>
              <w:right w:val="nil"/>
            </w:tcBorders>
            <w:shd w:val="clear" w:color="000000" w:fill="B6D5E4"/>
            <w:noWrap/>
            <w:vAlign w:val="center"/>
            <w:hideMark/>
          </w:tcPr>
          <w:p w14:paraId="09D1C2FB"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3,417</w:t>
            </w:r>
          </w:p>
        </w:tc>
        <w:tc>
          <w:tcPr>
            <w:tcW w:w="713" w:type="dxa"/>
            <w:tcBorders>
              <w:top w:val="nil"/>
              <w:left w:val="nil"/>
              <w:bottom w:val="nil"/>
              <w:right w:val="nil"/>
            </w:tcBorders>
            <w:shd w:val="clear" w:color="000000" w:fill="B6D5E4"/>
            <w:noWrap/>
            <w:vAlign w:val="center"/>
            <w:hideMark/>
          </w:tcPr>
          <w:p w14:paraId="4F31C4D1" w14:textId="77777777" w:rsidR="004F1C5F" w:rsidRPr="004F1C5F" w:rsidRDefault="004F1C5F" w:rsidP="004F1C5F">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4F1C5F">
              <w:rPr>
                <w:rFonts w:ascii="Open Sans Semibold" w:eastAsia="Times New Roman" w:hAnsi="Open Sans Semibold" w:cs="Open Sans Semibold"/>
                <w:color w:val="000000"/>
                <w:sz w:val="16"/>
                <w:szCs w:val="16"/>
                <w:lang w:eastAsia="en-AU"/>
              </w:rPr>
              <w:t>7,803</w:t>
            </w:r>
          </w:p>
        </w:tc>
      </w:tr>
    </w:tbl>
    <w:p w14:paraId="7D57236D" w14:textId="082B1770" w:rsidR="006C29F1" w:rsidRPr="003E6C4F" w:rsidRDefault="006C29F1" w:rsidP="006C29F1">
      <w:pPr>
        <w:pStyle w:val="CGCTablenote"/>
        <w:ind w:left="567" w:hanging="454"/>
      </w:pPr>
      <w:r w:rsidRPr="003E6C4F">
        <w:t>Note: This table shows the drivers that lead to each state receiving more or less than an equal per capita share of GST in 2024</w:t>
      </w:r>
      <w:r w:rsidR="009862F7">
        <w:t>–</w:t>
      </w:r>
      <w:r w:rsidR="009862F7">
        <w:rPr>
          <w:rFonts w:ascii="Times New Roman" w:hAnsi="Times New Roman" w:cs="Times New Roman" w:hint="eastAsia"/>
          <w:rtl/>
        </w:rPr>
        <w:t>‍</w:t>
      </w:r>
      <w:r w:rsidRPr="003E6C4F">
        <w:t>25.</w:t>
      </w:r>
    </w:p>
    <w:p w14:paraId="12F6FC78" w14:textId="3D68D6ED" w:rsidR="006C29F1" w:rsidRPr="003E6C4F" w:rsidRDefault="006C29F1" w:rsidP="006C29F1">
      <w:pPr>
        <w:pStyle w:val="CGCTablenote"/>
        <w:numPr>
          <w:ilvl w:val="0"/>
          <w:numId w:val="25"/>
        </w:numPr>
      </w:pPr>
      <w:r w:rsidRPr="003E6C4F">
        <w:t>Assessed relativities reflect the GST each state needs to have the same capacity to provide services as the other states. Legislation specifies how these are adjusted to derive GST relativities, which determine GST distribution.</w:t>
      </w:r>
    </w:p>
    <w:p w14:paraId="2840426A" w14:textId="77777777" w:rsidR="006C29F1" w:rsidRPr="003E6C4F" w:rsidRDefault="006C29F1" w:rsidP="006C29F1">
      <w:pPr>
        <w:pStyle w:val="CGCTablenote"/>
        <w:rPr>
          <w:highlight w:val="green"/>
        </w:rPr>
      </w:pPr>
      <w:r w:rsidRPr="003E6C4F">
        <w:t>Source: Commission calculation.</w:t>
      </w:r>
    </w:p>
    <w:p w14:paraId="3DBB9386" w14:textId="6C0CE06E" w:rsidR="0040084B" w:rsidRDefault="00290CDC" w:rsidP="00E321CA">
      <w:pPr>
        <w:pStyle w:val="Heading1"/>
        <w:numPr>
          <w:ilvl w:val="0"/>
          <w:numId w:val="0"/>
        </w:numPr>
      </w:pPr>
      <w:r>
        <w:br w:type="page"/>
      </w:r>
      <w:bookmarkStart w:id="234" w:name="Chapter_3"/>
      <w:bookmarkStart w:id="235" w:name="_Toc159676107"/>
      <w:r w:rsidR="009376C7">
        <w:rPr>
          <w:noProof/>
        </w:rPr>
        <w:lastRenderedPageBreak/>
        <mc:AlternateContent>
          <mc:Choice Requires="wps">
            <w:drawing>
              <wp:anchor distT="45720" distB="45720" distL="114300" distR="114300" simplePos="0" relativeHeight="251658251" behindDoc="0" locked="0" layoutInCell="1" allowOverlap="1" wp14:anchorId="15DEB1D9" wp14:editId="4766ED0D">
                <wp:simplePos x="0" y="0"/>
                <wp:positionH relativeFrom="margin">
                  <wp:align>left</wp:align>
                </wp:positionH>
                <wp:positionV relativeFrom="paragraph">
                  <wp:posOffset>687705</wp:posOffset>
                </wp:positionV>
                <wp:extent cx="5853430" cy="4927600"/>
                <wp:effectExtent l="0" t="0" r="13970" b="25400"/>
                <wp:wrapSquare wrapText="bothSides"/>
                <wp:docPr id="492091791" name="Text Box 492091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3430" cy="4927600"/>
                        </a:xfrm>
                        <a:prstGeom prst="rect">
                          <a:avLst/>
                        </a:prstGeom>
                        <a:solidFill>
                          <a:srgbClr val="E5F8FF"/>
                        </a:solidFill>
                        <a:ln w="9525">
                          <a:solidFill>
                            <a:schemeClr val="bg1"/>
                          </a:solidFill>
                          <a:miter lim="800000"/>
                          <a:headEnd/>
                          <a:tailEnd/>
                        </a:ln>
                      </wps:spPr>
                      <wps:txbx>
                        <w:txbxContent>
                          <w:p w14:paraId="0E8D46A8" w14:textId="77777777" w:rsidR="00E63429" w:rsidRPr="00607566" w:rsidRDefault="00E63429" w:rsidP="00E63429">
                            <w:pPr>
                              <w:pStyle w:val="Heading2"/>
                            </w:pPr>
                            <w:r w:rsidRPr="00607566">
                              <w:t>Key points</w:t>
                            </w:r>
                          </w:p>
                          <w:p w14:paraId="0CD531D4" w14:textId="3B0B13B0" w:rsidR="009376C7" w:rsidRPr="008D72BE" w:rsidRDefault="009376C7" w:rsidP="009376C7">
                            <w:pPr>
                              <w:pStyle w:val="BulletPoints"/>
                            </w:pPr>
                            <w:r w:rsidRPr="008D72BE">
                              <w:t>All states except New South Wales and Queensland are expected to receive more revenue from the GST pool in 2024</w:t>
                            </w:r>
                            <w:r w:rsidR="000F73AA">
                              <w:t>–</w:t>
                            </w:r>
                            <w:r w:rsidRPr="008D72BE">
                              <w:t>25 than they received in 2023</w:t>
                            </w:r>
                            <w:r w:rsidR="000F73AA">
                              <w:t>–</w:t>
                            </w:r>
                            <w:r w:rsidRPr="008D72BE">
                              <w:t>24.</w:t>
                            </w:r>
                          </w:p>
                          <w:p w14:paraId="69E54809" w14:textId="701423C2" w:rsidR="009376C7" w:rsidRPr="008D72BE" w:rsidRDefault="009376C7" w:rsidP="009376C7">
                            <w:pPr>
                              <w:pStyle w:val="BulletPoints"/>
                            </w:pPr>
                            <w:r w:rsidRPr="008D72BE">
                              <w:t xml:space="preserve">The estimated increases in GST distribution in 2024–25 </w:t>
                            </w:r>
                            <w:proofErr w:type="gramStart"/>
                            <w:r w:rsidRPr="008D72BE">
                              <w:t>are</w:t>
                            </w:r>
                            <w:proofErr w:type="gramEnd"/>
                            <w:r w:rsidR="00224C7E">
                              <w:t xml:space="preserve"> </w:t>
                            </w:r>
                            <w:r w:rsidRPr="008D72BE">
                              <w:t>Victoria $3,686</w:t>
                            </w:r>
                            <w:r w:rsidR="004C4291">
                              <w:t> </w:t>
                            </w:r>
                            <w:r w:rsidRPr="008D72BE">
                              <w:t>million ($524 per</w:t>
                            </w:r>
                            <w:r w:rsidR="004C4291">
                              <w:t> </w:t>
                            </w:r>
                            <w:r w:rsidRPr="008D72BE">
                              <w:t>capita), Western</w:t>
                            </w:r>
                            <w:r w:rsidR="004C4291">
                              <w:t> </w:t>
                            </w:r>
                            <w:r w:rsidRPr="008D72BE">
                              <w:t>Australia $838 million ($283 per capita), South</w:t>
                            </w:r>
                            <w:r w:rsidR="004C4291">
                              <w:t> </w:t>
                            </w:r>
                            <w:r w:rsidRPr="008D72BE">
                              <w:t>Australia $457 million ($242 per</w:t>
                            </w:r>
                            <w:r w:rsidR="004C4291">
                              <w:t> </w:t>
                            </w:r>
                            <w:r w:rsidRPr="008D72BE">
                              <w:t>capita), Tasmania $219 million ($377 per</w:t>
                            </w:r>
                            <w:r w:rsidR="004C4291">
                              <w:t> </w:t>
                            </w:r>
                            <w:r w:rsidRPr="008D72BE">
                              <w:t>capita), the ACT $111 million ($231 per</w:t>
                            </w:r>
                            <w:r w:rsidR="000B234A">
                              <w:t> </w:t>
                            </w:r>
                            <w:r w:rsidRPr="008D72BE">
                              <w:t>capita) and the Northern</w:t>
                            </w:r>
                            <w:r w:rsidR="004C4291">
                              <w:t> </w:t>
                            </w:r>
                            <w:r w:rsidRPr="008D72BE">
                              <w:t>Territory $256 million ($995 per</w:t>
                            </w:r>
                            <w:r w:rsidR="000B234A">
                              <w:t> </w:t>
                            </w:r>
                            <w:r w:rsidRPr="008D72BE">
                              <w:t>capita).</w:t>
                            </w:r>
                          </w:p>
                          <w:p w14:paraId="1C09800D" w14:textId="53B046E7" w:rsidR="009376C7" w:rsidRPr="008D72BE" w:rsidRDefault="009376C7" w:rsidP="009376C7">
                            <w:pPr>
                              <w:pStyle w:val="BulletPoints"/>
                            </w:pPr>
                            <w:r w:rsidRPr="008D72BE">
                              <w:t>The estimated decreases in GST distribution in 2024</w:t>
                            </w:r>
                            <w:r w:rsidR="00224C7E">
                              <w:t>–</w:t>
                            </w:r>
                            <w:r w:rsidRPr="008D72BE">
                              <w:t>25 are New South Wales $310 million ($36 per capita) and Queensland $469 million ($84 per capita).</w:t>
                            </w:r>
                          </w:p>
                          <w:p w14:paraId="33823316" w14:textId="56010A75" w:rsidR="009376C7" w:rsidRPr="008D72BE" w:rsidRDefault="009376C7" w:rsidP="009376C7">
                            <w:pPr>
                              <w:pStyle w:val="BulletPoints"/>
                            </w:pPr>
                            <w:r w:rsidRPr="008D72BE">
                              <w:t>The reductions in GST payments for New South Wales and Queensland were largely driven by stronger assessed mining revenue capacity. For New</w:t>
                            </w:r>
                            <w:r w:rsidR="00FF645B">
                              <w:t> </w:t>
                            </w:r>
                            <w:r w:rsidRPr="008D72BE">
                              <w:t>South</w:t>
                            </w:r>
                            <w:r w:rsidR="00FF645B">
                              <w:t> </w:t>
                            </w:r>
                            <w:r w:rsidRPr="008D72BE">
                              <w:t>Wales, strong growth in taxable land values also contributed to the reduction in its GST payment. The reductions occurred even though each state benefits from growth in the GST pool. In 2024</w:t>
                            </w:r>
                            <w:r w:rsidR="00405473">
                              <w:t>–</w:t>
                            </w:r>
                            <w:r w:rsidRPr="008D72BE">
                              <w:t>25, New South Wales and Queensland would receive less in total GST and no worse off payments than they did in 2023</w:t>
                            </w:r>
                            <w:r w:rsidR="00405473">
                              <w:t>–</w:t>
                            </w:r>
                            <w:r w:rsidRPr="008D72BE">
                              <w:t>24.</w:t>
                            </w:r>
                          </w:p>
                          <w:p w14:paraId="24EEADF5" w14:textId="189279D1" w:rsidR="009376C7" w:rsidRPr="008D72BE" w:rsidRDefault="009376C7" w:rsidP="009376C7">
                            <w:pPr>
                              <w:pStyle w:val="BulletPoints"/>
                            </w:pPr>
                            <w:r w:rsidRPr="008D72BE">
                              <w:t>The $3.69</w:t>
                            </w:r>
                            <w:r w:rsidR="00FD500A">
                              <w:t> </w:t>
                            </w:r>
                            <w:r w:rsidRPr="008D72BE">
                              <w:t xml:space="preserve">billion increase in Victoria’s expected GST payment is largely driven by its reduced relative capacity to raise mining revenue, updated data that increased its </w:t>
                            </w:r>
                            <w:r w:rsidR="009F2844">
                              <w:t xml:space="preserve">assessed </w:t>
                            </w:r>
                            <w:r w:rsidRPr="008D72BE">
                              <w:t>GST needs for urban transport and GST pool growth.</w:t>
                            </w:r>
                          </w:p>
                          <w:p w14:paraId="7394571C" w14:textId="2B7881FA" w:rsidR="009376C7" w:rsidRPr="008D72BE" w:rsidRDefault="009376C7" w:rsidP="009376C7">
                            <w:pPr>
                              <w:pStyle w:val="BulletPoints"/>
                            </w:pPr>
                            <w:r w:rsidRPr="008D72BE">
                              <w:t>This is the fourth year in a 6-year transition away from distributing the GST based solely on the Commission’s assessment of states’ relative fiscal capacities. For 2024</w:t>
                            </w:r>
                            <w:r w:rsidR="006D438C">
                              <w:t>–</w:t>
                            </w:r>
                            <w:r w:rsidRPr="008D72BE">
                              <w:t>25, the GST relativity floor is 0.75, compared with 0.7</w:t>
                            </w:r>
                            <w:r w:rsidR="00DF6DC5">
                              <w:t>0</w:t>
                            </w:r>
                            <w:r w:rsidRPr="008D72BE">
                              <w:t xml:space="preserve"> in 2023</w:t>
                            </w:r>
                            <w:r w:rsidR="006D438C">
                              <w:t>–</w:t>
                            </w:r>
                            <w:r w:rsidRPr="008D72BE">
                              <w:t>24.</w:t>
                            </w:r>
                          </w:p>
                          <w:p w14:paraId="1224C9FB" w14:textId="7DDEE185" w:rsidR="00E63429" w:rsidRPr="00176917" w:rsidRDefault="009376C7" w:rsidP="00E63429">
                            <w:pPr>
                              <w:pStyle w:val="BulletPoints"/>
                            </w:pPr>
                            <w:r w:rsidRPr="008D72BE">
                              <w:t>The estimates in this chapter do not include no worse off payments.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EB1D9" id="Text Box 492091791" o:spid="_x0000_s1040" type="#_x0000_t202" style="position:absolute;margin-left:0;margin-top:54.15pt;width:460.9pt;height:388pt;z-index:251658251;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" fillcolor="#e5f8ff" strokecolor="white [3212]">
                <v:textbox>
                  <w:txbxContent>
                    <w:p w14:paraId="0E8D46A8" w14:textId="77777777" w:rsidR="00E63429" w:rsidRPr="00607566" w:rsidRDefault="00E63429" w:rsidP="00E63429">
                      <w:pPr>
                        <w:pStyle w:val="Heading2"/>
                      </w:pPr>
                      <w:r w:rsidRPr="00607566">
                        <w:t>Key points</w:t>
                      </w:r>
                    </w:p>
                    <w:p w14:paraId="0CD531D4" w14:textId="3B0B13B0" w:rsidR="009376C7" w:rsidRPr="008D72BE" w:rsidRDefault="009376C7" w:rsidP="009376C7">
                      <w:pPr>
                        <w:pStyle w:val="BulletPoints"/>
                      </w:pPr>
                      <w:r w:rsidRPr="008D72BE">
                        <w:t>All states except New South Wales and Queensland are expected to receive more revenue from the GST pool in 2024</w:t>
                      </w:r>
                      <w:r w:rsidR="000F73AA">
                        <w:t>–</w:t>
                      </w:r>
                      <w:r w:rsidRPr="008D72BE">
                        <w:t>25 than they received in 2023</w:t>
                      </w:r>
                      <w:r w:rsidR="000F73AA">
                        <w:t>–</w:t>
                      </w:r>
                      <w:r w:rsidRPr="008D72BE">
                        <w:t>24.</w:t>
                      </w:r>
                    </w:p>
                    <w:p w14:paraId="69E54809" w14:textId="701423C2" w:rsidR="009376C7" w:rsidRPr="008D72BE" w:rsidRDefault="009376C7" w:rsidP="009376C7">
                      <w:pPr>
                        <w:pStyle w:val="BulletPoints"/>
                      </w:pPr>
                      <w:r w:rsidRPr="008D72BE">
                        <w:t xml:space="preserve">The estimated increases in GST distribution in 2024–25 </w:t>
                      </w:r>
                      <w:proofErr w:type="gramStart"/>
                      <w:r w:rsidRPr="008D72BE">
                        <w:t>are</w:t>
                      </w:r>
                      <w:proofErr w:type="gramEnd"/>
                      <w:r w:rsidR="00224C7E">
                        <w:t xml:space="preserve"> </w:t>
                      </w:r>
                      <w:r w:rsidRPr="008D72BE">
                        <w:t>Victoria $3,686</w:t>
                      </w:r>
                      <w:r w:rsidR="004C4291">
                        <w:t> </w:t>
                      </w:r>
                      <w:r w:rsidRPr="008D72BE">
                        <w:t>million ($524 per</w:t>
                      </w:r>
                      <w:r w:rsidR="004C4291">
                        <w:t> </w:t>
                      </w:r>
                      <w:r w:rsidRPr="008D72BE">
                        <w:t>capita), Western</w:t>
                      </w:r>
                      <w:r w:rsidR="004C4291">
                        <w:t> </w:t>
                      </w:r>
                      <w:r w:rsidRPr="008D72BE">
                        <w:t>Australia $838 million ($283 per capita), South</w:t>
                      </w:r>
                      <w:r w:rsidR="004C4291">
                        <w:t> </w:t>
                      </w:r>
                      <w:r w:rsidRPr="008D72BE">
                        <w:t>Australia $457 million ($242 per</w:t>
                      </w:r>
                      <w:r w:rsidR="004C4291">
                        <w:t> </w:t>
                      </w:r>
                      <w:r w:rsidRPr="008D72BE">
                        <w:t>capita), Tasmania $219 million ($377 per</w:t>
                      </w:r>
                      <w:r w:rsidR="004C4291">
                        <w:t> </w:t>
                      </w:r>
                      <w:r w:rsidRPr="008D72BE">
                        <w:t>capita), the ACT $111 million ($231 per</w:t>
                      </w:r>
                      <w:r w:rsidR="000B234A">
                        <w:t> </w:t>
                      </w:r>
                      <w:r w:rsidRPr="008D72BE">
                        <w:t>capita) and the Northern</w:t>
                      </w:r>
                      <w:r w:rsidR="004C4291">
                        <w:t> </w:t>
                      </w:r>
                      <w:r w:rsidRPr="008D72BE">
                        <w:t>Territory $256 million ($995 per</w:t>
                      </w:r>
                      <w:r w:rsidR="000B234A">
                        <w:t> </w:t>
                      </w:r>
                      <w:r w:rsidRPr="008D72BE">
                        <w:t>capita).</w:t>
                      </w:r>
                    </w:p>
                    <w:p w14:paraId="1C09800D" w14:textId="53B046E7" w:rsidR="009376C7" w:rsidRPr="008D72BE" w:rsidRDefault="009376C7" w:rsidP="009376C7">
                      <w:pPr>
                        <w:pStyle w:val="BulletPoints"/>
                      </w:pPr>
                      <w:r w:rsidRPr="008D72BE">
                        <w:t>The estimated decreases in GST distribution in 2024</w:t>
                      </w:r>
                      <w:r w:rsidR="00224C7E">
                        <w:t>–</w:t>
                      </w:r>
                      <w:r w:rsidRPr="008D72BE">
                        <w:t>25 are New South Wales $310 million ($36 per capita) and Queensland $469 million ($84 per capita).</w:t>
                      </w:r>
                    </w:p>
                    <w:p w14:paraId="33823316" w14:textId="56010A75" w:rsidR="009376C7" w:rsidRPr="008D72BE" w:rsidRDefault="009376C7" w:rsidP="009376C7">
                      <w:pPr>
                        <w:pStyle w:val="BulletPoints"/>
                      </w:pPr>
                      <w:r w:rsidRPr="008D72BE">
                        <w:t>The reductions in GST payments for New South Wales and Queensland were largely driven by stronger assessed mining revenue capacity. For New</w:t>
                      </w:r>
                      <w:r w:rsidR="00FF645B">
                        <w:t> </w:t>
                      </w:r>
                      <w:r w:rsidRPr="008D72BE">
                        <w:t>South</w:t>
                      </w:r>
                      <w:r w:rsidR="00FF645B">
                        <w:t> </w:t>
                      </w:r>
                      <w:r w:rsidRPr="008D72BE">
                        <w:t>Wales, strong growth in taxable land values also contributed to the reduction in its GST payment. The reductions occurred even though each state benefits from growth in the GST pool. In 2024</w:t>
                      </w:r>
                      <w:r w:rsidR="00405473">
                        <w:t>–</w:t>
                      </w:r>
                      <w:r w:rsidRPr="008D72BE">
                        <w:t>25, New South Wales and Queensland would receive less in total GST and no worse off payments than they did in 2023</w:t>
                      </w:r>
                      <w:r w:rsidR="00405473">
                        <w:t>–</w:t>
                      </w:r>
                      <w:r w:rsidRPr="008D72BE">
                        <w:t>24.</w:t>
                      </w:r>
                    </w:p>
                    <w:p w14:paraId="24EEADF5" w14:textId="189279D1" w:rsidR="009376C7" w:rsidRPr="008D72BE" w:rsidRDefault="009376C7" w:rsidP="009376C7">
                      <w:pPr>
                        <w:pStyle w:val="BulletPoints"/>
                      </w:pPr>
                      <w:r w:rsidRPr="008D72BE">
                        <w:t>The $3.69</w:t>
                      </w:r>
                      <w:r w:rsidR="00FD500A">
                        <w:t> </w:t>
                      </w:r>
                      <w:r w:rsidRPr="008D72BE">
                        <w:t xml:space="preserve">billion increase in Victoria’s expected GST payment is largely driven by its reduced relative capacity to raise mining revenue, updated data that increased its </w:t>
                      </w:r>
                      <w:r w:rsidR="009F2844">
                        <w:t xml:space="preserve">assessed </w:t>
                      </w:r>
                      <w:r w:rsidRPr="008D72BE">
                        <w:t>GST needs for urban transport and GST pool growth.</w:t>
                      </w:r>
                    </w:p>
                    <w:p w14:paraId="7394571C" w14:textId="2B7881FA" w:rsidR="009376C7" w:rsidRPr="008D72BE" w:rsidRDefault="009376C7" w:rsidP="009376C7">
                      <w:pPr>
                        <w:pStyle w:val="BulletPoints"/>
                      </w:pPr>
                      <w:r w:rsidRPr="008D72BE">
                        <w:t>This is the fourth year in a 6-year transition away from distributing the GST based solely on the Commission’s assessment of states’ relative fiscal capacities. For 2024</w:t>
                      </w:r>
                      <w:r w:rsidR="006D438C">
                        <w:t>–</w:t>
                      </w:r>
                      <w:r w:rsidRPr="008D72BE">
                        <w:t>25, the GST relativity floor is 0.75, compared with 0.7</w:t>
                      </w:r>
                      <w:r w:rsidR="00DF6DC5">
                        <w:t>0</w:t>
                      </w:r>
                      <w:r w:rsidRPr="008D72BE">
                        <w:t xml:space="preserve"> in 2023</w:t>
                      </w:r>
                      <w:r w:rsidR="006D438C">
                        <w:t>–</w:t>
                      </w:r>
                      <w:r w:rsidRPr="008D72BE">
                        <w:t>24.</w:t>
                      </w:r>
                    </w:p>
                    <w:p w14:paraId="1224C9FB" w14:textId="7DDEE185" w:rsidR="00E63429" w:rsidRPr="00176917" w:rsidRDefault="009376C7" w:rsidP="00E63429">
                      <w:pPr>
                        <w:pStyle w:val="BulletPoints"/>
                      </w:pPr>
                      <w:r w:rsidRPr="008D72BE">
                        <w:t>The estimates in this chapter do not include no worse off payments.</w:t>
                      </w:r>
                    </w:p>
                  </w:txbxContent>
                </v:textbox>
                <w10:wrap type="square" anchorx="margin"/>
              </v:shape>
            </w:pict>
          </mc:Fallback>
        </mc:AlternateContent>
      </w:r>
      <w:r w:rsidR="0040084B">
        <w:t>3.</w:t>
      </w:r>
      <w:r w:rsidR="0040084B">
        <w:tab/>
        <w:t>State by state changes</w:t>
      </w:r>
      <w:bookmarkEnd w:id="234"/>
      <w:bookmarkEnd w:id="235"/>
    </w:p>
    <w:p w14:paraId="13496F55" w14:textId="6B5FB9E8" w:rsidR="00AD16E1" w:rsidRDefault="00AD16E1">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003A8E32" w14:textId="3495698E" w:rsidR="00EA3555" w:rsidRPr="008D72BE" w:rsidRDefault="00EA3555" w:rsidP="00EA3555">
      <w:r w:rsidRPr="008D72BE">
        <w:lastRenderedPageBreak/>
        <w:t>This chapter sets out the major drivers of change in each state’s GST distribution since the 2023 Update. In addition to changes in assessed GST needs and the combined impact of blended relativities and the GST relativity floor, states’ estimated GST distributions are affected by changes in state populations in the year of distribution, and changes in the size of the GST pool (including Commonwealth top-up payments as part of the 2018 legislated arrangements).</w:t>
      </w:r>
    </w:p>
    <w:p w14:paraId="616DBE92" w14:textId="0B4BCCB0" w:rsidR="00EA3555" w:rsidRPr="008D72BE" w:rsidRDefault="00EA3555" w:rsidP="00EA3555">
      <w:r w:rsidRPr="008D72BE">
        <w:t>Australia’s GST arrangements are transitioning from assessed relativities to relativities based on a benchmark of the fiscally stronger of New South Wales or Victoria. In the 2024 Update, Victoria was assessed as the fiscally stronger in 2020</w:t>
      </w:r>
      <w:r w:rsidR="00374D45">
        <w:t>–</w:t>
      </w:r>
      <w:r w:rsidRPr="008D72BE">
        <w:t>21 and New South Wales in 2021</w:t>
      </w:r>
      <w:r w:rsidR="00374D45">
        <w:t>–</w:t>
      </w:r>
      <w:r w:rsidRPr="008D72BE">
        <w:t>22 and 2022</w:t>
      </w:r>
      <w:r w:rsidR="00374D45">
        <w:t>–</w:t>
      </w:r>
      <w:r w:rsidRPr="008D72BE">
        <w:t>23.</w:t>
      </w:r>
    </w:p>
    <w:p w14:paraId="526BF30A" w14:textId="7F061869" w:rsidR="00EA3555" w:rsidRDefault="00EA3555">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4C54F4C2" w14:textId="77777777" w:rsidR="003459E6" w:rsidRPr="008D72BE" w:rsidRDefault="003459E6" w:rsidP="003459E6">
      <w:pPr>
        <w:pStyle w:val="Heading2"/>
      </w:pPr>
      <w:r w:rsidRPr="008D72BE">
        <w:lastRenderedPageBreak/>
        <w:t>New South Wales</w:t>
      </w:r>
    </w:p>
    <w:p w14:paraId="723E8CB7" w14:textId="7A954A56" w:rsidR="003459E6" w:rsidRPr="008D72BE" w:rsidRDefault="003459E6" w:rsidP="003459E6">
      <w:r w:rsidRPr="008D72BE">
        <w:t>New</w:t>
      </w:r>
      <w:r w:rsidR="00481530">
        <w:t> </w:t>
      </w:r>
      <w:r w:rsidRPr="008D72BE">
        <w:t>South</w:t>
      </w:r>
      <w:r w:rsidR="00481530">
        <w:t> </w:t>
      </w:r>
      <w:proofErr w:type="spellStart"/>
      <w:r w:rsidRPr="008D72BE">
        <w:t>Wales’</w:t>
      </w:r>
      <w:proofErr w:type="spellEnd"/>
      <w:r w:rsidRPr="008D72BE">
        <w:t xml:space="preserve"> share of the GST pool is estimated to decrease from 29.0% to 27.1%. Its estimated GST distribution in 2024–25 would decrease by $310 million ($36 per</w:t>
      </w:r>
      <w:r w:rsidR="00CE084C">
        <w:t> </w:t>
      </w:r>
      <w:r w:rsidRPr="008D72BE">
        <w:t>capita), or 1.3%.</w:t>
      </w:r>
    </w:p>
    <w:p w14:paraId="64A94B4E" w14:textId="48896128" w:rsidR="003459E6" w:rsidRPr="008D72BE" w:rsidRDefault="003459E6" w:rsidP="00201087">
      <w:pPr>
        <w:pStyle w:val="BulletPoints"/>
      </w:pPr>
      <w:r w:rsidRPr="008D72BE">
        <w:t>New</w:t>
      </w:r>
      <w:r w:rsidR="00481530">
        <w:t> </w:t>
      </w:r>
      <w:r w:rsidRPr="008D72BE">
        <w:t>South</w:t>
      </w:r>
      <w:r w:rsidR="00481530">
        <w:t> </w:t>
      </w:r>
      <w:proofErr w:type="spellStart"/>
      <w:r w:rsidRPr="008D72BE">
        <w:t>Wales’</w:t>
      </w:r>
      <w:proofErr w:type="spellEnd"/>
      <w:r w:rsidRPr="008D72BE">
        <w:t xml:space="preserve"> assessed GST needs decreased</w:t>
      </w:r>
      <w:r w:rsidR="005A1147">
        <w:t xml:space="preserve"> largely</w:t>
      </w:r>
      <w:r w:rsidRPr="008D72BE">
        <w:t xml:space="preserve"> due to:</w:t>
      </w:r>
    </w:p>
    <w:p w14:paraId="4DBACEDE" w14:textId="77777777" w:rsidR="003459E6" w:rsidRPr="008D72BE" w:rsidRDefault="003459E6" w:rsidP="00201087">
      <w:pPr>
        <w:pStyle w:val="BulletPoints-Level2"/>
      </w:pPr>
      <w:r w:rsidRPr="008D72BE">
        <w:t xml:space="preserve">an increase in its capacity to raise coal </w:t>
      </w:r>
      <w:proofErr w:type="gramStart"/>
      <w:r w:rsidRPr="008D72BE">
        <w:t>royalties</w:t>
      </w:r>
      <w:proofErr w:type="gramEnd"/>
    </w:p>
    <w:p w14:paraId="129F0B32" w14:textId="77777777" w:rsidR="003459E6" w:rsidRPr="008D72BE" w:rsidRDefault="003459E6" w:rsidP="00201087">
      <w:pPr>
        <w:pStyle w:val="BulletPoints-Level2"/>
      </w:pPr>
      <w:r w:rsidRPr="008D72BE">
        <w:t>above-average growth in taxable land values</w:t>
      </w:r>
    </w:p>
    <w:p w14:paraId="7A7D29E5" w14:textId="0D6AE097" w:rsidR="003459E6" w:rsidRPr="008D72BE" w:rsidRDefault="003459E6" w:rsidP="00201087">
      <w:pPr>
        <w:pStyle w:val="BulletPoints-Level2"/>
      </w:pPr>
      <w:r w:rsidRPr="008D72BE">
        <w:t>revisions to socio-demographic composition and urban population data from the latest 2021</w:t>
      </w:r>
      <w:r w:rsidR="00481530">
        <w:t> </w:t>
      </w:r>
      <w:r w:rsidRPr="008D72BE">
        <w:t>Census release</w:t>
      </w:r>
    </w:p>
    <w:p w14:paraId="2EBD20E4" w14:textId="43A2EA38" w:rsidR="003459E6" w:rsidRPr="008D72BE" w:rsidRDefault="003459E6" w:rsidP="00201087">
      <w:pPr>
        <w:pStyle w:val="BulletPoints-Level2"/>
      </w:pPr>
      <w:r w:rsidRPr="008D72BE">
        <w:t>a large downward revision to national urban transport investment in 2021</w:t>
      </w:r>
      <w:r w:rsidR="00481530">
        <w:t>–</w:t>
      </w:r>
      <w:r w:rsidRPr="008D72BE">
        <w:t>22.</w:t>
      </w:r>
    </w:p>
    <w:p w14:paraId="28A3977B" w14:textId="19E981AB" w:rsidR="003459E6" w:rsidRPr="008D72BE" w:rsidRDefault="003459E6" w:rsidP="00201087">
      <w:pPr>
        <w:pStyle w:val="BulletPoints"/>
      </w:pPr>
      <w:r w:rsidRPr="008D72BE">
        <w:t>New</w:t>
      </w:r>
      <w:r w:rsidR="00481530">
        <w:t> </w:t>
      </w:r>
      <w:r w:rsidRPr="008D72BE">
        <w:t>South</w:t>
      </w:r>
      <w:r w:rsidR="00481530">
        <w:t> </w:t>
      </w:r>
      <w:proofErr w:type="spellStart"/>
      <w:r w:rsidRPr="008D72BE">
        <w:t>Wales’</w:t>
      </w:r>
      <w:proofErr w:type="spellEnd"/>
      <w:r w:rsidRPr="008D72BE">
        <w:t xml:space="preserve"> decrease in assessed GST needs was partly offset by revisions to the value of property transfers and strong growth in national urban transport investment between 2019</w:t>
      </w:r>
      <w:r w:rsidR="00A10F7A">
        <w:t>–</w:t>
      </w:r>
      <w:r w:rsidRPr="008D72BE">
        <w:t>20 and 2022</w:t>
      </w:r>
      <w:r w:rsidR="00A10F7A">
        <w:t>–</w:t>
      </w:r>
      <w:r w:rsidRPr="008D72BE">
        <w:t>23. This strong growth occurred despite the large downward revision to urban transport investment in 2021</w:t>
      </w:r>
      <w:r w:rsidR="00A10F7A">
        <w:t>–</w:t>
      </w:r>
      <w:r w:rsidRPr="008D72BE">
        <w:t>22.</w:t>
      </w:r>
    </w:p>
    <w:p w14:paraId="26F71C8E" w14:textId="77777777" w:rsidR="003459E6" w:rsidRPr="008D72BE" w:rsidRDefault="003459E6" w:rsidP="00201087">
      <w:pPr>
        <w:pStyle w:val="BulletPoints"/>
      </w:pPr>
      <w:r w:rsidRPr="008D72BE">
        <w:t>Estimated growth in the GST pool was insufficient to offset the reduction in New South </w:t>
      </w:r>
      <w:proofErr w:type="spellStart"/>
      <w:r w:rsidRPr="008D72BE">
        <w:t>Wales’</w:t>
      </w:r>
      <w:proofErr w:type="spellEnd"/>
      <w:r w:rsidRPr="008D72BE">
        <w:t xml:space="preserve"> assessed GST needs. </w:t>
      </w:r>
    </w:p>
    <w:p w14:paraId="710F4960" w14:textId="45ACED72" w:rsidR="003459E6" w:rsidRPr="008D72BE" w:rsidRDefault="003459E6" w:rsidP="00201087">
      <w:pPr>
        <w:pStyle w:val="BulletPoints"/>
      </w:pPr>
      <w:r w:rsidRPr="008D72BE">
        <w:t>Compared with 2023</w:t>
      </w:r>
      <w:r w:rsidR="00A10F7A">
        <w:t>–</w:t>
      </w:r>
      <w:r w:rsidRPr="008D72BE">
        <w:t>24, blended relativities and the GST floor resulted in a reduction ($99 million) in New</w:t>
      </w:r>
      <w:r w:rsidR="007B1AB8">
        <w:t> </w:t>
      </w:r>
      <w:r w:rsidRPr="008D72BE">
        <w:t>South</w:t>
      </w:r>
      <w:r w:rsidR="007B1AB8">
        <w:t> </w:t>
      </w:r>
      <w:proofErr w:type="spellStart"/>
      <w:r w:rsidRPr="008D72BE">
        <w:t>Wales’</w:t>
      </w:r>
      <w:proofErr w:type="spellEnd"/>
      <w:r w:rsidRPr="008D72BE">
        <w:t xml:space="preserve"> GST distribution.</w:t>
      </w:r>
    </w:p>
    <w:p w14:paraId="27E36031" w14:textId="77777777" w:rsidR="0040084B" w:rsidRDefault="0040084B">
      <w:pPr>
        <w:tabs>
          <w:tab w:val="clear" w:pos="567"/>
        </w:tabs>
        <w:spacing w:before="0" w:line="240" w:lineRule="auto"/>
        <w:rPr>
          <w:rFonts w:ascii="Open Sans Light" w:eastAsia="Times New Roman" w:hAnsi="Open Sans Light" w:cs="Times New Roman"/>
          <w:szCs w:val="20"/>
        </w:rPr>
      </w:pPr>
    </w:p>
    <w:p w14:paraId="4046A195" w14:textId="12D4DB0F" w:rsidR="00375243" w:rsidRPr="008D72BE" w:rsidRDefault="00375243" w:rsidP="00375243">
      <w:pPr>
        <w:pStyle w:val="CGCTableHead"/>
        <w:ind w:left="1440" w:hanging="1440"/>
      </w:pPr>
      <w:r w:rsidRPr="008D72BE">
        <w:t>Table 3-1</w:t>
      </w:r>
      <w:r w:rsidRPr="008D72BE">
        <w:tab/>
        <w:t>Change in estimated GST distribution from 2023</w:t>
      </w:r>
      <w:r w:rsidR="00A10F7A">
        <w:t>–</w:t>
      </w:r>
      <w:r w:rsidRPr="008D72BE">
        <w:t>24 to 2024</w:t>
      </w:r>
      <w:r w:rsidR="00A10F7A">
        <w:t>–</w:t>
      </w:r>
      <w:r w:rsidRPr="008D72BE">
        <w:t>25, New</w:t>
      </w:r>
      <w:r w:rsidR="003934EB">
        <w:t> </w:t>
      </w:r>
      <w:r w:rsidRPr="008D72BE">
        <w:t>South</w:t>
      </w:r>
      <w:r>
        <w:t> </w:t>
      </w:r>
      <w:r w:rsidRPr="008D72BE">
        <w:t>Wales (excludes no worse off payments)</w:t>
      </w:r>
    </w:p>
    <w:tbl>
      <w:tblPr>
        <w:tblW w:w="8940" w:type="dxa"/>
        <w:tblLook w:val="04A0" w:firstRow="1" w:lastRow="0" w:firstColumn="1" w:lastColumn="0" w:noHBand="0" w:noVBand="1"/>
      </w:tblPr>
      <w:tblGrid>
        <w:gridCol w:w="4420"/>
        <w:gridCol w:w="2200"/>
        <w:gridCol w:w="2320"/>
      </w:tblGrid>
      <w:tr w:rsidR="003934EB" w:rsidRPr="003934EB" w14:paraId="7B6999CC" w14:textId="77777777" w:rsidTr="003934EB">
        <w:trPr>
          <w:trHeight w:val="375"/>
        </w:trPr>
        <w:tc>
          <w:tcPr>
            <w:tcW w:w="4420" w:type="dxa"/>
            <w:tcBorders>
              <w:top w:val="nil"/>
              <w:left w:val="nil"/>
              <w:bottom w:val="single" w:sz="4" w:space="0" w:color="ADD6EA"/>
              <w:right w:val="nil"/>
            </w:tcBorders>
            <w:shd w:val="clear" w:color="000000" w:fill="006991"/>
            <w:noWrap/>
            <w:vAlign w:val="center"/>
            <w:hideMark/>
          </w:tcPr>
          <w:p w14:paraId="222BAF41" w14:textId="77777777" w:rsidR="003934EB" w:rsidRPr="003934EB" w:rsidRDefault="003934EB" w:rsidP="003934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934EB">
              <w:rPr>
                <w:rFonts w:ascii="Open Sans Semibold" w:eastAsia="Times New Roman" w:hAnsi="Open Sans Semibold" w:cs="Open Sans Semibold"/>
                <w:color w:val="FFFFFF"/>
                <w:sz w:val="16"/>
                <w:szCs w:val="16"/>
                <w:lang w:eastAsia="en-AU"/>
              </w:rPr>
              <w:t> </w:t>
            </w:r>
          </w:p>
        </w:tc>
        <w:tc>
          <w:tcPr>
            <w:tcW w:w="2200" w:type="dxa"/>
            <w:tcBorders>
              <w:top w:val="nil"/>
              <w:left w:val="nil"/>
              <w:bottom w:val="single" w:sz="4" w:space="0" w:color="ADD6EA"/>
              <w:right w:val="nil"/>
            </w:tcBorders>
            <w:shd w:val="clear" w:color="000000" w:fill="006991"/>
            <w:noWrap/>
            <w:vAlign w:val="center"/>
            <w:hideMark/>
          </w:tcPr>
          <w:p w14:paraId="00EF1600" w14:textId="77777777" w:rsidR="003934EB" w:rsidRPr="003934EB" w:rsidRDefault="003934EB" w:rsidP="003934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934EB">
              <w:rPr>
                <w:rFonts w:ascii="Open Sans Semibold" w:eastAsia="Times New Roman" w:hAnsi="Open Sans Semibold" w:cs="Open Sans Semibold"/>
                <w:color w:val="FFFFFF"/>
                <w:sz w:val="16"/>
                <w:szCs w:val="16"/>
                <w:lang w:eastAsia="en-AU"/>
              </w:rPr>
              <w:t>$m</w:t>
            </w:r>
          </w:p>
        </w:tc>
        <w:tc>
          <w:tcPr>
            <w:tcW w:w="2320" w:type="dxa"/>
            <w:tcBorders>
              <w:top w:val="nil"/>
              <w:left w:val="nil"/>
              <w:bottom w:val="single" w:sz="4" w:space="0" w:color="ADD6EA"/>
              <w:right w:val="nil"/>
            </w:tcBorders>
            <w:shd w:val="clear" w:color="000000" w:fill="006991"/>
            <w:noWrap/>
            <w:vAlign w:val="center"/>
            <w:hideMark/>
          </w:tcPr>
          <w:p w14:paraId="6F2BB91E" w14:textId="77777777" w:rsidR="003934EB" w:rsidRPr="003934EB" w:rsidRDefault="003934EB" w:rsidP="003934E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934EB">
              <w:rPr>
                <w:rFonts w:ascii="Open Sans Semibold" w:eastAsia="Times New Roman" w:hAnsi="Open Sans Semibold" w:cs="Open Sans Semibold"/>
                <w:color w:val="FFFFFF"/>
                <w:sz w:val="16"/>
                <w:szCs w:val="16"/>
                <w:lang w:eastAsia="en-AU"/>
              </w:rPr>
              <w:t>$pc</w:t>
            </w:r>
          </w:p>
        </w:tc>
      </w:tr>
      <w:tr w:rsidR="003934EB" w:rsidRPr="003934EB" w14:paraId="3CFE2C86" w14:textId="77777777" w:rsidTr="003934EB">
        <w:trPr>
          <w:trHeight w:val="315"/>
        </w:trPr>
        <w:tc>
          <w:tcPr>
            <w:tcW w:w="4420" w:type="dxa"/>
            <w:tcBorders>
              <w:top w:val="nil"/>
              <w:left w:val="nil"/>
              <w:bottom w:val="single" w:sz="4" w:space="0" w:color="ADD6EA"/>
              <w:right w:val="nil"/>
            </w:tcBorders>
            <w:shd w:val="clear" w:color="auto" w:fill="auto"/>
            <w:noWrap/>
            <w:vAlign w:val="bottom"/>
            <w:hideMark/>
          </w:tcPr>
          <w:p w14:paraId="1D3E340D" w14:textId="77777777" w:rsidR="003934EB" w:rsidRPr="00C84B7A" w:rsidRDefault="003934EB" w:rsidP="003934EB">
            <w:pPr>
              <w:tabs>
                <w:tab w:val="clear" w:pos="567"/>
              </w:tabs>
              <w:spacing w:before="0" w:line="240" w:lineRule="auto"/>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 xml:space="preserve">Change in </w:t>
            </w:r>
            <w:r w:rsidRPr="00C84B7A">
              <w:rPr>
                <w:rFonts w:ascii="Open Sans Light" w:eastAsia="Times New Roman" w:hAnsi="Open Sans Light" w:cs="Open Sans Light"/>
                <w:color w:val="000000"/>
                <w:sz w:val="16"/>
                <w:szCs w:val="16"/>
                <w:lang w:eastAsia="en-AU"/>
              </w:rPr>
              <w:t>population</w:t>
            </w:r>
          </w:p>
        </w:tc>
        <w:tc>
          <w:tcPr>
            <w:tcW w:w="2200" w:type="dxa"/>
            <w:tcBorders>
              <w:top w:val="nil"/>
              <w:left w:val="nil"/>
              <w:bottom w:val="single" w:sz="4" w:space="0" w:color="ADD6EA"/>
              <w:right w:val="nil"/>
            </w:tcBorders>
            <w:shd w:val="clear" w:color="auto" w:fill="auto"/>
            <w:noWrap/>
            <w:vAlign w:val="bottom"/>
            <w:hideMark/>
          </w:tcPr>
          <w:p w14:paraId="765FA3D2"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-44</w:t>
            </w:r>
          </w:p>
        </w:tc>
        <w:tc>
          <w:tcPr>
            <w:tcW w:w="2320" w:type="dxa"/>
            <w:tcBorders>
              <w:top w:val="nil"/>
              <w:left w:val="nil"/>
              <w:bottom w:val="single" w:sz="4" w:space="0" w:color="ADD6EA"/>
              <w:right w:val="nil"/>
            </w:tcBorders>
            <w:shd w:val="clear" w:color="auto" w:fill="auto"/>
            <w:noWrap/>
            <w:vAlign w:val="bottom"/>
            <w:hideMark/>
          </w:tcPr>
          <w:p w14:paraId="4E1CABF8"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-5</w:t>
            </w:r>
          </w:p>
        </w:tc>
      </w:tr>
      <w:tr w:rsidR="003934EB" w:rsidRPr="003934EB" w14:paraId="39AB8BEC" w14:textId="77777777" w:rsidTr="003934EB">
        <w:trPr>
          <w:trHeight w:val="315"/>
        </w:trPr>
        <w:tc>
          <w:tcPr>
            <w:tcW w:w="4420" w:type="dxa"/>
            <w:tcBorders>
              <w:top w:val="nil"/>
              <w:left w:val="nil"/>
              <w:bottom w:val="single" w:sz="4" w:space="0" w:color="ADD6EA"/>
              <w:right w:val="nil"/>
            </w:tcBorders>
            <w:shd w:val="clear" w:color="auto" w:fill="auto"/>
            <w:noWrap/>
            <w:vAlign w:val="bottom"/>
            <w:hideMark/>
          </w:tcPr>
          <w:p w14:paraId="7DFEEBF0" w14:textId="77777777" w:rsidR="003934EB" w:rsidRPr="00C84B7A" w:rsidRDefault="003934EB" w:rsidP="003934EB">
            <w:pPr>
              <w:tabs>
                <w:tab w:val="clear" w:pos="567"/>
              </w:tabs>
              <w:spacing w:before="0" w:line="240" w:lineRule="auto"/>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 xml:space="preserve">Growth in GST pool </w:t>
            </w:r>
          </w:p>
        </w:tc>
        <w:tc>
          <w:tcPr>
            <w:tcW w:w="2200" w:type="dxa"/>
            <w:tcBorders>
              <w:top w:val="nil"/>
              <w:left w:val="nil"/>
              <w:bottom w:val="single" w:sz="4" w:space="0" w:color="ADD6EA"/>
              <w:right w:val="nil"/>
            </w:tcBorders>
            <w:shd w:val="clear" w:color="auto" w:fill="auto"/>
            <w:noWrap/>
            <w:vAlign w:val="bottom"/>
            <w:hideMark/>
          </w:tcPr>
          <w:p w14:paraId="37AE5F88"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1,384</w:t>
            </w:r>
          </w:p>
        </w:tc>
        <w:tc>
          <w:tcPr>
            <w:tcW w:w="2320" w:type="dxa"/>
            <w:tcBorders>
              <w:top w:val="nil"/>
              <w:left w:val="nil"/>
              <w:bottom w:val="single" w:sz="4" w:space="0" w:color="ADD6EA"/>
              <w:right w:val="nil"/>
            </w:tcBorders>
            <w:shd w:val="clear" w:color="auto" w:fill="auto"/>
            <w:noWrap/>
            <w:vAlign w:val="bottom"/>
            <w:hideMark/>
          </w:tcPr>
          <w:p w14:paraId="3793BC4C"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162</w:t>
            </w:r>
          </w:p>
        </w:tc>
      </w:tr>
      <w:tr w:rsidR="003934EB" w:rsidRPr="003934EB" w14:paraId="44488DC3" w14:textId="77777777" w:rsidTr="003934EB">
        <w:trPr>
          <w:trHeight w:val="315"/>
        </w:trPr>
        <w:tc>
          <w:tcPr>
            <w:tcW w:w="4420" w:type="dxa"/>
            <w:tcBorders>
              <w:top w:val="nil"/>
              <w:left w:val="nil"/>
              <w:bottom w:val="single" w:sz="4" w:space="0" w:color="ADD6EA"/>
              <w:right w:val="nil"/>
            </w:tcBorders>
            <w:shd w:val="clear" w:color="auto" w:fill="auto"/>
            <w:noWrap/>
            <w:vAlign w:val="bottom"/>
            <w:hideMark/>
          </w:tcPr>
          <w:p w14:paraId="0523AE2F" w14:textId="77777777" w:rsidR="003934EB" w:rsidRPr="00C84B7A" w:rsidRDefault="003934EB" w:rsidP="003934EB">
            <w:pPr>
              <w:tabs>
                <w:tab w:val="clear" w:pos="567"/>
              </w:tabs>
              <w:spacing w:before="0" w:line="240" w:lineRule="auto"/>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Changes in assessed GST needs</w:t>
            </w:r>
          </w:p>
        </w:tc>
        <w:tc>
          <w:tcPr>
            <w:tcW w:w="2200" w:type="dxa"/>
            <w:tcBorders>
              <w:top w:val="nil"/>
              <w:left w:val="nil"/>
              <w:bottom w:val="single" w:sz="4" w:space="0" w:color="ADD6EA"/>
              <w:right w:val="nil"/>
            </w:tcBorders>
            <w:shd w:val="clear" w:color="auto" w:fill="auto"/>
            <w:noWrap/>
            <w:vAlign w:val="bottom"/>
            <w:hideMark/>
          </w:tcPr>
          <w:p w14:paraId="44DE058F"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 </w:t>
            </w:r>
          </w:p>
        </w:tc>
        <w:tc>
          <w:tcPr>
            <w:tcW w:w="2320" w:type="dxa"/>
            <w:tcBorders>
              <w:top w:val="nil"/>
              <w:left w:val="nil"/>
              <w:bottom w:val="single" w:sz="4" w:space="0" w:color="ADD6EA"/>
              <w:right w:val="nil"/>
            </w:tcBorders>
            <w:shd w:val="clear" w:color="auto" w:fill="auto"/>
            <w:noWrap/>
            <w:vAlign w:val="bottom"/>
            <w:hideMark/>
          </w:tcPr>
          <w:p w14:paraId="1488198A"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 </w:t>
            </w:r>
          </w:p>
        </w:tc>
      </w:tr>
      <w:tr w:rsidR="003934EB" w:rsidRPr="003934EB" w14:paraId="48D9DD14" w14:textId="77777777" w:rsidTr="003934EB">
        <w:trPr>
          <w:trHeight w:val="315"/>
        </w:trPr>
        <w:tc>
          <w:tcPr>
            <w:tcW w:w="4420" w:type="dxa"/>
            <w:tcBorders>
              <w:top w:val="nil"/>
              <w:left w:val="nil"/>
              <w:bottom w:val="single" w:sz="4" w:space="0" w:color="ADD6EA"/>
              <w:right w:val="nil"/>
            </w:tcBorders>
            <w:shd w:val="clear" w:color="auto" w:fill="auto"/>
            <w:noWrap/>
            <w:vAlign w:val="bottom"/>
            <w:hideMark/>
          </w:tcPr>
          <w:p w14:paraId="2E734862" w14:textId="0646FAA5" w:rsidR="003934EB" w:rsidRPr="00C84B7A" w:rsidRDefault="003934EB" w:rsidP="003934EB">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 xml:space="preserve">Revised populations from </w:t>
            </w:r>
            <w:r w:rsidR="00A536AB" w:rsidRPr="00C84B7A">
              <w:rPr>
                <w:rFonts w:ascii="Open Sans Light" w:eastAsia="Times New Roman" w:hAnsi="Open Sans Light" w:cs="Open Sans Light"/>
                <w:sz w:val="16"/>
                <w:szCs w:val="16"/>
                <w:lang w:eastAsia="en-AU"/>
              </w:rPr>
              <w:t>C</w:t>
            </w:r>
            <w:r w:rsidRPr="00C84B7A">
              <w:rPr>
                <w:rFonts w:ascii="Open Sans Light" w:eastAsia="Times New Roman" w:hAnsi="Open Sans Light" w:cs="Open Sans Light"/>
                <w:sz w:val="16"/>
                <w:szCs w:val="16"/>
                <w:lang w:eastAsia="en-AU"/>
              </w:rPr>
              <w:t>ensus</w:t>
            </w:r>
          </w:p>
        </w:tc>
        <w:tc>
          <w:tcPr>
            <w:tcW w:w="2200" w:type="dxa"/>
            <w:tcBorders>
              <w:top w:val="nil"/>
              <w:left w:val="nil"/>
              <w:bottom w:val="single" w:sz="4" w:space="0" w:color="ADD6EA"/>
              <w:right w:val="nil"/>
            </w:tcBorders>
            <w:shd w:val="clear" w:color="auto" w:fill="auto"/>
            <w:noWrap/>
            <w:vAlign w:val="bottom"/>
            <w:hideMark/>
          </w:tcPr>
          <w:p w14:paraId="17ACA993"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-544</w:t>
            </w:r>
          </w:p>
        </w:tc>
        <w:tc>
          <w:tcPr>
            <w:tcW w:w="2320" w:type="dxa"/>
            <w:tcBorders>
              <w:top w:val="nil"/>
              <w:left w:val="nil"/>
              <w:bottom w:val="single" w:sz="4" w:space="0" w:color="ADD6EA"/>
              <w:right w:val="nil"/>
            </w:tcBorders>
            <w:shd w:val="clear" w:color="auto" w:fill="auto"/>
            <w:noWrap/>
            <w:vAlign w:val="bottom"/>
            <w:hideMark/>
          </w:tcPr>
          <w:p w14:paraId="55F23B4D"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-64</w:t>
            </w:r>
          </w:p>
        </w:tc>
      </w:tr>
      <w:tr w:rsidR="003934EB" w:rsidRPr="003934EB" w14:paraId="0C0E5C11" w14:textId="77777777" w:rsidTr="003934EB">
        <w:trPr>
          <w:trHeight w:val="315"/>
        </w:trPr>
        <w:tc>
          <w:tcPr>
            <w:tcW w:w="4420" w:type="dxa"/>
            <w:tcBorders>
              <w:top w:val="nil"/>
              <w:left w:val="nil"/>
              <w:bottom w:val="single" w:sz="4" w:space="0" w:color="ADD6EA"/>
              <w:right w:val="nil"/>
            </w:tcBorders>
            <w:shd w:val="clear" w:color="auto" w:fill="auto"/>
            <w:noWrap/>
            <w:vAlign w:val="bottom"/>
            <w:hideMark/>
          </w:tcPr>
          <w:p w14:paraId="69031584" w14:textId="77777777" w:rsidR="003934EB" w:rsidRPr="00C84B7A" w:rsidRDefault="003934EB" w:rsidP="003934EB">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Other data revisions</w:t>
            </w:r>
          </w:p>
        </w:tc>
        <w:tc>
          <w:tcPr>
            <w:tcW w:w="2200" w:type="dxa"/>
            <w:tcBorders>
              <w:top w:val="nil"/>
              <w:left w:val="nil"/>
              <w:bottom w:val="single" w:sz="4" w:space="0" w:color="ADD6EA"/>
              <w:right w:val="nil"/>
            </w:tcBorders>
            <w:shd w:val="clear" w:color="auto" w:fill="auto"/>
            <w:noWrap/>
            <w:vAlign w:val="bottom"/>
            <w:hideMark/>
          </w:tcPr>
          <w:p w14:paraId="365D4D35"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17</w:t>
            </w:r>
          </w:p>
        </w:tc>
        <w:tc>
          <w:tcPr>
            <w:tcW w:w="2320" w:type="dxa"/>
            <w:tcBorders>
              <w:top w:val="nil"/>
              <w:left w:val="nil"/>
              <w:bottom w:val="single" w:sz="4" w:space="0" w:color="ADD6EA"/>
              <w:right w:val="nil"/>
            </w:tcBorders>
            <w:shd w:val="clear" w:color="auto" w:fill="auto"/>
            <w:noWrap/>
            <w:vAlign w:val="bottom"/>
            <w:hideMark/>
          </w:tcPr>
          <w:p w14:paraId="3467C571"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2</w:t>
            </w:r>
          </w:p>
        </w:tc>
      </w:tr>
      <w:tr w:rsidR="003934EB" w:rsidRPr="003934EB" w14:paraId="0CEED38B" w14:textId="77777777" w:rsidTr="003934EB">
        <w:trPr>
          <w:trHeight w:val="315"/>
        </w:trPr>
        <w:tc>
          <w:tcPr>
            <w:tcW w:w="4420" w:type="dxa"/>
            <w:tcBorders>
              <w:top w:val="nil"/>
              <w:left w:val="nil"/>
              <w:bottom w:val="single" w:sz="4" w:space="0" w:color="ADD6EA"/>
              <w:right w:val="nil"/>
            </w:tcBorders>
            <w:shd w:val="clear" w:color="auto" w:fill="auto"/>
            <w:noWrap/>
            <w:vAlign w:val="bottom"/>
            <w:hideMark/>
          </w:tcPr>
          <w:p w14:paraId="1DEEADC0" w14:textId="77777777" w:rsidR="003934EB" w:rsidRPr="00C84B7A" w:rsidRDefault="003934EB" w:rsidP="003934EB">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State circumstances</w:t>
            </w:r>
          </w:p>
        </w:tc>
        <w:tc>
          <w:tcPr>
            <w:tcW w:w="2200" w:type="dxa"/>
            <w:tcBorders>
              <w:top w:val="nil"/>
              <w:left w:val="nil"/>
              <w:bottom w:val="single" w:sz="4" w:space="0" w:color="ADD6EA"/>
              <w:right w:val="nil"/>
            </w:tcBorders>
            <w:shd w:val="clear" w:color="auto" w:fill="auto"/>
            <w:noWrap/>
            <w:vAlign w:val="bottom"/>
            <w:hideMark/>
          </w:tcPr>
          <w:p w14:paraId="688C73B7"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-1,024</w:t>
            </w:r>
          </w:p>
        </w:tc>
        <w:tc>
          <w:tcPr>
            <w:tcW w:w="2320" w:type="dxa"/>
            <w:tcBorders>
              <w:top w:val="nil"/>
              <w:left w:val="nil"/>
              <w:bottom w:val="single" w:sz="4" w:space="0" w:color="ADD6EA"/>
              <w:right w:val="nil"/>
            </w:tcBorders>
            <w:shd w:val="clear" w:color="auto" w:fill="auto"/>
            <w:noWrap/>
            <w:vAlign w:val="bottom"/>
            <w:hideMark/>
          </w:tcPr>
          <w:p w14:paraId="6F4032EE"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-120</w:t>
            </w:r>
          </w:p>
        </w:tc>
      </w:tr>
      <w:tr w:rsidR="003934EB" w:rsidRPr="003934EB" w14:paraId="3DB3B4F4" w14:textId="77777777" w:rsidTr="003934EB">
        <w:trPr>
          <w:trHeight w:val="315"/>
        </w:trPr>
        <w:tc>
          <w:tcPr>
            <w:tcW w:w="4420" w:type="dxa"/>
            <w:tcBorders>
              <w:top w:val="nil"/>
              <w:left w:val="nil"/>
              <w:bottom w:val="single" w:sz="4" w:space="0" w:color="ADD6EA"/>
              <w:right w:val="nil"/>
            </w:tcBorders>
            <w:shd w:val="clear" w:color="auto" w:fill="auto"/>
            <w:noWrap/>
            <w:vAlign w:val="bottom"/>
            <w:hideMark/>
          </w:tcPr>
          <w:p w14:paraId="4136315F" w14:textId="77777777" w:rsidR="003934EB" w:rsidRPr="00C84B7A" w:rsidRDefault="003934EB" w:rsidP="003934EB">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Total</w:t>
            </w:r>
          </w:p>
        </w:tc>
        <w:tc>
          <w:tcPr>
            <w:tcW w:w="2200" w:type="dxa"/>
            <w:tcBorders>
              <w:top w:val="nil"/>
              <w:left w:val="nil"/>
              <w:bottom w:val="single" w:sz="4" w:space="0" w:color="ADD6EA"/>
              <w:right w:val="nil"/>
            </w:tcBorders>
            <w:shd w:val="clear" w:color="auto" w:fill="auto"/>
            <w:noWrap/>
            <w:vAlign w:val="bottom"/>
            <w:hideMark/>
          </w:tcPr>
          <w:p w14:paraId="5710D3FD"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-1,551</w:t>
            </w:r>
          </w:p>
        </w:tc>
        <w:tc>
          <w:tcPr>
            <w:tcW w:w="2320" w:type="dxa"/>
            <w:tcBorders>
              <w:top w:val="nil"/>
              <w:left w:val="nil"/>
              <w:bottom w:val="single" w:sz="4" w:space="0" w:color="ADD6EA"/>
              <w:right w:val="nil"/>
            </w:tcBorders>
            <w:shd w:val="clear" w:color="auto" w:fill="auto"/>
            <w:noWrap/>
            <w:vAlign w:val="bottom"/>
            <w:hideMark/>
          </w:tcPr>
          <w:p w14:paraId="3BA17FE1"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-182</w:t>
            </w:r>
          </w:p>
        </w:tc>
      </w:tr>
      <w:tr w:rsidR="003934EB" w:rsidRPr="003934EB" w14:paraId="2B567C5F" w14:textId="77777777" w:rsidTr="003934EB">
        <w:trPr>
          <w:trHeight w:val="315"/>
        </w:trPr>
        <w:tc>
          <w:tcPr>
            <w:tcW w:w="4420" w:type="dxa"/>
            <w:tcBorders>
              <w:top w:val="nil"/>
              <w:left w:val="nil"/>
              <w:bottom w:val="single" w:sz="4" w:space="0" w:color="ADD6EA"/>
              <w:right w:val="nil"/>
            </w:tcBorders>
            <w:shd w:val="clear" w:color="auto" w:fill="auto"/>
            <w:noWrap/>
            <w:vAlign w:val="bottom"/>
            <w:hideMark/>
          </w:tcPr>
          <w:p w14:paraId="3231C2CB" w14:textId="77777777" w:rsidR="003934EB" w:rsidRPr="00C84B7A" w:rsidRDefault="003934EB" w:rsidP="003934EB">
            <w:pPr>
              <w:tabs>
                <w:tab w:val="clear" w:pos="567"/>
              </w:tabs>
              <w:spacing w:before="0" w:line="240" w:lineRule="auto"/>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Blended relativities and GST floor</w:t>
            </w:r>
          </w:p>
        </w:tc>
        <w:tc>
          <w:tcPr>
            <w:tcW w:w="2200" w:type="dxa"/>
            <w:tcBorders>
              <w:top w:val="nil"/>
              <w:left w:val="nil"/>
              <w:bottom w:val="single" w:sz="4" w:space="0" w:color="ADD6EA"/>
              <w:right w:val="nil"/>
            </w:tcBorders>
            <w:shd w:val="clear" w:color="auto" w:fill="auto"/>
            <w:noWrap/>
            <w:vAlign w:val="bottom"/>
            <w:hideMark/>
          </w:tcPr>
          <w:p w14:paraId="3A0AAA88"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-99</w:t>
            </w:r>
          </w:p>
        </w:tc>
        <w:tc>
          <w:tcPr>
            <w:tcW w:w="2320" w:type="dxa"/>
            <w:tcBorders>
              <w:top w:val="nil"/>
              <w:left w:val="nil"/>
              <w:bottom w:val="single" w:sz="4" w:space="0" w:color="ADD6EA"/>
              <w:right w:val="nil"/>
            </w:tcBorders>
            <w:shd w:val="clear" w:color="auto" w:fill="auto"/>
            <w:noWrap/>
            <w:vAlign w:val="bottom"/>
            <w:hideMark/>
          </w:tcPr>
          <w:p w14:paraId="463CF381" w14:textId="77777777" w:rsidR="003934EB" w:rsidRPr="00C84B7A" w:rsidRDefault="003934EB" w:rsidP="003934EB">
            <w:pPr>
              <w:tabs>
                <w:tab w:val="clear" w:pos="567"/>
              </w:tabs>
              <w:spacing w:before="0" w:line="240" w:lineRule="auto"/>
              <w:jc w:val="right"/>
              <w:rPr>
                <w:rFonts w:ascii="Open Sans Light" w:eastAsia="Times New Roman" w:hAnsi="Open Sans Light" w:cs="Open Sans Light"/>
                <w:sz w:val="16"/>
                <w:szCs w:val="16"/>
                <w:lang w:eastAsia="en-AU"/>
              </w:rPr>
            </w:pPr>
            <w:r w:rsidRPr="00C84B7A">
              <w:rPr>
                <w:rFonts w:ascii="Open Sans Light" w:eastAsia="Times New Roman" w:hAnsi="Open Sans Light" w:cs="Open Sans Light"/>
                <w:sz w:val="16"/>
                <w:szCs w:val="16"/>
                <w:lang w:eastAsia="en-AU"/>
              </w:rPr>
              <w:t>-12</w:t>
            </w:r>
          </w:p>
        </w:tc>
      </w:tr>
      <w:tr w:rsidR="003934EB" w:rsidRPr="003934EB" w14:paraId="09B0B27F" w14:textId="77777777" w:rsidTr="003934EB">
        <w:trPr>
          <w:trHeight w:val="315"/>
        </w:trPr>
        <w:tc>
          <w:tcPr>
            <w:tcW w:w="4420" w:type="dxa"/>
            <w:tcBorders>
              <w:top w:val="nil"/>
              <w:left w:val="nil"/>
              <w:bottom w:val="single" w:sz="4" w:space="0" w:color="ADD6EA"/>
              <w:right w:val="nil"/>
            </w:tcBorders>
            <w:shd w:val="clear" w:color="000000" w:fill="D6E7F0"/>
            <w:noWrap/>
            <w:vAlign w:val="bottom"/>
            <w:hideMark/>
          </w:tcPr>
          <w:p w14:paraId="2FEE208E" w14:textId="77777777" w:rsidR="003934EB" w:rsidRPr="00725211" w:rsidRDefault="003934EB" w:rsidP="00F40581">
            <w:pPr>
              <w:spacing w:before="0"/>
              <w:rPr>
                <w:rFonts w:ascii="Open Sans Semibold" w:hAnsi="Open Sans Semibold" w:cs="Open Sans Semibold"/>
                <w:color w:val="000000"/>
                <w:sz w:val="16"/>
                <w:szCs w:val="16"/>
              </w:rPr>
            </w:pPr>
            <w:r w:rsidRPr="00725211">
              <w:rPr>
                <w:rFonts w:ascii="Open Sans Semibold" w:hAnsi="Open Sans Semibold" w:cs="Open Sans Semibold"/>
                <w:color w:val="000000"/>
                <w:sz w:val="16"/>
                <w:szCs w:val="16"/>
              </w:rPr>
              <w:t>Total change</w:t>
            </w:r>
          </w:p>
        </w:tc>
        <w:tc>
          <w:tcPr>
            <w:tcW w:w="2200" w:type="dxa"/>
            <w:tcBorders>
              <w:top w:val="nil"/>
              <w:left w:val="nil"/>
              <w:bottom w:val="single" w:sz="4" w:space="0" w:color="ADD6EA"/>
              <w:right w:val="nil"/>
            </w:tcBorders>
            <w:shd w:val="clear" w:color="000000" w:fill="D6E7F0"/>
            <w:noWrap/>
            <w:vAlign w:val="bottom"/>
            <w:hideMark/>
          </w:tcPr>
          <w:p w14:paraId="5D63AB78" w14:textId="77777777" w:rsidR="003934EB" w:rsidRPr="00725211" w:rsidRDefault="003934EB" w:rsidP="003934EB">
            <w:pPr>
              <w:tabs>
                <w:tab w:val="clear" w:pos="567"/>
              </w:tabs>
              <w:spacing w:before="0" w:line="240" w:lineRule="auto"/>
              <w:jc w:val="right"/>
              <w:rPr>
                <w:rFonts w:ascii="Open Sans Semibold" w:hAnsi="Open Sans Semibold" w:cs="Open Sans Semibold"/>
                <w:color w:val="000000"/>
                <w:sz w:val="16"/>
                <w:szCs w:val="16"/>
              </w:rPr>
            </w:pPr>
            <w:r w:rsidRPr="00725211">
              <w:rPr>
                <w:rFonts w:ascii="Open Sans Semibold" w:hAnsi="Open Sans Semibold" w:cs="Open Sans Semibold"/>
                <w:color w:val="000000"/>
                <w:sz w:val="16"/>
                <w:szCs w:val="16"/>
              </w:rPr>
              <w:t>-310</w:t>
            </w:r>
          </w:p>
        </w:tc>
        <w:tc>
          <w:tcPr>
            <w:tcW w:w="2320" w:type="dxa"/>
            <w:tcBorders>
              <w:top w:val="nil"/>
              <w:left w:val="nil"/>
              <w:bottom w:val="single" w:sz="4" w:space="0" w:color="ADD6EA"/>
              <w:right w:val="nil"/>
            </w:tcBorders>
            <w:shd w:val="clear" w:color="000000" w:fill="D6E7F0"/>
            <w:noWrap/>
            <w:vAlign w:val="bottom"/>
            <w:hideMark/>
          </w:tcPr>
          <w:p w14:paraId="53B60A29" w14:textId="77777777" w:rsidR="003934EB" w:rsidRPr="00725211" w:rsidRDefault="003934EB" w:rsidP="003934EB">
            <w:pPr>
              <w:tabs>
                <w:tab w:val="clear" w:pos="567"/>
              </w:tabs>
              <w:spacing w:before="0" w:line="240" w:lineRule="auto"/>
              <w:jc w:val="right"/>
              <w:rPr>
                <w:rFonts w:ascii="Open Sans Semibold" w:hAnsi="Open Sans Semibold" w:cs="Open Sans Semibold"/>
                <w:color w:val="000000"/>
                <w:sz w:val="16"/>
                <w:szCs w:val="16"/>
              </w:rPr>
            </w:pPr>
            <w:r w:rsidRPr="00725211">
              <w:rPr>
                <w:rFonts w:ascii="Open Sans Semibold" w:hAnsi="Open Sans Semibold" w:cs="Open Sans Semibold"/>
                <w:color w:val="000000"/>
                <w:sz w:val="16"/>
                <w:szCs w:val="16"/>
              </w:rPr>
              <w:t>-36</w:t>
            </w:r>
          </w:p>
        </w:tc>
      </w:tr>
    </w:tbl>
    <w:p w14:paraId="28AD2EA8" w14:textId="77777777" w:rsidR="00375243" w:rsidRPr="008D72BE" w:rsidRDefault="00375243" w:rsidP="00375243">
      <w:pPr>
        <w:pStyle w:val="Tablefootnote"/>
      </w:pPr>
      <w:r w:rsidRPr="008D72BE">
        <w:t xml:space="preserve">Note: </w:t>
      </w:r>
      <w:r w:rsidRPr="008D72BE">
        <w:tab/>
        <w:t>Table may not add due to rounding.</w:t>
      </w:r>
    </w:p>
    <w:p w14:paraId="16E39E4D" w14:textId="77777777" w:rsidR="00375243" w:rsidRPr="008D72BE" w:rsidRDefault="00375243" w:rsidP="00375243">
      <w:pPr>
        <w:pStyle w:val="Tablefootnote"/>
      </w:pPr>
      <w:r w:rsidRPr="008D72BE">
        <w:t>Source: Commission calculation.</w:t>
      </w:r>
    </w:p>
    <w:p w14:paraId="73092112" w14:textId="1245E67A" w:rsidR="009C58EB" w:rsidRDefault="009C58EB">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1B4A3533" w14:textId="77777777" w:rsidR="009C58EB" w:rsidRPr="008D72BE" w:rsidRDefault="009C58EB" w:rsidP="009C58EB">
      <w:pPr>
        <w:pStyle w:val="Tableheading"/>
      </w:pPr>
      <w:r w:rsidRPr="008D72BE">
        <w:lastRenderedPageBreak/>
        <w:t>Figure 3-1</w:t>
      </w:r>
      <w:r w:rsidRPr="008D72BE">
        <w:tab/>
        <w:t xml:space="preserve">New South Wales: main changes in assessed GST needs, 2024 </w:t>
      </w:r>
      <w:proofErr w:type="gramStart"/>
      <w:r w:rsidRPr="008D72BE">
        <w:t>Update</w:t>
      </w:r>
      <w:proofErr w:type="gramEnd"/>
    </w:p>
    <w:tbl>
      <w:tblPr>
        <w:tblW w:w="8960" w:type="dxa"/>
        <w:tblLook w:val="04A0" w:firstRow="1" w:lastRow="0" w:firstColumn="1" w:lastColumn="0" w:noHBand="0" w:noVBand="1"/>
      </w:tblPr>
      <w:tblGrid>
        <w:gridCol w:w="2940"/>
        <w:gridCol w:w="760"/>
        <w:gridCol w:w="760"/>
        <w:gridCol w:w="4500"/>
      </w:tblGrid>
      <w:tr w:rsidR="00930984" w:rsidRPr="00930984" w14:paraId="0240EAB9" w14:textId="77777777" w:rsidTr="00930984">
        <w:trPr>
          <w:trHeight w:val="375"/>
        </w:trPr>
        <w:tc>
          <w:tcPr>
            <w:tcW w:w="2940" w:type="dxa"/>
            <w:tcBorders>
              <w:top w:val="nil"/>
              <w:left w:val="nil"/>
              <w:bottom w:val="nil"/>
              <w:right w:val="nil"/>
            </w:tcBorders>
            <w:shd w:val="clear" w:color="000000" w:fill="006991"/>
            <w:noWrap/>
            <w:vAlign w:val="bottom"/>
            <w:hideMark/>
          </w:tcPr>
          <w:p w14:paraId="69B36801"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color w:val="FFFFFF"/>
                <w:szCs w:val="20"/>
                <w:lang w:eastAsia="en-AU"/>
              </w:rPr>
            </w:pPr>
            <w:r w:rsidRPr="00930984">
              <w:rPr>
                <w:rFonts w:ascii="Open Sans Semibold" w:eastAsia="Times New Roman" w:hAnsi="Open Sans Semibold" w:cs="Open Sans Semibold"/>
                <w:color w:val="FFFFFF"/>
                <w:szCs w:val="20"/>
                <w:lang w:eastAsia="en-AU"/>
              </w:rPr>
              <w:t>Changes in circumstances</w:t>
            </w:r>
          </w:p>
        </w:tc>
        <w:tc>
          <w:tcPr>
            <w:tcW w:w="760" w:type="dxa"/>
            <w:tcBorders>
              <w:top w:val="nil"/>
              <w:left w:val="nil"/>
              <w:bottom w:val="nil"/>
              <w:right w:val="nil"/>
            </w:tcBorders>
            <w:shd w:val="clear" w:color="000000" w:fill="006991"/>
            <w:noWrap/>
            <w:vAlign w:val="bottom"/>
            <w:hideMark/>
          </w:tcPr>
          <w:p w14:paraId="22A9D05F"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color w:val="FFFFFF"/>
                <w:szCs w:val="20"/>
                <w:lang w:eastAsia="en-AU"/>
              </w:rPr>
            </w:pPr>
            <w:r w:rsidRPr="00930984">
              <w:rPr>
                <w:rFonts w:ascii="Open Sans Semibold" w:eastAsia="Times New Roman" w:hAnsi="Open Sans Semibold" w:cs="Open Sans Semibold"/>
                <w:color w:val="FFFFFF"/>
                <w:szCs w:val="20"/>
                <w:lang w:eastAsia="en-AU"/>
              </w:rPr>
              <w:t> </w:t>
            </w:r>
          </w:p>
        </w:tc>
        <w:tc>
          <w:tcPr>
            <w:tcW w:w="760" w:type="dxa"/>
            <w:tcBorders>
              <w:top w:val="nil"/>
              <w:left w:val="nil"/>
              <w:bottom w:val="nil"/>
              <w:right w:val="nil"/>
            </w:tcBorders>
            <w:shd w:val="clear" w:color="000000" w:fill="006991"/>
            <w:noWrap/>
            <w:vAlign w:val="bottom"/>
            <w:hideMark/>
          </w:tcPr>
          <w:p w14:paraId="67AB9677"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color w:val="FFFFFF"/>
                <w:szCs w:val="20"/>
                <w:lang w:eastAsia="en-AU"/>
              </w:rPr>
            </w:pPr>
            <w:r w:rsidRPr="00930984">
              <w:rPr>
                <w:rFonts w:ascii="Open Sans Semibold" w:eastAsia="Times New Roman" w:hAnsi="Open Sans Semibold" w:cs="Open Sans Semibold"/>
                <w:color w:val="FFFFFF"/>
                <w:szCs w:val="20"/>
                <w:lang w:eastAsia="en-AU"/>
              </w:rPr>
              <w:t> </w:t>
            </w:r>
          </w:p>
        </w:tc>
        <w:tc>
          <w:tcPr>
            <w:tcW w:w="4500" w:type="dxa"/>
            <w:tcBorders>
              <w:top w:val="nil"/>
              <w:left w:val="nil"/>
              <w:bottom w:val="nil"/>
              <w:right w:val="nil"/>
            </w:tcBorders>
            <w:shd w:val="clear" w:color="000000" w:fill="006991"/>
            <w:noWrap/>
            <w:vAlign w:val="bottom"/>
            <w:hideMark/>
          </w:tcPr>
          <w:p w14:paraId="3CB837C9"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color w:val="FFFFFF"/>
                <w:szCs w:val="20"/>
                <w:lang w:eastAsia="en-AU"/>
              </w:rPr>
            </w:pPr>
            <w:r w:rsidRPr="00930984">
              <w:rPr>
                <w:rFonts w:ascii="Open Sans Semibold" w:eastAsia="Times New Roman" w:hAnsi="Open Sans Semibold" w:cs="Open Sans Semibold"/>
                <w:color w:val="FFFFFF"/>
                <w:szCs w:val="20"/>
                <w:lang w:eastAsia="en-AU"/>
              </w:rPr>
              <w:t> </w:t>
            </w:r>
          </w:p>
        </w:tc>
      </w:tr>
      <w:tr w:rsidR="00930984" w:rsidRPr="00930984" w14:paraId="7DC4BE95" w14:textId="77777777" w:rsidTr="00930984">
        <w:trPr>
          <w:trHeight w:val="315"/>
        </w:trPr>
        <w:tc>
          <w:tcPr>
            <w:tcW w:w="2940" w:type="dxa"/>
            <w:tcBorders>
              <w:top w:val="single" w:sz="4" w:space="0" w:color="ADD6EA"/>
              <w:left w:val="nil"/>
              <w:bottom w:val="single" w:sz="4" w:space="0" w:color="ADD6EA"/>
              <w:right w:val="nil"/>
            </w:tcBorders>
            <w:shd w:val="clear" w:color="000000" w:fill="B6D5E4"/>
            <w:noWrap/>
            <w:vAlign w:val="bottom"/>
            <w:hideMark/>
          </w:tcPr>
          <w:p w14:paraId="0F796060"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000000" w:fill="B6D5E4"/>
            <w:noWrap/>
            <w:vAlign w:val="bottom"/>
            <w:hideMark/>
          </w:tcPr>
          <w:p w14:paraId="3E72F9F3" w14:textId="77777777" w:rsidR="00930984" w:rsidRPr="00930984" w:rsidRDefault="00930984" w:rsidP="00930984">
            <w:pPr>
              <w:tabs>
                <w:tab w:val="clear" w:pos="567"/>
              </w:tabs>
              <w:spacing w:before="0" w:line="240" w:lineRule="auto"/>
              <w:jc w:val="center"/>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Change</w:t>
            </w:r>
          </w:p>
        </w:tc>
        <w:tc>
          <w:tcPr>
            <w:tcW w:w="4500" w:type="dxa"/>
            <w:tcBorders>
              <w:top w:val="single" w:sz="4" w:space="0" w:color="ADD6EA"/>
              <w:left w:val="nil"/>
              <w:bottom w:val="single" w:sz="4" w:space="0" w:color="ADD6EA"/>
              <w:right w:val="nil"/>
            </w:tcBorders>
            <w:shd w:val="clear" w:color="000000" w:fill="B6D5E4"/>
            <w:noWrap/>
            <w:vAlign w:val="bottom"/>
            <w:hideMark/>
          </w:tcPr>
          <w:p w14:paraId="5BEBBD29"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Explanation</w:t>
            </w:r>
          </w:p>
        </w:tc>
      </w:tr>
      <w:tr w:rsidR="00930984" w:rsidRPr="00930984" w14:paraId="28CC9E8F" w14:textId="77777777" w:rsidTr="00930984">
        <w:trPr>
          <w:trHeight w:val="259"/>
        </w:trPr>
        <w:tc>
          <w:tcPr>
            <w:tcW w:w="2940" w:type="dxa"/>
            <w:tcBorders>
              <w:top w:val="nil"/>
              <w:left w:val="nil"/>
              <w:bottom w:val="single" w:sz="4" w:space="0" w:color="ADD6EA"/>
              <w:right w:val="nil"/>
            </w:tcBorders>
            <w:shd w:val="clear" w:color="000000" w:fill="D6E7F0"/>
            <w:noWrap/>
            <w:vAlign w:val="bottom"/>
            <w:hideMark/>
          </w:tcPr>
          <w:p w14:paraId="7FD06185"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000000" w:fill="D6E7F0"/>
            <w:noWrap/>
            <w:vAlign w:val="bottom"/>
            <w:hideMark/>
          </w:tcPr>
          <w:p w14:paraId="783A3435" w14:textId="77777777" w:rsidR="00930984" w:rsidRPr="00930984" w:rsidRDefault="00930984" w:rsidP="00930984">
            <w:pPr>
              <w:tabs>
                <w:tab w:val="clear" w:pos="567"/>
              </w:tabs>
              <w:spacing w:before="0" w:line="240" w:lineRule="auto"/>
              <w:jc w:val="center"/>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000000" w:fill="D6E7F0"/>
            <w:noWrap/>
            <w:vAlign w:val="bottom"/>
            <w:hideMark/>
          </w:tcPr>
          <w:p w14:paraId="6BF1D00F" w14:textId="77777777" w:rsidR="00930984" w:rsidRPr="00930984" w:rsidRDefault="00930984" w:rsidP="00930984">
            <w:pPr>
              <w:tabs>
                <w:tab w:val="clear" w:pos="567"/>
              </w:tabs>
              <w:spacing w:before="0" w:line="240" w:lineRule="auto"/>
              <w:jc w:val="center"/>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000000" w:fill="D6E7F0"/>
            <w:noWrap/>
            <w:vAlign w:val="bottom"/>
            <w:hideMark/>
          </w:tcPr>
          <w:p w14:paraId="36C7C490"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 </w:t>
            </w:r>
          </w:p>
        </w:tc>
      </w:tr>
      <w:tr w:rsidR="00930984" w:rsidRPr="00930984" w14:paraId="7438429A" w14:textId="77777777" w:rsidTr="00930984">
        <w:trPr>
          <w:trHeight w:val="1200"/>
        </w:trPr>
        <w:tc>
          <w:tcPr>
            <w:tcW w:w="2940" w:type="dxa"/>
            <w:tcBorders>
              <w:top w:val="nil"/>
              <w:left w:val="nil"/>
              <w:bottom w:val="single" w:sz="4" w:space="0" w:color="ADD6EA"/>
              <w:right w:val="nil"/>
            </w:tcBorders>
            <w:shd w:val="clear" w:color="auto" w:fill="auto"/>
            <w:hideMark/>
          </w:tcPr>
          <w:p w14:paraId="4CEB8A0C" w14:textId="77777777" w:rsidR="00930984" w:rsidRPr="00930984" w:rsidRDefault="00930984" w:rsidP="00930984">
            <w:pPr>
              <w:tabs>
                <w:tab w:val="clear" w:pos="567"/>
              </w:tabs>
              <w:spacing w:before="0" w:line="240" w:lineRule="auto"/>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Mining production</w:t>
            </w:r>
          </w:p>
        </w:tc>
        <w:tc>
          <w:tcPr>
            <w:tcW w:w="760" w:type="dxa"/>
            <w:tcBorders>
              <w:top w:val="nil"/>
              <w:left w:val="nil"/>
              <w:bottom w:val="single" w:sz="4" w:space="0" w:color="ADD6EA"/>
              <w:right w:val="nil"/>
            </w:tcBorders>
            <w:shd w:val="clear" w:color="auto" w:fill="EBBFA0"/>
            <w:noWrap/>
            <w:hideMark/>
          </w:tcPr>
          <w:p w14:paraId="031BCDBF"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-872</w:t>
            </w:r>
          </w:p>
        </w:tc>
        <w:tc>
          <w:tcPr>
            <w:tcW w:w="760" w:type="dxa"/>
            <w:tcBorders>
              <w:top w:val="nil"/>
              <w:left w:val="nil"/>
              <w:bottom w:val="single" w:sz="4" w:space="0" w:color="ADD6EA"/>
              <w:right w:val="nil"/>
            </w:tcBorders>
            <w:shd w:val="clear" w:color="auto" w:fill="EBBFA0"/>
            <w:noWrap/>
            <w:hideMark/>
          </w:tcPr>
          <w:p w14:paraId="5CB0D4A1"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-102</w:t>
            </w:r>
          </w:p>
        </w:tc>
        <w:tc>
          <w:tcPr>
            <w:tcW w:w="4500" w:type="dxa"/>
            <w:tcBorders>
              <w:top w:val="nil"/>
              <w:left w:val="nil"/>
              <w:bottom w:val="single" w:sz="4" w:space="0" w:color="ADD6EA"/>
              <w:right w:val="nil"/>
            </w:tcBorders>
            <w:shd w:val="clear" w:color="auto" w:fill="auto"/>
            <w:hideMark/>
          </w:tcPr>
          <w:p w14:paraId="06D9FFD5" w14:textId="2E57FA93" w:rsidR="00930984" w:rsidRPr="00930984" w:rsidRDefault="00DC79DE" w:rsidP="00930984">
            <w:pPr>
              <w:tabs>
                <w:tab w:val="clear" w:pos="567"/>
              </w:tabs>
              <w:spacing w:before="0" w:line="240" w:lineRule="auto"/>
              <w:rPr>
                <w:rFonts w:ascii="Open Sans Light" w:eastAsia="Times New Roman" w:hAnsi="Open Sans Light" w:cs="Open Sans Light"/>
                <w:szCs w:val="20"/>
                <w:lang w:eastAsia="en-AU"/>
              </w:rPr>
            </w:pPr>
            <w:r w:rsidRPr="00DC79DE">
              <w:rPr>
                <w:rFonts w:ascii="Open Sans Light" w:eastAsia="Times New Roman" w:hAnsi="Open Sans Light" w:cs="Open Sans Light"/>
                <w:szCs w:val="20"/>
                <w:lang w:eastAsia="en-AU"/>
              </w:rPr>
              <w:t>A large increase in coal prices and average royalty rates between 2019</w:t>
            </w:r>
            <w:r w:rsidR="00187061">
              <w:rPr>
                <w:rFonts w:ascii="Cambria Math" w:eastAsia="Times New Roman" w:hAnsi="Cambria Math" w:cs="Cambria Math"/>
                <w:szCs w:val="20"/>
                <w:lang w:eastAsia="en-AU"/>
              </w:rPr>
              <w:t>–</w:t>
            </w:r>
            <w:r w:rsidRPr="00DC79DE">
              <w:rPr>
                <w:rFonts w:ascii="Open Sans Light" w:eastAsia="Times New Roman" w:hAnsi="Open Sans Light" w:cs="Open Sans Light"/>
                <w:szCs w:val="20"/>
                <w:lang w:eastAsia="en-AU"/>
              </w:rPr>
              <w:t>20 and 2022</w:t>
            </w:r>
            <w:r w:rsidR="00187061">
              <w:rPr>
                <w:rFonts w:ascii="Cambria Math" w:eastAsia="Times New Roman" w:hAnsi="Cambria Math" w:cs="Cambria Math"/>
                <w:szCs w:val="20"/>
                <w:lang w:eastAsia="en-AU"/>
              </w:rPr>
              <w:t>–</w:t>
            </w:r>
            <w:r w:rsidRPr="00DC79DE">
              <w:rPr>
                <w:rFonts w:ascii="Open Sans Light" w:eastAsia="Times New Roman" w:hAnsi="Open Sans Light" w:cs="Open Sans Light"/>
                <w:szCs w:val="20"/>
                <w:lang w:eastAsia="en-AU"/>
              </w:rPr>
              <w:t xml:space="preserve">23, and an increase in New South </w:t>
            </w:r>
            <w:proofErr w:type="spellStart"/>
            <w:r w:rsidRPr="00DC79DE">
              <w:rPr>
                <w:rFonts w:ascii="Open Sans Light" w:eastAsia="Times New Roman" w:hAnsi="Open Sans Light" w:cs="Open Sans Light"/>
                <w:szCs w:val="20"/>
                <w:lang w:eastAsia="en-AU"/>
              </w:rPr>
              <w:t>Wales’</w:t>
            </w:r>
            <w:proofErr w:type="spellEnd"/>
            <w:r w:rsidRPr="00DC79DE">
              <w:rPr>
                <w:rFonts w:ascii="Open Sans Light" w:eastAsia="Times New Roman" w:hAnsi="Open Sans Light" w:cs="Open Sans Light"/>
                <w:szCs w:val="20"/>
                <w:lang w:eastAsia="en-AU"/>
              </w:rPr>
              <w:t xml:space="preserve"> coal production, increased its relative mining revenue capacity.</w:t>
            </w:r>
          </w:p>
        </w:tc>
      </w:tr>
      <w:tr w:rsidR="00930984" w:rsidRPr="00930984" w14:paraId="77A65DD0" w14:textId="77777777" w:rsidTr="00156AFD">
        <w:trPr>
          <w:trHeight w:val="819"/>
        </w:trPr>
        <w:tc>
          <w:tcPr>
            <w:tcW w:w="2940" w:type="dxa"/>
            <w:tcBorders>
              <w:top w:val="nil"/>
              <w:left w:val="nil"/>
              <w:bottom w:val="single" w:sz="4" w:space="0" w:color="ADD6EA"/>
              <w:right w:val="nil"/>
            </w:tcBorders>
            <w:shd w:val="clear" w:color="auto" w:fill="auto"/>
            <w:hideMark/>
          </w:tcPr>
          <w:p w14:paraId="2D5FFEF0" w14:textId="77777777" w:rsidR="00930984" w:rsidRPr="00930984" w:rsidRDefault="00930984" w:rsidP="00930984">
            <w:pPr>
              <w:tabs>
                <w:tab w:val="clear" w:pos="567"/>
              </w:tabs>
              <w:spacing w:before="0" w:line="240" w:lineRule="auto"/>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Taxable land values</w:t>
            </w:r>
          </w:p>
        </w:tc>
        <w:tc>
          <w:tcPr>
            <w:tcW w:w="760" w:type="dxa"/>
            <w:tcBorders>
              <w:top w:val="nil"/>
              <w:left w:val="nil"/>
              <w:bottom w:val="single" w:sz="4" w:space="0" w:color="ADD6EA"/>
              <w:right w:val="nil"/>
            </w:tcBorders>
            <w:shd w:val="clear" w:color="auto" w:fill="EBBFA0"/>
            <w:noWrap/>
            <w:hideMark/>
          </w:tcPr>
          <w:p w14:paraId="56C413BB"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-409</w:t>
            </w:r>
          </w:p>
        </w:tc>
        <w:tc>
          <w:tcPr>
            <w:tcW w:w="760" w:type="dxa"/>
            <w:tcBorders>
              <w:top w:val="nil"/>
              <w:left w:val="nil"/>
              <w:bottom w:val="single" w:sz="4" w:space="0" w:color="ADD6EA"/>
              <w:right w:val="nil"/>
            </w:tcBorders>
            <w:shd w:val="clear" w:color="auto" w:fill="EBBFA0"/>
            <w:noWrap/>
            <w:hideMark/>
          </w:tcPr>
          <w:p w14:paraId="3B35BEE8"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-48</w:t>
            </w:r>
          </w:p>
        </w:tc>
        <w:tc>
          <w:tcPr>
            <w:tcW w:w="4500" w:type="dxa"/>
            <w:tcBorders>
              <w:top w:val="nil"/>
              <w:left w:val="nil"/>
              <w:bottom w:val="single" w:sz="4" w:space="0" w:color="ADD6EA"/>
              <w:right w:val="nil"/>
            </w:tcBorders>
            <w:shd w:val="clear" w:color="auto" w:fill="auto"/>
            <w:hideMark/>
          </w:tcPr>
          <w:p w14:paraId="17E9992F" w14:textId="0A82EF8F" w:rsidR="00930984" w:rsidRPr="00930984" w:rsidRDefault="00A263D6" w:rsidP="00930984">
            <w:pPr>
              <w:tabs>
                <w:tab w:val="clear" w:pos="567"/>
              </w:tabs>
              <w:spacing w:before="0" w:line="240" w:lineRule="auto"/>
              <w:rPr>
                <w:rFonts w:ascii="Open Sans Light" w:eastAsia="Times New Roman" w:hAnsi="Open Sans Light" w:cs="Open Sans Light"/>
                <w:szCs w:val="20"/>
                <w:lang w:eastAsia="en-AU"/>
              </w:rPr>
            </w:pPr>
            <w:r w:rsidRPr="00A263D6">
              <w:rPr>
                <w:rFonts w:ascii="Open Sans Light" w:eastAsia="Times New Roman" w:hAnsi="Open Sans Light" w:cs="Open Sans Light"/>
                <w:szCs w:val="20"/>
                <w:lang w:eastAsia="en-AU"/>
              </w:rPr>
              <w:t>Above-average growth in taxable land values increased New South </w:t>
            </w:r>
            <w:proofErr w:type="spellStart"/>
            <w:r w:rsidRPr="00A263D6">
              <w:rPr>
                <w:rFonts w:ascii="Open Sans Light" w:eastAsia="Times New Roman" w:hAnsi="Open Sans Light" w:cs="Open Sans Light"/>
                <w:szCs w:val="20"/>
                <w:lang w:eastAsia="en-AU"/>
              </w:rPr>
              <w:t>Wales’</w:t>
            </w:r>
            <w:proofErr w:type="spellEnd"/>
            <w:r w:rsidRPr="00A263D6">
              <w:rPr>
                <w:rFonts w:ascii="Open Sans Light" w:eastAsia="Times New Roman" w:hAnsi="Open Sans Light" w:cs="Open Sans Light"/>
                <w:szCs w:val="20"/>
                <w:lang w:eastAsia="en-AU"/>
              </w:rPr>
              <w:t xml:space="preserve"> relative revenue</w:t>
            </w:r>
            <w:r w:rsidR="00F229E9">
              <w:rPr>
                <w:rFonts w:ascii="Open Sans Light" w:eastAsia="Times New Roman" w:hAnsi="Open Sans Light" w:cs="Open Sans Light"/>
                <w:szCs w:val="20"/>
                <w:lang w:eastAsia="en-AU"/>
              </w:rPr>
              <w:t xml:space="preserve"> </w:t>
            </w:r>
            <w:r w:rsidRPr="00A263D6">
              <w:rPr>
                <w:rFonts w:ascii="Open Sans Light" w:eastAsia="Times New Roman" w:hAnsi="Open Sans Light" w:cs="Open Sans Light"/>
                <w:szCs w:val="20"/>
                <w:lang w:eastAsia="en-AU"/>
              </w:rPr>
              <w:t>raising capacity.</w:t>
            </w:r>
          </w:p>
        </w:tc>
      </w:tr>
      <w:tr w:rsidR="00930984" w:rsidRPr="00930984" w14:paraId="208EF8ED" w14:textId="77777777" w:rsidTr="00930984">
        <w:trPr>
          <w:trHeight w:val="1500"/>
        </w:trPr>
        <w:tc>
          <w:tcPr>
            <w:tcW w:w="2940" w:type="dxa"/>
            <w:tcBorders>
              <w:top w:val="nil"/>
              <w:left w:val="nil"/>
              <w:bottom w:val="single" w:sz="4" w:space="0" w:color="ADD6EA"/>
              <w:right w:val="nil"/>
            </w:tcBorders>
            <w:shd w:val="clear" w:color="auto" w:fill="auto"/>
            <w:hideMark/>
          </w:tcPr>
          <w:p w14:paraId="4469E82D" w14:textId="77777777" w:rsidR="00930984" w:rsidRPr="00930984" w:rsidRDefault="00930984" w:rsidP="00930984">
            <w:pPr>
              <w:tabs>
                <w:tab w:val="clear" w:pos="567"/>
              </w:tabs>
              <w:spacing w:before="0" w:line="240" w:lineRule="auto"/>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Capital improvements</w:t>
            </w:r>
          </w:p>
        </w:tc>
        <w:tc>
          <w:tcPr>
            <w:tcW w:w="760" w:type="dxa"/>
            <w:tcBorders>
              <w:top w:val="nil"/>
              <w:left w:val="nil"/>
              <w:bottom w:val="single" w:sz="4" w:space="0" w:color="ADD6EA"/>
              <w:right w:val="nil"/>
            </w:tcBorders>
            <w:shd w:val="clear" w:color="auto" w:fill="ADD6EA"/>
            <w:noWrap/>
            <w:hideMark/>
          </w:tcPr>
          <w:p w14:paraId="2DFCEAAE"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241</w:t>
            </w:r>
          </w:p>
        </w:tc>
        <w:tc>
          <w:tcPr>
            <w:tcW w:w="760" w:type="dxa"/>
            <w:tcBorders>
              <w:top w:val="nil"/>
              <w:left w:val="nil"/>
              <w:bottom w:val="single" w:sz="4" w:space="0" w:color="ADD6EA"/>
              <w:right w:val="nil"/>
            </w:tcBorders>
            <w:shd w:val="clear" w:color="auto" w:fill="ADD6EA"/>
            <w:noWrap/>
            <w:hideMark/>
          </w:tcPr>
          <w:p w14:paraId="5AC3D101"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28</w:t>
            </w:r>
          </w:p>
        </w:tc>
        <w:tc>
          <w:tcPr>
            <w:tcW w:w="4500" w:type="dxa"/>
            <w:tcBorders>
              <w:top w:val="nil"/>
              <w:left w:val="nil"/>
              <w:bottom w:val="single" w:sz="4" w:space="0" w:color="ADD6EA"/>
              <w:right w:val="nil"/>
            </w:tcBorders>
            <w:shd w:val="clear" w:color="auto" w:fill="auto"/>
            <w:hideMark/>
          </w:tcPr>
          <w:p w14:paraId="2535EB42" w14:textId="73E882B1" w:rsidR="00930984" w:rsidRPr="00930984" w:rsidRDefault="002857CE" w:rsidP="00930984">
            <w:pPr>
              <w:tabs>
                <w:tab w:val="clear" w:pos="567"/>
              </w:tabs>
              <w:spacing w:before="0" w:line="240" w:lineRule="auto"/>
              <w:rPr>
                <w:rFonts w:ascii="Open Sans Light" w:eastAsia="Times New Roman" w:hAnsi="Open Sans Light" w:cs="Open Sans Light"/>
                <w:szCs w:val="20"/>
                <w:lang w:eastAsia="en-AU"/>
              </w:rPr>
            </w:pPr>
            <w:r w:rsidRPr="002857CE">
              <w:rPr>
                <w:rFonts w:ascii="Open Sans Light" w:eastAsia="Times New Roman" w:hAnsi="Open Sans Light" w:cs="Open Sans Light"/>
                <w:szCs w:val="20"/>
                <w:lang w:eastAsia="en-AU"/>
              </w:rPr>
              <w:t>Strong growth in national urban transport investment between 2019</w:t>
            </w:r>
            <w:r w:rsidR="00F57F24">
              <w:rPr>
                <w:rFonts w:ascii="Cambria Math" w:eastAsia="Times New Roman" w:hAnsi="Cambria Math" w:cs="Cambria Math"/>
                <w:szCs w:val="20"/>
                <w:lang w:eastAsia="en-AU"/>
              </w:rPr>
              <w:t>–</w:t>
            </w:r>
            <w:r w:rsidRPr="002857CE">
              <w:rPr>
                <w:rFonts w:ascii="Open Sans Light" w:eastAsia="Times New Roman" w:hAnsi="Open Sans Light" w:cs="Open Sans Light"/>
                <w:szCs w:val="20"/>
                <w:lang w:eastAsia="en-AU"/>
              </w:rPr>
              <w:t>20 and 2022</w:t>
            </w:r>
            <w:r w:rsidR="00F57F24">
              <w:rPr>
                <w:rFonts w:ascii="Cambria Math" w:eastAsia="Times New Roman" w:hAnsi="Cambria Math" w:cs="Cambria Math"/>
                <w:szCs w:val="20"/>
                <w:lang w:eastAsia="en-AU"/>
              </w:rPr>
              <w:t>–</w:t>
            </w:r>
            <w:r w:rsidRPr="002857CE">
              <w:rPr>
                <w:rFonts w:ascii="Open Sans Light" w:eastAsia="Times New Roman" w:hAnsi="Open Sans Light" w:cs="Open Sans Light"/>
                <w:szCs w:val="20"/>
                <w:lang w:eastAsia="en-AU"/>
              </w:rPr>
              <w:t>23 increased the urban transport investment needs of states with large, densely populated cities, including New South Wales. Weak growth in national investment in rural roads, for which New South Wales has a below-average requirement, also increased its assessed GST needs.</w:t>
            </w:r>
          </w:p>
        </w:tc>
      </w:tr>
      <w:tr w:rsidR="00930984" w:rsidRPr="00930984" w14:paraId="07912F1F" w14:textId="77777777" w:rsidTr="00930984">
        <w:trPr>
          <w:trHeight w:val="375"/>
        </w:trPr>
        <w:tc>
          <w:tcPr>
            <w:tcW w:w="2940" w:type="dxa"/>
            <w:tcBorders>
              <w:top w:val="nil"/>
              <w:left w:val="nil"/>
              <w:bottom w:val="single" w:sz="4" w:space="0" w:color="ADD6EA"/>
              <w:right w:val="nil"/>
            </w:tcBorders>
            <w:shd w:val="clear" w:color="000000" w:fill="006991"/>
            <w:noWrap/>
            <w:vAlign w:val="bottom"/>
            <w:hideMark/>
          </w:tcPr>
          <w:p w14:paraId="6B13EECC"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color w:val="FFFFFF"/>
                <w:szCs w:val="20"/>
                <w:lang w:eastAsia="en-AU"/>
              </w:rPr>
            </w:pPr>
            <w:r w:rsidRPr="00930984">
              <w:rPr>
                <w:rFonts w:ascii="Open Sans Semibold" w:eastAsia="Times New Roman" w:hAnsi="Open Sans Semibold" w:cs="Open Sans Semibold"/>
                <w:color w:val="FFFFFF"/>
                <w:szCs w:val="20"/>
                <w:lang w:eastAsia="en-AU"/>
              </w:rPr>
              <w:t>Revisions</w:t>
            </w:r>
          </w:p>
        </w:tc>
        <w:tc>
          <w:tcPr>
            <w:tcW w:w="760" w:type="dxa"/>
            <w:tcBorders>
              <w:top w:val="nil"/>
              <w:left w:val="nil"/>
              <w:bottom w:val="single" w:sz="4" w:space="0" w:color="ADD6EA"/>
              <w:right w:val="nil"/>
            </w:tcBorders>
            <w:shd w:val="clear" w:color="000000" w:fill="006991"/>
            <w:noWrap/>
            <w:vAlign w:val="bottom"/>
            <w:hideMark/>
          </w:tcPr>
          <w:p w14:paraId="76BCFA4C"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color w:val="FFFFFF"/>
                <w:szCs w:val="20"/>
                <w:lang w:eastAsia="en-AU"/>
              </w:rPr>
            </w:pPr>
            <w:r w:rsidRPr="00930984">
              <w:rPr>
                <w:rFonts w:ascii="Open Sans Semibold" w:eastAsia="Times New Roman" w:hAnsi="Open Sans Semibold" w:cs="Open Sans Semibold"/>
                <w:color w:val="FFFFFF"/>
                <w:szCs w:val="20"/>
                <w:lang w:eastAsia="en-AU"/>
              </w:rPr>
              <w:t> </w:t>
            </w:r>
          </w:p>
        </w:tc>
        <w:tc>
          <w:tcPr>
            <w:tcW w:w="760" w:type="dxa"/>
            <w:tcBorders>
              <w:top w:val="nil"/>
              <w:left w:val="nil"/>
              <w:bottom w:val="single" w:sz="4" w:space="0" w:color="ADD6EA"/>
              <w:right w:val="nil"/>
            </w:tcBorders>
            <w:shd w:val="clear" w:color="000000" w:fill="006991"/>
            <w:noWrap/>
            <w:vAlign w:val="bottom"/>
            <w:hideMark/>
          </w:tcPr>
          <w:p w14:paraId="4ADB2EEB"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color w:val="FFFFFF"/>
                <w:szCs w:val="20"/>
                <w:lang w:eastAsia="en-AU"/>
              </w:rPr>
            </w:pPr>
            <w:r w:rsidRPr="00930984">
              <w:rPr>
                <w:rFonts w:ascii="Open Sans Semibold" w:eastAsia="Times New Roman" w:hAnsi="Open Sans Semibold" w:cs="Open Sans Semibold"/>
                <w:color w:val="FFFFFF"/>
                <w:szCs w:val="20"/>
                <w:lang w:eastAsia="en-AU"/>
              </w:rPr>
              <w:t> </w:t>
            </w:r>
          </w:p>
        </w:tc>
        <w:tc>
          <w:tcPr>
            <w:tcW w:w="4500" w:type="dxa"/>
            <w:tcBorders>
              <w:top w:val="nil"/>
              <w:left w:val="nil"/>
              <w:bottom w:val="single" w:sz="4" w:space="0" w:color="ADD6EA"/>
              <w:right w:val="nil"/>
            </w:tcBorders>
            <w:shd w:val="clear" w:color="000000" w:fill="006991"/>
            <w:noWrap/>
            <w:vAlign w:val="bottom"/>
            <w:hideMark/>
          </w:tcPr>
          <w:p w14:paraId="55A3CA35"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color w:val="FFFFFF"/>
                <w:szCs w:val="20"/>
                <w:lang w:eastAsia="en-AU"/>
              </w:rPr>
            </w:pPr>
            <w:r w:rsidRPr="00930984">
              <w:rPr>
                <w:rFonts w:ascii="Open Sans Semibold" w:eastAsia="Times New Roman" w:hAnsi="Open Sans Semibold" w:cs="Open Sans Semibold"/>
                <w:color w:val="FFFFFF"/>
                <w:szCs w:val="20"/>
                <w:lang w:eastAsia="en-AU"/>
              </w:rPr>
              <w:t> </w:t>
            </w:r>
          </w:p>
        </w:tc>
      </w:tr>
      <w:tr w:rsidR="00930984" w:rsidRPr="00930984" w14:paraId="58F57E41" w14:textId="77777777" w:rsidTr="00930984">
        <w:trPr>
          <w:trHeight w:val="315"/>
        </w:trPr>
        <w:tc>
          <w:tcPr>
            <w:tcW w:w="2940" w:type="dxa"/>
            <w:tcBorders>
              <w:top w:val="nil"/>
              <w:left w:val="nil"/>
              <w:bottom w:val="single" w:sz="4" w:space="0" w:color="ADD6EA"/>
              <w:right w:val="nil"/>
            </w:tcBorders>
            <w:shd w:val="clear" w:color="000000" w:fill="B6D5E4"/>
            <w:noWrap/>
            <w:vAlign w:val="bottom"/>
            <w:hideMark/>
          </w:tcPr>
          <w:p w14:paraId="67C95FE6"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000000" w:fill="B6D5E4"/>
            <w:noWrap/>
            <w:vAlign w:val="bottom"/>
            <w:hideMark/>
          </w:tcPr>
          <w:p w14:paraId="3370D7C4" w14:textId="77777777" w:rsidR="00930984" w:rsidRPr="00930984" w:rsidRDefault="00930984" w:rsidP="00930984">
            <w:pPr>
              <w:tabs>
                <w:tab w:val="clear" w:pos="567"/>
              </w:tabs>
              <w:spacing w:before="0" w:line="240" w:lineRule="auto"/>
              <w:jc w:val="center"/>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Change</w:t>
            </w:r>
          </w:p>
        </w:tc>
        <w:tc>
          <w:tcPr>
            <w:tcW w:w="4500" w:type="dxa"/>
            <w:tcBorders>
              <w:top w:val="nil"/>
              <w:left w:val="nil"/>
              <w:bottom w:val="single" w:sz="4" w:space="0" w:color="ADD6EA"/>
              <w:right w:val="nil"/>
            </w:tcBorders>
            <w:shd w:val="clear" w:color="000000" w:fill="B6D5E4"/>
            <w:noWrap/>
            <w:vAlign w:val="bottom"/>
            <w:hideMark/>
          </w:tcPr>
          <w:p w14:paraId="0B12528C"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Explanation</w:t>
            </w:r>
          </w:p>
        </w:tc>
      </w:tr>
      <w:tr w:rsidR="00930984" w:rsidRPr="00930984" w14:paraId="74FE2A3A" w14:textId="77777777" w:rsidTr="00930984">
        <w:trPr>
          <w:trHeight w:val="259"/>
        </w:trPr>
        <w:tc>
          <w:tcPr>
            <w:tcW w:w="2940" w:type="dxa"/>
            <w:tcBorders>
              <w:top w:val="nil"/>
              <w:left w:val="nil"/>
              <w:bottom w:val="single" w:sz="4" w:space="0" w:color="ADD6EA"/>
              <w:right w:val="nil"/>
            </w:tcBorders>
            <w:shd w:val="clear" w:color="000000" w:fill="D6E7F0"/>
            <w:noWrap/>
            <w:vAlign w:val="bottom"/>
            <w:hideMark/>
          </w:tcPr>
          <w:p w14:paraId="5CF962B2"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000000" w:fill="D6E7F0"/>
            <w:noWrap/>
            <w:vAlign w:val="bottom"/>
            <w:hideMark/>
          </w:tcPr>
          <w:p w14:paraId="664C33C2" w14:textId="77777777" w:rsidR="00930984" w:rsidRPr="00930984" w:rsidRDefault="00930984" w:rsidP="00930984">
            <w:pPr>
              <w:tabs>
                <w:tab w:val="clear" w:pos="567"/>
              </w:tabs>
              <w:spacing w:before="0" w:line="240" w:lineRule="auto"/>
              <w:jc w:val="center"/>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000000" w:fill="D6E7F0"/>
            <w:noWrap/>
            <w:vAlign w:val="bottom"/>
            <w:hideMark/>
          </w:tcPr>
          <w:p w14:paraId="146A854D" w14:textId="77777777" w:rsidR="00930984" w:rsidRPr="00930984" w:rsidRDefault="00930984" w:rsidP="00930984">
            <w:pPr>
              <w:tabs>
                <w:tab w:val="clear" w:pos="567"/>
              </w:tabs>
              <w:spacing w:before="0" w:line="240" w:lineRule="auto"/>
              <w:jc w:val="center"/>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000000" w:fill="D6E7F0"/>
            <w:noWrap/>
            <w:vAlign w:val="bottom"/>
            <w:hideMark/>
          </w:tcPr>
          <w:p w14:paraId="55889D0F" w14:textId="77777777" w:rsidR="00930984" w:rsidRPr="00930984" w:rsidRDefault="00930984" w:rsidP="00930984">
            <w:pPr>
              <w:tabs>
                <w:tab w:val="clear" w:pos="567"/>
              </w:tabs>
              <w:spacing w:before="0" w:line="240" w:lineRule="auto"/>
              <w:rPr>
                <w:rFonts w:ascii="Open Sans Semibold" w:eastAsia="Times New Roman" w:hAnsi="Open Sans Semibold" w:cs="Open Sans Semibold"/>
                <w:szCs w:val="20"/>
                <w:lang w:eastAsia="en-AU"/>
              </w:rPr>
            </w:pPr>
            <w:r w:rsidRPr="00930984">
              <w:rPr>
                <w:rFonts w:ascii="Open Sans Semibold" w:eastAsia="Times New Roman" w:hAnsi="Open Sans Semibold" w:cs="Open Sans Semibold"/>
                <w:szCs w:val="20"/>
                <w:lang w:eastAsia="en-AU"/>
              </w:rPr>
              <w:t> </w:t>
            </w:r>
          </w:p>
        </w:tc>
      </w:tr>
      <w:tr w:rsidR="00930984" w:rsidRPr="00930984" w14:paraId="6073CB0F" w14:textId="77777777">
        <w:trPr>
          <w:trHeight w:val="1815"/>
        </w:trPr>
        <w:tc>
          <w:tcPr>
            <w:tcW w:w="2940" w:type="dxa"/>
            <w:tcBorders>
              <w:top w:val="nil"/>
              <w:left w:val="nil"/>
              <w:bottom w:val="single" w:sz="4" w:space="0" w:color="ADD6EA"/>
              <w:right w:val="nil"/>
            </w:tcBorders>
            <w:shd w:val="clear" w:color="auto" w:fill="auto"/>
            <w:hideMark/>
          </w:tcPr>
          <w:p w14:paraId="55A6F4D8" w14:textId="371A765C" w:rsidR="00930984" w:rsidRPr="00930984" w:rsidRDefault="00DB42B0" w:rsidP="00930984">
            <w:pPr>
              <w:tabs>
                <w:tab w:val="clear" w:pos="567"/>
              </w:tabs>
              <w:spacing w:before="0" w:line="240" w:lineRule="auto"/>
              <w:rPr>
                <w:rFonts w:ascii="Open Sans Light" w:eastAsia="Times New Roman" w:hAnsi="Open Sans Light" w:cs="Open Sans Light"/>
                <w:szCs w:val="20"/>
                <w:lang w:eastAsia="en-AU"/>
              </w:rPr>
            </w:pPr>
            <w:r>
              <w:rPr>
                <w:rFonts w:ascii="Open Sans Light" w:eastAsia="Times New Roman" w:hAnsi="Open Sans Light" w:cs="Open Sans Light"/>
                <w:szCs w:val="20"/>
                <w:lang w:eastAsia="en-AU"/>
              </w:rPr>
              <w:t>Census – socio-demographic composition data</w:t>
            </w:r>
          </w:p>
        </w:tc>
        <w:tc>
          <w:tcPr>
            <w:tcW w:w="760" w:type="dxa"/>
            <w:tcBorders>
              <w:top w:val="nil"/>
              <w:left w:val="nil"/>
              <w:bottom w:val="single" w:sz="4" w:space="0" w:color="ADD6EA"/>
              <w:right w:val="nil"/>
            </w:tcBorders>
            <w:shd w:val="clear" w:color="auto" w:fill="EBBFA0"/>
            <w:noWrap/>
            <w:hideMark/>
          </w:tcPr>
          <w:p w14:paraId="010BF364"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-281</w:t>
            </w:r>
          </w:p>
        </w:tc>
        <w:tc>
          <w:tcPr>
            <w:tcW w:w="760" w:type="dxa"/>
            <w:tcBorders>
              <w:top w:val="nil"/>
              <w:left w:val="nil"/>
              <w:bottom w:val="single" w:sz="4" w:space="0" w:color="ADD6EA"/>
              <w:right w:val="nil"/>
            </w:tcBorders>
            <w:shd w:val="clear" w:color="auto" w:fill="EBBFA0"/>
            <w:noWrap/>
            <w:hideMark/>
          </w:tcPr>
          <w:p w14:paraId="4284EC8A"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-33</w:t>
            </w:r>
          </w:p>
        </w:tc>
        <w:tc>
          <w:tcPr>
            <w:tcW w:w="4500" w:type="dxa"/>
            <w:tcBorders>
              <w:top w:val="nil"/>
              <w:left w:val="nil"/>
              <w:bottom w:val="single" w:sz="4" w:space="0" w:color="ADD6EA"/>
              <w:right w:val="nil"/>
            </w:tcBorders>
            <w:shd w:val="clear" w:color="auto" w:fill="auto"/>
            <w:vAlign w:val="center"/>
            <w:hideMark/>
          </w:tcPr>
          <w:p w14:paraId="0073403B" w14:textId="198232EA" w:rsidR="00930984" w:rsidRPr="00930984" w:rsidRDefault="003403EC" w:rsidP="00930984">
            <w:pPr>
              <w:tabs>
                <w:tab w:val="clear" w:pos="567"/>
              </w:tabs>
              <w:spacing w:before="0" w:line="240" w:lineRule="auto"/>
              <w:rPr>
                <w:rFonts w:ascii="Open Sans Light" w:eastAsia="Times New Roman" w:hAnsi="Open Sans Light" w:cs="Open Sans Light"/>
                <w:szCs w:val="20"/>
                <w:lang w:eastAsia="en-AU"/>
              </w:rPr>
            </w:pPr>
            <w:r>
              <w:rPr>
                <w:rFonts w:ascii="Open Sans Light" w:hAnsi="Open Sans Light" w:cs="Open Sans Light"/>
                <w:szCs w:val="20"/>
              </w:rPr>
              <w:t>Revised population data from the 2021 Census show New South </w:t>
            </w:r>
            <w:proofErr w:type="spellStart"/>
            <w:r>
              <w:rPr>
                <w:rFonts w:ascii="Open Sans Light" w:hAnsi="Open Sans Light" w:cs="Open Sans Light"/>
                <w:szCs w:val="20"/>
              </w:rPr>
              <w:t>Wales’</w:t>
            </w:r>
            <w:proofErr w:type="spellEnd"/>
            <w:r>
              <w:rPr>
                <w:rFonts w:ascii="Open Sans Light" w:hAnsi="Open Sans Light" w:cs="Open Sans Light"/>
                <w:szCs w:val="20"/>
              </w:rPr>
              <w:t xml:space="preserve"> population is now relatively less dispersed and its non-Indigenous population is relatively less disadvantaged. These changes reduced its assessed needs for a range of services and infrastructure, particularly health and social housing.</w:t>
            </w:r>
          </w:p>
        </w:tc>
      </w:tr>
      <w:tr w:rsidR="00930984" w:rsidRPr="00930984" w14:paraId="4E585F8C" w14:textId="77777777">
        <w:trPr>
          <w:trHeight w:val="1500"/>
        </w:trPr>
        <w:tc>
          <w:tcPr>
            <w:tcW w:w="2940" w:type="dxa"/>
            <w:tcBorders>
              <w:top w:val="nil"/>
              <w:left w:val="nil"/>
              <w:bottom w:val="single" w:sz="4" w:space="0" w:color="ADD6EA"/>
              <w:right w:val="nil"/>
            </w:tcBorders>
            <w:shd w:val="clear" w:color="auto" w:fill="auto"/>
            <w:hideMark/>
          </w:tcPr>
          <w:p w14:paraId="5541DE0F" w14:textId="28FD9C8F" w:rsidR="00930984" w:rsidRPr="00930984" w:rsidRDefault="00930984" w:rsidP="00930984">
            <w:pPr>
              <w:tabs>
                <w:tab w:val="clear" w:pos="567"/>
              </w:tabs>
              <w:spacing w:before="0" w:line="240" w:lineRule="auto"/>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 xml:space="preserve">Census </w:t>
            </w:r>
            <w:r w:rsidR="001148C8">
              <w:rPr>
                <w:rFonts w:ascii="Open Sans Light" w:eastAsia="Times New Roman" w:hAnsi="Open Sans Light" w:cs="Open Sans Light"/>
                <w:szCs w:val="20"/>
                <w:lang w:eastAsia="en-AU"/>
              </w:rPr>
              <w:t>–</w:t>
            </w:r>
            <w:r w:rsidRPr="00930984">
              <w:rPr>
                <w:rFonts w:ascii="Open Sans Light" w:eastAsia="Times New Roman" w:hAnsi="Open Sans Light" w:cs="Open Sans Light"/>
                <w:szCs w:val="20"/>
                <w:lang w:eastAsia="en-AU"/>
              </w:rPr>
              <w:t xml:space="preserve"> </w:t>
            </w:r>
            <w:r w:rsidR="00353C18">
              <w:rPr>
                <w:rFonts w:ascii="Open Sans Light" w:eastAsia="Times New Roman" w:hAnsi="Open Sans Light" w:cs="Open Sans Light"/>
                <w:szCs w:val="20"/>
                <w:lang w:eastAsia="en-AU"/>
              </w:rPr>
              <w:t>u</w:t>
            </w:r>
            <w:r w:rsidRPr="00930984">
              <w:rPr>
                <w:rFonts w:ascii="Open Sans Light" w:eastAsia="Times New Roman" w:hAnsi="Open Sans Light" w:cs="Open Sans Light"/>
                <w:szCs w:val="20"/>
                <w:lang w:eastAsia="en-AU"/>
              </w:rPr>
              <w:t xml:space="preserve">rban </w:t>
            </w:r>
            <w:r w:rsidR="003943FE">
              <w:rPr>
                <w:rFonts w:ascii="Open Sans Light" w:eastAsia="Times New Roman" w:hAnsi="Open Sans Light" w:cs="Open Sans Light"/>
                <w:szCs w:val="20"/>
                <w:lang w:eastAsia="en-AU"/>
              </w:rPr>
              <w:t>centre c</w:t>
            </w:r>
            <w:r w:rsidRPr="00930984">
              <w:rPr>
                <w:rFonts w:ascii="Open Sans Light" w:eastAsia="Times New Roman" w:hAnsi="Open Sans Light" w:cs="Open Sans Light"/>
                <w:szCs w:val="20"/>
                <w:lang w:eastAsia="en-AU"/>
              </w:rPr>
              <w:t>haracteristics</w:t>
            </w:r>
          </w:p>
        </w:tc>
        <w:tc>
          <w:tcPr>
            <w:tcW w:w="760" w:type="dxa"/>
            <w:tcBorders>
              <w:top w:val="nil"/>
              <w:left w:val="nil"/>
              <w:bottom w:val="single" w:sz="4" w:space="0" w:color="ADD6EA"/>
              <w:right w:val="nil"/>
            </w:tcBorders>
            <w:shd w:val="clear" w:color="auto" w:fill="EBBFA0"/>
            <w:noWrap/>
            <w:hideMark/>
          </w:tcPr>
          <w:p w14:paraId="5AF0C20F"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-222</w:t>
            </w:r>
          </w:p>
        </w:tc>
        <w:tc>
          <w:tcPr>
            <w:tcW w:w="760" w:type="dxa"/>
            <w:tcBorders>
              <w:top w:val="nil"/>
              <w:left w:val="nil"/>
              <w:bottom w:val="single" w:sz="4" w:space="0" w:color="ADD6EA"/>
              <w:right w:val="nil"/>
            </w:tcBorders>
            <w:shd w:val="clear" w:color="auto" w:fill="EBBFA0"/>
            <w:noWrap/>
            <w:hideMark/>
          </w:tcPr>
          <w:p w14:paraId="6151A6C5"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-26</w:t>
            </w:r>
          </w:p>
        </w:tc>
        <w:tc>
          <w:tcPr>
            <w:tcW w:w="4500" w:type="dxa"/>
            <w:tcBorders>
              <w:top w:val="nil"/>
              <w:left w:val="nil"/>
              <w:bottom w:val="single" w:sz="4" w:space="0" w:color="ADD6EA"/>
              <w:right w:val="nil"/>
            </w:tcBorders>
            <w:shd w:val="clear" w:color="auto" w:fill="auto"/>
            <w:vAlign w:val="center"/>
            <w:hideMark/>
          </w:tcPr>
          <w:p w14:paraId="1477ADEF" w14:textId="6445F963" w:rsidR="00930984" w:rsidRPr="00930984" w:rsidRDefault="00212B48" w:rsidP="00930984">
            <w:pPr>
              <w:tabs>
                <w:tab w:val="clear" w:pos="567"/>
              </w:tabs>
              <w:spacing w:before="0" w:line="240" w:lineRule="auto"/>
              <w:rPr>
                <w:rFonts w:ascii="Open Sans Light" w:eastAsia="Times New Roman" w:hAnsi="Open Sans Light" w:cs="Open Sans Light"/>
                <w:szCs w:val="20"/>
                <w:lang w:eastAsia="en-AU"/>
              </w:rPr>
            </w:pPr>
            <w:r>
              <w:rPr>
                <w:rFonts w:ascii="Open Sans Light" w:hAnsi="Open Sans Light" w:cs="Open Sans Light"/>
                <w:szCs w:val="20"/>
              </w:rPr>
              <w:t>Incorporating</w:t>
            </w:r>
            <w:r w:rsidR="00930984">
              <w:rPr>
                <w:rFonts w:ascii="Open Sans Light" w:hAnsi="Open Sans Light" w:cs="Open Sans Light"/>
                <w:szCs w:val="20"/>
              </w:rPr>
              <w:t xml:space="preserve"> 2021 Census data show the population and population-weighted density of Sydney grew more slowly than </w:t>
            </w:r>
            <w:r w:rsidR="00902FC6">
              <w:rPr>
                <w:rFonts w:ascii="Open Sans Light" w:hAnsi="Open Sans Light" w:cs="Open Sans Light"/>
                <w:szCs w:val="20"/>
              </w:rPr>
              <w:t>the national</w:t>
            </w:r>
            <w:r w:rsidR="00930984">
              <w:rPr>
                <w:rFonts w:ascii="Open Sans Light" w:hAnsi="Open Sans Light" w:cs="Open Sans Light"/>
                <w:szCs w:val="20"/>
              </w:rPr>
              <w:t xml:space="preserve"> average. This reduced its assessed GST needs for urban transport services and infrastructure.</w:t>
            </w:r>
          </w:p>
        </w:tc>
      </w:tr>
      <w:tr w:rsidR="00930984" w:rsidRPr="00930984" w14:paraId="3D00B87C" w14:textId="77777777">
        <w:trPr>
          <w:trHeight w:val="1500"/>
        </w:trPr>
        <w:tc>
          <w:tcPr>
            <w:tcW w:w="2940" w:type="dxa"/>
            <w:tcBorders>
              <w:top w:val="nil"/>
              <w:left w:val="nil"/>
              <w:bottom w:val="single" w:sz="4" w:space="0" w:color="ADD6EA"/>
              <w:right w:val="nil"/>
            </w:tcBorders>
            <w:shd w:val="clear" w:color="auto" w:fill="auto"/>
            <w:hideMark/>
          </w:tcPr>
          <w:p w14:paraId="2F5660C4" w14:textId="77777777" w:rsidR="00930984" w:rsidRPr="00930984" w:rsidRDefault="00930984" w:rsidP="00930984">
            <w:pPr>
              <w:tabs>
                <w:tab w:val="clear" w:pos="567"/>
              </w:tabs>
              <w:spacing w:before="0" w:line="240" w:lineRule="auto"/>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Property sales</w:t>
            </w:r>
          </w:p>
        </w:tc>
        <w:tc>
          <w:tcPr>
            <w:tcW w:w="760" w:type="dxa"/>
            <w:tcBorders>
              <w:top w:val="nil"/>
              <w:left w:val="nil"/>
              <w:bottom w:val="single" w:sz="4" w:space="0" w:color="ADD6EA"/>
              <w:right w:val="nil"/>
            </w:tcBorders>
            <w:shd w:val="clear" w:color="auto" w:fill="ADD6EA"/>
            <w:noWrap/>
            <w:hideMark/>
          </w:tcPr>
          <w:p w14:paraId="1FCB100E"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219</w:t>
            </w:r>
          </w:p>
        </w:tc>
        <w:tc>
          <w:tcPr>
            <w:tcW w:w="760" w:type="dxa"/>
            <w:tcBorders>
              <w:top w:val="nil"/>
              <w:left w:val="nil"/>
              <w:bottom w:val="single" w:sz="4" w:space="0" w:color="ADD6EA"/>
              <w:right w:val="nil"/>
            </w:tcBorders>
            <w:shd w:val="clear" w:color="auto" w:fill="ADD6EA"/>
            <w:noWrap/>
            <w:hideMark/>
          </w:tcPr>
          <w:p w14:paraId="4C339C30"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26</w:t>
            </w:r>
          </w:p>
        </w:tc>
        <w:tc>
          <w:tcPr>
            <w:tcW w:w="4500" w:type="dxa"/>
            <w:tcBorders>
              <w:top w:val="nil"/>
              <w:left w:val="nil"/>
              <w:bottom w:val="single" w:sz="4" w:space="0" w:color="ADD6EA"/>
              <w:right w:val="nil"/>
            </w:tcBorders>
            <w:shd w:val="clear" w:color="auto" w:fill="auto"/>
            <w:vAlign w:val="center"/>
            <w:hideMark/>
          </w:tcPr>
          <w:p w14:paraId="72FBB2A1" w14:textId="43C9D82A" w:rsidR="00930984" w:rsidRPr="00930984" w:rsidRDefault="00930984" w:rsidP="00930984">
            <w:pPr>
              <w:tabs>
                <w:tab w:val="clear" w:pos="567"/>
              </w:tabs>
              <w:spacing w:before="0" w:line="240" w:lineRule="auto"/>
              <w:rPr>
                <w:rFonts w:ascii="Open Sans Light" w:eastAsia="Times New Roman" w:hAnsi="Open Sans Light" w:cs="Open Sans Light"/>
                <w:szCs w:val="20"/>
                <w:lang w:eastAsia="en-AU"/>
              </w:rPr>
            </w:pPr>
            <w:r>
              <w:rPr>
                <w:rFonts w:ascii="Open Sans Light" w:hAnsi="Open Sans Light" w:cs="Open Sans Light"/>
                <w:szCs w:val="20"/>
              </w:rPr>
              <w:t>A large downward revision to the value of property transferred in 2021</w:t>
            </w:r>
            <w:r w:rsidR="00946A52">
              <w:rPr>
                <w:rFonts w:ascii="Open Sans Light" w:hAnsi="Open Sans Light" w:cs="Open Sans Light"/>
                <w:szCs w:val="20"/>
              </w:rPr>
              <w:t>–</w:t>
            </w:r>
            <w:r>
              <w:rPr>
                <w:rFonts w:ascii="Open Sans Light" w:hAnsi="Open Sans Light" w:cs="Open Sans Light"/>
                <w:szCs w:val="20"/>
              </w:rPr>
              <w:t xml:space="preserve">22 (due to the reclassification of the sale of a major state asset) reduced New South </w:t>
            </w:r>
            <w:proofErr w:type="spellStart"/>
            <w:r>
              <w:rPr>
                <w:rFonts w:ascii="Open Sans Light" w:hAnsi="Open Sans Light" w:cs="Open Sans Light"/>
                <w:szCs w:val="20"/>
              </w:rPr>
              <w:t>Wales’</w:t>
            </w:r>
            <w:proofErr w:type="spellEnd"/>
            <w:r>
              <w:rPr>
                <w:rFonts w:ascii="Open Sans Light" w:hAnsi="Open Sans Light" w:cs="Open Sans Light"/>
                <w:szCs w:val="20"/>
              </w:rPr>
              <w:t xml:space="preserve"> assessed revenue</w:t>
            </w:r>
            <w:r w:rsidR="00F229E9">
              <w:rPr>
                <w:rFonts w:ascii="Open Sans Light" w:hAnsi="Open Sans Light" w:cs="Open Sans Light"/>
                <w:szCs w:val="20"/>
              </w:rPr>
              <w:t xml:space="preserve"> </w:t>
            </w:r>
            <w:r>
              <w:rPr>
                <w:rFonts w:ascii="Open Sans Light" w:hAnsi="Open Sans Light" w:cs="Open Sans Light"/>
                <w:szCs w:val="20"/>
              </w:rPr>
              <w:t xml:space="preserve">raising capacity. </w:t>
            </w:r>
          </w:p>
        </w:tc>
      </w:tr>
      <w:tr w:rsidR="00930984" w:rsidRPr="00930984" w14:paraId="682E149A" w14:textId="77777777">
        <w:trPr>
          <w:trHeight w:val="1200"/>
        </w:trPr>
        <w:tc>
          <w:tcPr>
            <w:tcW w:w="2940" w:type="dxa"/>
            <w:tcBorders>
              <w:top w:val="nil"/>
              <w:left w:val="nil"/>
              <w:bottom w:val="single" w:sz="4" w:space="0" w:color="ADD6EA"/>
              <w:right w:val="nil"/>
            </w:tcBorders>
            <w:shd w:val="clear" w:color="auto" w:fill="auto"/>
            <w:hideMark/>
          </w:tcPr>
          <w:p w14:paraId="5FB23966" w14:textId="77777777" w:rsidR="00930984" w:rsidRPr="00930984" w:rsidRDefault="00930984" w:rsidP="00930984">
            <w:pPr>
              <w:tabs>
                <w:tab w:val="clear" w:pos="567"/>
              </w:tabs>
              <w:spacing w:before="0" w:line="240" w:lineRule="auto"/>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Capital improvements</w:t>
            </w:r>
          </w:p>
        </w:tc>
        <w:tc>
          <w:tcPr>
            <w:tcW w:w="760" w:type="dxa"/>
            <w:tcBorders>
              <w:top w:val="nil"/>
              <w:left w:val="nil"/>
              <w:bottom w:val="single" w:sz="4" w:space="0" w:color="ADD6EA"/>
              <w:right w:val="nil"/>
            </w:tcBorders>
            <w:shd w:val="clear" w:color="auto" w:fill="EBBFA0"/>
            <w:noWrap/>
            <w:hideMark/>
          </w:tcPr>
          <w:p w14:paraId="5350DB6A"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-140</w:t>
            </w:r>
          </w:p>
        </w:tc>
        <w:tc>
          <w:tcPr>
            <w:tcW w:w="760" w:type="dxa"/>
            <w:tcBorders>
              <w:top w:val="nil"/>
              <w:left w:val="nil"/>
              <w:bottom w:val="single" w:sz="4" w:space="0" w:color="ADD6EA"/>
              <w:right w:val="nil"/>
            </w:tcBorders>
            <w:shd w:val="clear" w:color="auto" w:fill="EBBFA0"/>
            <w:noWrap/>
            <w:hideMark/>
          </w:tcPr>
          <w:p w14:paraId="5FFE57C9" w14:textId="77777777" w:rsidR="00930984" w:rsidRPr="00930984" w:rsidRDefault="00930984" w:rsidP="00930984">
            <w:pPr>
              <w:tabs>
                <w:tab w:val="clear" w:pos="567"/>
              </w:tabs>
              <w:spacing w:before="0" w:line="240" w:lineRule="auto"/>
              <w:jc w:val="center"/>
              <w:rPr>
                <w:rFonts w:ascii="Open Sans Light" w:eastAsia="Times New Roman" w:hAnsi="Open Sans Light" w:cs="Open Sans Light"/>
                <w:szCs w:val="20"/>
                <w:lang w:eastAsia="en-AU"/>
              </w:rPr>
            </w:pPr>
            <w:r w:rsidRPr="00930984">
              <w:rPr>
                <w:rFonts w:ascii="Open Sans Light" w:eastAsia="Times New Roman" w:hAnsi="Open Sans Light" w:cs="Open Sans Light"/>
                <w:szCs w:val="20"/>
                <w:lang w:eastAsia="en-AU"/>
              </w:rPr>
              <w:t>-16</w:t>
            </w:r>
          </w:p>
        </w:tc>
        <w:tc>
          <w:tcPr>
            <w:tcW w:w="4500" w:type="dxa"/>
            <w:tcBorders>
              <w:top w:val="nil"/>
              <w:left w:val="nil"/>
              <w:bottom w:val="single" w:sz="4" w:space="0" w:color="ADD6EA"/>
              <w:right w:val="nil"/>
            </w:tcBorders>
            <w:shd w:val="clear" w:color="auto" w:fill="auto"/>
            <w:vAlign w:val="center"/>
            <w:hideMark/>
          </w:tcPr>
          <w:p w14:paraId="3B7A9189" w14:textId="46EC92B9" w:rsidR="00930984" w:rsidRPr="00930984" w:rsidRDefault="00930984" w:rsidP="00930984">
            <w:pPr>
              <w:tabs>
                <w:tab w:val="clear" w:pos="567"/>
              </w:tabs>
              <w:spacing w:before="0" w:line="240" w:lineRule="auto"/>
              <w:rPr>
                <w:rFonts w:ascii="Open Sans Light" w:eastAsia="Times New Roman" w:hAnsi="Open Sans Light" w:cs="Open Sans Light"/>
                <w:szCs w:val="20"/>
                <w:lang w:eastAsia="en-AU"/>
              </w:rPr>
            </w:pPr>
            <w:r>
              <w:rPr>
                <w:rFonts w:ascii="Open Sans Light" w:hAnsi="Open Sans Light" w:cs="Open Sans Light"/>
                <w:szCs w:val="20"/>
              </w:rPr>
              <w:t>A large downward revision to national urban transport investment in 2021</w:t>
            </w:r>
            <w:r w:rsidR="0009735C">
              <w:rPr>
                <w:rFonts w:ascii="Open Sans Light" w:hAnsi="Open Sans Light" w:cs="Open Sans Light"/>
                <w:szCs w:val="20"/>
              </w:rPr>
              <w:t>–</w:t>
            </w:r>
            <w:r>
              <w:rPr>
                <w:rFonts w:ascii="Open Sans Light" w:hAnsi="Open Sans Light" w:cs="Open Sans Light"/>
                <w:szCs w:val="20"/>
              </w:rPr>
              <w:t xml:space="preserve">22 reduced the assessed urban transport needs of states with above-average needs, including New South Wales. </w:t>
            </w:r>
          </w:p>
        </w:tc>
      </w:tr>
    </w:tbl>
    <w:p w14:paraId="653162BC" w14:textId="1B660807" w:rsidR="009C58EB" w:rsidRPr="008D72BE" w:rsidRDefault="009C58EB" w:rsidP="009C58EB">
      <w:pPr>
        <w:pStyle w:val="Tablefootnote"/>
      </w:pPr>
      <w:r w:rsidRPr="008D72BE">
        <w:t>Source: Commission calculation.</w:t>
      </w:r>
    </w:p>
    <w:p w14:paraId="1EA7829B" w14:textId="627D60C2" w:rsidR="001F6216" w:rsidRDefault="001F6216">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7EF5D142" w14:textId="576288C2" w:rsidR="00375243" w:rsidRDefault="001F6216" w:rsidP="001F6216">
      <w:pPr>
        <w:pStyle w:val="Heading2"/>
      </w:pPr>
      <w:r>
        <w:lastRenderedPageBreak/>
        <w:t>Victoria</w:t>
      </w:r>
    </w:p>
    <w:p w14:paraId="2896856D" w14:textId="14C17A51" w:rsidR="00245ABE" w:rsidRPr="008D72BE" w:rsidRDefault="00245ABE" w:rsidP="00245ABE">
      <w:r w:rsidRPr="008D72BE">
        <w:t xml:space="preserve">Victoria’s share of the GST pool is estimated to increase significantly from 21.9% to 24.8%. </w:t>
      </w:r>
      <w:proofErr w:type="gramStart"/>
      <w:r w:rsidRPr="008D72BE">
        <w:t>Taking into account</w:t>
      </w:r>
      <w:proofErr w:type="gramEnd"/>
      <w:r w:rsidRPr="008D72BE">
        <w:t xml:space="preserve"> growth in the GST pool, Victoria’s estimated GST distribution in 2023</w:t>
      </w:r>
      <w:r w:rsidR="00D47BE5">
        <w:t>–</w:t>
      </w:r>
      <w:r w:rsidR="00D47BE5">
        <w:rPr>
          <w:rFonts w:ascii="Times New Roman" w:hAnsi="Times New Roman" w:cs="Times New Roman" w:hint="eastAsia"/>
          <w:rtl/>
        </w:rPr>
        <w:t>‍</w:t>
      </w:r>
      <w:r w:rsidRPr="008D72BE">
        <w:t>24 would increase by $3,686 million ($524 per capita), or 19.9%.</w:t>
      </w:r>
    </w:p>
    <w:p w14:paraId="318970C8" w14:textId="2F7FAC1B" w:rsidR="00245ABE" w:rsidRPr="008D72BE" w:rsidRDefault="00245ABE" w:rsidP="00245ABE">
      <w:pPr>
        <w:pStyle w:val="BulletPoints"/>
      </w:pPr>
      <w:r w:rsidRPr="008D72BE">
        <w:t>Victoria’s assessed GST needs increased</w:t>
      </w:r>
      <w:r w:rsidR="007774DA">
        <w:t xml:space="preserve"> largely</w:t>
      </w:r>
      <w:r w:rsidRPr="008D72BE">
        <w:t xml:space="preserve"> due to: </w:t>
      </w:r>
    </w:p>
    <w:p w14:paraId="00B86C65" w14:textId="77777777" w:rsidR="00245ABE" w:rsidRPr="008D72BE" w:rsidRDefault="00245ABE" w:rsidP="00245ABE">
      <w:pPr>
        <w:pStyle w:val="BulletPoints-Level2"/>
      </w:pPr>
      <w:r w:rsidRPr="008D72BE">
        <w:t xml:space="preserve">a reduced relative capacity to raise mining </w:t>
      </w:r>
      <w:proofErr w:type="gramStart"/>
      <w:r w:rsidRPr="008D72BE">
        <w:t>revenue</w:t>
      </w:r>
      <w:proofErr w:type="gramEnd"/>
    </w:p>
    <w:p w14:paraId="3E2319F6" w14:textId="4119E987" w:rsidR="00245ABE" w:rsidRPr="008D72BE" w:rsidRDefault="00245ABE" w:rsidP="00245ABE">
      <w:pPr>
        <w:pStyle w:val="BulletPoints-Level2"/>
      </w:pPr>
      <w:r w:rsidRPr="008D72BE">
        <w:t>strong growth in national urban transport investment between 2019</w:t>
      </w:r>
      <w:r w:rsidR="00D47BE5">
        <w:t>–</w:t>
      </w:r>
      <w:r w:rsidRPr="008D72BE">
        <w:t xml:space="preserve">20 and </w:t>
      </w:r>
      <w:r w:rsidR="00E8259C">
        <w:t>2022–23</w:t>
      </w:r>
    </w:p>
    <w:p w14:paraId="63A7BFD8" w14:textId="446D0849" w:rsidR="00245ABE" w:rsidRPr="008D72BE" w:rsidRDefault="00245ABE" w:rsidP="00245ABE">
      <w:pPr>
        <w:pStyle w:val="BulletPoints-Level2"/>
      </w:pPr>
      <w:r w:rsidRPr="008D72BE">
        <w:t xml:space="preserve">below-average growth in the value of </w:t>
      </w:r>
      <w:r w:rsidR="005040CE">
        <w:t xml:space="preserve">its </w:t>
      </w:r>
      <w:r w:rsidRPr="008D72BE">
        <w:t>property sales and taxable land values</w:t>
      </w:r>
    </w:p>
    <w:p w14:paraId="35779FBB" w14:textId="3B56AAF4" w:rsidR="00245ABE" w:rsidRPr="008D72BE" w:rsidRDefault="00245ABE" w:rsidP="00245ABE">
      <w:pPr>
        <w:pStyle w:val="BulletPoints-Level2"/>
      </w:pPr>
      <w:r w:rsidRPr="008D72BE">
        <w:t xml:space="preserve">revisions to urban population and population-weighted density from the latest 2021 Census release, which increased its </w:t>
      </w:r>
      <w:r w:rsidR="00E93BA9">
        <w:t xml:space="preserve">assessed </w:t>
      </w:r>
      <w:r w:rsidRPr="008D72BE">
        <w:t xml:space="preserve">GST needs for urban </w:t>
      </w:r>
      <w:proofErr w:type="gramStart"/>
      <w:r w:rsidRPr="008D72BE">
        <w:t>transport</w:t>
      </w:r>
      <w:proofErr w:type="gramEnd"/>
    </w:p>
    <w:p w14:paraId="49378FBE" w14:textId="77777777" w:rsidR="00245ABE" w:rsidRPr="008D72BE" w:rsidRDefault="00245ABE" w:rsidP="00245ABE">
      <w:pPr>
        <w:pStyle w:val="BulletPoints-Level2"/>
      </w:pPr>
      <w:r w:rsidRPr="008D72BE">
        <w:t>upwards revisions to its natural disaster expenses.</w:t>
      </w:r>
    </w:p>
    <w:p w14:paraId="73923873" w14:textId="6DF780D3" w:rsidR="00245ABE" w:rsidRPr="008D72BE" w:rsidRDefault="00245ABE" w:rsidP="00245ABE">
      <w:pPr>
        <w:pStyle w:val="BulletPoints"/>
      </w:pPr>
      <w:r w:rsidRPr="008D72BE">
        <w:t>Victoria’s increase in assessed GST needs was partly offset by a large downward revision to national urban transport investment in 2021</w:t>
      </w:r>
      <w:r w:rsidR="00E93BA9">
        <w:t>–</w:t>
      </w:r>
      <w:r w:rsidRPr="008D72BE">
        <w:t>22.</w:t>
      </w:r>
    </w:p>
    <w:p w14:paraId="4B8C781B" w14:textId="77777777" w:rsidR="00245ABE" w:rsidRPr="008D72BE" w:rsidRDefault="00245ABE" w:rsidP="00245ABE">
      <w:pPr>
        <w:pStyle w:val="BulletPoints"/>
      </w:pPr>
      <w:r w:rsidRPr="008D72BE">
        <w:t xml:space="preserve">The increase to its assessed GST needs was augmented by expected strong growth in the GST pool. </w:t>
      </w:r>
    </w:p>
    <w:p w14:paraId="66E8860A" w14:textId="7DCA22FF" w:rsidR="00245ABE" w:rsidRPr="008D72BE" w:rsidRDefault="00245ABE" w:rsidP="00245ABE">
      <w:pPr>
        <w:pStyle w:val="BulletPoints"/>
      </w:pPr>
      <w:r w:rsidRPr="008D72BE">
        <w:t>Compared with 2023</w:t>
      </w:r>
      <w:r w:rsidR="00E93BA9">
        <w:t>–</w:t>
      </w:r>
      <w:r w:rsidRPr="008D72BE">
        <w:t>24, blended relativities and the GST floor resulted in a reduction ($85 million) in Victoria’s GST distribution.</w:t>
      </w:r>
    </w:p>
    <w:p w14:paraId="016B0C7F" w14:textId="1C25615E" w:rsidR="00245ABE" w:rsidRPr="008D72BE" w:rsidRDefault="00245ABE" w:rsidP="00245ABE">
      <w:pPr>
        <w:pStyle w:val="Tableheading"/>
        <w:ind w:left="1440" w:hanging="1440"/>
      </w:pPr>
      <w:r w:rsidRPr="008D72BE">
        <w:t>Table 3-2</w:t>
      </w:r>
      <w:r w:rsidRPr="008D72BE">
        <w:tab/>
        <w:t>Change in estimated GST distribution from 2023</w:t>
      </w:r>
      <w:r w:rsidR="00B53E86">
        <w:t>–</w:t>
      </w:r>
      <w:r w:rsidRPr="008D72BE">
        <w:t>24 to 2024</w:t>
      </w:r>
      <w:r w:rsidR="00B53E86">
        <w:t>–</w:t>
      </w:r>
      <w:r w:rsidRPr="008D72BE">
        <w:t>25, Victoria (excludes no worse off payments)</w:t>
      </w:r>
    </w:p>
    <w:tbl>
      <w:tblPr>
        <w:tblW w:w="8940" w:type="dxa"/>
        <w:tblLook w:val="04A0" w:firstRow="1" w:lastRow="0" w:firstColumn="1" w:lastColumn="0" w:noHBand="0" w:noVBand="1"/>
      </w:tblPr>
      <w:tblGrid>
        <w:gridCol w:w="4420"/>
        <w:gridCol w:w="2200"/>
        <w:gridCol w:w="2320"/>
      </w:tblGrid>
      <w:tr w:rsidR="008F6377" w:rsidRPr="00E860BF" w14:paraId="1FAF6030" w14:textId="77777777" w:rsidTr="008F6377">
        <w:trPr>
          <w:trHeight w:val="375"/>
        </w:trPr>
        <w:tc>
          <w:tcPr>
            <w:tcW w:w="4420" w:type="dxa"/>
            <w:tcBorders>
              <w:top w:val="nil"/>
              <w:left w:val="nil"/>
              <w:bottom w:val="single" w:sz="4" w:space="0" w:color="ADD6EA"/>
              <w:right w:val="nil"/>
            </w:tcBorders>
            <w:shd w:val="clear" w:color="000000" w:fill="006991"/>
            <w:noWrap/>
            <w:vAlign w:val="center"/>
            <w:hideMark/>
          </w:tcPr>
          <w:p w14:paraId="18BBD8C9" w14:textId="77777777" w:rsidR="008F6377" w:rsidRPr="008F6377" w:rsidRDefault="008F6377" w:rsidP="008F63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6377">
              <w:rPr>
                <w:rFonts w:ascii="Open Sans Semibold" w:eastAsia="Times New Roman" w:hAnsi="Open Sans Semibold" w:cs="Open Sans Semibold"/>
                <w:color w:val="FFFFFF"/>
                <w:sz w:val="16"/>
                <w:szCs w:val="16"/>
                <w:lang w:eastAsia="en-AU"/>
              </w:rPr>
              <w:t> </w:t>
            </w:r>
          </w:p>
        </w:tc>
        <w:tc>
          <w:tcPr>
            <w:tcW w:w="2200" w:type="dxa"/>
            <w:tcBorders>
              <w:top w:val="nil"/>
              <w:left w:val="nil"/>
              <w:bottom w:val="single" w:sz="4" w:space="0" w:color="ADD6EA"/>
              <w:right w:val="nil"/>
            </w:tcBorders>
            <w:shd w:val="clear" w:color="000000" w:fill="006991"/>
            <w:noWrap/>
            <w:vAlign w:val="center"/>
            <w:hideMark/>
          </w:tcPr>
          <w:p w14:paraId="797850F0" w14:textId="77777777" w:rsidR="008F6377" w:rsidRPr="008F6377" w:rsidRDefault="008F6377" w:rsidP="008F63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6377">
              <w:rPr>
                <w:rFonts w:ascii="Open Sans Semibold" w:eastAsia="Times New Roman" w:hAnsi="Open Sans Semibold" w:cs="Open Sans Semibold"/>
                <w:color w:val="FFFFFF"/>
                <w:sz w:val="16"/>
                <w:szCs w:val="16"/>
                <w:lang w:eastAsia="en-AU"/>
              </w:rPr>
              <w:t>$m</w:t>
            </w:r>
          </w:p>
        </w:tc>
        <w:tc>
          <w:tcPr>
            <w:tcW w:w="2320" w:type="dxa"/>
            <w:tcBorders>
              <w:top w:val="nil"/>
              <w:left w:val="nil"/>
              <w:bottom w:val="single" w:sz="4" w:space="0" w:color="ADD6EA"/>
              <w:right w:val="nil"/>
            </w:tcBorders>
            <w:shd w:val="clear" w:color="000000" w:fill="006991"/>
            <w:noWrap/>
            <w:vAlign w:val="center"/>
            <w:hideMark/>
          </w:tcPr>
          <w:p w14:paraId="17C5F0B0" w14:textId="77777777" w:rsidR="008F6377" w:rsidRPr="008F6377" w:rsidRDefault="008F6377" w:rsidP="008F637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F6377">
              <w:rPr>
                <w:rFonts w:ascii="Open Sans Semibold" w:eastAsia="Times New Roman" w:hAnsi="Open Sans Semibold" w:cs="Open Sans Semibold"/>
                <w:color w:val="FFFFFF"/>
                <w:sz w:val="16"/>
                <w:szCs w:val="16"/>
                <w:lang w:eastAsia="en-AU"/>
              </w:rPr>
              <w:t>$pc</w:t>
            </w:r>
          </w:p>
        </w:tc>
      </w:tr>
      <w:tr w:rsidR="008F6377" w:rsidRPr="00E860BF" w14:paraId="060D0BEF" w14:textId="77777777" w:rsidTr="008F6377">
        <w:trPr>
          <w:trHeight w:val="315"/>
        </w:trPr>
        <w:tc>
          <w:tcPr>
            <w:tcW w:w="4420" w:type="dxa"/>
            <w:tcBorders>
              <w:top w:val="nil"/>
              <w:left w:val="nil"/>
              <w:bottom w:val="single" w:sz="4" w:space="0" w:color="ADD6EA"/>
              <w:right w:val="nil"/>
            </w:tcBorders>
            <w:shd w:val="clear" w:color="auto" w:fill="auto"/>
            <w:noWrap/>
            <w:vAlign w:val="bottom"/>
            <w:hideMark/>
          </w:tcPr>
          <w:p w14:paraId="2609D985" w14:textId="77777777" w:rsidR="008F6377" w:rsidRPr="00A75009" w:rsidRDefault="008F6377" w:rsidP="008F6377">
            <w:pPr>
              <w:tabs>
                <w:tab w:val="clear" w:pos="567"/>
              </w:tabs>
              <w:spacing w:before="0" w:line="240" w:lineRule="auto"/>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xml:space="preserve">Change in </w:t>
            </w:r>
            <w:r w:rsidRPr="00A75009">
              <w:rPr>
                <w:rFonts w:ascii="Open Sans Light" w:eastAsia="Times New Roman" w:hAnsi="Open Sans Light" w:cs="Open Sans Light"/>
                <w:color w:val="000000"/>
                <w:sz w:val="16"/>
                <w:szCs w:val="16"/>
                <w:lang w:eastAsia="en-AU"/>
              </w:rPr>
              <w:t>population</w:t>
            </w:r>
          </w:p>
        </w:tc>
        <w:tc>
          <w:tcPr>
            <w:tcW w:w="2200" w:type="dxa"/>
            <w:tcBorders>
              <w:top w:val="nil"/>
              <w:left w:val="nil"/>
              <w:bottom w:val="single" w:sz="4" w:space="0" w:color="ADD6EA"/>
              <w:right w:val="nil"/>
            </w:tcBorders>
            <w:shd w:val="clear" w:color="auto" w:fill="auto"/>
            <w:noWrap/>
            <w:vAlign w:val="bottom"/>
            <w:hideMark/>
          </w:tcPr>
          <w:p w14:paraId="62EA931D"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85</w:t>
            </w:r>
          </w:p>
        </w:tc>
        <w:tc>
          <w:tcPr>
            <w:tcW w:w="2320" w:type="dxa"/>
            <w:tcBorders>
              <w:top w:val="nil"/>
              <w:left w:val="nil"/>
              <w:bottom w:val="single" w:sz="4" w:space="0" w:color="ADD6EA"/>
              <w:right w:val="nil"/>
            </w:tcBorders>
            <w:shd w:val="clear" w:color="auto" w:fill="auto"/>
            <w:noWrap/>
            <w:vAlign w:val="bottom"/>
            <w:hideMark/>
          </w:tcPr>
          <w:p w14:paraId="5C1AAA88"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12</w:t>
            </w:r>
          </w:p>
        </w:tc>
      </w:tr>
      <w:tr w:rsidR="008F6377" w:rsidRPr="00E860BF" w14:paraId="0D584C75" w14:textId="77777777" w:rsidTr="008F6377">
        <w:trPr>
          <w:trHeight w:val="315"/>
        </w:trPr>
        <w:tc>
          <w:tcPr>
            <w:tcW w:w="4420" w:type="dxa"/>
            <w:tcBorders>
              <w:top w:val="nil"/>
              <w:left w:val="nil"/>
              <w:bottom w:val="single" w:sz="4" w:space="0" w:color="ADD6EA"/>
              <w:right w:val="nil"/>
            </w:tcBorders>
            <w:shd w:val="clear" w:color="auto" w:fill="auto"/>
            <w:noWrap/>
            <w:vAlign w:val="bottom"/>
            <w:hideMark/>
          </w:tcPr>
          <w:p w14:paraId="3D8F9236" w14:textId="77777777" w:rsidR="008F6377" w:rsidRPr="00A75009" w:rsidRDefault="008F6377" w:rsidP="008F6377">
            <w:pPr>
              <w:tabs>
                <w:tab w:val="clear" w:pos="567"/>
              </w:tabs>
              <w:spacing w:before="0" w:line="240" w:lineRule="auto"/>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xml:space="preserve">Growth in GST pool </w:t>
            </w:r>
          </w:p>
        </w:tc>
        <w:tc>
          <w:tcPr>
            <w:tcW w:w="2200" w:type="dxa"/>
            <w:tcBorders>
              <w:top w:val="nil"/>
              <w:left w:val="nil"/>
              <w:bottom w:val="single" w:sz="4" w:space="0" w:color="ADD6EA"/>
              <w:right w:val="nil"/>
            </w:tcBorders>
            <w:shd w:val="clear" w:color="auto" w:fill="auto"/>
            <w:noWrap/>
            <w:vAlign w:val="bottom"/>
            <w:hideMark/>
          </w:tcPr>
          <w:p w14:paraId="47E8F8E9"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1,053</w:t>
            </w:r>
          </w:p>
        </w:tc>
        <w:tc>
          <w:tcPr>
            <w:tcW w:w="2320" w:type="dxa"/>
            <w:tcBorders>
              <w:top w:val="nil"/>
              <w:left w:val="nil"/>
              <w:bottom w:val="single" w:sz="4" w:space="0" w:color="ADD6EA"/>
              <w:right w:val="nil"/>
            </w:tcBorders>
            <w:shd w:val="clear" w:color="auto" w:fill="auto"/>
            <w:noWrap/>
            <w:vAlign w:val="bottom"/>
            <w:hideMark/>
          </w:tcPr>
          <w:p w14:paraId="4FA1CD92"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150</w:t>
            </w:r>
          </w:p>
        </w:tc>
      </w:tr>
      <w:tr w:rsidR="008F6377" w:rsidRPr="00E860BF" w14:paraId="04EA216C" w14:textId="77777777" w:rsidTr="008F6377">
        <w:trPr>
          <w:trHeight w:val="315"/>
        </w:trPr>
        <w:tc>
          <w:tcPr>
            <w:tcW w:w="4420" w:type="dxa"/>
            <w:tcBorders>
              <w:top w:val="nil"/>
              <w:left w:val="nil"/>
              <w:bottom w:val="single" w:sz="4" w:space="0" w:color="ADD6EA"/>
              <w:right w:val="nil"/>
            </w:tcBorders>
            <w:shd w:val="clear" w:color="auto" w:fill="auto"/>
            <w:noWrap/>
            <w:vAlign w:val="bottom"/>
            <w:hideMark/>
          </w:tcPr>
          <w:p w14:paraId="0F79E5FF" w14:textId="77777777" w:rsidR="008F6377" w:rsidRPr="00A75009" w:rsidRDefault="008F6377" w:rsidP="008F6377">
            <w:pPr>
              <w:tabs>
                <w:tab w:val="clear" w:pos="567"/>
              </w:tabs>
              <w:spacing w:before="0" w:line="240" w:lineRule="auto"/>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Changes in assessed GST needs</w:t>
            </w:r>
          </w:p>
        </w:tc>
        <w:tc>
          <w:tcPr>
            <w:tcW w:w="2200" w:type="dxa"/>
            <w:tcBorders>
              <w:top w:val="nil"/>
              <w:left w:val="nil"/>
              <w:bottom w:val="single" w:sz="4" w:space="0" w:color="ADD6EA"/>
              <w:right w:val="nil"/>
            </w:tcBorders>
            <w:shd w:val="clear" w:color="auto" w:fill="auto"/>
            <w:noWrap/>
            <w:vAlign w:val="bottom"/>
            <w:hideMark/>
          </w:tcPr>
          <w:p w14:paraId="527911AC"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w:t>
            </w:r>
          </w:p>
        </w:tc>
        <w:tc>
          <w:tcPr>
            <w:tcW w:w="2320" w:type="dxa"/>
            <w:tcBorders>
              <w:top w:val="nil"/>
              <w:left w:val="nil"/>
              <w:bottom w:val="single" w:sz="4" w:space="0" w:color="ADD6EA"/>
              <w:right w:val="nil"/>
            </w:tcBorders>
            <w:shd w:val="clear" w:color="auto" w:fill="auto"/>
            <w:noWrap/>
            <w:vAlign w:val="bottom"/>
            <w:hideMark/>
          </w:tcPr>
          <w:p w14:paraId="09A7C981"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w:t>
            </w:r>
          </w:p>
        </w:tc>
      </w:tr>
      <w:tr w:rsidR="008F6377" w:rsidRPr="00E860BF" w14:paraId="3D88AA9E" w14:textId="77777777" w:rsidTr="008F6377">
        <w:trPr>
          <w:trHeight w:val="315"/>
        </w:trPr>
        <w:tc>
          <w:tcPr>
            <w:tcW w:w="4420" w:type="dxa"/>
            <w:tcBorders>
              <w:top w:val="nil"/>
              <w:left w:val="nil"/>
              <w:bottom w:val="single" w:sz="4" w:space="0" w:color="ADD6EA"/>
              <w:right w:val="nil"/>
            </w:tcBorders>
            <w:shd w:val="clear" w:color="auto" w:fill="auto"/>
            <w:noWrap/>
            <w:vAlign w:val="bottom"/>
            <w:hideMark/>
          </w:tcPr>
          <w:p w14:paraId="2510F19F" w14:textId="218FBAC3" w:rsidR="008F6377" w:rsidRPr="00A75009" w:rsidRDefault="008F6377" w:rsidP="008F6377">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xml:space="preserve">Revised populations from </w:t>
            </w:r>
            <w:r w:rsidR="00A536AB" w:rsidRPr="00A75009">
              <w:rPr>
                <w:rFonts w:ascii="Open Sans Light" w:eastAsia="Times New Roman" w:hAnsi="Open Sans Light" w:cs="Open Sans Light"/>
                <w:sz w:val="16"/>
                <w:szCs w:val="16"/>
                <w:lang w:eastAsia="en-AU"/>
              </w:rPr>
              <w:t>C</w:t>
            </w:r>
            <w:r w:rsidRPr="00A75009">
              <w:rPr>
                <w:rFonts w:ascii="Open Sans Light" w:eastAsia="Times New Roman" w:hAnsi="Open Sans Light" w:cs="Open Sans Light"/>
                <w:sz w:val="16"/>
                <w:szCs w:val="16"/>
                <w:lang w:eastAsia="en-AU"/>
              </w:rPr>
              <w:t>ensus</w:t>
            </w:r>
          </w:p>
        </w:tc>
        <w:tc>
          <w:tcPr>
            <w:tcW w:w="2200" w:type="dxa"/>
            <w:tcBorders>
              <w:top w:val="nil"/>
              <w:left w:val="nil"/>
              <w:bottom w:val="single" w:sz="4" w:space="0" w:color="ADD6EA"/>
              <w:right w:val="nil"/>
            </w:tcBorders>
            <w:shd w:val="clear" w:color="auto" w:fill="auto"/>
            <w:noWrap/>
            <w:vAlign w:val="bottom"/>
            <w:hideMark/>
          </w:tcPr>
          <w:p w14:paraId="16121BE2"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835</w:t>
            </w:r>
          </w:p>
        </w:tc>
        <w:tc>
          <w:tcPr>
            <w:tcW w:w="2320" w:type="dxa"/>
            <w:tcBorders>
              <w:top w:val="nil"/>
              <w:left w:val="nil"/>
              <w:bottom w:val="single" w:sz="4" w:space="0" w:color="ADD6EA"/>
              <w:right w:val="nil"/>
            </w:tcBorders>
            <w:shd w:val="clear" w:color="auto" w:fill="auto"/>
            <w:noWrap/>
            <w:vAlign w:val="bottom"/>
            <w:hideMark/>
          </w:tcPr>
          <w:p w14:paraId="4FC46CA4"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119</w:t>
            </w:r>
          </w:p>
        </w:tc>
      </w:tr>
      <w:tr w:rsidR="008F6377" w:rsidRPr="00E860BF" w14:paraId="2DFE21F5" w14:textId="77777777" w:rsidTr="008F6377">
        <w:trPr>
          <w:trHeight w:val="315"/>
        </w:trPr>
        <w:tc>
          <w:tcPr>
            <w:tcW w:w="4420" w:type="dxa"/>
            <w:tcBorders>
              <w:top w:val="nil"/>
              <w:left w:val="nil"/>
              <w:bottom w:val="single" w:sz="4" w:space="0" w:color="ADD6EA"/>
              <w:right w:val="nil"/>
            </w:tcBorders>
            <w:shd w:val="clear" w:color="auto" w:fill="auto"/>
            <w:noWrap/>
            <w:vAlign w:val="bottom"/>
            <w:hideMark/>
          </w:tcPr>
          <w:p w14:paraId="3F063D79" w14:textId="77777777" w:rsidR="008F6377" w:rsidRPr="00A75009" w:rsidRDefault="008F6377" w:rsidP="008F6377">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Other data revisions</w:t>
            </w:r>
          </w:p>
        </w:tc>
        <w:tc>
          <w:tcPr>
            <w:tcW w:w="2200" w:type="dxa"/>
            <w:tcBorders>
              <w:top w:val="nil"/>
              <w:left w:val="nil"/>
              <w:bottom w:val="single" w:sz="4" w:space="0" w:color="ADD6EA"/>
              <w:right w:val="nil"/>
            </w:tcBorders>
            <w:shd w:val="clear" w:color="auto" w:fill="auto"/>
            <w:noWrap/>
            <w:vAlign w:val="bottom"/>
            <w:hideMark/>
          </w:tcPr>
          <w:p w14:paraId="6D712F22"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-432</w:t>
            </w:r>
          </w:p>
        </w:tc>
        <w:tc>
          <w:tcPr>
            <w:tcW w:w="2320" w:type="dxa"/>
            <w:tcBorders>
              <w:top w:val="nil"/>
              <w:left w:val="nil"/>
              <w:bottom w:val="single" w:sz="4" w:space="0" w:color="ADD6EA"/>
              <w:right w:val="nil"/>
            </w:tcBorders>
            <w:shd w:val="clear" w:color="auto" w:fill="auto"/>
            <w:noWrap/>
            <w:vAlign w:val="bottom"/>
            <w:hideMark/>
          </w:tcPr>
          <w:p w14:paraId="2A2A25F0"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-61</w:t>
            </w:r>
          </w:p>
        </w:tc>
      </w:tr>
      <w:tr w:rsidR="008F6377" w:rsidRPr="00E860BF" w14:paraId="50F0F57B" w14:textId="77777777" w:rsidTr="008F6377">
        <w:trPr>
          <w:trHeight w:val="315"/>
        </w:trPr>
        <w:tc>
          <w:tcPr>
            <w:tcW w:w="4420" w:type="dxa"/>
            <w:tcBorders>
              <w:top w:val="nil"/>
              <w:left w:val="nil"/>
              <w:bottom w:val="single" w:sz="4" w:space="0" w:color="ADD6EA"/>
              <w:right w:val="nil"/>
            </w:tcBorders>
            <w:shd w:val="clear" w:color="auto" w:fill="auto"/>
            <w:noWrap/>
            <w:vAlign w:val="bottom"/>
            <w:hideMark/>
          </w:tcPr>
          <w:p w14:paraId="09698F92" w14:textId="77777777" w:rsidR="008F6377" w:rsidRPr="00A75009" w:rsidRDefault="008F6377" w:rsidP="008F6377">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State circumstances</w:t>
            </w:r>
          </w:p>
        </w:tc>
        <w:tc>
          <w:tcPr>
            <w:tcW w:w="2200" w:type="dxa"/>
            <w:tcBorders>
              <w:top w:val="nil"/>
              <w:left w:val="nil"/>
              <w:bottom w:val="single" w:sz="4" w:space="0" w:color="ADD6EA"/>
              <w:right w:val="nil"/>
            </w:tcBorders>
            <w:shd w:val="clear" w:color="auto" w:fill="auto"/>
            <w:noWrap/>
            <w:vAlign w:val="bottom"/>
            <w:hideMark/>
          </w:tcPr>
          <w:p w14:paraId="31B5862B"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2,230</w:t>
            </w:r>
          </w:p>
        </w:tc>
        <w:tc>
          <w:tcPr>
            <w:tcW w:w="2320" w:type="dxa"/>
            <w:tcBorders>
              <w:top w:val="nil"/>
              <w:left w:val="nil"/>
              <w:bottom w:val="single" w:sz="4" w:space="0" w:color="ADD6EA"/>
              <w:right w:val="nil"/>
            </w:tcBorders>
            <w:shd w:val="clear" w:color="auto" w:fill="auto"/>
            <w:noWrap/>
            <w:vAlign w:val="bottom"/>
            <w:hideMark/>
          </w:tcPr>
          <w:p w14:paraId="1BE8E6F5"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317</w:t>
            </w:r>
          </w:p>
        </w:tc>
      </w:tr>
      <w:tr w:rsidR="008F6377" w:rsidRPr="00E860BF" w14:paraId="74C7015A" w14:textId="77777777" w:rsidTr="008F6377">
        <w:trPr>
          <w:trHeight w:val="315"/>
        </w:trPr>
        <w:tc>
          <w:tcPr>
            <w:tcW w:w="4420" w:type="dxa"/>
            <w:tcBorders>
              <w:top w:val="nil"/>
              <w:left w:val="nil"/>
              <w:bottom w:val="single" w:sz="4" w:space="0" w:color="ADD6EA"/>
              <w:right w:val="nil"/>
            </w:tcBorders>
            <w:shd w:val="clear" w:color="auto" w:fill="auto"/>
            <w:noWrap/>
            <w:vAlign w:val="bottom"/>
            <w:hideMark/>
          </w:tcPr>
          <w:p w14:paraId="47065D87" w14:textId="77777777" w:rsidR="008F6377" w:rsidRPr="00A75009" w:rsidRDefault="008F6377" w:rsidP="008F6377">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Total</w:t>
            </w:r>
          </w:p>
        </w:tc>
        <w:tc>
          <w:tcPr>
            <w:tcW w:w="2200" w:type="dxa"/>
            <w:tcBorders>
              <w:top w:val="nil"/>
              <w:left w:val="nil"/>
              <w:bottom w:val="single" w:sz="4" w:space="0" w:color="ADD6EA"/>
              <w:right w:val="nil"/>
            </w:tcBorders>
            <w:shd w:val="clear" w:color="auto" w:fill="auto"/>
            <w:noWrap/>
            <w:vAlign w:val="bottom"/>
            <w:hideMark/>
          </w:tcPr>
          <w:p w14:paraId="5A3EE8D2"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2,633</w:t>
            </w:r>
          </w:p>
        </w:tc>
        <w:tc>
          <w:tcPr>
            <w:tcW w:w="2320" w:type="dxa"/>
            <w:tcBorders>
              <w:top w:val="nil"/>
              <w:left w:val="nil"/>
              <w:bottom w:val="single" w:sz="4" w:space="0" w:color="ADD6EA"/>
              <w:right w:val="nil"/>
            </w:tcBorders>
            <w:shd w:val="clear" w:color="auto" w:fill="auto"/>
            <w:noWrap/>
            <w:vAlign w:val="bottom"/>
            <w:hideMark/>
          </w:tcPr>
          <w:p w14:paraId="3A76A5E4"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374</w:t>
            </w:r>
          </w:p>
        </w:tc>
      </w:tr>
      <w:tr w:rsidR="008F6377" w:rsidRPr="00E860BF" w14:paraId="7D0ABDA5" w14:textId="77777777" w:rsidTr="008F6377">
        <w:trPr>
          <w:trHeight w:val="315"/>
        </w:trPr>
        <w:tc>
          <w:tcPr>
            <w:tcW w:w="4420" w:type="dxa"/>
            <w:tcBorders>
              <w:top w:val="nil"/>
              <w:left w:val="nil"/>
              <w:bottom w:val="single" w:sz="4" w:space="0" w:color="ADD6EA"/>
              <w:right w:val="nil"/>
            </w:tcBorders>
            <w:shd w:val="clear" w:color="auto" w:fill="auto"/>
            <w:noWrap/>
            <w:vAlign w:val="bottom"/>
            <w:hideMark/>
          </w:tcPr>
          <w:p w14:paraId="118BDE9F" w14:textId="77777777" w:rsidR="008F6377" w:rsidRPr="00A75009" w:rsidRDefault="008F6377" w:rsidP="008F6377">
            <w:pPr>
              <w:tabs>
                <w:tab w:val="clear" w:pos="567"/>
              </w:tabs>
              <w:spacing w:before="0" w:line="240" w:lineRule="auto"/>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Blended relativities and GST floor</w:t>
            </w:r>
          </w:p>
        </w:tc>
        <w:tc>
          <w:tcPr>
            <w:tcW w:w="2200" w:type="dxa"/>
            <w:tcBorders>
              <w:top w:val="nil"/>
              <w:left w:val="nil"/>
              <w:bottom w:val="single" w:sz="4" w:space="0" w:color="ADD6EA"/>
              <w:right w:val="nil"/>
            </w:tcBorders>
            <w:shd w:val="clear" w:color="auto" w:fill="auto"/>
            <w:noWrap/>
            <w:vAlign w:val="bottom"/>
            <w:hideMark/>
          </w:tcPr>
          <w:p w14:paraId="3DE8363B"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-85</w:t>
            </w:r>
          </w:p>
        </w:tc>
        <w:tc>
          <w:tcPr>
            <w:tcW w:w="2320" w:type="dxa"/>
            <w:tcBorders>
              <w:top w:val="nil"/>
              <w:left w:val="nil"/>
              <w:bottom w:val="single" w:sz="4" w:space="0" w:color="ADD6EA"/>
              <w:right w:val="nil"/>
            </w:tcBorders>
            <w:shd w:val="clear" w:color="auto" w:fill="auto"/>
            <w:noWrap/>
            <w:vAlign w:val="bottom"/>
            <w:hideMark/>
          </w:tcPr>
          <w:p w14:paraId="10753F51" w14:textId="77777777" w:rsidR="008F6377" w:rsidRPr="00A75009" w:rsidRDefault="008F6377" w:rsidP="008F6377">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-12</w:t>
            </w:r>
          </w:p>
        </w:tc>
      </w:tr>
      <w:tr w:rsidR="008F6377" w:rsidRPr="00E860BF" w14:paraId="2AAC15BD" w14:textId="77777777" w:rsidTr="008F6377">
        <w:trPr>
          <w:trHeight w:val="315"/>
        </w:trPr>
        <w:tc>
          <w:tcPr>
            <w:tcW w:w="4420" w:type="dxa"/>
            <w:tcBorders>
              <w:top w:val="nil"/>
              <w:left w:val="nil"/>
              <w:bottom w:val="single" w:sz="4" w:space="0" w:color="ADD6EA"/>
              <w:right w:val="nil"/>
            </w:tcBorders>
            <w:shd w:val="clear" w:color="000000" w:fill="D6E7F0"/>
            <w:noWrap/>
            <w:vAlign w:val="bottom"/>
            <w:hideMark/>
          </w:tcPr>
          <w:p w14:paraId="201A5E20" w14:textId="77777777" w:rsidR="008F6377" w:rsidRPr="00A75009" w:rsidRDefault="008F6377" w:rsidP="00E860BF">
            <w:pPr>
              <w:spacing w:before="0"/>
              <w:rPr>
                <w:rFonts w:ascii="Open Sans Semibold" w:hAnsi="Open Sans Semibold" w:cs="Open Sans Semibold"/>
                <w:color w:val="000000"/>
                <w:sz w:val="16"/>
                <w:szCs w:val="16"/>
              </w:rPr>
            </w:pPr>
            <w:r w:rsidRPr="00A75009">
              <w:rPr>
                <w:rFonts w:ascii="Open Sans Semibold" w:hAnsi="Open Sans Semibold" w:cs="Open Sans Semibold"/>
                <w:color w:val="000000"/>
                <w:sz w:val="16"/>
                <w:szCs w:val="16"/>
              </w:rPr>
              <w:t>Total change</w:t>
            </w:r>
          </w:p>
        </w:tc>
        <w:tc>
          <w:tcPr>
            <w:tcW w:w="2200" w:type="dxa"/>
            <w:tcBorders>
              <w:top w:val="nil"/>
              <w:left w:val="nil"/>
              <w:bottom w:val="single" w:sz="4" w:space="0" w:color="ADD6EA"/>
              <w:right w:val="nil"/>
            </w:tcBorders>
            <w:shd w:val="clear" w:color="000000" w:fill="D6E7F0"/>
            <w:noWrap/>
            <w:vAlign w:val="bottom"/>
            <w:hideMark/>
          </w:tcPr>
          <w:p w14:paraId="2E99BCC8" w14:textId="77777777" w:rsidR="008F6377" w:rsidRPr="00A75009" w:rsidRDefault="008F6377" w:rsidP="008F63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5009">
              <w:rPr>
                <w:rFonts w:ascii="Open Sans Semibold" w:eastAsia="Times New Roman" w:hAnsi="Open Sans Semibold" w:cs="Open Sans Semibold"/>
                <w:color w:val="000000"/>
                <w:sz w:val="16"/>
                <w:szCs w:val="16"/>
                <w:lang w:eastAsia="en-AU"/>
              </w:rPr>
              <w:t>3,686</w:t>
            </w:r>
          </w:p>
        </w:tc>
        <w:tc>
          <w:tcPr>
            <w:tcW w:w="2320" w:type="dxa"/>
            <w:tcBorders>
              <w:top w:val="nil"/>
              <w:left w:val="nil"/>
              <w:bottom w:val="single" w:sz="4" w:space="0" w:color="ADD6EA"/>
              <w:right w:val="nil"/>
            </w:tcBorders>
            <w:shd w:val="clear" w:color="000000" w:fill="D6E7F0"/>
            <w:noWrap/>
            <w:vAlign w:val="bottom"/>
            <w:hideMark/>
          </w:tcPr>
          <w:p w14:paraId="5AEBFF40" w14:textId="77777777" w:rsidR="008F6377" w:rsidRPr="00A75009" w:rsidRDefault="008F6377" w:rsidP="008F637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5009">
              <w:rPr>
                <w:rFonts w:ascii="Open Sans Semibold" w:eastAsia="Times New Roman" w:hAnsi="Open Sans Semibold" w:cs="Open Sans Semibold"/>
                <w:color w:val="000000"/>
                <w:sz w:val="16"/>
                <w:szCs w:val="16"/>
                <w:lang w:eastAsia="en-AU"/>
              </w:rPr>
              <w:t>524</w:t>
            </w:r>
          </w:p>
        </w:tc>
      </w:tr>
    </w:tbl>
    <w:p w14:paraId="0F7A6C08" w14:textId="77777777" w:rsidR="00245ABE" w:rsidRPr="008D72BE" w:rsidRDefault="00245ABE" w:rsidP="00245ABE">
      <w:pPr>
        <w:pStyle w:val="Tablefootnote"/>
      </w:pPr>
      <w:r w:rsidRPr="008D72BE">
        <w:t xml:space="preserve">Note: </w:t>
      </w:r>
      <w:r w:rsidRPr="008D72BE">
        <w:tab/>
        <w:t>Table may not add due to rounding.</w:t>
      </w:r>
    </w:p>
    <w:p w14:paraId="668F1C76" w14:textId="77777777" w:rsidR="00245ABE" w:rsidRPr="008D72BE" w:rsidRDefault="00245ABE" w:rsidP="00245ABE">
      <w:pPr>
        <w:pStyle w:val="Tablefootnote"/>
      </w:pPr>
      <w:r w:rsidRPr="008D72BE">
        <w:t>Source: Commission calculation.</w:t>
      </w:r>
    </w:p>
    <w:p w14:paraId="1B43C57E" w14:textId="77777777" w:rsidR="00245ABE" w:rsidRDefault="00245ABE" w:rsidP="00245ABE">
      <w:pPr>
        <w:tabs>
          <w:tab w:val="clear" w:pos="567"/>
        </w:tabs>
        <w:spacing w:before="0" w:line="240" w:lineRule="auto"/>
        <w:rPr>
          <w:rFonts w:ascii="Work Sans SemiBold" w:hAnsi="Work Sans SemiBold" w:cs="Cambria Math"/>
          <w:bCs/>
          <w:color w:val="000000"/>
          <w:szCs w:val="21"/>
          <w:shd w:val="clear" w:color="auto" w:fill="FFFFFF"/>
          <w14:shadow w14:blurRad="50800" w14:dist="50800" w14:dir="5400000" w14:sx="0" w14:sy="0" w14:kx="0" w14:ky="0" w14:algn="ctr">
            <w14:srgbClr w14:val="000000">
              <w14:alpha w14:val="1000"/>
            </w14:srgbClr>
          </w14:shadow>
        </w:rPr>
      </w:pPr>
      <w:r>
        <w:br w:type="page"/>
      </w:r>
    </w:p>
    <w:p w14:paraId="55A35433" w14:textId="77777777" w:rsidR="00A14084" w:rsidRPr="008D72BE" w:rsidRDefault="00A14084" w:rsidP="00A14084">
      <w:pPr>
        <w:pStyle w:val="CGCTableHead"/>
      </w:pPr>
      <w:r w:rsidRPr="008D72BE">
        <w:lastRenderedPageBreak/>
        <w:t>Figure 3-2</w:t>
      </w:r>
      <w:r w:rsidRPr="008D72BE">
        <w:tab/>
        <w:t xml:space="preserve">Victoria: main changes in assessed GST needs, 2024 </w:t>
      </w:r>
      <w:proofErr w:type="gramStart"/>
      <w:r w:rsidRPr="008D72BE">
        <w:t>Update</w:t>
      </w:r>
      <w:proofErr w:type="gramEnd"/>
    </w:p>
    <w:tbl>
      <w:tblPr>
        <w:tblW w:w="8960" w:type="dxa"/>
        <w:tblLook w:val="04A0" w:firstRow="1" w:lastRow="0" w:firstColumn="1" w:lastColumn="0" w:noHBand="0" w:noVBand="1"/>
      </w:tblPr>
      <w:tblGrid>
        <w:gridCol w:w="2940"/>
        <w:gridCol w:w="760"/>
        <w:gridCol w:w="760"/>
        <w:gridCol w:w="4500"/>
      </w:tblGrid>
      <w:tr w:rsidR="00A201FF" w:rsidRPr="00A201FF" w14:paraId="14837ACF" w14:textId="77777777" w:rsidTr="00A201FF">
        <w:trPr>
          <w:trHeight w:val="375"/>
        </w:trPr>
        <w:tc>
          <w:tcPr>
            <w:tcW w:w="2940" w:type="dxa"/>
            <w:tcBorders>
              <w:top w:val="nil"/>
              <w:left w:val="nil"/>
              <w:bottom w:val="nil"/>
              <w:right w:val="nil"/>
            </w:tcBorders>
            <w:shd w:val="clear" w:color="000000" w:fill="006991"/>
            <w:noWrap/>
            <w:vAlign w:val="bottom"/>
            <w:hideMark/>
          </w:tcPr>
          <w:p w14:paraId="04199A3C"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color w:val="FFFFFF"/>
                <w:szCs w:val="20"/>
                <w:lang w:eastAsia="en-AU"/>
              </w:rPr>
            </w:pPr>
            <w:r w:rsidRPr="00A201FF">
              <w:rPr>
                <w:rFonts w:ascii="Open Sans Semibold" w:eastAsia="Times New Roman" w:hAnsi="Open Sans Semibold" w:cs="Open Sans Semibold"/>
                <w:color w:val="FFFFFF"/>
                <w:szCs w:val="20"/>
                <w:lang w:eastAsia="en-AU"/>
              </w:rPr>
              <w:t>Changes in circumstances</w:t>
            </w:r>
          </w:p>
        </w:tc>
        <w:tc>
          <w:tcPr>
            <w:tcW w:w="760" w:type="dxa"/>
            <w:tcBorders>
              <w:top w:val="nil"/>
              <w:left w:val="nil"/>
              <w:bottom w:val="nil"/>
              <w:right w:val="nil"/>
            </w:tcBorders>
            <w:shd w:val="clear" w:color="000000" w:fill="006991"/>
            <w:noWrap/>
            <w:vAlign w:val="bottom"/>
            <w:hideMark/>
          </w:tcPr>
          <w:p w14:paraId="653EB494"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color w:val="FFFFFF"/>
                <w:szCs w:val="20"/>
                <w:lang w:eastAsia="en-AU"/>
              </w:rPr>
            </w:pPr>
            <w:r w:rsidRPr="00A201FF">
              <w:rPr>
                <w:rFonts w:ascii="Open Sans Semibold" w:eastAsia="Times New Roman" w:hAnsi="Open Sans Semibold" w:cs="Open Sans Semibold"/>
                <w:color w:val="FFFFFF"/>
                <w:szCs w:val="20"/>
                <w:lang w:eastAsia="en-AU"/>
              </w:rPr>
              <w:t> </w:t>
            </w:r>
          </w:p>
        </w:tc>
        <w:tc>
          <w:tcPr>
            <w:tcW w:w="760" w:type="dxa"/>
            <w:tcBorders>
              <w:top w:val="nil"/>
              <w:left w:val="nil"/>
              <w:bottom w:val="nil"/>
              <w:right w:val="nil"/>
            </w:tcBorders>
            <w:shd w:val="clear" w:color="000000" w:fill="006991"/>
            <w:noWrap/>
            <w:vAlign w:val="bottom"/>
            <w:hideMark/>
          </w:tcPr>
          <w:p w14:paraId="31A2883A"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color w:val="FFFFFF"/>
                <w:szCs w:val="20"/>
                <w:lang w:eastAsia="en-AU"/>
              </w:rPr>
            </w:pPr>
            <w:r w:rsidRPr="00A201FF">
              <w:rPr>
                <w:rFonts w:ascii="Open Sans Semibold" w:eastAsia="Times New Roman" w:hAnsi="Open Sans Semibold" w:cs="Open Sans Semibold"/>
                <w:color w:val="FFFFFF"/>
                <w:szCs w:val="20"/>
                <w:lang w:eastAsia="en-AU"/>
              </w:rPr>
              <w:t> </w:t>
            </w:r>
          </w:p>
        </w:tc>
        <w:tc>
          <w:tcPr>
            <w:tcW w:w="4500" w:type="dxa"/>
            <w:tcBorders>
              <w:top w:val="nil"/>
              <w:left w:val="nil"/>
              <w:bottom w:val="nil"/>
              <w:right w:val="nil"/>
            </w:tcBorders>
            <w:shd w:val="clear" w:color="000000" w:fill="006991"/>
            <w:noWrap/>
            <w:vAlign w:val="bottom"/>
            <w:hideMark/>
          </w:tcPr>
          <w:p w14:paraId="4350F994"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color w:val="FFFFFF"/>
                <w:szCs w:val="20"/>
                <w:lang w:eastAsia="en-AU"/>
              </w:rPr>
            </w:pPr>
            <w:r w:rsidRPr="00A201FF">
              <w:rPr>
                <w:rFonts w:ascii="Open Sans Semibold" w:eastAsia="Times New Roman" w:hAnsi="Open Sans Semibold" w:cs="Open Sans Semibold"/>
                <w:color w:val="FFFFFF"/>
                <w:szCs w:val="20"/>
                <w:lang w:eastAsia="en-AU"/>
              </w:rPr>
              <w:t> </w:t>
            </w:r>
          </w:p>
        </w:tc>
      </w:tr>
      <w:tr w:rsidR="00A201FF" w:rsidRPr="00A201FF" w14:paraId="109B3563" w14:textId="77777777" w:rsidTr="00A201FF">
        <w:trPr>
          <w:trHeight w:val="315"/>
        </w:trPr>
        <w:tc>
          <w:tcPr>
            <w:tcW w:w="2940" w:type="dxa"/>
            <w:tcBorders>
              <w:top w:val="single" w:sz="4" w:space="0" w:color="ADD6EA"/>
              <w:left w:val="nil"/>
              <w:bottom w:val="single" w:sz="4" w:space="0" w:color="ADD6EA"/>
              <w:right w:val="nil"/>
            </w:tcBorders>
            <w:shd w:val="clear" w:color="000000" w:fill="B6D5E4"/>
            <w:noWrap/>
            <w:vAlign w:val="bottom"/>
            <w:hideMark/>
          </w:tcPr>
          <w:p w14:paraId="130B1B16"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000000" w:fill="B6D5E4"/>
            <w:noWrap/>
            <w:vAlign w:val="bottom"/>
            <w:hideMark/>
          </w:tcPr>
          <w:p w14:paraId="2C1AE433" w14:textId="77777777" w:rsidR="00A201FF" w:rsidRPr="00A201FF" w:rsidRDefault="00A201FF" w:rsidP="00A201FF">
            <w:pPr>
              <w:tabs>
                <w:tab w:val="clear" w:pos="567"/>
              </w:tabs>
              <w:spacing w:before="0" w:line="240" w:lineRule="auto"/>
              <w:jc w:val="center"/>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Change</w:t>
            </w:r>
          </w:p>
        </w:tc>
        <w:tc>
          <w:tcPr>
            <w:tcW w:w="4500" w:type="dxa"/>
            <w:tcBorders>
              <w:top w:val="single" w:sz="4" w:space="0" w:color="ADD6EA"/>
              <w:left w:val="nil"/>
              <w:bottom w:val="single" w:sz="4" w:space="0" w:color="ADD6EA"/>
              <w:right w:val="nil"/>
            </w:tcBorders>
            <w:shd w:val="clear" w:color="000000" w:fill="B6D5E4"/>
            <w:noWrap/>
            <w:vAlign w:val="bottom"/>
            <w:hideMark/>
          </w:tcPr>
          <w:p w14:paraId="1EB13DC3"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Explanation</w:t>
            </w:r>
          </w:p>
        </w:tc>
      </w:tr>
      <w:tr w:rsidR="00A201FF" w:rsidRPr="00A201FF" w14:paraId="399C08F3" w14:textId="77777777" w:rsidTr="00A201FF">
        <w:trPr>
          <w:trHeight w:val="259"/>
        </w:trPr>
        <w:tc>
          <w:tcPr>
            <w:tcW w:w="2940" w:type="dxa"/>
            <w:tcBorders>
              <w:top w:val="nil"/>
              <w:left w:val="nil"/>
              <w:bottom w:val="single" w:sz="4" w:space="0" w:color="ADD6EA"/>
              <w:right w:val="nil"/>
            </w:tcBorders>
            <w:shd w:val="clear" w:color="000000" w:fill="D6E7F0"/>
            <w:noWrap/>
            <w:vAlign w:val="bottom"/>
            <w:hideMark/>
          </w:tcPr>
          <w:p w14:paraId="2D5BDEBF"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000000" w:fill="D6E7F0"/>
            <w:noWrap/>
            <w:vAlign w:val="bottom"/>
            <w:hideMark/>
          </w:tcPr>
          <w:p w14:paraId="387D1FAD" w14:textId="77777777" w:rsidR="00A201FF" w:rsidRPr="00A201FF" w:rsidRDefault="00A201FF" w:rsidP="00A201FF">
            <w:pPr>
              <w:tabs>
                <w:tab w:val="clear" w:pos="567"/>
              </w:tabs>
              <w:spacing w:before="0" w:line="240" w:lineRule="auto"/>
              <w:jc w:val="center"/>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000000" w:fill="D6E7F0"/>
            <w:noWrap/>
            <w:vAlign w:val="bottom"/>
            <w:hideMark/>
          </w:tcPr>
          <w:p w14:paraId="333504F8" w14:textId="77777777" w:rsidR="00A201FF" w:rsidRPr="00A201FF" w:rsidRDefault="00A201FF" w:rsidP="00A201FF">
            <w:pPr>
              <w:tabs>
                <w:tab w:val="clear" w:pos="567"/>
              </w:tabs>
              <w:spacing w:before="0" w:line="240" w:lineRule="auto"/>
              <w:jc w:val="center"/>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000000" w:fill="D6E7F0"/>
            <w:noWrap/>
            <w:vAlign w:val="bottom"/>
            <w:hideMark/>
          </w:tcPr>
          <w:p w14:paraId="140C5EC3"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 </w:t>
            </w:r>
          </w:p>
        </w:tc>
      </w:tr>
      <w:tr w:rsidR="00A201FF" w:rsidRPr="00A201FF" w14:paraId="7A6BBAAF" w14:textId="77777777" w:rsidTr="00CE2BF0">
        <w:trPr>
          <w:trHeight w:val="900"/>
        </w:trPr>
        <w:tc>
          <w:tcPr>
            <w:tcW w:w="2940" w:type="dxa"/>
            <w:tcBorders>
              <w:top w:val="nil"/>
              <w:left w:val="nil"/>
              <w:bottom w:val="single" w:sz="4" w:space="0" w:color="ADD6EA"/>
              <w:right w:val="nil"/>
            </w:tcBorders>
            <w:shd w:val="clear" w:color="auto" w:fill="auto"/>
            <w:hideMark/>
          </w:tcPr>
          <w:p w14:paraId="32102F44" w14:textId="77777777"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Mining production</w:t>
            </w:r>
          </w:p>
        </w:tc>
        <w:tc>
          <w:tcPr>
            <w:tcW w:w="760" w:type="dxa"/>
            <w:tcBorders>
              <w:top w:val="nil"/>
              <w:left w:val="nil"/>
              <w:bottom w:val="single" w:sz="4" w:space="0" w:color="ADD6EA"/>
              <w:right w:val="nil"/>
            </w:tcBorders>
            <w:shd w:val="clear" w:color="auto" w:fill="ADD6EA"/>
            <w:noWrap/>
            <w:hideMark/>
          </w:tcPr>
          <w:p w14:paraId="31F20724"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1,307</w:t>
            </w:r>
          </w:p>
        </w:tc>
        <w:tc>
          <w:tcPr>
            <w:tcW w:w="760" w:type="dxa"/>
            <w:tcBorders>
              <w:top w:val="nil"/>
              <w:left w:val="nil"/>
              <w:bottom w:val="single" w:sz="4" w:space="0" w:color="ADD6EA"/>
              <w:right w:val="nil"/>
            </w:tcBorders>
            <w:shd w:val="clear" w:color="auto" w:fill="ADD6EA"/>
            <w:noWrap/>
            <w:hideMark/>
          </w:tcPr>
          <w:p w14:paraId="2D08B5D6"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186</w:t>
            </w:r>
          </w:p>
        </w:tc>
        <w:tc>
          <w:tcPr>
            <w:tcW w:w="4500" w:type="dxa"/>
            <w:tcBorders>
              <w:top w:val="nil"/>
              <w:left w:val="nil"/>
              <w:bottom w:val="single" w:sz="4" w:space="0" w:color="ADD6EA"/>
              <w:right w:val="nil"/>
            </w:tcBorders>
            <w:shd w:val="clear" w:color="auto" w:fill="auto"/>
            <w:hideMark/>
          </w:tcPr>
          <w:p w14:paraId="4234B0B4" w14:textId="17C85F9B"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A large increase in coal prices and average royalty rates between 2019</w:t>
            </w:r>
            <w:r w:rsidR="0095329A">
              <w:rPr>
                <w:rFonts w:ascii="Open Sans Light" w:eastAsia="Times New Roman" w:hAnsi="Open Sans Light" w:cs="Open Sans Light"/>
                <w:szCs w:val="20"/>
                <w:lang w:eastAsia="en-AU"/>
              </w:rPr>
              <w:t>–</w:t>
            </w:r>
            <w:r w:rsidRPr="00A201FF">
              <w:rPr>
                <w:rFonts w:ascii="Open Sans Light" w:eastAsia="Times New Roman" w:hAnsi="Open Sans Light" w:cs="Open Sans Light"/>
                <w:szCs w:val="20"/>
                <w:lang w:eastAsia="en-AU"/>
              </w:rPr>
              <w:t>20 and 2022</w:t>
            </w:r>
            <w:r w:rsidR="0095329A">
              <w:rPr>
                <w:rFonts w:ascii="Open Sans Light" w:eastAsia="Times New Roman" w:hAnsi="Open Sans Light" w:cs="Open Sans Light"/>
                <w:szCs w:val="20"/>
                <w:lang w:eastAsia="en-AU"/>
              </w:rPr>
              <w:t>–</w:t>
            </w:r>
            <w:r w:rsidRPr="00A201FF">
              <w:rPr>
                <w:rFonts w:ascii="Open Sans Light" w:eastAsia="Times New Roman" w:hAnsi="Open Sans Light" w:cs="Open Sans Light"/>
                <w:szCs w:val="20"/>
                <w:lang w:eastAsia="en-AU"/>
              </w:rPr>
              <w:t>23 increased coal royalties and the revenue</w:t>
            </w:r>
            <w:r w:rsidR="00F229E9">
              <w:rPr>
                <w:rFonts w:ascii="Open Sans Light" w:eastAsia="Times New Roman" w:hAnsi="Open Sans Light" w:cs="Open Sans Light"/>
                <w:szCs w:val="20"/>
                <w:lang w:eastAsia="en-AU"/>
              </w:rPr>
              <w:t xml:space="preserve"> </w:t>
            </w:r>
            <w:r w:rsidRPr="00A201FF">
              <w:rPr>
                <w:rFonts w:ascii="Open Sans Light" w:eastAsia="Times New Roman" w:hAnsi="Open Sans Light" w:cs="Open Sans Light"/>
                <w:szCs w:val="20"/>
                <w:lang w:eastAsia="en-AU"/>
              </w:rPr>
              <w:t xml:space="preserve">raising capacity of the main coal producing states, </w:t>
            </w:r>
            <w:proofErr w:type="gramStart"/>
            <w:r w:rsidRPr="00A201FF">
              <w:rPr>
                <w:rFonts w:ascii="Open Sans Light" w:eastAsia="Times New Roman" w:hAnsi="Open Sans Light" w:cs="Open Sans Light"/>
                <w:szCs w:val="20"/>
                <w:lang w:eastAsia="en-AU"/>
              </w:rPr>
              <w:t>Queensland</w:t>
            </w:r>
            <w:proofErr w:type="gramEnd"/>
            <w:r w:rsidRPr="00A201FF">
              <w:rPr>
                <w:rFonts w:ascii="Open Sans Light" w:eastAsia="Times New Roman" w:hAnsi="Open Sans Light" w:cs="Open Sans Light"/>
                <w:szCs w:val="20"/>
                <w:lang w:eastAsia="en-AU"/>
              </w:rPr>
              <w:t xml:space="preserve"> and New South Wales. This reduced Victoria’s relative mining revenue capacity.</w:t>
            </w:r>
          </w:p>
        </w:tc>
      </w:tr>
      <w:tr w:rsidR="00A201FF" w:rsidRPr="00A201FF" w14:paraId="460F3B4B" w14:textId="77777777" w:rsidTr="00CE2BF0">
        <w:trPr>
          <w:trHeight w:val="2259"/>
        </w:trPr>
        <w:tc>
          <w:tcPr>
            <w:tcW w:w="2940" w:type="dxa"/>
            <w:tcBorders>
              <w:top w:val="nil"/>
              <w:left w:val="nil"/>
              <w:bottom w:val="single" w:sz="4" w:space="0" w:color="ADD6EA"/>
              <w:right w:val="nil"/>
            </w:tcBorders>
            <w:shd w:val="clear" w:color="auto" w:fill="auto"/>
            <w:hideMark/>
          </w:tcPr>
          <w:p w14:paraId="11E5CEDA" w14:textId="77777777"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Capital improvements</w:t>
            </w:r>
          </w:p>
        </w:tc>
        <w:tc>
          <w:tcPr>
            <w:tcW w:w="760" w:type="dxa"/>
            <w:tcBorders>
              <w:top w:val="nil"/>
              <w:left w:val="nil"/>
              <w:bottom w:val="single" w:sz="4" w:space="0" w:color="ADD6EA"/>
              <w:right w:val="nil"/>
            </w:tcBorders>
            <w:shd w:val="clear" w:color="auto" w:fill="ADD6EA"/>
            <w:noWrap/>
            <w:hideMark/>
          </w:tcPr>
          <w:p w14:paraId="383D3DAA"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256</w:t>
            </w:r>
          </w:p>
        </w:tc>
        <w:tc>
          <w:tcPr>
            <w:tcW w:w="760" w:type="dxa"/>
            <w:tcBorders>
              <w:top w:val="nil"/>
              <w:left w:val="nil"/>
              <w:bottom w:val="single" w:sz="4" w:space="0" w:color="ADD6EA"/>
              <w:right w:val="nil"/>
            </w:tcBorders>
            <w:shd w:val="clear" w:color="auto" w:fill="ADD6EA"/>
            <w:noWrap/>
            <w:hideMark/>
          </w:tcPr>
          <w:p w14:paraId="20736CA4"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36</w:t>
            </w:r>
          </w:p>
        </w:tc>
        <w:tc>
          <w:tcPr>
            <w:tcW w:w="4500" w:type="dxa"/>
            <w:tcBorders>
              <w:top w:val="nil"/>
              <w:left w:val="nil"/>
              <w:bottom w:val="single" w:sz="4" w:space="0" w:color="ADD6EA"/>
              <w:right w:val="nil"/>
            </w:tcBorders>
            <w:shd w:val="clear" w:color="auto" w:fill="auto"/>
            <w:hideMark/>
          </w:tcPr>
          <w:p w14:paraId="071B86CE" w14:textId="69ED958C"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Strong growth in national urban transport investment between 2019</w:t>
            </w:r>
            <w:r w:rsidR="0095329A">
              <w:rPr>
                <w:rFonts w:ascii="Open Sans Light" w:eastAsia="Times New Roman" w:hAnsi="Open Sans Light" w:cs="Open Sans Light"/>
                <w:szCs w:val="20"/>
                <w:lang w:eastAsia="en-AU"/>
              </w:rPr>
              <w:t>–</w:t>
            </w:r>
            <w:r w:rsidRPr="00A201FF">
              <w:rPr>
                <w:rFonts w:ascii="Open Sans Light" w:eastAsia="Times New Roman" w:hAnsi="Open Sans Light" w:cs="Open Sans Light"/>
                <w:szCs w:val="20"/>
                <w:lang w:eastAsia="en-AU"/>
              </w:rPr>
              <w:t>20 and 2022</w:t>
            </w:r>
            <w:r w:rsidR="0095329A">
              <w:rPr>
                <w:rFonts w:ascii="Open Sans Light" w:eastAsia="Times New Roman" w:hAnsi="Open Sans Light" w:cs="Open Sans Light"/>
                <w:szCs w:val="20"/>
                <w:lang w:eastAsia="en-AU"/>
              </w:rPr>
              <w:t>–</w:t>
            </w:r>
            <w:r w:rsidRPr="00A201FF">
              <w:rPr>
                <w:rFonts w:ascii="Open Sans Light" w:eastAsia="Times New Roman" w:hAnsi="Open Sans Light" w:cs="Open Sans Light"/>
                <w:szCs w:val="20"/>
                <w:lang w:eastAsia="en-AU"/>
              </w:rPr>
              <w:t xml:space="preserve">23 increased the urban transport investment needs of states with large, densely populated cities, including Victoria. Weak growth in national investment in rural roads, for which Victoria has below-average needs, also increased its assessed GST needs. </w:t>
            </w:r>
          </w:p>
        </w:tc>
      </w:tr>
      <w:tr w:rsidR="00A201FF" w:rsidRPr="00A201FF" w14:paraId="0051BC57" w14:textId="77777777" w:rsidTr="00CE2BF0">
        <w:trPr>
          <w:trHeight w:val="900"/>
        </w:trPr>
        <w:tc>
          <w:tcPr>
            <w:tcW w:w="2940" w:type="dxa"/>
            <w:tcBorders>
              <w:top w:val="nil"/>
              <w:left w:val="nil"/>
              <w:bottom w:val="single" w:sz="4" w:space="0" w:color="ADD6EA"/>
              <w:right w:val="nil"/>
            </w:tcBorders>
            <w:shd w:val="clear" w:color="auto" w:fill="auto"/>
            <w:hideMark/>
          </w:tcPr>
          <w:p w14:paraId="51627766" w14:textId="77777777"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Property sales</w:t>
            </w:r>
          </w:p>
        </w:tc>
        <w:tc>
          <w:tcPr>
            <w:tcW w:w="760" w:type="dxa"/>
            <w:tcBorders>
              <w:top w:val="nil"/>
              <w:left w:val="nil"/>
              <w:bottom w:val="single" w:sz="4" w:space="0" w:color="ADD6EA"/>
              <w:right w:val="nil"/>
            </w:tcBorders>
            <w:shd w:val="clear" w:color="auto" w:fill="ADD6EA"/>
            <w:noWrap/>
            <w:hideMark/>
          </w:tcPr>
          <w:p w14:paraId="498B6503"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227</w:t>
            </w:r>
          </w:p>
        </w:tc>
        <w:tc>
          <w:tcPr>
            <w:tcW w:w="760" w:type="dxa"/>
            <w:tcBorders>
              <w:top w:val="nil"/>
              <w:left w:val="nil"/>
              <w:bottom w:val="single" w:sz="4" w:space="0" w:color="ADD6EA"/>
              <w:right w:val="nil"/>
            </w:tcBorders>
            <w:shd w:val="clear" w:color="auto" w:fill="ADD6EA"/>
            <w:noWrap/>
            <w:hideMark/>
          </w:tcPr>
          <w:p w14:paraId="03AEFF95"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32</w:t>
            </w:r>
          </w:p>
        </w:tc>
        <w:tc>
          <w:tcPr>
            <w:tcW w:w="4500" w:type="dxa"/>
            <w:tcBorders>
              <w:top w:val="nil"/>
              <w:left w:val="nil"/>
              <w:bottom w:val="single" w:sz="4" w:space="0" w:color="ADD6EA"/>
              <w:right w:val="nil"/>
            </w:tcBorders>
            <w:shd w:val="clear" w:color="auto" w:fill="auto"/>
            <w:hideMark/>
          </w:tcPr>
          <w:p w14:paraId="6B8FA249" w14:textId="09F62496"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Below-average growth in property sales decreased Victoria’s relative revenue</w:t>
            </w:r>
            <w:r w:rsidR="00F229E9">
              <w:rPr>
                <w:rFonts w:ascii="Open Sans Light" w:eastAsia="Times New Roman" w:hAnsi="Open Sans Light" w:cs="Open Sans Light"/>
                <w:szCs w:val="20"/>
                <w:lang w:eastAsia="en-AU"/>
              </w:rPr>
              <w:t xml:space="preserve"> </w:t>
            </w:r>
            <w:r w:rsidRPr="00A201FF">
              <w:rPr>
                <w:rFonts w:ascii="Open Sans Light" w:eastAsia="Times New Roman" w:hAnsi="Open Sans Light" w:cs="Open Sans Light"/>
                <w:szCs w:val="20"/>
                <w:lang w:eastAsia="en-AU"/>
              </w:rPr>
              <w:t>raising capacity.</w:t>
            </w:r>
          </w:p>
        </w:tc>
      </w:tr>
      <w:tr w:rsidR="00A201FF" w:rsidRPr="00A201FF" w14:paraId="6B70929D" w14:textId="77777777" w:rsidTr="00CE2BF0">
        <w:trPr>
          <w:trHeight w:val="900"/>
        </w:trPr>
        <w:tc>
          <w:tcPr>
            <w:tcW w:w="2940" w:type="dxa"/>
            <w:tcBorders>
              <w:top w:val="nil"/>
              <w:left w:val="nil"/>
              <w:bottom w:val="single" w:sz="4" w:space="0" w:color="ADD6EA"/>
              <w:right w:val="nil"/>
            </w:tcBorders>
            <w:shd w:val="clear" w:color="auto" w:fill="auto"/>
            <w:hideMark/>
          </w:tcPr>
          <w:p w14:paraId="5AB305C8" w14:textId="77777777"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Taxable land values</w:t>
            </w:r>
          </w:p>
        </w:tc>
        <w:tc>
          <w:tcPr>
            <w:tcW w:w="760" w:type="dxa"/>
            <w:tcBorders>
              <w:top w:val="nil"/>
              <w:left w:val="nil"/>
              <w:bottom w:val="single" w:sz="4" w:space="0" w:color="ADD6EA"/>
              <w:right w:val="nil"/>
            </w:tcBorders>
            <w:shd w:val="clear" w:color="auto" w:fill="ADD6EA"/>
            <w:noWrap/>
            <w:hideMark/>
          </w:tcPr>
          <w:p w14:paraId="20F1C1FF"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139</w:t>
            </w:r>
          </w:p>
        </w:tc>
        <w:tc>
          <w:tcPr>
            <w:tcW w:w="760" w:type="dxa"/>
            <w:tcBorders>
              <w:top w:val="nil"/>
              <w:left w:val="nil"/>
              <w:bottom w:val="single" w:sz="4" w:space="0" w:color="ADD6EA"/>
              <w:right w:val="nil"/>
            </w:tcBorders>
            <w:shd w:val="clear" w:color="auto" w:fill="ADD6EA"/>
            <w:noWrap/>
            <w:hideMark/>
          </w:tcPr>
          <w:p w14:paraId="75AC0A8E"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20</w:t>
            </w:r>
          </w:p>
        </w:tc>
        <w:tc>
          <w:tcPr>
            <w:tcW w:w="4500" w:type="dxa"/>
            <w:tcBorders>
              <w:top w:val="nil"/>
              <w:left w:val="nil"/>
              <w:bottom w:val="single" w:sz="4" w:space="0" w:color="ADD6EA"/>
              <w:right w:val="nil"/>
            </w:tcBorders>
            <w:shd w:val="clear" w:color="auto" w:fill="auto"/>
            <w:hideMark/>
          </w:tcPr>
          <w:p w14:paraId="641DEF42" w14:textId="1A2FAF9A"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Below-average growth in taxable land values decreased Victoria’s relative revenue</w:t>
            </w:r>
            <w:r w:rsidR="00F229E9">
              <w:rPr>
                <w:rFonts w:ascii="Open Sans Light" w:eastAsia="Times New Roman" w:hAnsi="Open Sans Light" w:cs="Open Sans Light"/>
                <w:szCs w:val="20"/>
                <w:lang w:eastAsia="en-AU"/>
              </w:rPr>
              <w:t xml:space="preserve"> </w:t>
            </w:r>
            <w:r w:rsidRPr="00A201FF">
              <w:rPr>
                <w:rFonts w:ascii="Open Sans Light" w:eastAsia="Times New Roman" w:hAnsi="Open Sans Light" w:cs="Open Sans Light"/>
                <w:szCs w:val="20"/>
                <w:lang w:eastAsia="en-AU"/>
              </w:rPr>
              <w:t>raising capacity.</w:t>
            </w:r>
          </w:p>
        </w:tc>
      </w:tr>
      <w:tr w:rsidR="00A201FF" w:rsidRPr="00A201FF" w14:paraId="2BF51AEC" w14:textId="77777777" w:rsidTr="00A201FF">
        <w:trPr>
          <w:trHeight w:val="375"/>
        </w:trPr>
        <w:tc>
          <w:tcPr>
            <w:tcW w:w="2940" w:type="dxa"/>
            <w:tcBorders>
              <w:top w:val="nil"/>
              <w:left w:val="nil"/>
              <w:bottom w:val="single" w:sz="4" w:space="0" w:color="ADD6EA"/>
              <w:right w:val="nil"/>
            </w:tcBorders>
            <w:shd w:val="clear" w:color="000000" w:fill="006991"/>
            <w:noWrap/>
            <w:vAlign w:val="bottom"/>
            <w:hideMark/>
          </w:tcPr>
          <w:p w14:paraId="6DE7324A"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color w:val="FFFFFF"/>
                <w:szCs w:val="20"/>
                <w:lang w:eastAsia="en-AU"/>
              </w:rPr>
            </w:pPr>
            <w:r w:rsidRPr="00A201FF">
              <w:rPr>
                <w:rFonts w:ascii="Open Sans Semibold" w:eastAsia="Times New Roman" w:hAnsi="Open Sans Semibold" w:cs="Open Sans Semibold"/>
                <w:color w:val="FFFFFF"/>
                <w:szCs w:val="20"/>
                <w:lang w:eastAsia="en-AU"/>
              </w:rPr>
              <w:t>Revisions</w:t>
            </w:r>
          </w:p>
        </w:tc>
        <w:tc>
          <w:tcPr>
            <w:tcW w:w="760" w:type="dxa"/>
            <w:tcBorders>
              <w:top w:val="nil"/>
              <w:left w:val="nil"/>
              <w:bottom w:val="single" w:sz="4" w:space="0" w:color="ADD6EA"/>
              <w:right w:val="nil"/>
            </w:tcBorders>
            <w:shd w:val="clear" w:color="000000" w:fill="006991"/>
            <w:noWrap/>
            <w:vAlign w:val="bottom"/>
            <w:hideMark/>
          </w:tcPr>
          <w:p w14:paraId="59814115"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color w:val="FFFFFF"/>
                <w:szCs w:val="20"/>
                <w:lang w:eastAsia="en-AU"/>
              </w:rPr>
            </w:pPr>
            <w:r w:rsidRPr="00A201FF">
              <w:rPr>
                <w:rFonts w:ascii="Open Sans Semibold" w:eastAsia="Times New Roman" w:hAnsi="Open Sans Semibold" w:cs="Open Sans Semibold"/>
                <w:color w:val="FFFFFF"/>
                <w:szCs w:val="20"/>
                <w:lang w:eastAsia="en-AU"/>
              </w:rPr>
              <w:t> </w:t>
            </w:r>
          </w:p>
        </w:tc>
        <w:tc>
          <w:tcPr>
            <w:tcW w:w="760" w:type="dxa"/>
            <w:tcBorders>
              <w:top w:val="nil"/>
              <w:left w:val="nil"/>
              <w:bottom w:val="single" w:sz="4" w:space="0" w:color="ADD6EA"/>
              <w:right w:val="nil"/>
            </w:tcBorders>
            <w:shd w:val="clear" w:color="000000" w:fill="006991"/>
            <w:noWrap/>
            <w:vAlign w:val="bottom"/>
            <w:hideMark/>
          </w:tcPr>
          <w:p w14:paraId="4EAABABD"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color w:val="FFFFFF"/>
                <w:szCs w:val="20"/>
                <w:lang w:eastAsia="en-AU"/>
              </w:rPr>
            </w:pPr>
            <w:r w:rsidRPr="00A201FF">
              <w:rPr>
                <w:rFonts w:ascii="Open Sans Semibold" w:eastAsia="Times New Roman" w:hAnsi="Open Sans Semibold" w:cs="Open Sans Semibold"/>
                <w:color w:val="FFFFFF"/>
                <w:szCs w:val="20"/>
                <w:lang w:eastAsia="en-AU"/>
              </w:rPr>
              <w:t> </w:t>
            </w:r>
          </w:p>
        </w:tc>
        <w:tc>
          <w:tcPr>
            <w:tcW w:w="4500" w:type="dxa"/>
            <w:tcBorders>
              <w:top w:val="nil"/>
              <w:left w:val="nil"/>
              <w:bottom w:val="single" w:sz="4" w:space="0" w:color="ADD6EA"/>
              <w:right w:val="nil"/>
            </w:tcBorders>
            <w:shd w:val="clear" w:color="000000" w:fill="006991"/>
            <w:noWrap/>
            <w:vAlign w:val="bottom"/>
            <w:hideMark/>
          </w:tcPr>
          <w:p w14:paraId="06CAC506"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color w:val="FFFFFF"/>
                <w:szCs w:val="20"/>
                <w:lang w:eastAsia="en-AU"/>
              </w:rPr>
            </w:pPr>
            <w:r w:rsidRPr="00A201FF">
              <w:rPr>
                <w:rFonts w:ascii="Open Sans Semibold" w:eastAsia="Times New Roman" w:hAnsi="Open Sans Semibold" w:cs="Open Sans Semibold"/>
                <w:color w:val="FFFFFF"/>
                <w:szCs w:val="20"/>
                <w:lang w:eastAsia="en-AU"/>
              </w:rPr>
              <w:t> </w:t>
            </w:r>
          </w:p>
        </w:tc>
      </w:tr>
      <w:tr w:rsidR="00A201FF" w:rsidRPr="00A201FF" w14:paraId="20B7EE50" w14:textId="77777777" w:rsidTr="00A201FF">
        <w:trPr>
          <w:trHeight w:val="315"/>
        </w:trPr>
        <w:tc>
          <w:tcPr>
            <w:tcW w:w="2940" w:type="dxa"/>
            <w:tcBorders>
              <w:top w:val="nil"/>
              <w:left w:val="nil"/>
              <w:bottom w:val="single" w:sz="4" w:space="0" w:color="ADD6EA"/>
              <w:right w:val="nil"/>
            </w:tcBorders>
            <w:shd w:val="clear" w:color="000000" w:fill="B6D5E4"/>
            <w:noWrap/>
            <w:vAlign w:val="bottom"/>
            <w:hideMark/>
          </w:tcPr>
          <w:p w14:paraId="75169BDC"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000000" w:fill="B6D5E4"/>
            <w:noWrap/>
            <w:vAlign w:val="bottom"/>
            <w:hideMark/>
          </w:tcPr>
          <w:p w14:paraId="7F6635BD" w14:textId="77777777" w:rsidR="00A201FF" w:rsidRPr="00A201FF" w:rsidRDefault="00A201FF" w:rsidP="00A201FF">
            <w:pPr>
              <w:tabs>
                <w:tab w:val="clear" w:pos="567"/>
              </w:tabs>
              <w:spacing w:before="0" w:line="240" w:lineRule="auto"/>
              <w:jc w:val="center"/>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Change</w:t>
            </w:r>
          </w:p>
        </w:tc>
        <w:tc>
          <w:tcPr>
            <w:tcW w:w="4500" w:type="dxa"/>
            <w:tcBorders>
              <w:top w:val="nil"/>
              <w:left w:val="nil"/>
              <w:bottom w:val="single" w:sz="4" w:space="0" w:color="ADD6EA"/>
              <w:right w:val="nil"/>
            </w:tcBorders>
            <w:shd w:val="clear" w:color="000000" w:fill="B6D5E4"/>
            <w:noWrap/>
            <w:vAlign w:val="bottom"/>
            <w:hideMark/>
          </w:tcPr>
          <w:p w14:paraId="0F288661"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Explanation</w:t>
            </w:r>
          </w:p>
        </w:tc>
      </w:tr>
      <w:tr w:rsidR="00A201FF" w:rsidRPr="00A201FF" w14:paraId="4A8D2FEE" w14:textId="77777777" w:rsidTr="00A201FF">
        <w:trPr>
          <w:trHeight w:val="259"/>
        </w:trPr>
        <w:tc>
          <w:tcPr>
            <w:tcW w:w="2940" w:type="dxa"/>
            <w:tcBorders>
              <w:top w:val="nil"/>
              <w:left w:val="nil"/>
              <w:bottom w:val="single" w:sz="4" w:space="0" w:color="ADD6EA"/>
              <w:right w:val="nil"/>
            </w:tcBorders>
            <w:shd w:val="clear" w:color="000000" w:fill="D6E7F0"/>
            <w:noWrap/>
            <w:vAlign w:val="bottom"/>
            <w:hideMark/>
          </w:tcPr>
          <w:p w14:paraId="4B3E39F2"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000000" w:fill="D6E7F0"/>
            <w:noWrap/>
            <w:vAlign w:val="bottom"/>
            <w:hideMark/>
          </w:tcPr>
          <w:p w14:paraId="2D41CC50" w14:textId="77777777" w:rsidR="00A201FF" w:rsidRPr="00A201FF" w:rsidRDefault="00A201FF" w:rsidP="00A201FF">
            <w:pPr>
              <w:tabs>
                <w:tab w:val="clear" w:pos="567"/>
              </w:tabs>
              <w:spacing w:before="0" w:line="240" w:lineRule="auto"/>
              <w:jc w:val="center"/>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000000" w:fill="D6E7F0"/>
            <w:noWrap/>
            <w:vAlign w:val="bottom"/>
            <w:hideMark/>
          </w:tcPr>
          <w:p w14:paraId="5047D2E8" w14:textId="77777777" w:rsidR="00A201FF" w:rsidRPr="00A201FF" w:rsidRDefault="00A201FF" w:rsidP="00A201FF">
            <w:pPr>
              <w:tabs>
                <w:tab w:val="clear" w:pos="567"/>
              </w:tabs>
              <w:spacing w:before="0" w:line="240" w:lineRule="auto"/>
              <w:jc w:val="center"/>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000000" w:fill="D6E7F0"/>
            <w:noWrap/>
            <w:vAlign w:val="bottom"/>
            <w:hideMark/>
          </w:tcPr>
          <w:p w14:paraId="6E72F0CF" w14:textId="77777777" w:rsidR="00A201FF" w:rsidRPr="00A201FF" w:rsidRDefault="00A201FF" w:rsidP="00A201FF">
            <w:pPr>
              <w:tabs>
                <w:tab w:val="clear" w:pos="567"/>
              </w:tabs>
              <w:spacing w:before="0" w:line="240" w:lineRule="auto"/>
              <w:rPr>
                <w:rFonts w:ascii="Open Sans Semibold" w:eastAsia="Times New Roman" w:hAnsi="Open Sans Semibold" w:cs="Open Sans Semibold"/>
                <w:szCs w:val="20"/>
                <w:lang w:eastAsia="en-AU"/>
              </w:rPr>
            </w:pPr>
            <w:r w:rsidRPr="00A201FF">
              <w:rPr>
                <w:rFonts w:ascii="Open Sans Semibold" w:eastAsia="Times New Roman" w:hAnsi="Open Sans Semibold" w:cs="Open Sans Semibold"/>
                <w:szCs w:val="20"/>
                <w:lang w:eastAsia="en-AU"/>
              </w:rPr>
              <w:t> </w:t>
            </w:r>
          </w:p>
        </w:tc>
      </w:tr>
      <w:tr w:rsidR="00A201FF" w:rsidRPr="00A201FF" w14:paraId="7068A3ED" w14:textId="77777777" w:rsidTr="00CE2BF0">
        <w:trPr>
          <w:trHeight w:val="1500"/>
        </w:trPr>
        <w:tc>
          <w:tcPr>
            <w:tcW w:w="2940" w:type="dxa"/>
            <w:tcBorders>
              <w:top w:val="nil"/>
              <w:left w:val="nil"/>
              <w:bottom w:val="single" w:sz="4" w:space="0" w:color="ADD6EA"/>
              <w:right w:val="nil"/>
            </w:tcBorders>
            <w:shd w:val="clear" w:color="auto" w:fill="auto"/>
            <w:hideMark/>
          </w:tcPr>
          <w:p w14:paraId="2574ABAF" w14:textId="1A20B012"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 xml:space="preserve">Census </w:t>
            </w:r>
            <w:r w:rsidR="001148C8">
              <w:rPr>
                <w:rFonts w:ascii="Open Sans Light" w:eastAsia="Times New Roman" w:hAnsi="Open Sans Light" w:cs="Open Sans Light"/>
                <w:szCs w:val="20"/>
                <w:lang w:eastAsia="en-AU"/>
              </w:rPr>
              <w:t>–</w:t>
            </w:r>
            <w:r w:rsidRPr="00A201FF">
              <w:rPr>
                <w:rFonts w:ascii="Open Sans Light" w:eastAsia="Times New Roman" w:hAnsi="Open Sans Light" w:cs="Open Sans Light"/>
                <w:szCs w:val="20"/>
                <w:lang w:eastAsia="en-AU"/>
              </w:rPr>
              <w:t xml:space="preserve"> </w:t>
            </w:r>
            <w:r w:rsidR="00353C18">
              <w:rPr>
                <w:rFonts w:ascii="Open Sans Light" w:eastAsia="Times New Roman" w:hAnsi="Open Sans Light" w:cs="Open Sans Light"/>
                <w:szCs w:val="20"/>
                <w:lang w:eastAsia="en-AU"/>
              </w:rPr>
              <w:t>u</w:t>
            </w:r>
            <w:r w:rsidRPr="00A201FF">
              <w:rPr>
                <w:rFonts w:ascii="Open Sans Light" w:eastAsia="Times New Roman" w:hAnsi="Open Sans Light" w:cs="Open Sans Light"/>
                <w:szCs w:val="20"/>
                <w:lang w:eastAsia="en-AU"/>
              </w:rPr>
              <w:t xml:space="preserve">rban </w:t>
            </w:r>
            <w:r w:rsidR="009B3E9B">
              <w:rPr>
                <w:rFonts w:ascii="Open Sans Light" w:eastAsia="Times New Roman" w:hAnsi="Open Sans Light" w:cs="Open Sans Light"/>
                <w:szCs w:val="20"/>
                <w:lang w:eastAsia="en-AU"/>
              </w:rPr>
              <w:t>centre c</w:t>
            </w:r>
            <w:r w:rsidRPr="00A201FF">
              <w:rPr>
                <w:rFonts w:ascii="Open Sans Light" w:eastAsia="Times New Roman" w:hAnsi="Open Sans Light" w:cs="Open Sans Light"/>
                <w:szCs w:val="20"/>
                <w:lang w:eastAsia="en-AU"/>
              </w:rPr>
              <w:t>haracteristics</w:t>
            </w:r>
          </w:p>
        </w:tc>
        <w:tc>
          <w:tcPr>
            <w:tcW w:w="760" w:type="dxa"/>
            <w:tcBorders>
              <w:top w:val="nil"/>
              <w:left w:val="nil"/>
              <w:bottom w:val="single" w:sz="4" w:space="0" w:color="ADD6EA"/>
              <w:right w:val="nil"/>
            </w:tcBorders>
            <w:shd w:val="clear" w:color="auto" w:fill="ADD6EA"/>
            <w:noWrap/>
            <w:hideMark/>
          </w:tcPr>
          <w:p w14:paraId="07EB1379"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702</w:t>
            </w:r>
          </w:p>
        </w:tc>
        <w:tc>
          <w:tcPr>
            <w:tcW w:w="760" w:type="dxa"/>
            <w:tcBorders>
              <w:top w:val="nil"/>
              <w:left w:val="nil"/>
              <w:bottom w:val="single" w:sz="4" w:space="0" w:color="ADD6EA"/>
              <w:right w:val="nil"/>
            </w:tcBorders>
            <w:shd w:val="clear" w:color="auto" w:fill="ADD6EA"/>
            <w:noWrap/>
            <w:hideMark/>
          </w:tcPr>
          <w:p w14:paraId="6056B397"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100</w:t>
            </w:r>
          </w:p>
        </w:tc>
        <w:tc>
          <w:tcPr>
            <w:tcW w:w="4500" w:type="dxa"/>
            <w:tcBorders>
              <w:top w:val="nil"/>
              <w:left w:val="nil"/>
              <w:bottom w:val="single" w:sz="4" w:space="0" w:color="ADD6EA"/>
              <w:right w:val="nil"/>
            </w:tcBorders>
            <w:shd w:val="clear" w:color="auto" w:fill="auto"/>
            <w:hideMark/>
          </w:tcPr>
          <w:p w14:paraId="79348F41" w14:textId="151E0E1E"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Incorporating 2021 Census data led to large upward revisions to Victoria’s population-weighted density</w:t>
            </w:r>
            <w:r w:rsidR="00212B48">
              <w:rPr>
                <w:rFonts w:ascii="Open Sans Light" w:eastAsia="Times New Roman" w:hAnsi="Open Sans Light" w:cs="Open Sans Light"/>
                <w:szCs w:val="20"/>
                <w:lang w:eastAsia="en-AU"/>
              </w:rPr>
              <w:t>.</w:t>
            </w:r>
            <w:r w:rsidRPr="00A201FF">
              <w:rPr>
                <w:rFonts w:ascii="Open Sans Light" w:eastAsia="Times New Roman" w:hAnsi="Open Sans Light" w:cs="Open Sans Light"/>
                <w:szCs w:val="20"/>
                <w:lang w:eastAsia="en-AU"/>
              </w:rPr>
              <w:t xml:space="preserve"> </w:t>
            </w:r>
            <w:r w:rsidR="00212B48">
              <w:rPr>
                <w:rFonts w:ascii="Open Sans Light" w:eastAsia="Times New Roman" w:hAnsi="Open Sans Light" w:cs="Open Sans Light"/>
                <w:szCs w:val="20"/>
                <w:lang w:eastAsia="en-AU"/>
              </w:rPr>
              <w:t xml:space="preserve">This </w:t>
            </w:r>
            <w:r w:rsidRPr="00A201FF">
              <w:rPr>
                <w:rFonts w:ascii="Open Sans Light" w:eastAsia="Times New Roman" w:hAnsi="Open Sans Light" w:cs="Open Sans Light"/>
                <w:szCs w:val="20"/>
                <w:lang w:eastAsia="en-AU"/>
              </w:rPr>
              <w:t>increas</w:t>
            </w:r>
            <w:r w:rsidR="00212B48">
              <w:rPr>
                <w:rFonts w:ascii="Open Sans Light" w:eastAsia="Times New Roman" w:hAnsi="Open Sans Light" w:cs="Open Sans Light"/>
                <w:szCs w:val="20"/>
                <w:lang w:eastAsia="en-AU"/>
              </w:rPr>
              <w:t>ed</w:t>
            </w:r>
            <w:r w:rsidRPr="00A201FF">
              <w:rPr>
                <w:rFonts w:ascii="Open Sans Light" w:eastAsia="Times New Roman" w:hAnsi="Open Sans Light" w:cs="Open Sans Light"/>
                <w:szCs w:val="20"/>
                <w:lang w:eastAsia="en-AU"/>
              </w:rPr>
              <w:t xml:space="preserve"> its assessed GST needs for urban transport services and infrastructure.</w:t>
            </w:r>
            <w:r w:rsidR="00220529">
              <w:rPr>
                <w:rFonts w:ascii="Open Sans Light" w:eastAsia="Times New Roman" w:hAnsi="Open Sans Light" w:cs="Open Sans Light"/>
                <w:szCs w:val="20"/>
                <w:lang w:eastAsia="en-AU"/>
              </w:rPr>
              <w:t>22</w:t>
            </w:r>
          </w:p>
        </w:tc>
      </w:tr>
      <w:tr w:rsidR="00A201FF" w:rsidRPr="00A201FF" w14:paraId="62ADC00C" w14:textId="77777777" w:rsidTr="00CE2BF0">
        <w:trPr>
          <w:trHeight w:val="1200"/>
        </w:trPr>
        <w:tc>
          <w:tcPr>
            <w:tcW w:w="2940" w:type="dxa"/>
            <w:tcBorders>
              <w:top w:val="nil"/>
              <w:left w:val="nil"/>
              <w:bottom w:val="single" w:sz="4" w:space="0" w:color="ADD6EA"/>
              <w:right w:val="nil"/>
            </w:tcBorders>
            <w:shd w:val="clear" w:color="auto" w:fill="auto"/>
            <w:hideMark/>
          </w:tcPr>
          <w:p w14:paraId="7965A9EA" w14:textId="77777777"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Capital improvements</w:t>
            </w:r>
          </w:p>
        </w:tc>
        <w:tc>
          <w:tcPr>
            <w:tcW w:w="760" w:type="dxa"/>
            <w:tcBorders>
              <w:top w:val="nil"/>
              <w:left w:val="nil"/>
              <w:bottom w:val="single" w:sz="4" w:space="0" w:color="ADD6EA"/>
              <w:right w:val="nil"/>
            </w:tcBorders>
            <w:shd w:val="clear" w:color="auto" w:fill="EBBFA0"/>
            <w:noWrap/>
            <w:hideMark/>
          </w:tcPr>
          <w:p w14:paraId="4C3468B9"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-158</w:t>
            </w:r>
          </w:p>
        </w:tc>
        <w:tc>
          <w:tcPr>
            <w:tcW w:w="760" w:type="dxa"/>
            <w:tcBorders>
              <w:top w:val="nil"/>
              <w:left w:val="nil"/>
              <w:bottom w:val="single" w:sz="4" w:space="0" w:color="ADD6EA"/>
              <w:right w:val="nil"/>
            </w:tcBorders>
            <w:shd w:val="clear" w:color="auto" w:fill="EBBFA0"/>
            <w:noWrap/>
            <w:hideMark/>
          </w:tcPr>
          <w:p w14:paraId="11A25EA5"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-22</w:t>
            </w:r>
          </w:p>
        </w:tc>
        <w:tc>
          <w:tcPr>
            <w:tcW w:w="4500" w:type="dxa"/>
            <w:tcBorders>
              <w:top w:val="nil"/>
              <w:left w:val="nil"/>
              <w:bottom w:val="single" w:sz="4" w:space="0" w:color="ADD6EA"/>
              <w:right w:val="nil"/>
            </w:tcBorders>
            <w:shd w:val="clear" w:color="auto" w:fill="auto"/>
            <w:hideMark/>
          </w:tcPr>
          <w:p w14:paraId="1D15A6D3" w14:textId="77FC7907"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A large downward revision to national urban transport investment for 2021</w:t>
            </w:r>
            <w:r w:rsidR="00BB473C">
              <w:rPr>
                <w:rFonts w:ascii="Open Sans Light" w:eastAsia="Times New Roman" w:hAnsi="Open Sans Light" w:cs="Open Sans Light"/>
                <w:szCs w:val="20"/>
                <w:lang w:eastAsia="en-AU"/>
              </w:rPr>
              <w:t>–</w:t>
            </w:r>
            <w:r w:rsidRPr="00A201FF">
              <w:rPr>
                <w:rFonts w:ascii="Open Sans Light" w:eastAsia="Times New Roman" w:hAnsi="Open Sans Light" w:cs="Open Sans Light"/>
                <w:szCs w:val="20"/>
                <w:lang w:eastAsia="en-AU"/>
              </w:rPr>
              <w:t>22 reduced the assessed urban transport needs of states with above-average needs, including Victoria.</w:t>
            </w:r>
          </w:p>
        </w:tc>
      </w:tr>
      <w:tr w:rsidR="00A201FF" w:rsidRPr="00A201FF" w14:paraId="6B4AC5C6" w14:textId="77777777" w:rsidTr="00CE2BF0">
        <w:trPr>
          <w:trHeight w:val="900"/>
        </w:trPr>
        <w:tc>
          <w:tcPr>
            <w:tcW w:w="2940" w:type="dxa"/>
            <w:tcBorders>
              <w:top w:val="nil"/>
              <w:left w:val="nil"/>
              <w:bottom w:val="single" w:sz="4" w:space="0" w:color="ADD6EA"/>
              <w:right w:val="nil"/>
            </w:tcBorders>
            <w:shd w:val="clear" w:color="auto" w:fill="auto"/>
            <w:hideMark/>
          </w:tcPr>
          <w:p w14:paraId="3EAD6C91" w14:textId="77777777"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Natural disaster relief</w:t>
            </w:r>
          </w:p>
        </w:tc>
        <w:tc>
          <w:tcPr>
            <w:tcW w:w="760" w:type="dxa"/>
            <w:tcBorders>
              <w:top w:val="nil"/>
              <w:left w:val="nil"/>
              <w:bottom w:val="single" w:sz="4" w:space="0" w:color="ADD6EA"/>
              <w:right w:val="nil"/>
            </w:tcBorders>
            <w:shd w:val="clear" w:color="auto" w:fill="ADD6EA"/>
            <w:noWrap/>
            <w:hideMark/>
          </w:tcPr>
          <w:p w14:paraId="1E2AD935"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109</w:t>
            </w:r>
          </w:p>
        </w:tc>
        <w:tc>
          <w:tcPr>
            <w:tcW w:w="760" w:type="dxa"/>
            <w:tcBorders>
              <w:top w:val="nil"/>
              <w:left w:val="nil"/>
              <w:bottom w:val="single" w:sz="4" w:space="0" w:color="ADD6EA"/>
              <w:right w:val="nil"/>
            </w:tcBorders>
            <w:shd w:val="clear" w:color="auto" w:fill="ADD6EA"/>
            <w:noWrap/>
            <w:hideMark/>
          </w:tcPr>
          <w:p w14:paraId="6CDB9A9F" w14:textId="77777777" w:rsidR="00A201FF" w:rsidRPr="00A201FF" w:rsidRDefault="00A201FF" w:rsidP="00A201FF">
            <w:pPr>
              <w:tabs>
                <w:tab w:val="clear" w:pos="567"/>
              </w:tabs>
              <w:spacing w:before="0" w:line="240" w:lineRule="auto"/>
              <w:jc w:val="center"/>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16</w:t>
            </w:r>
          </w:p>
        </w:tc>
        <w:tc>
          <w:tcPr>
            <w:tcW w:w="4500" w:type="dxa"/>
            <w:tcBorders>
              <w:top w:val="nil"/>
              <w:left w:val="nil"/>
              <w:bottom w:val="single" w:sz="4" w:space="0" w:color="ADD6EA"/>
              <w:right w:val="nil"/>
            </w:tcBorders>
            <w:shd w:val="clear" w:color="auto" w:fill="auto"/>
            <w:hideMark/>
          </w:tcPr>
          <w:p w14:paraId="3FC7B3D5" w14:textId="50E71C21" w:rsidR="00A201FF" w:rsidRPr="00A201FF" w:rsidRDefault="00A201FF" w:rsidP="00A201FF">
            <w:pPr>
              <w:tabs>
                <w:tab w:val="clear" w:pos="567"/>
              </w:tabs>
              <w:spacing w:before="0" w:line="240" w:lineRule="auto"/>
              <w:rPr>
                <w:rFonts w:ascii="Open Sans Light" w:eastAsia="Times New Roman" w:hAnsi="Open Sans Light" w:cs="Open Sans Light"/>
                <w:szCs w:val="20"/>
                <w:lang w:eastAsia="en-AU"/>
              </w:rPr>
            </w:pPr>
            <w:r w:rsidRPr="00A201FF">
              <w:rPr>
                <w:rFonts w:ascii="Open Sans Light" w:eastAsia="Times New Roman" w:hAnsi="Open Sans Light" w:cs="Open Sans Light"/>
                <w:szCs w:val="20"/>
                <w:lang w:eastAsia="en-AU"/>
              </w:rPr>
              <w:t>Upward revisions to Victoria’s natural disaster relief out</w:t>
            </w:r>
            <w:r w:rsidRPr="00A201FF">
              <w:rPr>
                <w:rFonts w:ascii="Open Sans Light" w:eastAsia="Times New Roman" w:hAnsi="Open Sans Light" w:cs="Open Sans Light"/>
                <w:szCs w:val="20"/>
                <w:lang w:eastAsia="en-AU"/>
              </w:rPr>
              <w:noBreakHyphen/>
              <w:t>of-pocket expenses increased its</w:t>
            </w:r>
            <w:r w:rsidR="00191779">
              <w:rPr>
                <w:rFonts w:ascii="Open Sans Light" w:eastAsia="Times New Roman" w:hAnsi="Open Sans Light" w:cs="Open Sans Light"/>
                <w:szCs w:val="20"/>
                <w:lang w:eastAsia="en-AU"/>
              </w:rPr>
              <w:t xml:space="preserve"> assessed</w:t>
            </w:r>
            <w:r w:rsidRPr="00A201FF">
              <w:rPr>
                <w:rFonts w:ascii="Open Sans Light" w:eastAsia="Times New Roman" w:hAnsi="Open Sans Light" w:cs="Open Sans Light"/>
                <w:szCs w:val="20"/>
                <w:lang w:eastAsia="en-AU"/>
              </w:rPr>
              <w:t xml:space="preserve"> GST needs.</w:t>
            </w:r>
          </w:p>
        </w:tc>
      </w:tr>
    </w:tbl>
    <w:p w14:paraId="08E36DC7" w14:textId="12072662" w:rsidR="001F6216" w:rsidRDefault="00A14084" w:rsidP="00A14084">
      <w:pPr>
        <w:pStyle w:val="CGCTablenote"/>
      </w:pPr>
      <w:r w:rsidRPr="008D72BE">
        <w:t>Source: Commission calculation.</w:t>
      </w:r>
    </w:p>
    <w:p w14:paraId="030670DD" w14:textId="77777777" w:rsidR="00A14084" w:rsidRDefault="00A14084">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4C0E6A0D" w14:textId="77777777" w:rsidR="00CF3BD3" w:rsidRDefault="00CF3BD3" w:rsidP="00CF3BD3">
      <w:pPr>
        <w:pStyle w:val="Heading2"/>
      </w:pPr>
      <w:r>
        <w:lastRenderedPageBreak/>
        <w:t>Queensland</w:t>
      </w:r>
    </w:p>
    <w:p w14:paraId="6C5DBA33" w14:textId="29EB54EF" w:rsidR="005546F0" w:rsidRPr="008D72BE" w:rsidRDefault="005546F0" w:rsidP="005546F0">
      <w:r w:rsidRPr="008D72BE">
        <w:t>Queensland’s share of the GST pool is estimated to decrease from 21.2% to 19.5%. Its estimated GST distribution in 2024</w:t>
      </w:r>
      <w:r w:rsidR="00F40695">
        <w:t>–</w:t>
      </w:r>
      <w:r w:rsidRPr="008D72BE">
        <w:t>25 would decrease by $469 million ($84</w:t>
      </w:r>
      <w:r w:rsidR="00D444B6">
        <w:t> </w:t>
      </w:r>
      <w:r w:rsidRPr="008D72BE">
        <w:t>per</w:t>
      </w:r>
      <w:r w:rsidR="00D444B6">
        <w:t> </w:t>
      </w:r>
      <w:r w:rsidRPr="008D72BE">
        <w:t>capita), or 2.6%.</w:t>
      </w:r>
    </w:p>
    <w:p w14:paraId="62BD14F0" w14:textId="730F55B6" w:rsidR="005546F0" w:rsidRPr="008D72BE" w:rsidRDefault="005546F0" w:rsidP="005546F0">
      <w:pPr>
        <w:pStyle w:val="BulletPoints"/>
      </w:pPr>
      <w:r w:rsidRPr="008D72BE">
        <w:t>Queensland’s assessed GST needs decreased</w:t>
      </w:r>
      <w:r w:rsidR="007774DA">
        <w:t xml:space="preserve"> largely</w:t>
      </w:r>
      <w:r w:rsidRPr="008D72BE">
        <w:t xml:space="preserve"> due to:</w:t>
      </w:r>
    </w:p>
    <w:p w14:paraId="0AD92703" w14:textId="77777777" w:rsidR="005546F0" w:rsidRPr="008D72BE" w:rsidRDefault="005546F0" w:rsidP="005546F0">
      <w:pPr>
        <w:pStyle w:val="BulletPoints-Level2"/>
      </w:pPr>
      <w:r w:rsidRPr="008D72BE">
        <w:t>an increase in its capacity to raise coal royalties (a result of a large increase in coal prices and an increase in average coal royalty rates)</w:t>
      </w:r>
    </w:p>
    <w:p w14:paraId="47BA602D" w14:textId="77777777" w:rsidR="005546F0" w:rsidRPr="008D72BE" w:rsidRDefault="005546F0" w:rsidP="005546F0">
      <w:pPr>
        <w:pStyle w:val="BulletPoints-Level2"/>
      </w:pPr>
      <w:r w:rsidRPr="008D72BE">
        <w:t>a decrease in its requirement for investment in urban transport</w:t>
      </w:r>
    </w:p>
    <w:p w14:paraId="54088021" w14:textId="713C8B71" w:rsidR="005546F0" w:rsidRPr="008D72BE" w:rsidRDefault="005546F0" w:rsidP="005546F0">
      <w:pPr>
        <w:pStyle w:val="BulletPoints-Level2"/>
      </w:pPr>
      <w:r w:rsidRPr="008D72BE">
        <w:t>a decrease in its requirement for investment in rural roads</w:t>
      </w:r>
      <w:r w:rsidR="006F1504">
        <w:t>.</w:t>
      </w:r>
    </w:p>
    <w:p w14:paraId="65284D66" w14:textId="77777777" w:rsidR="005546F0" w:rsidRPr="008D72BE" w:rsidRDefault="005546F0" w:rsidP="005546F0">
      <w:pPr>
        <w:pStyle w:val="BulletPoints"/>
      </w:pPr>
      <w:r w:rsidRPr="008D72BE">
        <w:t>Queensland’s decrease in assessed GST needs was partly offset by:</w:t>
      </w:r>
    </w:p>
    <w:p w14:paraId="562E32F8" w14:textId="77777777" w:rsidR="005546F0" w:rsidRPr="008D72BE" w:rsidRDefault="005546F0" w:rsidP="005546F0">
      <w:pPr>
        <w:pStyle w:val="BulletPoints-Level2"/>
      </w:pPr>
      <w:r w:rsidRPr="008D72BE">
        <w:t>revisions to national urban transport investment</w:t>
      </w:r>
    </w:p>
    <w:p w14:paraId="45664A08" w14:textId="77777777" w:rsidR="005546F0" w:rsidRPr="008D72BE" w:rsidRDefault="005546F0" w:rsidP="005546F0">
      <w:pPr>
        <w:pStyle w:val="BulletPoints-Level2"/>
      </w:pPr>
      <w:r w:rsidRPr="008D72BE">
        <w:t>revisions to socio</w:t>
      </w:r>
      <w:r w:rsidRPr="008D72BE">
        <w:noBreakHyphen/>
        <w:t>demographic composition data from the latest 2021 Census release</w:t>
      </w:r>
    </w:p>
    <w:p w14:paraId="0032EB01" w14:textId="77777777" w:rsidR="005546F0" w:rsidRPr="008D72BE" w:rsidRDefault="005546F0" w:rsidP="005546F0">
      <w:pPr>
        <w:pStyle w:val="BulletPoints-Level2"/>
      </w:pPr>
      <w:r w:rsidRPr="008D72BE">
        <w:t xml:space="preserve">a reduction in its relative capacity to raise revenue from taxable </w:t>
      </w:r>
      <w:proofErr w:type="gramStart"/>
      <w:r w:rsidRPr="008D72BE">
        <w:t>land</w:t>
      </w:r>
      <w:proofErr w:type="gramEnd"/>
      <w:r w:rsidRPr="008D72BE">
        <w:t xml:space="preserve"> </w:t>
      </w:r>
    </w:p>
    <w:p w14:paraId="3C6E2D87" w14:textId="77777777" w:rsidR="005546F0" w:rsidRPr="008D72BE" w:rsidRDefault="005546F0" w:rsidP="005546F0">
      <w:pPr>
        <w:pStyle w:val="BulletPoints-Level2"/>
      </w:pPr>
      <w:r w:rsidRPr="008D72BE">
        <w:t>strong growth in urban population and population-weighted density, as well as slow growth in recurrent spending on urban transport services</w:t>
      </w:r>
    </w:p>
    <w:p w14:paraId="69D5554E" w14:textId="77777777" w:rsidR="005546F0" w:rsidRPr="008D72BE" w:rsidRDefault="005546F0" w:rsidP="005546F0">
      <w:pPr>
        <w:pStyle w:val="BulletPoints-Level2"/>
      </w:pPr>
      <w:r w:rsidRPr="008D72BE">
        <w:t>below-average growth in other Commonwealth payments.</w:t>
      </w:r>
    </w:p>
    <w:p w14:paraId="38368194" w14:textId="77777777" w:rsidR="005546F0" w:rsidRPr="008D72BE" w:rsidRDefault="005546F0" w:rsidP="005546F0">
      <w:pPr>
        <w:pStyle w:val="BulletPoints"/>
      </w:pPr>
      <w:r w:rsidRPr="008D72BE">
        <w:t>Estimated growth in the GST pool was insufficient to offset the reduction in Queensland’s assessed GST needs.</w:t>
      </w:r>
    </w:p>
    <w:p w14:paraId="1E15E85A" w14:textId="69DE6134" w:rsidR="005546F0" w:rsidRPr="008D72BE" w:rsidRDefault="005546F0" w:rsidP="005546F0">
      <w:pPr>
        <w:pStyle w:val="BulletPoints"/>
      </w:pPr>
      <w:r w:rsidRPr="008D72BE">
        <w:t>Compared with 2023</w:t>
      </w:r>
      <w:r w:rsidR="00803695">
        <w:t>–</w:t>
      </w:r>
      <w:r w:rsidRPr="008D72BE">
        <w:t xml:space="preserve">24, blended relativities and the GST floor resulted in a reduction ($65 million) in Queensland’s GST distribution. </w:t>
      </w:r>
    </w:p>
    <w:p w14:paraId="497F9984" w14:textId="2BD06438" w:rsidR="005546F0" w:rsidRPr="008D72BE" w:rsidRDefault="005546F0" w:rsidP="0001551F">
      <w:pPr>
        <w:pStyle w:val="CGCTableHead"/>
        <w:ind w:left="1440" w:hanging="1440"/>
      </w:pPr>
      <w:r w:rsidRPr="008D72BE">
        <w:t>Table 3-3</w:t>
      </w:r>
      <w:r w:rsidRPr="008D72BE">
        <w:tab/>
        <w:t>Change in estimated GST distribution from 2023</w:t>
      </w:r>
      <w:r w:rsidR="00803695">
        <w:t>–</w:t>
      </w:r>
      <w:r w:rsidRPr="008D72BE">
        <w:t>24 to 2024</w:t>
      </w:r>
      <w:r w:rsidR="00803695">
        <w:t>–</w:t>
      </w:r>
      <w:r w:rsidRPr="008D72BE">
        <w:t>25, Queensland (excludes no worse off payments)</w:t>
      </w:r>
    </w:p>
    <w:tbl>
      <w:tblPr>
        <w:tblW w:w="8940" w:type="dxa"/>
        <w:tblLook w:val="04A0" w:firstRow="1" w:lastRow="0" w:firstColumn="1" w:lastColumn="0" w:noHBand="0" w:noVBand="1"/>
      </w:tblPr>
      <w:tblGrid>
        <w:gridCol w:w="4420"/>
        <w:gridCol w:w="2200"/>
        <w:gridCol w:w="2320"/>
      </w:tblGrid>
      <w:tr w:rsidR="005546F0" w14:paraId="3C82EAA5" w14:textId="77777777" w:rsidTr="00712E9D">
        <w:trPr>
          <w:trHeight w:val="375"/>
        </w:trPr>
        <w:tc>
          <w:tcPr>
            <w:tcW w:w="4420" w:type="dxa"/>
            <w:tcBorders>
              <w:top w:val="nil"/>
              <w:left w:val="nil"/>
              <w:bottom w:val="single" w:sz="4" w:space="0" w:color="ADD6EA"/>
              <w:right w:val="nil"/>
            </w:tcBorders>
            <w:shd w:val="clear" w:color="000000" w:fill="006991"/>
            <w:noWrap/>
            <w:vAlign w:val="center"/>
            <w:hideMark/>
          </w:tcPr>
          <w:p w14:paraId="46A14136" w14:textId="77777777" w:rsidR="005546F0" w:rsidRPr="00712E9D" w:rsidRDefault="005546F0" w:rsidP="00712E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E9D">
              <w:rPr>
                <w:rFonts w:ascii="Open Sans Semibold" w:eastAsia="Times New Roman" w:hAnsi="Open Sans Semibold" w:cs="Open Sans Semibold"/>
                <w:color w:val="FFFFFF"/>
                <w:sz w:val="16"/>
                <w:szCs w:val="16"/>
                <w:lang w:eastAsia="en-AU"/>
              </w:rPr>
              <w:t> </w:t>
            </w:r>
          </w:p>
        </w:tc>
        <w:tc>
          <w:tcPr>
            <w:tcW w:w="2200" w:type="dxa"/>
            <w:tcBorders>
              <w:top w:val="nil"/>
              <w:left w:val="nil"/>
              <w:bottom w:val="single" w:sz="4" w:space="0" w:color="ADD6EA"/>
              <w:right w:val="nil"/>
            </w:tcBorders>
            <w:shd w:val="clear" w:color="000000" w:fill="006991"/>
            <w:noWrap/>
            <w:vAlign w:val="center"/>
            <w:hideMark/>
          </w:tcPr>
          <w:p w14:paraId="334F8F35" w14:textId="77777777" w:rsidR="005546F0" w:rsidRPr="00712E9D" w:rsidRDefault="005546F0" w:rsidP="00712E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E9D">
              <w:rPr>
                <w:rFonts w:ascii="Open Sans Semibold" w:eastAsia="Times New Roman" w:hAnsi="Open Sans Semibold" w:cs="Open Sans Semibold"/>
                <w:color w:val="FFFFFF"/>
                <w:sz w:val="16"/>
                <w:szCs w:val="16"/>
                <w:lang w:eastAsia="en-AU"/>
              </w:rPr>
              <w:t>$m</w:t>
            </w:r>
          </w:p>
        </w:tc>
        <w:tc>
          <w:tcPr>
            <w:tcW w:w="2320" w:type="dxa"/>
            <w:tcBorders>
              <w:top w:val="nil"/>
              <w:left w:val="nil"/>
              <w:bottom w:val="single" w:sz="4" w:space="0" w:color="ADD6EA"/>
              <w:right w:val="nil"/>
            </w:tcBorders>
            <w:shd w:val="clear" w:color="000000" w:fill="006991"/>
            <w:noWrap/>
            <w:vAlign w:val="center"/>
            <w:hideMark/>
          </w:tcPr>
          <w:p w14:paraId="0E35AEE3" w14:textId="77777777" w:rsidR="005546F0" w:rsidRPr="00712E9D" w:rsidRDefault="005546F0" w:rsidP="00712E9D">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12E9D">
              <w:rPr>
                <w:rFonts w:ascii="Open Sans Semibold" w:eastAsia="Times New Roman" w:hAnsi="Open Sans Semibold" w:cs="Open Sans Semibold"/>
                <w:color w:val="FFFFFF"/>
                <w:sz w:val="16"/>
                <w:szCs w:val="16"/>
                <w:lang w:eastAsia="en-AU"/>
              </w:rPr>
              <w:t>$pc</w:t>
            </w:r>
          </w:p>
        </w:tc>
      </w:tr>
      <w:tr w:rsidR="005546F0" w14:paraId="5FEF8337" w14:textId="77777777" w:rsidTr="00712E9D">
        <w:trPr>
          <w:trHeight w:val="315"/>
        </w:trPr>
        <w:tc>
          <w:tcPr>
            <w:tcW w:w="4420" w:type="dxa"/>
            <w:tcBorders>
              <w:top w:val="nil"/>
              <w:left w:val="nil"/>
              <w:bottom w:val="single" w:sz="4" w:space="0" w:color="ADD6EA"/>
              <w:right w:val="nil"/>
            </w:tcBorders>
            <w:shd w:val="clear" w:color="auto" w:fill="auto"/>
            <w:noWrap/>
            <w:vAlign w:val="bottom"/>
            <w:hideMark/>
          </w:tcPr>
          <w:p w14:paraId="05708DEB" w14:textId="77777777" w:rsidR="005546F0" w:rsidRPr="00A75009" w:rsidRDefault="005546F0" w:rsidP="00712E9D">
            <w:pPr>
              <w:tabs>
                <w:tab w:val="clear" w:pos="567"/>
              </w:tabs>
              <w:spacing w:before="0" w:line="240" w:lineRule="auto"/>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xml:space="preserve">Change in </w:t>
            </w:r>
            <w:r w:rsidRPr="00A75009">
              <w:rPr>
                <w:rFonts w:ascii="Open Sans Light" w:eastAsia="Times New Roman" w:hAnsi="Open Sans Light" w:cs="Open Sans Light"/>
                <w:color w:val="000000"/>
                <w:sz w:val="16"/>
                <w:szCs w:val="16"/>
                <w:lang w:eastAsia="en-AU"/>
              </w:rPr>
              <w:t>population</w:t>
            </w:r>
          </w:p>
        </w:tc>
        <w:tc>
          <w:tcPr>
            <w:tcW w:w="2200" w:type="dxa"/>
            <w:tcBorders>
              <w:top w:val="nil"/>
              <w:left w:val="nil"/>
              <w:bottom w:val="single" w:sz="4" w:space="0" w:color="ADD6EA"/>
              <w:right w:val="nil"/>
            </w:tcBorders>
            <w:shd w:val="clear" w:color="auto" w:fill="auto"/>
            <w:noWrap/>
            <w:vAlign w:val="bottom"/>
            <w:hideMark/>
          </w:tcPr>
          <w:p w14:paraId="4A0118E8"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23</w:t>
            </w:r>
          </w:p>
        </w:tc>
        <w:tc>
          <w:tcPr>
            <w:tcW w:w="2320" w:type="dxa"/>
            <w:tcBorders>
              <w:top w:val="nil"/>
              <w:left w:val="nil"/>
              <w:bottom w:val="single" w:sz="4" w:space="0" w:color="ADD6EA"/>
              <w:right w:val="nil"/>
            </w:tcBorders>
            <w:shd w:val="clear" w:color="auto" w:fill="auto"/>
            <w:noWrap/>
            <w:vAlign w:val="bottom"/>
            <w:hideMark/>
          </w:tcPr>
          <w:p w14:paraId="27256063"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4</w:t>
            </w:r>
          </w:p>
        </w:tc>
      </w:tr>
      <w:tr w:rsidR="005546F0" w14:paraId="2CF758F7" w14:textId="77777777" w:rsidTr="00712E9D">
        <w:trPr>
          <w:trHeight w:val="315"/>
        </w:trPr>
        <w:tc>
          <w:tcPr>
            <w:tcW w:w="4420" w:type="dxa"/>
            <w:tcBorders>
              <w:top w:val="nil"/>
              <w:left w:val="nil"/>
              <w:bottom w:val="single" w:sz="4" w:space="0" w:color="ADD6EA"/>
              <w:right w:val="nil"/>
            </w:tcBorders>
            <w:shd w:val="clear" w:color="auto" w:fill="auto"/>
            <w:noWrap/>
            <w:vAlign w:val="bottom"/>
            <w:hideMark/>
          </w:tcPr>
          <w:p w14:paraId="0289B93D" w14:textId="77777777" w:rsidR="005546F0" w:rsidRPr="00A75009" w:rsidRDefault="005546F0" w:rsidP="00712E9D">
            <w:pPr>
              <w:tabs>
                <w:tab w:val="clear" w:pos="567"/>
              </w:tabs>
              <w:spacing w:before="0" w:line="240" w:lineRule="auto"/>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xml:space="preserve">Growth in GST pool </w:t>
            </w:r>
          </w:p>
        </w:tc>
        <w:tc>
          <w:tcPr>
            <w:tcW w:w="2200" w:type="dxa"/>
            <w:tcBorders>
              <w:top w:val="nil"/>
              <w:left w:val="nil"/>
              <w:bottom w:val="single" w:sz="4" w:space="0" w:color="ADD6EA"/>
              <w:right w:val="nil"/>
            </w:tcBorders>
            <w:shd w:val="clear" w:color="auto" w:fill="auto"/>
            <w:noWrap/>
            <w:vAlign w:val="bottom"/>
            <w:hideMark/>
          </w:tcPr>
          <w:p w14:paraId="78940DFB"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1,015</w:t>
            </w:r>
          </w:p>
        </w:tc>
        <w:tc>
          <w:tcPr>
            <w:tcW w:w="2320" w:type="dxa"/>
            <w:tcBorders>
              <w:top w:val="nil"/>
              <w:left w:val="nil"/>
              <w:bottom w:val="single" w:sz="4" w:space="0" w:color="ADD6EA"/>
              <w:right w:val="nil"/>
            </w:tcBorders>
            <w:shd w:val="clear" w:color="auto" w:fill="auto"/>
            <w:noWrap/>
            <w:vAlign w:val="bottom"/>
            <w:hideMark/>
          </w:tcPr>
          <w:p w14:paraId="62E9588F"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181</w:t>
            </w:r>
          </w:p>
        </w:tc>
      </w:tr>
      <w:tr w:rsidR="005546F0" w14:paraId="52345498" w14:textId="77777777" w:rsidTr="00712E9D">
        <w:trPr>
          <w:trHeight w:val="315"/>
        </w:trPr>
        <w:tc>
          <w:tcPr>
            <w:tcW w:w="4420" w:type="dxa"/>
            <w:tcBorders>
              <w:top w:val="nil"/>
              <w:left w:val="nil"/>
              <w:bottom w:val="single" w:sz="4" w:space="0" w:color="ADD6EA"/>
              <w:right w:val="nil"/>
            </w:tcBorders>
            <w:shd w:val="clear" w:color="auto" w:fill="auto"/>
            <w:noWrap/>
            <w:vAlign w:val="bottom"/>
            <w:hideMark/>
          </w:tcPr>
          <w:p w14:paraId="281CCE9A" w14:textId="77777777" w:rsidR="005546F0" w:rsidRPr="00A75009" w:rsidRDefault="005546F0" w:rsidP="00712E9D">
            <w:pPr>
              <w:tabs>
                <w:tab w:val="clear" w:pos="567"/>
              </w:tabs>
              <w:spacing w:before="0" w:line="240" w:lineRule="auto"/>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Changes in assessed GST needs</w:t>
            </w:r>
          </w:p>
        </w:tc>
        <w:tc>
          <w:tcPr>
            <w:tcW w:w="2200" w:type="dxa"/>
            <w:tcBorders>
              <w:top w:val="nil"/>
              <w:left w:val="nil"/>
              <w:bottom w:val="single" w:sz="4" w:space="0" w:color="ADD6EA"/>
              <w:right w:val="nil"/>
            </w:tcBorders>
            <w:shd w:val="clear" w:color="auto" w:fill="auto"/>
            <w:noWrap/>
            <w:vAlign w:val="bottom"/>
            <w:hideMark/>
          </w:tcPr>
          <w:p w14:paraId="742EBFBC"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w:t>
            </w:r>
          </w:p>
        </w:tc>
        <w:tc>
          <w:tcPr>
            <w:tcW w:w="2320" w:type="dxa"/>
            <w:tcBorders>
              <w:top w:val="nil"/>
              <w:left w:val="nil"/>
              <w:bottom w:val="single" w:sz="4" w:space="0" w:color="ADD6EA"/>
              <w:right w:val="nil"/>
            </w:tcBorders>
            <w:shd w:val="clear" w:color="auto" w:fill="auto"/>
            <w:noWrap/>
            <w:vAlign w:val="bottom"/>
            <w:hideMark/>
          </w:tcPr>
          <w:p w14:paraId="407E8EAD"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w:t>
            </w:r>
          </w:p>
        </w:tc>
      </w:tr>
      <w:tr w:rsidR="005546F0" w14:paraId="7083EE88" w14:textId="77777777" w:rsidTr="00712E9D">
        <w:trPr>
          <w:trHeight w:val="315"/>
        </w:trPr>
        <w:tc>
          <w:tcPr>
            <w:tcW w:w="4420" w:type="dxa"/>
            <w:tcBorders>
              <w:top w:val="nil"/>
              <w:left w:val="nil"/>
              <w:bottom w:val="single" w:sz="4" w:space="0" w:color="ADD6EA"/>
              <w:right w:val="nil"/>
            </w:tcBorders>
            <w:shd w:val="clear" w:color="auto" w:fill="auto"/>
            <w:noWrap/>
            <w:vAlign w:val="bottom"/>
            <w:hideMark/>
          </w:tcPr>
          <w:p w14:paraId="3C9E2B94" w14:textId="0FB3F116" w:rsidR="005546F0" w:rsidRPr="00A75009" w:rsidRDefault="005546F0" w:rsidP="00712E9D">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xml:space="preserve">Revised populations from </w:t>
            </w:r>
            <w:r w:rsidR="00A536AB" w:rsidRPr="00A75009">
              <w:rPr>
                <w:rFonts w:ascii="Open Sans Light" w:eastAsia="Times New Roman" w:hAnsi="Open Sans Light" w:cs="Open Sans Light"/>
                <w:sz w:val="16"/>
                <w:szCs w:val="16"/>
                <w:lang w:eastAsia="en-AU"/>
              </w:rPr>
              <w:t>C</w:t>
            </w:r>
            <w:r w:rsidRPr="00A75009">
              <w:rPr>
                <w:rFonts w:ascii="Open Sans Light" w:eastAsia="Times New Roman" w:hAnsi="Open Sans Light" w:cs="Open Sans Light"/>
                <w:sz w:val="16"/>
                <w:szCs w:val="16"/>
                <w:lang w:eastAsia="en-AU"/>
              </w:rPr>
              <w:t>ensus</w:t>
            </w:r>
          </w:p>
        </w:tc>
        <w:tc>
          <w:tcPr>
            <w:tcW w:w="2200" w:type="dxa"/>
            <w:tcBorders>
              <w:top w:val="nil"/>
              <w:left w:val="nil"/>
              <w:bottom w:val="single" w:sz="4" w:space="0" w:color="ADD6EA"/>
              <w:right w:val="nil"/>
            </w:tcBorders>
            <w:shd w:val="clear" w:color="auto" w:fill="auto"/>
            <w:noWrap/>
            <w:vAlign w:val="bottom"/>
            <w:hideMark/>
          </w:tcPr>
          <w:p w14:paraId="1AFA96DF"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87</w:t>
            </w:r>
          </w:p>
        </w:tc>
        <w:tc>
          <w:tcPr>
            <w:tcW w:w="2320" w:type="dxa"/>
            <w:tcBorders>
              <w:top w:val="nil"/>
              <w:left w:val="nil"/>
              <w:bottom w:val="single" w:sz="4" w:space="0" w:color="ADD6EA"/>
              <w:right w:val="nil"/>
            </w:tcBorders>
            <w:shd w:val="clear" w:color="auto" w:fill="auto"/>
            <w:noWrap/>
            <w:vAlign w:val="bottom"/>
            <w:hideMark/>
          </w:tcPr>
          <w:p w14:paraId="1A7AB524"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16</w:t>
            </w:r>
          </w:p>
        </w:tc>
      </w:tr>
      <w:tr w:rsidR="005546F0" w14:paraId="6DB970BA" w14:textId="77777777" w:rsidTr="00712E9D">
        <w:trPr>
          <w:trHeight w:val="315"/>
        </w:trPr>
        <w:tc>
          <w:tcPr>
            <w:tcW w:w="4420" w:type="dxa"/>
            <w:tcBorders>
              <w:top w:val="nil"/>
              <w:left w:val="nil"/>
              <w:bottom w:val="single" w:sz="4" w:space="0" w:color="ADD6EA"/>
              <w:right w:val="nil"/>
            </w:tcBorders>
            <w:shd w:val="clear" w:color="auto" w:fill="auto"/>
            <w:noWrap/>
            <w:vAlign w:val="bottom"/>
            <w:hideMark/>
          </w:tcPr>
          <w:p w14:paraId="1062CA0D" w14:textId="77777777" w:rsidR="005546F0" w:rsidRPr="00A75009" w:rsidRDefault="005546F0" w:rsidP="00712E9D">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Other data revisions</w:t>
            </w:r>
          </w:p>
        </w:tc>
        <w:tc>
          <w:tcPr>
            <w:tcW w:w="2200" w:type="dxa"/>
            <w:tcBorders>
              <w:top w:val="nil"/>
              <w:left w:val="nil"/>
              <w:bottom w:val="single" w:sz="4" w:space="0" w:color="ADD6EA"/>
              <w:right w:val="nil"/>
            </w:tcBorders>
            <w:shd w:val="clear" w:color="auto" w:fill="auto"/>
            <w:noWrap/>
            <w:vAlign w:val="bottom"/>
            <w:hideMark/>
          </w:tcPr>
          <w:p w14:paraId="38EE04E7"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59</w:t>
            </w:r>
          </w:p>
        </w:tc>
        <w:tc>
          <w:tcPr>
            <w:tcW w:w="2320" w:type="dxa"/>
            <w:tcBorders>
              <w:top w:val="nil"/>
              <w:left w:val="nil"/>
              <w:bottom w:val="single" w:sz="4" w:space="0" w:color="ADD6EA"/>
              <w:right w:val="nil"/>
            </w:tcBorders>
            <w:shd w:val="clear" w:color="auto" w:fill="auto"/>
            <w:noWrap/>
            <w:vAlign w:val="bottom"/>
            <w:hideMark/>
          </w:tcPr>
          <w:p w14:paraId="1E3EE3E4"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11</w:t>
            </w:r>
          </w:p>
        </w:tc>
      </w:tr>
      <w:tr w:rsidR="005546F0" w14:paraId="60AC1E4D" w14:textId="77777777" w:rsidTr="00712E9D">
        <w:trPr>
          <w:trHeight w:val="315"/>
        </w:trPr>
        <w:tc>
          <w:tcPr>
            <w:tcW w:w="4420" w:type="dxa"/>
            <w:tcBorders>
              <w:top w:val="nil"/>
              <w:left w:val="nil"/>
              <w:bottom w:val="single" w:sz="4" w:space="0" w:color="ADD6EA"/>
              <w:right w:val="nil"/>
            </w:tcBorders>
            <w:shd w:val="clear" w:color="auto" w:fill="auto"/>
            <w:noWrap/>
            <w:vAlign w:val="bottom"/>
            <w:hideMark/>
          </w:tcPr>
          <w:p w14:paraId="7E2673AC" w14:textId="77777777" w:rsidR="005546F0" w:rsidRPr="00A75009" w:rsidRDefault="005546F0" w:rsidP="00712E9D">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State circumstances</w:t>
            </w:r>
          </w:p>
        </w:tc>
        <w:tc>
          <w:tcPr>
            <w:tcW w:w="2200" w:type="dxa"/>
            <w:tcBorders>
              <w:top w:val="nil"/>
              <w:left w:val="nil"/>
              <w:bottom w:val="single" w:sz="4" w:space="0" w:color="ADD6EA"/>
              <w:right w:val="nil"/>
            </w:tcBorders>
            <w:shd w:val="clear" w:color="auto" w:fill="auto"/>
            <w:noWrap/>
            <w:vAlign w:val="bottom"/>
            <w:hideMark/>
          </w:tcPr>
          <w:p w14:paraId="2430811A"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-1,588</w:t>
            </w:r>
          </w:p>
        </w:tc>
        <w:tc>
          <w:tcPr>
            <w:tcW w:w="2320" w:type="dxa"/>
            <w:tcBorders>
              <w:top w:val="nil"/>
              <w:left w:val="nil"/>
              <w:bottom w:val="single" w:sz="4" w:space="0" w:color="ADD6EA"/>
              <w:right w:val="nil"/>
            </w:tcBorders>
            <w:shd w:val="clear" w:color="auto" w:fill="auto"/>
            <w:noWrap/>
            <w:vAlign w:val="bottom"/>
            <w:hideMark/>
          </w:tcPr>
          <w:p w14:paraId="73D58068"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-283</w:t>
            </w:r>
          </w:p>
        </w:tc>
      </w:tr>
      <w:tr w:rsidR="005546F0" w14:paraId="0D80A7E0" w14:textId="77777777" w:rsidTr="00712E9D">
        <w:trPr>
          <w:trHeight w:val="315"/>
        </w:trPr>
        <w:tc>
          <w:tcPr>
            <w:tcW w:w="4420" w:type="dxa"/>
            <w:tcBorders>
              <w:top w:val="nil"/>
              <w:left w:val="nil"/>
              <w:bottom w:val="single" w:sz="4" w:space="0" w:color="ADD6EA"/>
              <w:right w:val="nil"/>
            </w:tcBorders>
            <w:shd w:val="clear" w:color="auto" w:fill="auto"/>
            <w:noWrap/>
            <w:vAlign w:val="bottom"/>
            <w:hideMark/>
          </w:tcPr>
          <w:p w14:paraId="46134803" w14:textId="77777777" w:rsidR="005546F0" w:rsidRPr="00A75009" w:rsidRDefault="005546F0" w:rsidP="00712E9D">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Total</w:t>
            </w:r>
          </w:p>
        </w:tc>
        <w:tc>
          <w:tcPr>
            <w:tcW w:w="2200" w:type="dxa"/>
            <w:tcBorders>
              <w:top w:val="nil"/>
              <w:left w:val="nil"/>
              <w:bottom w:val="single" w:sz="4" w:space="0" w:color="ADD6EA"/>
              <w:right w:val="nil"/>
            </w:tcBorders>
            <w:shd w:val="clear" w:color="auto" w:fill="auto"/>
            <w:noWrap/>
            <w:vAlign w:val="bottom"/>
            <w:hideMark/>
          </w:tcPr>
          <w:p w14:paraId="6CBE8556"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-1,442</w:t>
            </w:r>
          </w:p>
        </w:tc>
        <w:tc>
          <w:tcPr>
            <w:tcW w:w="2320" w:type="dxa"/>
            <w:tcBorders>
              <w:top w:val="nil"/>
              <w:left w:val="nil"/>
              <w:bottom w:val="single" w:sz="4" w:space="0" w:color="ADD6EA"/>
              <w:right w:val="nil"/>
            </w:tcBorders>
            <w:shd w:val="clear" w:color="auto" w:fill="auto"/>
            <w:noWrap/>
            <w:vAlign w:val="bottom"/>
            <w:hideMark/>
          </w:tcPr>
          <w:p w14:paraId="640E23CF"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-257</w:t>
            </w:r>
          </w:p>
        </w:tc>
      </w:tr>
      <w:tr w:rsidR="005546F0" w14:paraId="42750CAF" w14:textId="77777777" w:rsidTr="00712E9D">
        <w:trPr>
          <w:trHeight w:val="315"/>
        </w:trPr>
        <w:tc>
          <w:tcPr>
            <w:tcW w:w="4420" w:type="dxa"/>
            <w:tcBorders>
              <w:top w:val="nil"/>
              <w:left w:val="nil"/>
              <w:bottom w:val="single" w:sz="4" w:space="0" w:color="ADD6EA"/>
              <w:right w:val="nil"/>
            </w:tcBorders>
            <w:shd w:val="clear" w:color="auto" w:fill="auto"/>
            <w:noWrap/>
            <w:vAlign w:val="bottom"/>
            <w:hideMark/>
          </w:tcPr>
          <w:p w14:paraId="1BB4F087" w14:textId="77777777" w:rsidR="005546F0" w:rsidRPr="00A75009" w:rsidRDefault="005546F0" w:rsidP="00712E9D">
            <w:pPr>
              <w:tabs>
                <w:tab w:val="clear" w:pos="567"/>
              </w:tabs>
              <w:spacing w:before="0" w:line="240" w:lineRule="auto"/>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Blended relativities and GST floor</w:t>
            </w:r>
          </w:p>
        </w:tc>
        <w:tc>
          <w:tcPr>
            <w:tcW w:w="2200" w:type="dxa"/>
            <w:tcBorders>
              <w:top w:val="nil"/>
              <w:left w:val="nil"/>
              <w:bottom w:val="single" w:sz="4" w:space="0" w:color="ADD6EA"/>
              <w:right w:val="nil"/>
            </w:tcBorders>
            <w:shd w:val="clear" w:color="auto" w:fill="auto"/>
            <w:noWrap/>
            <w:vAlign w:val="bottom"/>
            <w:hideMark/>
          </w:tcPr>
          <w:p w14:paraId="077C2EB5"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-65</w:t>
            </w:r>
          </w:p>
        </w:tc>
        <w:tc>
          <w:tcPr>
            <w:tcW w:w="2320" w:type="dxa"/>
            <w:tcBorders>
              <w:top w:val="nil"/>
              <w:left w:val="nil"/>
              <w:bottom w:val="single" w:sz="4" w:space="0" w:color="ADD6EA"/>
              <w:right w:val="nil"/>
            </w:tcBorders>
            <w:shd w:val="clear" w:color="auto" w:fill="auto"/>
            <w:noWrap/>
            <w:vAlign w:val="bottom"/>
            <w:hideMark/>
          </w:tcPr>
          <w:p w14:paraId="42188A0E" w14:textId="77777777" w:rsidR="005546F0" w:rsidRPr="00A75009" w:rsidRDefault="005546F0" w:rsidP="00712E9D">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-12</w:t>
            </w:r>
          </w:p>
        </w:tc>
      </w:tr>
      <w:tr w:rsidR="005546F0" w14:paraId="70593498" w14:textId="77777777" w:rsidTr="00712E9D">
        <w:trPr>
          <w:trHeight w:val="315"/>
        </w:trPr>
        <w:tc>
          <w:tcPr>
            <w:tcW w:w="4420" w:type="dxa"/>
            <w:tcBorders>
              <w:top w:val="nil"/>
              <w:left w:val="nil"/>
              <w:bottom w:val="single" w:sz="4" w:space="0" w:color="ADD6EA"/>
              <w:right w:val="nil"/>
            </w:tcBorders>
            <w:shd w:val="clear" w:color="000000" w:fill="D6E7F0"/>
            <w:noWrap/>
            <w:vAlign w:val="bottom"/>
            <w:hideMark/>
          </w:tcPr>
          <w:p w14:paraId="1F7467FF" w14:textId="77777777" w:rsidR="005546F0" w:rsidRPr="00A75009" w:rsidRDefault="005546F0" w:rsidP="00712E9D">
            <w:pPr>
              <w:tabs>
                <w:tab w:val="clear" w:pos="567"/>
              </w:tabs>
              <w:spacing w:before="0" w:line="240" w:lineRule="auto"/>
              <w:rPr>
                <w:rFonts w:ascii="Open Sans Semibold" w:eastAsia="Times New Roman" w:hAnsi="Open Sans Semibold" w:cs="Open Sans Semibold"/>
                <w:color w:val="000000"/>
                <w:sz w:val="16"/>
                <w:szCs w:val="16"/>
                <w:lang w:eastAsia="en-AU"/>
              </w:rPr>
            </w:pPr>
            <w:r w:rsidRPr="00A75009">
              <w:rPr>
                <w:rFonts w:ascii="Open Sans Semibold" w:eastAsia="Times New Roman" w:hAnsi="Open Sans Semibold" w:cs="Open Sans Semibold"/>
                <w:color w:val="000000"/>
                <w:sz w:val="16"/>
                <w:szCs w:val="16"/>
                <w:lang w:eastAsia="en-AU"/>
              </w:rPr>
              <w:t>Total change</w:t>
            </w:r>
          </w:p>
        </w:tc>
        <w:tc>
          <w:tcPr>
            <w:tcW w:w="2200" w:type="dxa"/>
            <w:tcBorders>
              <w:top w:val="nil"/>
              <w:left w:val="nil"/>
              <w:bottom w:val="single" w:sz="4" w:space="0" w:color="ADD6EA"/>
              <w:right w:val="nil"/>
            </w:tcBorders>
            <w:shd w:val="clear" w:color="000000" w:fill="D6E7F0"/>
            <w:noWrap/>
            <w:vAlign w:val="bottom"/>
            <w:hideMark/>
          </w:tcPr>
          <w:p w14:paraId="4FC673FB" w14:textId="77777777" w:rsidR="005546F0" w:rsidRPr="00A75009" w:rsidRDefault="005546F0" w:rsidP="00712E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5009">
              <w:rPr>
                <w:rFonts w:ascii="Open Sans Semibold" w:eastAsia="Times New Roman" w:hAnsi="Open Sans Semibold" w:cs="Open Sans Semibold"/>
                <w:color w:val="000000"/>
                <w:sz w:val="16"/>
                <w:szCs w:val="16"/>
                <w:lang w:eastAsia="en-AU"/>
              </w:rPr>
              <w:t>-469</w:t>
            </w:r>
          </w:p>
        </w:tc>
        <w:tc>
          <w:tcPr>
            <w:tcW w:w="2320" w:type="dxa"/>
            <w:tcBorders>
              <w:top w:val="nil"/>
              <w:left w:val="nil"/>
              <w:bottom w:val="single" w:sz="4" w:space="0" w:color="ADD6EA"/>
              <w:right w:val="nil"/>
            </w:tcBorders>
            <w:shd w:val="clear" w:color="000000" w:fill="D6E7F0"/>
            <w:noWrap/>
            <w:vAlign w:val="bottom"/>
            <w:hideMark/>
          </w:tcPr>
          <w:p w14:paraId="0B5C55EE" w14:textId="77777777" w:rsidR="005546F0" w:rsidRPr="00A75009" w:rsidRDefault="005546F0" w:rsidP="00712E9D">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A75009">
              <w:rPr>
                <w:rFonts w:ascii="Open Sans Semibold" w:eastAsia="Times New Roman" w:hAnsi="Open Sans Semibold" w:cs="Open Sans Semibold"/>
                <w:color w:val="000000"/>
                <w:sz w:val="16"/>
                <w:szCs w:val="16"/>
                <w:lang w:eastAsia="en-AU"/>
              </w:rPr>
              <w:t>-84</w:t>
            </w:r>
          </w:p>
        </w:tc>
      </w:tr>
    </w:tbl>
    <w:p w14:paraId="2CB91A7F" w14:textId="77777777" w:rsidR="005546F0" w:rsidRPr="008D72BE" w:rsidRDefault="005546F0" w:rsidP="0001551F">
      <w:pPr>
        <w:pStyle w:val="CGCTablenote"/>
      </w:pPr>
      <w:r w:rsidRPr="008D72BE">
        <w:t xml:space="preserve">Note: </w:t>
      </w:r>
      <w:r w:rsidRPr="008D72BE">
        <w:tab/>
        <w:t>Table may not add due to rounding.</w:t>
      </w:r>
    </w:p>
    <w:p w14:paraId="543A3A6D" w14:textId="77777777" w:rsidR="005546F0" w:rsidRPr="008D72BE" w:rsidRDefault="005546F0" w:rsidP="0001551F">
      <w:pPr>
        <w:pStyle w:val="CGCTablenote"/>
      </w:pPr>
      <w:r w:rsidRPr="008D72BE">
        <w:t>Source: Commission calculation.</w:t>
      </w:r>
    </w:p>
    <w:p w14:paraId="58E03B97" w14:textId="77777777" w:rsidR="005546F0" w:rsidRDefault="005546F0" w:rsidP="005546F0">
      <w:pPr>
        <w:tabs>
          <w:tab w:val="clear" w:pos="567"/>
        </w:tabs>
        <w:spacing w:before="0" w:line="240" w:lineRule="auto"/>
        <w:rPr>
          <w:rFonts w:ascii="Work Sans SemiBold" w:hAnsi="Work Sans SemiBold" w:cs="Cambria Math"/>
          <w:bCs/>
          <w:color w:val="000000"/>
          <w:szCs w:val="21"/>
          <w:shd w:val="clear" w:color="auto" w:fill="FFFFFF"/>
          <w14:shadow w14:blurRad="50800" w14:dist="50800" w14:dir="5400000" w14:sx="0" w14:sy="0" w14:kx="0" w14:ky="0" w14:algn="ctr">
            <w14:srgbClr w14:val="000000">
              <w14:alpha w14:val="1000"/>
            </w14:srgbClr>
          </w14:shadow>
        </w:rPr>
      </w:pPr>
      <w:r>
        <w:br w:type="page"/>
      </w:r>
    </w:p>
    <w:p w14:paraId="1739AE01" w14:textId="77777777" w:rsidR="00A13C55" w:rsidRPr="008D72BE" w:rsidRDefault="00A13C55" w:rsidP="00A13C55">
      <w:pPr>
        <w:pStyle w:val="CGCTableHead"/>
      </w:pPr>
      <w:r w:rsidRPr="008D72BE">
        <w:lastRenderedPageBreak/>
        <w:t>Figure 3</w:t>
      </w:r>
      <w:r w:rsidRPr="008D72BE">
        <w:noBreakHyphen/>
        <w:t>3</w:t>
      </w:r>
      <w:r w:rsidRPr="008D72BE">
        <w:tab/>
        <w:t xml:space="preserve">Queensland: main changes in assessed GST needs, 2024 </w:t>
      </w:r>
      <w:proofErr w:type="gramStart"/>
      <w:r w:rsidRPr="008D72BE">
        <w:t>Update</w:t>
      </w:r>
      <w:proofErr w:type="gramEnd"/>
    </w:p>
    <w:tbl>
      <w:tblPr>
        <w:tblW w:w="8960" w:type="dxa"/>
        <w:tblLook w:val="04A0" w:firstRow="1" w:lastRow="0" w:firstColumn="1" w:lastColumn="0" w:noHBand="0" w:noVBand="1"/>
      </w:tblPr>
      <w:tblGrid>
        <w:gridCol w:w="2940"/>
        <w:gridCol w:w="760"/>
        <w:gridCol w:w="760"/>
        <w:gridCol w:w="4500"/>
      </w:tblGrid>
      <w:tr w:rsidR="00BE12D4" w14:paraId="55A2CDDC" w14:textId="77777777" w:rsidTr="00AA1F99">
        <w:trPr>
          <w:trHeight w:val="375"/>
        </w:trPr>
        <w:tc>
          <w:tcPr>
            <w:tcW w:w="2940" w:type="dxa"/>
            <w:tcBorders>
              <w:top w:val="nil"/>
              <w:left w:val="nil"/>
              <w:bottom w:val="nil"/>
              <w:right w:val="nil"/>
            </w:tcBorders>
            <w:shd w:val="clear" w:color="000000" w:fill="006991"/>
            <w:noWrap/>
            <w:tcMar>
              <w:top w:w="15" w:type="dxa"/>
              <w:left w:w="15" w:type="dxa"/>
              <w:bottom w:w="0" w:type="dxa"/>
              <w:right w:w="15" w:type="dxa"/>
            </w:tcMar>
            <w:vAlign w:val="bottom"/>
            <w:hideMark/>
          </w:tcPr>
          <w:p w14:paraId="15D12258" w14:textId="77777777" w:rsidR="00BE12D4" w:rsidRDefault="00BE12D4" w:rsidP="00E61601">
            <w:pPr>
              <w:tabs>
                <w:tab w:val="clear" w:pos="567"/>
              </w:tabs>
              <w:spacing w:before="0" w:line="240" w:lineRule="auto"/>
              <w:ind w:left="92" w:hanging="42"/>
              <w:rPr>
                <w:rFonts w:ascii="Open Sans Semibold" w:hAnsi="Open Sans Semibold" w:cs="Open Sans Semibold"/>
                <w:color w:val="FFFFFF"/>
                <w:szCs w:val="20"/>
              </w:rPr>
            </w:pPr>
            <w:r>
              <w:rPr>
                <w:rFonts w:ascii="Open Sans Semibold" w:hAnsi="Open Sans Semibold" w:cs="Open Sans Semibold"/>
                <w:color w:val="FFFFFF"/>
                <w:szCs w:val="20"/>
              </w:rPr>
              <w:t>Changes in circumstances</w:t>
            </w:r>
          </w:p>
        </w:tc>
        <w:tc>
          <w:tcPr>
            <w:tcW w:w="760" w:type="dxa"/>
            <w:tcBorders>
              <w:top w:val="nil"/>
              <w:left w:val="nil"/>
              <w:bottom w:val="nil"/>
              <w:right w:val="nil"/>
            </w:tcBorders>
            <w:shd w:val="clear" w:color="000000" w:fill="006991"/>
            <w:noWrap/>
            <w:tcMar>
              <w:top w:w="15" w:type="dxa"/>
              <w:left w:w="15" w:type="dxa"/>
              <w:bottom w:w="0" w:type="dxa"/>
              <w:right w:w="15" w:type="dxa"/>
            </w:tcMar>
            <w:vAlign w:val="bottom"/>
            <w:hideMark/>
          </w:tcPr>
          <w:p w14:paraId="131F4BDF" w14:textId="77777777" w:rsidR="00BE12D4" w:rsidRDefault="00BE12D4" w:rsidP="00BE12D4">
            <w:pPr>
              <w:spacing w:line="240" w:lineRule="auto"/>
              <w:rPr>
                <w:rFonts w:ascii="Open Sans Semibold" w:hAnsi="Open Sans Semibold" w:cs="Open Sans Semibold"/>
                <w:color w:val="FFFFFF"/>
                <w:szCs w:val="20"/>
              </w:rPr>
            </w:pPr>
            <w:r>
              <w:rPr>
                <w:rFonts w:ascii="Open Sans Semibold" w:hAnsi="Open Sans Semibold" w:cs="Open Sans Semibold"/>
                <w:color w:val="FFFFFF"/>
                <w:szCs w:val="20"/>
              </w:rPr>
              <w:t> </w:t>
            </w:r>
          </w:p>
        </w:tc>
        <w:tc>
          <w:tcPr>
            <w:tcW w:w="760" w:type="dxa"/>
            <w:tcBorders>
              <w:top w:val="nil"/>
              <w:left w:val="nil"/>
              <w:bottom w:val="nil"/>
              <w:right w:val="nil"/>
            </w:tcBorders>
            <w:shd w:val="clear" w:color="000000" w:fill="006991"/>
            <w:noWrap/>
            <w:tcMar>
              <w:top w:w="15" w:type="dxa"/>
              <w:left w:w="15" w:type="dxa"/>
              <w:bottom w:w="0" w:type="dxa"/>
              <w:right w:w="15" w:type="dxa"/>
            </w:tcMar>
            <w:vAlign w:val="bottom"/>
            <w:hideMark/>
          </w:tcPr>
          <w:p w14:paraId="32AE6731" w14:textId="77777777" w:rsidR="00BE12D4" w:rsidRDefault="00BE12D4" w:rsidP="00BE12D4">
            <w:pPr>
              <w:spacing w:line="240" w:lineRule="auto"/>
              <w:rPr>
                <w:rFonts w:ascii="Open Sans Semibold" w:hAnsi="Open Sans Semibold" w:cs="Open Sans Semibold"/>
                <w:color w:val="FFFFFF"/>
                <w:szCs w:val="20"/>
              </w:rPr>
            </w:pPr>
            <w:r>
              <w:rPr>
                <w:rFonts w:ascii="Open Sans Semibold" w:hAnsi="Open Sans Semibold" w:cs="Open Sans Semibold"/>
                <w:color w:val="FFFFFF"/>
                <w:szCs w:val="20"/>
              </w:rPr>
              <w:t> </w:t>
            </w:r>
          </w:p>
        </w:tc>
        <w:tc>
          <w:tcPr>
            <w:tcW w:w="4500" w:type="dxa"/>
            <w:tcBorders>
              <w:top w:val="nil"/>
              <w:left w:val="nil"/>
              <w:bottom w:val="nil"/>
              <w:right w:val="nil"/>
            </w:tcBorders>
            <w:shd w:val="clear" w:color="000000" w:fill="006991"/>
            <w:noWrap/>
            <w:tcMar>
              <w:top w:w="15" w:type="dxa"/>
              <w:left w:w="15" w:type="dxa"/>
              <w:bottom w:w="0" w:type="dxa"/>
              <w:right w:w="15" w:type="dxa"/>
            </w:tcMar>
            <w:vAlign w:val="bottom"/>
            <w:hideMark/>
          </w:tcPr>
          <w:p w14:paraId="67B99555" w14:textId="77777777" w:rsidR="00BE12D4" w:rsidRDefault="00BE12D4" w:rsidP="00BE12D4">
            <w:pPr>
              <w:spacing w:line="240" w:lineRule="auto"/>
              <w:rPr>
                <w:rFonts w:ascii="Open Sans Semibold" w:hAnsi="Open Sans Semibold" w:cs="Open Sans Semibold"/>
                <w:color w:val="FFFFFF"/>
                <w:szCs w:val="20"/>
              </w:rPr>
            </w:pPr>
            <w:r>
              <w:rPr>
                <w:rFonts w:ascii="Open Sans Semibold" w:hAnsi="Open Sans Semibold" w:cs="Open Sans Semibold"/>
                <w:color w:val="FFFFFF"/>
                <w:szCs w:val="20"/>
              </w:rPr>
              <w:t> </w:t>
            </w:r>
          </w:p>
        </w:tc>
      </w:tr>
      <w:tr w:rsidR="00BE12D4" w14:paraId="7D66158E" w14:textId="77777777" w:rsidTr="00AA1F99">
        <w:trPr>
          <w:trHeight w:val="352"/>
        </w:trPr>
        <w:tc>
          <w:tcPr>
            <w:tcW w:w="0" w:type="auto"/>
            <w:tcBorders>
              <w:top w:val="single" w:sz="4" w:space="0" w:color="ADD6EA"/>
              <w:left w:val="nil"/>
              <w:bottom w:val="single" w:sz="4" w:space="0" w:color="ADD6EA"/>
              <w:right w:val="nil"/>
            </w:tcBorders>
            <w:shd w:val="clear" w:color="000000" w:fill="B6D5E4"/>
            <w:noWrap/>
            <w:tcMar>
              <w:top w:w="15" w:type="dxa"/>
              <w:left w:w="15" w:type="dxa"/>
              <w:bottom w:w="0" w:type="dxa"/>
              <w:right w:w="15" w:type="dxa"/>
            </w:tcMar>
            <w:vAlign w:val="bottom"/>
            <w:hideMark/>
          </w:tcPr>
          <w:p w14:paraId="61C04956" w14:textId="77777777" w:rsidR="00BE12D4" w:rsidRPr="00BE12D4" w:rsidRDefault="00BE12D4" w:rsidP="00E61601">
            <w:pPr>
              <w:tabs>
                <w:tab w:val="clear" w:pos="567"/>
              </w:tabs>
              <w:spacing w:before="0" w:line="240" w:lineRule="auto"/>
              <w:ind w:left="64"/>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Driver</w:t>
            </w:r>
          </w:p>
        </w:tc>
        <w:tc>
          <w:tcPr>
            <w:tcW w:w="0" w:type="auto"/>
            <w:gridSpan w:val="2"/>
            <w:tcBorders>
              <w:top w:val="single" w:sz="4" w:space="0" w:color="ADD6EA"/>
              <w:left w:val="nil"/>
              <w:bottom w:val="single" w:sz="4" w:space="0" w:color="ADD6EA"/>
              <w:right w:val="nil"/>
            </w:tcBorders>
            <w:shd w:val="clear" w:color="000000" w:fill="B6D5E4"/>
            <w:noWrap/>
            <w:tcMar>
              <w:top w:w="15" w:type="dxa"/>
              <w:left w:w="15" w:type="dxa"/>
              <w:bottom w:w="0" w:type="dxa"/>
              <w:right w:w="15" w:type="dxa"/>
            </w:tcMar>
            <w:vAlign w:val="bottom"/>
            <w:hideMark/>
          </w:tcPr>
          <w:p w14:paraId="28CA4EF8" w14:textId="77777777" w:rsidR="00BE12D4" w:rsidRPr="00BE12D4" w:rsidRDefault="00BE12D4" w:rsidP="00BE12D4">
            <w:pPr>
              <w:tabs>
                <w:tab w:val="clear" w:pos="567"/>
              </w:tabs>
              <w:spacing w:before="0" w:line="240" w:lineRule="auto"/>
              <w:jc w:val="center"/>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Change</w:t>
            </w:r>
          </w:p>
        </w:tc>
        <w:tc>
          <w:tcPr>
            <w:tcW w:w="0" w:type="auto"/>
            <w:tcBorders>
              <w:top w:val="single" w:sz="4" w:space="0" w:color="ADD6EA"/>
              <w:left w:val="nil"/>
              <w:bottom w:val="single" w:sz="4" w:space="0" w:color="ADD6EA"/>
              <w:right w:val="nil"/>
            </w:tcBorders>
            <w:shd w:val="clear" w:color="000000" w:fill="B6D5E4"/>
            <w:noWrap/>
            <w:tcMar>
              <w:top w:w="15" w:type="dxa"/>
              <w:left w:w="15" w:type="dxa"/>
              <w:bottom w:w="0" w:type="dxa"/>
              <w:right w:w="15" w:type="dxa"/>
            </w:tcMar>
            <w:vAlign w:val="bottom"/>
            <w:hideMark/>
          </w:tcPr>
          <w:p w14:paraId="74445B0E" w14:textId="77777777" w:rsidR="00BE12D4" w:rsidRPr="00BE12D4" w:rsidRDefault="00BE12D4" w:rsidP="00E61601">
            <w:pPr>
              <w:tabs>
                <w:tab w:val="clear" w:pos="567"/>
              </w:tabs>
              <w:spacing w:before="0" w:line="240" w:lineRule="auto"/>
              <w:ind w:left="56"/>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Explanation</w:t>
            </w:r>
          </w:p>
        </w:tc>
      </w:tr>
      <w:tr w:rsidR="00BE12D4" w14:paraId="7CE16A8C" w14:textId="77777777" w:rsidTr="00AA1F99">
        <w:trPr>
          <w:trHeight w:val="326"/>
        </w:trPr>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055D0F6" w14:textId="5C10D8B6" w:rsidR="00BE12D4" w:rsidRPr="00BE12D4" w:rsidRDefault="00BE12D4" w:rsidP="00BE12D4">
            <w:pPr>
              <w:tabs>
                <w:tab w:val="clear" w:pos="567"/>
              </w:tabs>
              <w:spacing w:before="0" w:line="240" w:lineRule="auto"/>
              <w:rPr>
                <w:rFonts w:ascii="Open Sans Semibold" w:eastAsia="Times New Roman" w:hAnsi="Open Sans Semibold" w:cs="Open Sans Semibold"/>
                <w:szCs w:val="20"/>
                <w:lang w:eastAsia="en-AU"/>
              </w:rPr>
            </w:pP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73E4842" w14:textId="77777777" w:rsidR="00BE12D4" w:rsidRPr="00BE12D4" w:rsidRDefault="00BE12D4" w:rsidP="00BE12D4">
            <w:pPr>
              <w:tabs>
                <w:tab w:val="clear" w:pos="567"/>
              </w:tabs>
              <w:spacing w:before="0" w:line="240" w:lineRule="auto"/>
              <w:jc w:val="center"/>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$m</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7B66CC1D" w14:textId="77777777" w:rsidR="00BE12D4" w:rsidRPr="00BE12D4" w:rsidRDefault="00BE12D4" w:rsidP="00BE12D4">
            <w:pPr>
              <w:tabs>
                <w:tab w:val="clear" w:pos="567"/>
              </w:tabs>
              <w:spacing w:before="0" w:line="240" w:lineRule="auto"/>
              <w:jc w:val="center"/>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$pc</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31B160F5" w14:textId="0D569843" w:rsidR="00BE12D4" w:rsidRPr="00BE12D4" w:rsidRDefault="00BE12D4" w:rsidP="00BE12D4">
            <w:pPr>
              <w:tabs>
                <w:tab w:val="clear" w:pos="567"/>
              </w:tabs>
              <w:spacing w:before="0" w:line="240" w:lineRule="auto"/>
              <w:rPr>
                <w:rFonts w:ascii="Open Sans Semibold" w:eastAsia="Times New Roman" w:hAnsi="Open Sans Semibold" w:cs="Open Sans Semibold"/>
                <w:szCs w:val="20"/>
                <w:lang w:eastAsia="en-AU"/>
              </w:rPr>
            </w:pPr>
          </w:p>
        </w:tc>
      </w:tr>
      <w:tr w:rsidR="00BE12D4" w14:paraId="47112347" w14:textId="77777777" w:rsidTr="00AA1F99">
        <w:trPr>
          <w:trHeight w:val="1200"/>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6EC16B00" w14:textId="77777777" w:rsidR="00BE12D4" w:rsidRPr="00BE12D4" w:rsidRDefault="00BE12D4" w:rsidP="00E61601">
            <w:pPr>
              <w:tabs>
                <w:tab w:val="clear" w:pos="567"/>
              </w:tabs>
              <w:spacing w:before="0" w:line="240" w:lineRule="auto"/>
              <w:ind w:left="6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Mining production</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0D32DFCE"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-1,734</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73C09E9A"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-309</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3F915FB3" w14:textId="3FECEBF5" w:rsidR="00BE12D4" w:rsidRPr="00BE12D4" w:rsidRDefault="00BE12D4" w:rsidP="00E61601">
            <w:pPr>
              <w:tabs>
                <w:tab w:val="clear" w:pos="567"/>
              </w:tabs>
              <w:spacing w:before="0" w:line="240" w:lineRule="auto"/>
              <w:ind w:left="70" w:firstLine="1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A large increase in coal prices and average coal royalty rates between 2019</w:t>
            </w:r>
            <w:r>
              <w:rPr>
                <w:rFonts w:ascii="Open Sans Light" w:eastAsia="Times New Roman" w:hAnsi="Open Sans Light" w:cs="Open Sans Light"/>
                <w:szCs w:val="20"/>
                <w:lang w:eastAsia="en-AU"/>
              </w:rPr>
              <w:t>–</w:t>
            </w:r>
            <w:r w:rsidRPr="00BE12D4">
              <w:rPr>
                <w:rFonts w:ascii="Open Sans Light" w:eastAsia="Times New Roman" w:hAnsi="Open Sans Light" w:cs="Open Sans Light"/>
                <w:szCs w:val="20"/>
                <w:lang w:eastAsia="en-AU"/>
              </w:rPr>
              <w:t>20 and 2022</w:t>
            </w:r>
            <w:r>
              <w:rPr>
                <w:rFonts w:ascii="Open Sans Light" w:eastAsia="Times New Roman" w:hAnsi="Open Sans Light" w:cs="Open Sans Light"/>
                <w:szCs w:val="20"/>
                <w:lang w:eastAsia="en-AU"/>
              </w:rPr>
              <w:t>–</w:t>
            </w:r>
            <w:r w:rsidRPr="00BE12D4">
              <w:rPr>
                <w:rFonts w:ascii="Open Sans Light" w:eastAsia="Times New Roman" w:hAnsi="Open Sans Light" w:cs="Open Sans Light"/>
                <w:szCs w:val="20"/>
                <w:lang w:eastAsia="en-AU"/>
              </w:rPr>
              <w:t>23 increased coal royalties. This increased Queensland’s relative mining revenue capacity.</w:t>
            </w:r>
          </w:p>
        </w:tc>
      </w:tr>
      <w:tr w:rsidR="00BE12D4" w14:paraId="197ADA9A" w14:textId="77777777" w:rsidTr="00AA1F99">
        <w:trPr>
          <w:trHeight w:val="2006"/>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77833F0B" w14:textId="77777777" w:rsidR="00BE12D4" w:rsidRPr="00BE12D4" w:rsidRDefault="00BE12D4" w:rsidP="00E61601">
            <w:pPr>
              <w:tabs>
                <w:tab w:val="clear" w:pos="567"/>
              </w:tabs>
              <w:spacing w:before="0" w:line="240" w:lineRule="auto"/>
              <w:ind w:left="6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Capital improvements</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01168A8D"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-191</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58CDF8F2"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-34</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70D43ED1" w14:textId="77777777" w:rsidR="00BE12D4" w:rsidRPr="00BE12D4" w:rsidRDefault="00BE12D4" w:rsidP="00E61601">
            <w:pPr>
              <w:tabs>
                <w:tab w:val="clear" w:pos="567"/>
              </w:tabs>
              <w:spacing w:before="0" w:line="240" w:lineRule="auto"/>
              <w:ind w:left="70" w:firstLine="1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Strong growth in national urban transport investment reduced the relative needs of states with below-average needs for urban transport, including Queensland. Weak growth in national investment in rural roads, for which Queensland has above-average needs, also reduced its assessed GST needs.</w:t>
            </w:r>
          </w:p>
        </w:tc>
      </w:tr>
      <w:tr w:rsidR="00BE12D4" w14:paraId="476AE778" w14:textId="77777777" w:rsidTr="00AA1F99">
        <w:trPr>
          <w:trHeight w:val="900"/>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19211765" w14:textId="77777777" w:rsidR="00BE12D4" w:rsidRPr="00BE12D4" w:rsidRDefault="00BE12D4" w:rsidP="00E61601">
            <w:pPr>
              <w:tabs>
                <w:tab w:val="clear" w:pos="567"/>
              </w:tabs>
              <w:spacing w:before="0" w:line="240" w:lineRule="auto"/>
              <w:ind w:left="6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Taxable land values</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258B422E"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128</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6A7692EF"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23</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61EFCBD0" w14:textId="22F8170B" w:rsidR="00BE12D4" w:rsidRPr="00BE12D4" w:rsidRDefault="00BE12D4" w:rsidP="00E61601">
            <w:pPr>
              <w:tabs>
                <w:tab w:val="clear" w:pos="567"/>
              </w:tabs>
              <w:spacing w:before="0" w:line="240" w:lineRule="auto"/>
              <w:ind w:left="70" w:firstLine="1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Below-average growth in taxable land values decreased Queensland’s relative revenue</w:t>
            </w:r>
            <w:r w:rsidR="00F229E9">
              <w:rPr>
                <w:rFonts w:ascii="Open Sans Light" w:eastAsia="Times New Roman" w:hAnsi="Open Sans Light" w:cs="Open Sans Light"/>
                <w:szCs w:val="20"/>
                <w:lang w:eastAsia="en-AU"/>
              </w:rPr>
              <w:t xml:space="preserve"> </w:t>
            </w:r>
            <w:r w:rsidRPr="00BE12D4">
              <w:rPr>
                <w:rFonts w:ascii="Open Sans Light" w:eastAsia="Times New Roman" w:hAnsi="Open Sans Light" w:cs="Open Sans Light"/>
                <w:szCs w:val="20"/>
                <w:lang w:eastAsia="en-AU"/>
              </w:rPr>
              <w:t>raising capacity.</w:t>
            </w:r>
          </w:p>
        </w:tc>
      </w:tr>
      <w:tr w:rsidR="00BE12D4" w14:paraId="51AA2677" w14:textId="77777777" w:rsidTr="00AA1F99">
        <w:trPr>
          <w:trHeight w:val="2234"/>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6B3EB890" w14:textId="77777777" w:rsidR="00BE12D4" w:rsidRPr="00BE12D4" w:rsidRDefault="00BE12D4" w:rsidP="00E61601">
            <w:pPr>
              <w:tabs>
                <w:tab w:val="clear" w:pos="567"/>
              </w:tabs>
              <w:spacing w:before="0" w:line="240" w:lineRule="auto"/>
              <w:ind w:left="6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Urban centre characteristics</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603B6193"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108</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611B2894"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19</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69F0B059" w14:textId="1D2453ED" w:rsidR="00BE12D4" w:rsidRPr="00BE12D4" w:rsidRDefault="00BE12D4" w:rsidP="00E61601">
            <w:pPr>
              <w:tabs>
                <w:tab w:val="clear" w:pos="567"/>
              </w:tabs>
              <w:spacing w:before="0" w:line="240" w:lineRule="auto"/>
              <w:ind w:left="70" w:firstLine="1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Above-average growth in Queensland’s urban population and population-weighted density between 2019</w:t>
            </w:r>
            <w:r>
              <w:rPr>
                <w:rFonts w:ascii="Open Sans Light" w:eastAsia="Times New Roman" w:hAnsi="Open Sans Light" w:cs="Open Sans Light"/>
                <w:szCs w:val="20"/>
                <w:lang w:eastAsia="en-AU"/>
              </w:rPr>
              <w:t>–</w:t>
            </w:r>
            <w:r w:rsidRPr="00BE12D4">
              <w:rPr>
                <w:rFonts w:ascii="Open Sans Light" w:eastAsia="Times New Roman" w:hAnsi="Open Sans Light" w:cs="Open Sans Light"/>
                <w:szCs w:val="20"/>
                <w:lang w:eastAsia="en-AU"/>
              </w:rPr>
              <w:t>20 and 2022</w:t>
            </w:r>
            <w:r>
              <w:rPr>
                <w:rFonts w:ascii="Open Sans Light" w:eastAsia="Times New Roman" w:hAnsi="Open Sans Light" w:cs="Open Sans Light"/>
                <w:szCs w:val="20"/>
                <w:lang w:eastAsia="en-AU"/>
              </w:rPr>
              <w:t>–</w:t>
            </w:r>
            <w:r w:rsidRPr="00BE12D4">
              <w:rPr>
                <w:rFonts w:ascii="Open Sans Light" w:eastAsia="Times New Roman" w:hAnsi="Open Sans Light" w:cs="Open Sans Light"/>
                <w:szCs w:val="20"/>
                <w:lang w:eastAsia="en-AU"/>
              </w:rPr>
              <w:t>23 increased its assessed urban transport expenses. Slow growth in national recurrent spending on urban transport, for which Queensland has below-average needs, further increased its assessed GST needs.</w:t>
            </w:r>
          </w:p>
        </w:tc>
      </w:tr>
      <w:tr w:rsidR="00BE12D4" w14:paraId="32F201E2" w14:textId="77777777" w:rsidTr="00AA1F99">
        <w:trPr>
          <w:trHeight w:val="968"/>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07927ECC" w14:textId="77777777" w:rsidR="00BE12D4" w:rsidRPr="00BE12D4" w:rsidRDefault="00BE12D4" w:rsidP="00E61601">
            <w:pPr>
              <w:tabs>
                <w:tab w:val="clear" w:pos="567"/>
              </w:tabs>
              <w:spacing w:before="0" w:line="240" w:lineRule="auto"/>
              <w:ind w:left="6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Commonwealth payments</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1A170A3D"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94</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00F08D7F"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17</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2770F19E" w14:textId="19DE74A9" w:rsidR="00BE12D4" w:rsidRPr="00BE12D4" w:rsidRDefault="00BE12D4" w:rsidP="00E61601">
            <w:pPr>
              <w:tabs>
                <w:tab w:val="clear" w:pos="567"/>
              </w:tabs>
              <w:spacing w:before="0" w:line="240" w:lineRule="auto"/>
              <w:ind w:left="70" w:firstLine="1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Queensland received a smaller share of assessed Commonwealth payments in 2022</w:t>
            </w:r>
            <w:r>
              <w:rPr>
                <w:rFonts w:ascii="Open Sans Light" w:eastAsia="Times New Roman" w:hAnsi="Open Sans Light" w:cs="Open Sans Light"/>
                <w:szCs w:val="20"/>
                <w:lang w:eastAsia="en-AU"/>
              </w:rPr>
              <w:t>–</w:t>
            </w:r>
            <w:r w:rsidRPr="00BE12D4">
              <w:rPr>
                <w:rFonts w:ascii="Open Sans Light" w:eastAsia="Times New Roman" w:hAnsi="Open Sans Light" w:cs="Open Sans Light"/>
                <w:szCs w:val="20"/>
                <w:lang w:eastAsia="en-AU"/>
              </w:rPr>
              <w:t>23 than in 2019</w:t>
            </w:r>
            <w:r>
              <w:rPr>
                <w:rFonts w:ascii="Open Sans Light" w:eastAsia="Times New Roman" w:hAnsi="Open Sans Light" w:cs="Open Sans Light"/>
                <w:szCs w:val="20"/>
                <w:lang w:eastAsia="en-AU"/>
              </w:rPr>
              <w:t>–</w:t>
            </w:r>
            <w:r w:rsidRPr="00BE12D4">
              <w:rPr>
                <w:rFonts w:ascii="Open Sans Light" w:eastAsia="Times New Roman" w:hAnsi="Open Sans Light" w:cs="Open Sans Light"/>
                <w:szCs w:val="20"/>
                <w:lang w:eastAsia="en-AU"/>
              </w:rPr>
              <w:t xml:space="preserve">20, increasing its assessed GST needs.  </w:t>
            </w:r>
          </w:p>
        </w:tc>
      </w:tr>
      <w:tr w:rsidR="00BE12D4" w14:paraId="11BAFC99" w14:textId="77777777" w:rsidTr="00AA1F99">
        <w:trPr>
          <w:trHeight w:val="177"/>
        </w:trPr>
        <w:tc>
          <w:tcPr>
            <w:tcW w:w="0" w:type="auto"/>
            <w:tcBorders>
              <w:top w:val="nil"/>
              <w:left w:val="nil"/>
              <w:bottom w:val="single" w:sz="4" w:space="0" w:color="ADD6EA"/>
              <w:right w:val="nil"/>
            </w:tcBorders>
            <w:shd w:val="clear" w:color="000000" w:fill="006991"/>
            <w:noWrap/>
            <w:tcMar>
              <w:top w:w="15" w:type="dxa"/>
              <w:left w:w="15" w:type="dxa"/>
              <w:bottom w:w="0" w:type="dxa"/>
              <w:right w:w="15" w:type="dxa"/>
            </w:tcMar>
            <w:vAlign w:val="bottom"/>
            <w:hideMark/>
          </w:tcPr>
          <w:p w14:paraId="100D99A7" w14:textId="77777777" w:rsidR="00BE12D4" w:rsidRDefault="00BE12D4" w:rsidP="00E61601">
            <w:pPr>
              <w:spacing w:line="240" w:lineRule="auto"/>
              <w:ind w:left="78"/>
              <w:rPr>
                <w:rFonts w:ascii="Open Sans Semibold" w:hAnsi="Open Sans Semibold" w:cs="Open Sans Semibold"/>
                <w:color w:val="FFFFFF"/>
                <w:szCs w:val="20"/>
              </w:rPr>
            </w:pPr>
            <w:r>
              <w:rPr>
                <w:rFonts w:ascii="Open Sans Semibold" w:hAnsi="Open Sans Semibold" w:cs="Open Sans Semibold"/>
                <w:color w:val="FFFFFF"/>
                <w:szCs w:val="20"/>
              </w:rPr>
              <w:t>Revisions</w:t>
            </w:r>
          </w:p>
        </w:tc>
        <w:tc>
          <w:tcPr>
            <w:tcW w:w="0" w:type="auto"/>
            <w:tcBorders>
              <w:top w:val="nil"/>
              <w:left w:val="nil"/>
              <w:bottom w:val="single" w:sz="4" w:space="0" w:color="ADD6EA"/>
              <w:right w:val="nil"/>
            </w:tcBorders>
            <w:shd w:val="clear" w:color="000000" w:fill="006991"/>
            <w:noWrap/>
            <w:tcMar>
              <w:top w:w="15" w:type="dxa"/>
              <w:left w:w="15" w:type="dxa"/>
              <w:bottom w:w="0" w:type="dxa"/>
              <w:right w:w="15" w:type="dxa"/>
            </w:tcMar>
            <w:vAlign w:val="bottom"/>
            <w:hideMark/>
          </w:tcPr>
          <w:p w14:paraId="74CC5A01" w14:textId="77777777" w:rsidR="00BE12D4" w:rsidRDefault="00BE12D4" w:rsidP="00BE12D4">
            <w:pPr>
              <w:spacing w:line="240" w:lineRule="auto"/>
              <w:rPr>
                <w:rFonts w:ascii="Open Sans Semibold" w:hAnsi="Open Sans Semibold" w:cs="Open Sans Semibold"/>
                <w:color w:val="FFFFFF"/>
                <w:szCs w:val="20"/>
              </w:rPr>
            </w:pPr>
            <w:r>
              <w:rPr>
                <w:rFonts w:ascii="Open Sans Semibold" w:hAnsi="Open Sans Semibold" w:cs="Open Sans Semibold"/>
                <w:color w:val="FFFFFF"/>
                <w:szCs w:val="20"/>
              </w:rPr>
              <w:t> </w:t>
            </w:r>
          </w:p>
        </w:tc>
        <w:tc>
          <w:tcPr>
            <w:tcW w:w="0" w:type="auto"/>
            <w:tcBorders>
              <w:top w:val="nil"/>
              <w:left w:val="nil"/>
              <w:bottom w:val="single" w:sz="4" w:space="0" w:color="ADD6EA"/>
              <w:right w:val="nil"/>
            </w:tcBorders>
            <w:shd w:val="clear" w:color="000000" w:fill="006991"/>
            <w:noWrap/>
            <w:tcMar>
              <w:top w:w="15" w:type="dxa"/>
              <w:left w:w="15" w:type="dxa"/>
              <w:bottom w:w="0" w:type="dxa"/>
              <w:right w:w="15" w:type="dxa"/>
            </w:tcMar>
            <w:vAlign w:val="bottom"/>
            <w:hideMark/>
          </w:tcPr>
          <w:p w14:paraId="5EA5DD5C" w14:textId="77777777" w:rsidR="00BE12D4" w:rsidRDefault="00BE12D4" w:rsidP="00BE12D4">
            <w:pPr>
              <w:spacing w:line="240" w:lineRule="auto"/>
              <w:rPr>
                <w:rFonts w:ascii="Open Sans Semibold" w:hAnsi="Open Sans Semibold" w:cs="Open Sans Semibold"/>
                <w:color w:val="FFFFFF"/>
                <w:szCs w:val="20"/>
              </w:rPr>
            </w:pPr>
            <w:r>
              <w:rPr>
                <w:rFonts w:ascii="Open Sans Semibold" w:hAnsi="Open Sans Semibold" w:cs="Open Sans Semibold"/>
                <w:color w:val="FFFFFF"/>
                <w:szCs w:val="20"/>
              </w:rPr>
              <w:t> </w:t>
            </w:r>
          </w:p>
        </w:tc>
        <w:tc>
          <w:tcPr>
            <w:tcW w:w="0" w:type="auto"/>
            <w:tcBorders>
              <w:top w:val="nil"/>
              <w:left w:val="nil"/>
              <w:bottom w:val="single" w:sz="4" w:space="0" w:color="ADD6EA"/>
              <w:right w:val="nil"/>
            </w:tcBorders>
            <w:shd w:val="clear" w:color="000000" w:fill="006991"/>
            <w:noWrap/>
            <w:tcMar>
              <w:top w:w="15" w:type="dxa"/>
              <w:left w:w="15" w:type="dxa"/>
              <w:bottom w:w="0" w:type="dxa"/>
              <w:right w:w="15" w:type="dxa"/>
            </w:tcMar>
            <w:vAlign w:val="bottom"/>
            <w:hideMark/>
          </w:tcPr>
          <w:p w14:paraId="1C29FC26" w14:textId="77777777" w:rsidR="00BE12D4" w:rsidRDefault="00BE12D4" w:rsidP="00BE12D4">
            <w:pPr>
              <w:spacing w:line="240" w:lineRule="auto"/>
              <w:rPr>
                <w:rFonts w:ascii="Open Sans Semibold" w:hAnsi="Open Sans Semibold" w:cs="Open Sans Semibold"/>
                <w:color w:val="FFFFFF"/>
                <w:szCs w:val="20"/>
              </w:rPr>
            </w:pPr>
            <w:r>
              <w:rPr>
                <w:rFonts w:ascii="Open Sans Semibold" w:hAnsi="Open Sans Semibold" w:cs="Open Sans Semibold"/>
                <w:color w:val="FFFFFF"/>
                <w:szCs w:val="20"/>
              </w:rPr>
              <w:t> </w:t>
            </w:r>
          </w:p>
        </w:tc>
      </w:tr>
      <w:tr w:rsidR="00BE12D4" w14:paraId="46E64B33" w14:textId="77777777" w:rsidTr="00AA1F99">
        <w:trPr>
          <w:trHeight w:val="375"/>
        </w:trPr>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4D79354D" w14:textId="77777777" w:rsidR="00BE12D4" w:rsidRPr="00BE12D4" w:rsidRDefault="00BE12D4" w:rsidP="00E61601">
            <w:pPr>
              <w:tabs>
                <w:tab w:val="clear" w:pos="567"/>
              </w:tabs>
              <w:spacing w:before="0" w:line="240" w:lineRule="auto"/>
              <w:ind w:left="78"/>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Driver</w:t>
            </w:r>
          </w:p>
        </w:tc>
        <w:tc>
          <w:tcPr>
            <w:tcW w:w="0" w:type="auto"/>
            <w:gridSpan w:val="2"/>
            <w:tcBorders>
              <w:top w:val="single" w:sz="4" w:space="0" w:color="ADD6EA"/>
              <w:left w:val="nil"/>
              <w:bottom w:val="single" w:sz="4" w:space="0" w:color="ADD6EA"/>
              <w:right w:val="nil"/>
            </w:tcBorders>
            <w:shd w:val="clear" w:color="000000" w:fill="B6D5E4"/>
            <w:noWrap/>
            <w:tcMar>
              <w:top w:w="15" w:type="dxa"/>
              <w:left w:w="15" w:type="dxa"/>
              <w:bottom w:w="0" w:type="dxa"/>
              <w:right w:w="15" w:type="dxa"/>
            </w:tcMar>
            <w:vAlign w:val="bottom"/>
            <w:hideMark/>
          </w:tcPr>
          <w:p w14:paraId="3DFE9BE5" w14:textId="77777777" w:rsidR="00BE12D4" w:rsidRPr="00BE12D4" w:rsidRDefault="00BE12D4" w:rsidP="00BE12D4">
            <w:pPr>
              <w:tabs>
                <w:tab w:val="clear" w:pos="567"/>
              </w:tabs>
              <w:spacing w:before="0" w:line="240" w:lineRule="auto"/>
              <w:jc w:val="center"/>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Change</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6BAF809F" w14:textId="77777777" w:rsidR="00BE12D4" w:rsidRPr="00BE12D4" w:rsidRDefault="00BE12D4" w:rsidP="00E61601">
            <w:pPr>
              <w:tabs>
                <w:tab w:val="clear" w:pos="567"/>
              </w:tabs>
              <w:spacing w:before="0" w:line="240" w:lineRule="auto"/>
              <w:ind w:left="84"/>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Explanation</w:t>
            </w:r>
          </w:p>
        </w:tc>
      </w:tr>
      <w:tr w:rsidR="00BE12D4" w14:paraId="65A82F5B" w14:textId="77777777" w:rsidTr="00AA1F99">
        <w:trPr>
          <w:trHeight w:val="259"/>
        </w:trPr>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0BDFABB0" w14:textId="77777777" w:rsidR="00BE12D4" w:rsidRPr="00BE12D4" w:rsidRDefault="00BE12D4" w:rsidP="00BE12D4">
            <w:pPr>
              <w:tabs>
                <w:tab w:val="clear" w:pos="567"/>
              </w:tabs>
              <w:spacing w:before="0" w:line="240" w:lineRule="auto"/>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 </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ECA2F58" w14:textId="77777777" w:rsidR="00BE12D4" w:rsidRPr="00BE12D4" w:rsidRDefault="00BE12D4" w:rsidP="00BE12D4">
            <w:pPr>
              <w:tabs>
                <w:tab w:val="clear" w:pos="567"/>
              </w:tabs>
              <w:spacing w:before="0" w:line="240" w:lineRule="auto"/>
              <w:jc w:val="center"/>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$m</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D87037B" w14:textId="77777777" w:rsidR="00BE12D4" w:rsidRPr="00BE12D4" w:rsidRDefault="00BE12D4" w:rsidP="00BE12D4">
            <w:pPr>
              <w:tabs>
                <w:tab w:val="clear" w:pos="567"/>
              </w:tabs>
              <w:spacing w:before="0" w:line="240" w:lineRule="auto"/>
              <w:jc w:val="center"/>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$pc</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F9D6E95" w14:textId="77777777" w:rsidR="00BE12D4" w:rsidRPr="00BE12D4" w:rsidRDefault="00BE12D4" w:rsidP="00BE12D4">
            <w:pPr>
              <w:tabs>
                <w:tab w:val="clear" w:pos="567"/>
              </w:tabs>
              <w:spacing w:before="0" w:line="240" w:lineRule="auto"/>
              <w:rPr>
                <w:rFonts w:ascii="Open Sans Semibold" w:eastAsia="Times New Roman" w:hAnsi="Open Sans Semibold" w:cs="Open Sans Semibold"/>
                <w:szCs w:val="20"/>
                <w:lang w:eastAsia="en-AU"/>
              </w:rPr>
            </w:pPr>
            <w:r w:rsidRPr="00BE12D4">
              <w:rPr>
                <w:rFonts w:ascii="Open Sans Semibold" w:eastAsia="Times New Roman" w:hAnsi="Open Sans Semibold" w:cs="Open Sans Semibold"/>
                <w:szCs w:val="20"/>
                <w:lang w:eastAsia="en-AU"/>
              </w:rPr>
              <w:t> </w:t>
            </w:r>
          </w:p>
        </w:tc>
      </w:tr>
      <w:tr w:rsidR="00BE12D4" w14:paraId="5DDF028C" w14:textId="77777777" w:rsidTr="00AA1F99">
        <w:trPr>
          <w:trHeight w:val="1215"/>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002D9F1D" w14:textId="77777777" w:rsidR="00BE12D4" w:rsidRPr="00BE12D4" w:rsidRDefault="00BE12D4" w:rsidP="00E61601">
            <w:pPr>
              <w:tabs>
                <w:tab w:val="clear" w:pos="567"/>
              </w:tabs>
              <w:spacing w:before="0" w:line="240" w:lineRule="auto"/>
              <w:ind w:left="78"/>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Capital improvements</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713DC1F8"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141</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69474E43"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25</w:t>
            </w:r>
          </w:p>
        </w:tc>
        <w:tc>
          <w:tcPr>
            <w:tcW w:w="4500" w:type="dxa"/>
            <w:tcBorders>
              <w:top w:val="nil"/>
              <w:left w:val="nil"/>
              <w:bottom w:val="single" w:sz="8" w:space="0" w:color="ADD6EA"/>
              <w:right w:val="nil"/>
            </w:tcBorders>
            <w:shd w:val="clear" w:color="auto" w:fill="auto"/>
            <w:tcMar>
              <w:top w:w="15" w:type="dxa"/>
              <w:left w:w="15" w:type="dxa"/>
              <w:bottom w:w="0" w:type="dxa"/>
              <w:right w:w="15" w:type="dxa"/>
            </w:tcMar>
            <w:vAlign w:val="center"/>
            <w:hideMark/>
          </w:tcPr>
          <w:p w14:paraId="6F9262A3" w14:textId="49D12014" w:rsidR="00BE12D4" w:rsidRPr="00BE12D4" w:rsidRDefault="00BE12D4" w:rsidP="00E61601">
            <w:pPr>
              <w:tabs>
                <w:tab w:val="clear" w:pos="567"/>
              </w:tabs>
              <w:spacing w:before="0" w:line="240" w:lineRule="auto"/>
              <w:ind w:left="8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A large downward revision to national urban transport investment in 2021</w:t>
            </w:r>
            <w:r w:rsidR="00842B3C">
              <w:rPr>
                <w:rFonts w:ascii="Open Sans Light" w:eastAsia="Times New Roman" w:hAnsi="Open Sans Light" w:cs="Open Sans Light"/>
                <w:szCs w:val="20"/>
                <w:lang w:eastAsia="en-AU"/>
              </w:rPr>
              <w:t>–</w:t>
            </w:r>
            <w:r w:rsidRPr="00BE12D4">
              <w:rPr>
                <w:rFonts w:ascii="Open Sans Light" w:eastAsia="Times New Roman" w:hAnsi="Open Sans Light" w:cs="Open Sans Light"/>
                <w:szCs w:val="20"/>
                <w:lang w:eastAsia="en-AU"/>
              </w:rPr>
              <w:t>22 increased the</w:t>
            </w:r>
            <w:r w:rsidR="00D319CC">
              <w:rPr>
                <w:rFonts w:ascii="Open Sans Light" w:eastAsia="Times New Roman" w:hAnsi="Open Sans Light" w:cs="Open Sans Light"/>
                <w:szCs w:val="20"/>
                <w:lang w:eastAsia="en-AU"/>
              </w:rPr>
              <w:t xml:space="preserve"> assessed</w:t>
            </w:r>
            <w:r w:rsidRPr="00BE12D4">
              <w:rPr>
                <w:rFonts w:ascii="Open Sans Light" w:eastAsia="Times New Roman" w:hAnsi="Open Sans Light" w:cs="Open Sans Light"/>
                <w:szCs w:val="20"/>
                <w:lang w:eastAsia="en-AU"/>
              </w:rPr>
              <w:t xml:space="preserve"> GST needs of states with below-average urban transport needs, including Queensland.</w:t>
            </w:r>
          </w:p>
        </w:tc>
      </w:tr>
      <w:tr w:rsidR="00BE12D4" w14:paraId="6F4D18E1" w14:textId="77777777" w:rsidTr="00AA1F99">
        <w:trPr>
          <w:trHeight w:val="1965"/>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4F718E19" w14:textId="0F6270F2" w:rsidR="00BE12D4" w:rsidRPr="00BE12D4" w:rsidRDefault="00BE12D4" w:rsidP="00E61601">
            <w:pPr>
              <w:tabs>
                <w:tab w:val="clear" w:pos="567"/>
              </w:tabs>
              <w:spacing w:before="0" w:line="240" w:lineRule="auto"/>
              <w:ind w:left="78"/>
              <w:rPr>
                <w:rFonts w:ascii="Open Sans Light" w:eastAsia="Times New Roman" w:hAnsi="Open Sans Light" w:cs="Open Sans Light"/>
                <w:szCs w:val="20"/>
                <w:lang w:eastAsia="en-AU"/>
              </w:rPr>
            </w:pPr>
            <w:r>
              <w:rPr>
                <w:rFonts w:ascii="Open Sans Light" w:eastAsia="Times New Roman" w:hAnsi="Open Sans Light" w:cs="Open Sans Light"/>
                <w:szCs w:val="20"/>
                <w:lang w:eastAsia="en-AU"/>
              </w:rPr>
              <w:t>Census – socio-demographic composition data</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52653BBC"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125</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10B16F4B" w14:textId="77777777" w:rsidR="00BE12D4" w:rsidRPr="00BE12D4" w:rsidRDefault="00BE12D4" w:rsidP="00BE12D4">
            <w:pPr>
              <w:tabs>
                <w:tab w:val="clear" w:pos="567"/>
              </w:tabs>
              <w:spacing w:before="0" w:line="240" w:lineRule="auto"/>
              <w:jc w:val="center"/>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22</w:t>
            </w:r>
          </w:p>
        </w:tc>
        <w:tc>
          <w:tcPr>
            <w:tcW w:w="4500" w:type="dxa"/>
            <w:tcBorders>
              <w:top w:val="nil"/>
              <w:left w:val="nil"/>
              <w:bottom w:val="single" w:sz="8" w:space="0" w:color="ADD6EA"/>
              <w:right w:val="nil"/>
            </w:tcBorders>
            <w:shd w:val="clear" w:color="auto" w:fill="auto"/>
            <w:tcMar>
              <w:top w:w="15" w:type="dxa"/>
              <w:left w:w="15" w:type="dxa"/>
              <w:bottom w:w="0" w:type="dxa"/>
              <w:right w:w="15" w:type="dxa"/>
            </w:tcMar>
            <w:vAlign w:val="center"/>
            <w:hideMark/>
          </w:tcPr>
          <w:p w14:paraId="02075B7A" w14:textId="46F00C73" w:rsidR="00BE12D4" w:rsidRPr="00BE12D4" w:rsidRDefault="00BE12D4" w:rsidP="00E61601">
            <w:pPr>
              <w:tabs>
                <w:tab w:val="clear" w:pos="567"/>
              </w:tabs>
              <w:spacing w:before="0" w:line="240" w:lineRule="auto"/>
              <w:ind w:left="84"/>
              <w:rPr>
                <w:rFonts w:ascii="Open Sans Light" w:eastAsia="Times New Roman" w:hAnsi="Open Sans Light" w:cs="Open Sans Light"/>
                <w:szCs w:val="20"/>
                <w:lang w:eastAsia="en-AU"/>
              </w:rPr>
            </w:pPr>
            <w:r w:rsidRPr="00BE12D4">
              <w:rPr>
                <w:rFonts w:ascii="Open Sans Light" w:eastAsia="Times New Roman" w:hAnsi="Open Sans Light" w:cs="Open Sans Light"/>
                <w:szCs w:val="20"/>
                <w:lang w:eastAsia="en-AU"/>
              </w:rPr>
              <w:t>New 2021 Census data showed Queensland’s population to be relatively more dispersed and its non-Indigenous population relatively more disadvantaged than in the 2016 Census. These changes increased Queensland’s assessed</w:t>
            </w:r>
            <w:r w:rsidR="00066E51">
              <w:rPr>
                <w:rFonts w:ascii="Open Sans Light" w:eastAsia="Times New Roman" w:hAnsi="Open Sans Light" w:cs="Open Sans Light"/>
                <w:szCs w:val="20"/>
                <w:lang w:eastAsia="en-AU"/>
              </w:rPr>
              <w:t xml:space="preserve"> GST</w:t>
            </w:r>
            <w:r w:rsidRPr="00BE12D4">
              <w:rPr>
                <w:rFonts w:ascii="Open Sans Light" w:eastAsia="Times New Roman" w:hAnsi="Open Sans Light" w:cs="Open Sans Light"/>
                <w:szCs w:val="20"/>
                <w:lang w:eastAsia="en-AU"/>
              </w:rPr>
              <w:t xml:space="preserve"> needs for a range of services and infrastructure, particularly health and social housing.</w:t>
            </w:r>
          </w:p>
        </w:tc>
      </w:tr>
    </w:tbl>
    <w:p w14:paraId="53FF3C9D" w14:textId="7BF61E89" w:rsidR="00A13C55" w:rsidRDefault="00A13C55" w:rsidP="00A13C55">
      <w:pPr>
        <w:pStyle w:val="CGCTablenote"/>
      </w:pPr>
      <w:r w:rsidRPr="008D72BE">
        <w:t>Source: Commission calculation.</w:t>
      </w:r>
    </w:p>
    <w:p w14:paraId="2627268F" w14:textId="3311FC0D" w:rsidR="00A13C55" w:rsidRPr="008D72BE" w:rsidRDefault="00A13C55" w:rsidP="00A13C55">
      <w:pPr>
        <w:rPr>
          <w:highlight w:val="yellow"/>
        </w:rPr>
      </w:pPr>
      <w:r w:rsidRPr="008D72BE">
        <w:br w:type="page"/>
      </w:r>
    </w:p>
    <w:p w14:paraId="125547E3" w14:textId="6E89CBCA" w:rsidR="00CF3BD3" w:rsidRDefault="00587993" w:rsidP="00587993">
      <w:pPr>
        <w:pStyle w:val="Heading2"/>
      </w:pPr>
      <w:r>
        <w:lastRenderedPageBreak/>
        <w:t>Western Australia</w:t>
      </w:r>
    </w:p>
    <w:p w14:paraId="375BF7D9" w14:textId="2E5829A5" w:rsidR="00587993" w:rsidRPr="008D72BE" w:rsidRDefault="00587993" w:rsidP="00587993">
      <w:r w:rsidRPr="008D72BE">
        <w:t xml:space="preserve">Western Australia’s share of the GST pool is estimated to increase from 7.6% to 8.1%. </w:t>
      </w:r>
      <w:proofErr w:type="gramStart"/>
      <w:r w:rsidRPr="008D72BE">
        <w:t>Taking into account</w:t>
      </w:r>
      <w:proofErr w:type="gramEnd"/>
      <w:r w:rsidRPr="008D72BE">
        <w:t xml:space="preserve"> growth in the GST pool, Western Australia’s estimated GST distribution in 2024</w:t>
      </w:r>
      <w:r w:rsidR="00393391">
        <w:t>–</w:t>
      </w:r>
      <w:r w:rsidRPr="008D72BE">
        <w:t>25 would increase by $838 million ($283 per capita), or 13%.</w:t>
      </w:r>
    </w:p>
    <w:p w14:paraId="5E401639" w14:textId="25B4FB5C" w:rsidR="00587993" w:rsidRPr="008D72BE" w:rsidRDefault="00587993" w:rsidP="00742765">
      <w:pPr>
        <w:pStyle w:val="BulletPoints"/>
      </w:pPr>
      <w:r w:rsidRPr="008D72BE">
        <w:t>Western Australia’s GST relativity is set to the GST relativity floor, which has increased from 0.70 in 2023</w:t>
      </w:r>
      <w:r w:rsidR="00446E0D">
        <w:t>–</w:t>
      </w:r>
      <w:r w:rsidRPr="008D72BE">
        <w:t>24 to 0.75 in 2024</w:t>
      </w:r>
      <w:r w:rsidR="00446E0D">
        <w:t>–</w:t>
      </w:r>
      <w:r w:rsidRPr="008D72BE">
        <w:t>25. In 2024</w:t>
      </w:r>
      <w:r w:rsidR="00446E0D">
        <w:t>–</w:t>
      </w:r>
      <w:r w:rsidRPr="008D72BE">
        <w:t>25, it is estimated to receive $462 million more from the operation of the floor than in 2023</w:t>
      </w:r>
      <w:r w:rsidR="00446E0D">
        <w:t>–</w:t>
      </w:r>
      <w:r w:rsidRPr="008D72BE">
        <w:t>24.</w:t>
      </w:r>
    </w:p>
    <w:p w14:paraId="5BA1731B" w14:textId="77777777" w:rsidR="00587993" w:rsidRPr="008D72BE" w:rsidRDefault="00587993" w:rsidP="00742765">
      <w:pPr>
        <w:pStyle w:val="BulletPoints"/>
      </w:pPr>
      <w:r w:rsidRPr="008D72BE">
        <w:t xml:space="preserve">Western Australia’s assessed GST needs increased due to: </w:t>
      </w:r>
    </w:p>
    <w:p w14:paraId="5BC9A9F3" w14:textId="77777777" w:rsidR="00587993" w:rsidRPr="008D72BE" w:rsidRDefault="00587993" w:rsidP="00742765">
      <w:pPr>
        <w:pStyle w:val="BulletPoints-Level2"/>
      </w:pPr>
      <w:r w:rsidRPr="008D72BE">
        <w:t>a relative decline in its capacity to raise mining revenue (a result of the strong growth in coal royalties relative to iron ore royalties)</w:t>
      </w:r>
    </w:p>
    <w:p w14:paraId="6289B2A1" w14:textId="659AF4D3" w:rsidR="00587993" w:rsidRPr="008D72BE" w:rsidRDefault="00587993" w:rsidP="00742765">
      <w:pPr>
        <w:pStyle w:val="BulletPoints-Level2"/>
      </w:pPr>
      <w:r w:rsidRPr="008D72BE">
        <w:t xml:space="preserve">below-average growth in the value of </w:t>
      </w:r>
      <w:r w:rsidR="00925259">
        <w:t xml:space="preserve">its </w:t>
      </w:r>
      <w:r w:rsidRPr="008D72BE">
        <w:t>taxable land values</w:t>
      </w:r>
    </w:p>
    <w:p w14:paraId="5796C525" w14:textId="77777777" w:rsidR="00587993" w:rsidRPr="008D72BE" w:rsidRDefault="00587993" w:rsidP="00742765">
      <w:pPr>
        <w:pStyle w:val="BulletPoints-Level2"/>
      </w:pPr>
      <w:r w:rsidRPr="008D72BE">
        <w:t>a separate assessment of nickel royalties.</w:t>
      </w:r>
    </w:p>
    <w:p w14:paraId="4E16038B" w14:textId="3F60CCF6" w:rsidR="00587993" w:rsidRPr="008D72BE" w:rsidRDefault="00662AAF" w:rsidP="00742765">
      <w:pPr>
        <w:pStyle w:val="BulletPoints"/>
      </w:pPr>
      <w:r>
        <w:t>Western Australia’s</w:t>
      </w:r>
      <w:r w:rsidR="00587993" w:rsidRPr="008D72BE">
        <w:t xml:space="preserve"> increase in assessed GST needs was partly offset by changes arising from:</w:t>
      </w:r>
    </w:p>
    <w:p w14:paraId="3D92C2F0" w14:textId="77777777" w:rsidR="00587993" w:rsidRPr="008D72BE" w:rsidRDefault="00587993" w:rsidP="00742765">
      <w:pPr>
        <w:pStyle w:val="BulletPoints-Level2"/>
      </w:pPr>
      <w:r w:rsidRPr="008D72BE">
        <w:t>stronger property sales</w:t>
      </w:r>
    </w:p>
    <w:p w14:paraId="424D4A0D" w14:textId="77777777" w:rsidR="00587993" w:rsidRPr="008D72BE" w:rsidRDefault="00587993" w:rsidP="00742765">
      <w:pPr>
        <w:pStyle w:val="BulletPoints-Level2"/>
      </w:pPr>
      <w:r w:rsidRPr="008D72BE">
        <w:t>above-average growth in other Commonwealth payments</w:t>
      </w:r>
    </w:p>
    <w:p w14:paraId="2A1EBEE6" w14:textId="77777777" w:rsidR="00587993" w:rsidRPr="008D72BE" w:rsidRDefault="00587993" w:rsidP="00742765">
      <w:pPr>
        <w:pStyle w:val="BulletPoints-Level2"/>
      </w:pPr>
      <w:r w:rsidRPr="008D72BE">
        <w:t>a decrease in its needs for investment in urban transport and rural roads</w:t>
      </w:r>
    </w:p>
    <w:p w14:paraId="788E3FCA" w14:textId="77777777" w:rsidR="00587993" w:rsidRPr="008D72BE" w:rsidRDefault="00587993" w:rsidP="00742765">
      <w:pPr>
        <w:pStyle w:val="BulletPoints-Level2"/>
      </w:pPr>
      <w:r w:rsidRPr="008D72BE">
        <w:t>revisions to urban population data from the latest 2021 Census release.</w:t>
      </w:r>
    </w:p>
    <w:p w14:paraId="0432181B" w14:textId="2AAE1B8C" w:rsidR="00587993" w:rsidRPr="0095123E" w:rsidRDefault="006D3F1F" w:rsidP="00742765">
      <w:pPr>
        <w:pStyle w:val="BulletPoints"/>
      </w:pPr>
      <w:r>
        <w:t xml:space="preserve">Western Australia’s </w:t>
      </w:r>
      <w:r w:rsidR="00651256">
        <w:t xml:space="preserve">estimated GST distribution also increased due to expected growth in </w:t>
      </w:r>
      <w:r w:rsidR="00651256" w:rsidRPr="0095123E">
        <w:t xml:space="preserve">the GST pool. </w:t>
      </w:r>
    </w:p>
    <w:p w14:paraId="1A970893" w14:textId="3F6B580C" w:rsidR="00587993" w:rsidRPr="008D72BE" w:rsidRDefault="00587993" w:rsidP="00742765">
      <w:pPr>
        <w:pStyle w:val="CGCTableHead"/>
        <w:ind w:left="1440" w:hanging="1440"/>
      </w:pPr>
      <w:r w:rsidRPr="0095123E">
        <w:t>Table 3-4</w:t>
      </w:r>
      <w:r w:rsidRPr="0095123E">
        <w:tab/>
        <w:t>Change in estimated GST distribution from 2023</w:t>
      </w:r>
      <w:r w:rsidR="00313020">
        <w:t>–</w:t>
      </w:r>
      <w:r w:rsidRPr="0095123E">
        <w:t>24 to 2024</w:t>
      </w:r>
      <w:r w:rsidR="00313020">
        <w:t>–</w:t>
      </w:r>
      <w:r w:rsidRPr="0095123E">
        <w:t>25, Western</w:t>
      </w:r>
      <w:r w:rsidR="00742765" w:rsidRPr="0095123E">
        <w:t> </w:t>
      </w:r>
      <w:r w:rsidRPr="0095123E">
        <w:t>Australia (excludes no worse off payments)</w:t>
      </w:r>
    </w:p>
    <w:tbl>
      <w:tblPr>
        <w:tblW w:w="8940" w:type="dxa"/>
        <w:tblLook w:val="04A0" w:firstRow="1" w:lastRow="0" w:firstColumn="1" w:lastColumn="0" w:noHBand="0" w:noVBand="1"/>
      </w:tblPr>
      <w:tblGrid>
        <w:gridCol w:w="4420"/>
        <w:gridCol w:w="2200"/>
        <w:gridCol w:w="2320"/>
      </w:tblGrid>
      <w:tr w:rsidR="008C45B9" w:rsidRPr="008C45B9" w14:paraId="1F119AFC" w14:textId="77777777" w:rsidTr="008C45B9">
        <w:trPr>
          <w:trHeight w:val="375"/>
        </w:trPr>
        <w:tc>
          <w:tcPr>
            <w:tcW w:w="4420" w:type="dxa"/>
            <w:tcBorders>
              <w:top w:val="nil"/>
              <w:left w:val="nil"/>
              <w:bottom w:val="single" w:sz="4" w:space="0" w:color="ADD6EA"/>
              <w:right w:val="nil"/>
            </w:tcBorders>
            <w:shd w:val="clear" w:color="000000" w:fill="006991"/>
            <w:noWrap/>
            <w:vAlign w:val="center"/>
            <w:hideMark/>
          </w:tcPr>
          <w:p w14:paraId="7DFC29EB" w14:textId="77777777" w:rsidR="008C45B9" w:rsidRPr="008C45B9" w:rsidRDefault="008C45B9" w:rsidP="008C45B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45B9">
              <w:rPr>
                <w:rFonts w:ascii="Open Sans Semibold" w:eastAsia="Times New Roman" w:hAnsi="Open Sans Semibold" w:cs="Open Sans Semibold"/>
                <w:color w:val="FFFFFF"/>
                <w:sz w:val="16"/>
                <w:szCs w:val="16"/>
                <w:lang w:eastAsia="en-AU"/>
              </w:rPr>
              <w:t> </w:t>
            </w:r>
          </w:p>
        </w:tc>
        <w:tc>
          <w:tcPr>
            <w:tcW w:w="2200" w:type="dxa"/>
            <w:tcBorders>
              <w:top w:val="nil"/>
              <w:left w:val="nil"/>
              <w:bottom w:val="single" w:sz="4" w:space="0" w:color="ADD6EA"/>
              <w:right w:val="nil"/>
            </w:tcBorders>
            <w:shd w:val="clear" w:color="000000" w:fill="006991"/>
            <w:noWrap/>
            <w:vAlign w:val="center"/>
            <w:hideMark/>
          </w:tcPr>
          <w:p w14:paraId="4DE127AA" w14:textId="77777777" w:rsidR="008C45B9" w:rsidRPr="008C45B9" w:rsidRDefault="008C45B9" w:rsidP="008C45B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45B9">
              <w:rPr>
                <w:rFonts w:ascii="Open Sans Semibold" w:eastAsia="Times New Roman" w:hAnsi="Open Sans Semibold" w:cs="Open Sans Semibold"/>
                <w:color w:val="FFFFFF"/>
                <w:sz w:val="16"/>
                <w:szCs w:val="16"/>
                <w:lang w:eastAsia="en-AU"/>
              </w:rPr>
              <w:t>$m</w:t>
            </w:r>
          </w:p>
        </w:tc>
        <w:tc>
          <w:tcPr>
            <w:tcW w:w="2320" w:type="dxa"/>
            <w:tcBorders>
              <w:top w:val="nil"/>
              <w:left w:val="nil"/>
              <w:bottom w:val="single" w:sz="4" w:space="0" w:color="ADD6EA"/>
              <w:right w:val="nil"/>
            </w:tcBorders>
            <w:shd w:val="clear" w:color="000000" w:fill="006991"/>
            <w:noWrap/>
            <w:vAlign w:val="center"/>
            <w:hideMark/>
          </w:tcPr>
          <w:p w14:paraId="51BB7202" w14:textId="77777777" w:rsidR="008C45B9" w:rsidRPr="008C45B9" w:rsidRDefault="008C45B9" w:rsidP="008C45B9">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8C45B9">
              <w:rPr>
                <w:rFonts w:ascii="Open Sans Semibold" w:eastAsia="Times New Roman" w:hAnsi="Open Sans Semibold" w:cs="Open Sans Semibold"/>
                <w:color w:val="FFFFFF"/>
                <w:sz w:val="16"/>
                <w:szCs w:val="16"/>
                <w:lang w:eastAsia="en-AU"/>
              </w:rPr>
              <w:t>$pc</w:t>
            </w:r>
          </w:p>
        </w:tc>
      </w:tr>
      <w:tr w:rsidR="008C45B9" w:rsidRPr="008C45B9" w14:paraId="1ACAA7D5" w14:textId="77777777" w:rsidTr="008C45B9">
        <w:trPr>
          <w:trHeight w:val="315"/>
        </w:trPr>
        <w:tc>
          <w:tcPr>
            <w:tcW w:w="4420" w:type="dxa"/>
            <w:tcBorders>
              <w:top w:val="nil"/>
              <w:left w:val="nil"/>
              <w:bottom w:val="single" w:sz="4" w:space="0" w:color="ADD6EA"/>
              <w:right w:val="nil"/>
            </w:tcBorders>
            <w:shd w:val="clear" w:color="auto" w:fill="auto"/>
            <w:noWrap/>
            <w:vAlign w:val="bottom"/>
            <w:hideMark/>
          </w:tcPr>
          <w:p w14:paraId="01736A60" w14:textId="77777777" w:rsidR="008C45B9" w:rsidRPr="00A75009" w:rsidRDefault="008C45B9" w:rsidP="008C45B9">
            <w:pPr>
              <w:tabs>
                <w:tab w:val="clear" w:pos="567"/>
              </w:tabs>
              <w:spacing w:before="0" w:line="240" w:lineRule="auto"/>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xml:space="preserve">Change in </w:t>
            </w:r>
            <w:r w:rsidRPr="00A75009">
              <w:rPr>
                <w:rFonts w:ascii="Open Sans Light" w:eastAsia="Times New Roman" w:hAnsi="Open Sans Light" w:cs="Open Sans Light"/>
                <w:color w:val="000000"/>
                <w:sz w:val="16"/>
                <w:szCs w:val="16"/>
                <w:lang w:eastAsia="en-AU"/>
              </w:rPr>
              <w:t>population</w:t>
            </w:r>
          </w:p>
        </w:tc>
        <w:tc>
          <w:tcPr>
            <w:tcW w:w="2200" w:type="dxa"/>
            <w:tcBorders>
              <w:top w:val="nil"/>
              <w:left w:val="nil"/>
              <w:bottom w:val="single" w:sz="4" w:space="0" w:color="ADD6EA"/>
              <w:right w:val="nil"/>
            </w:tcBorders>
            <w:shd w:val="clear" w:color="auto" w:fill="auto"/>
            <w:noWrap/>
            <w:vAlign w:val="bottom"/>
            <w:hideMark/>
          </w:tcPr>
          <w:p w14:paraId="43C49A86" w14:textId="77777777" w:rsidR="008C45B9" w:rsidRPr="00A75009" w:rsidRDefault="008C45B9" w:rsidP="008C45B9">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12</w:t>
            </w:r>
          </w:p>
        </w:tc>
        <w:tc>
          <w:tcPr>
            <w:tcW w:w="2320" w:type="dxa"/>
            <w:tcBorders>
              <w:top w:val="nil"/>
              <w:left w:val="nil"/>
              <w:bottom w:val="single" w:sz="4" w:space="0" w:color="ADD6EA"/>
              <w:right w:val="nil"/>
            </w:tcBorders>
            <w:shd w:val="clear" w:color="auto" w:fill="auto"/>
            <w:noWrap/>
            <w:vAlign w:val="bottom"/>
            <w:hideMark/>
          </w:tcPr>
          <w:p w14:paraId="6868E29E" w14:textId="77777777" w:rsidR="008C45B9" w:rsidRPr="00A75009" w:rsidRDefault="008C45B9" w:rsidP="008C45B9">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4</w:t>
            </w:r>
          </w:p>
        </w:tc>
      </w:tr>
      <w:tr w:rsidR="008C45B9" w:rsidRPr="008C45B9" w14:paraId="4C0E64D7" w14:textId="77777777" w:rsidTr="008C45B9">
        <w:trPr>
          <w:trHeight w:val="315"/>
        </w:trPr>
        <w:tc>
          <w:tcPr>
            <w:tcW w:w="4420" w:type="dxa"/>
            <w:tcBorders>
              <w:top w:val="nil"/>
              <w:left w:val="nil"/>
              <w:bottom w:val="single" w:sz="4" w:space="0" w:color="ADD6EA"/>
              <w:right w:val="nil"/>
            </w:tcBorders>
            <w:shd w:val="clear" w:color="auto" w:fill="auto"/>
            <w:noWrap/>
            <w:vAlign w:val="bottom"/>
            <w:hideMark/>
          </w:tcPr>
          <w:p w14:paraId="6B956773" w14:textId="77777777" w:rsidR="008C45B9" w:rsidRPr="00A75009" w:rsidRDefault="008C45B9" w:rsidP="008C45B9">
            <w:pPr>
              <w:tabs>
                <w:tab w:val="clear" w:pos="567"/>
              </w:tabs>
              <w:spacing w:before="0" w:line="240" w:lineRule="auto"/>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 xml:space="preserve">Growth in GST pool </w:t>
            </w:r>
          </w:p>
        </w:tc>
        <w:tc>
          <w:tcPr>
            <w:tcW w:w="2200" w:type="dxa"/>
            <w:tcBorders>
              <w:top w:val="nil"/>
              <w:left w:val="nil"/>
              <w:bottom w:val="single" w:sz="4" w:space="0" w:color="ADD6EA"/>
              <w:right w:val="nil"/>
            </w:tcBorders>
            <w:shd w:val="clear" w:color="auto" w:fill="auto"/>
            <w:noWrap/>
            <w:vAlign w:val="bottom"/>
            <w:hideMark/>
          </w:tcPr>
          <w:p w14:paraId="5DAE9525" w14:textId="77777777" w:rsidR="008C45B9" w:rsidRPr="00A75009" w:rsidRDefault="008C45B9" w:rsidP="008C45B9">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364</w:t>
            </w:r>
          </w:p>
        </w:tc>
        <w:tc>
          <w:tcPr>
            <w:tcW w:w="2320" w:type="dxa"/>
            <w:tcBorders>
              <w:top w:val="nil"/>
              <w:left w:val="nil"/>
              <w:bottom w:val="single" w:sz="4" w:space="0" w:color="ADD6EA"/>
              <w:right w:val="nil"/>
            </w:tcBorders>
            <w:shd w:val="clear" w:color="auto" w:fill="auto"/>
            <w:noWrap/>
            <w:vAlign w:val="bottom"/>
            <w:hideMark/>
          </w:tcPr>
          <w:p w14:paraId="0D9C9BB7" w14:textId="77777777" w:rsidR="008C45B9" w:rsidRPr="00A75009" w:rsidRDefault="008C45B9" w:rsidP="008C45B9">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123</w:t>
            </w:r>
          </w:p>
        </w:tc>
      </w:tr>
      <w:tr w:rsidR="008C45B9" w:rsidRPr="008C45B9" w14:paraId="590FE4E7" w14:textId="77777777" w:rsidTr="008C45B9">
        <w:trPr>
          <w:trHeight w:val="315"/>
        </w:trPr>
        <w:tc>
          <w:tcPr>
            <w:tcW w:w="4420" w:type="dxa"/>
            <w:tcBorders>
              <w:top w:val="nil"/>
              <w:left w:val="nil"/>
              <w:bottom w:val="single" w:sz="4" w:space="0" w:color="ADD6EA"/>
              <w:right w:val="nil"/>
            </w:tcBorders>
            <w:shd w:val="clear" w:color="auto" w:fill="auto"/>
            <w:noWrap/>
            <w:vAlign w:val="bottom"/>
            <w:hideMark/>
          </w:tcPr>
          <w:p w14:paraId="5F3F7022" w14:textId="52BAAEF8" w:rsidR="008C45B9" w:rsidRPr="00A75009" w:rsidRDefault="00B56FD6" w:rsidP="008C45B9">
            <w:pPr>
              <w:tabs>
                <w:tab w:val="clear" w:pos="567"/>
              </w:tabs>
              <w:spacing w:before="0" w:line="240" w:lineRule="auto"/>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Blended relativities and GST floor</w:t>
            </w:r>
          </w:p>
        </w:tc>
        <w:tc>
          <w:tcPr>
            <w:tcW w:w="2200" w:type="dxa"/>
            <w:tcBorders>
              <w:top w:val="nil"/>
              <w:left w:val="nil"/>
              <w:bottom w:val="single" w:sz="4" w:space="0" w:color="ADD6EA"/>
              <w:right w:val="nil"/>
            </w:tcBorders>
            <w:shd w:val="clear" w:color="auto" w:fill="auto"/>
            <w:noWrap/>
            <w:vAlign w:val="bottom"/>
            <w:hideMark/>
          </w:tcPr>
          <w:p w14:paraId="1FBDB500" w14:textId="16543E36" w:rsidR="008C45B9" w:rsidRPr="00A75009" w:rsidRDefault="00B56FD6" w:rsidP="008C45B9">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462</w:t>
            </w:r>
          </w:p>
        </w:tc>
        <w:tc>
          <w:tcPr>
            <w:tcW w:w="2320" w:type="dxa"/>
            <w:tcBorders>
              <w:top w:val="nil"/>
              <w:left w:val="nil"/>
              <w:bottom w:val="single" w:sz="4" w:space="0" w:color="ADD6EA"/>
              <w:right w:val="nil"/>
            </w:tcBorders>
            <w:shd w:val="clear" w:color="auto" w:fill="auto"/>
            <w:noWrap/>
            <w:vAlign w:val="bottom"/>
            <w:hideMark/>
          </w:tcPr>
          <w:p w14:paraId="4BD58303" w14:textId="54EBB070" w:rsidR="008C45B9" w:rsidRPr="00A75009" w:rsidRDefault="00B56FD6" w:rsidP="008C45B9">
            <w:pPr>
              <w:tabs>
                <w:tab w:val="clear" w:pos="567"/>
              </w:tabs>
              <w:spacing w:before="0" w:line="240" w:lineRule="auto"/>
              <w:jc w:val="right"/>
              <w:rPr>
                <w:rFonts w:ascii="Open Sans Light" w:eastAsia="Times New Roman" w:hAnsi="Open Sans Light" w:cs="Open Sans Light"/>
                <w:sz w:val="16"/>
                <w:szCs w:val="16"/>
                <w:lang w:eastAsia="en-AU"/>
              </w:rPr>
            </w:pPr>
            <w:r w:rsidRPr="00A75009">
              <w:rPr>
                <w:rFonts w:ascii="Open Sans Light" w:eastAsia="Times New Roman" w:hAnsi="Open Sans Light" w:cs="Open Sans Light"/>
                <w:sz w:val="16"/>
                <w:szCs w:val="16"/>
                <w:lang w:eastAsia="en-AU"/>
              </w:rPr>
              <w:t>156</w:t>
            </w:r>
          </w:p>
        </w:tc>
      </w:tr>
      <w:tr w:rsidR="008C45B9" w:rsidRPr="008C45B9" w14:paraId="55ED15CC" w14:textId="77777777" w:rsidTr="00B56FD6">
        <w:trPr>
          <w:trHeight w:val="315"/>
        </w:trPr>
        <w:tc>
          <w:tcPr>
            <w:tcW w:w="4420" w:type="dxa"/>
            <w:tcBorders>
              <w:top w:val="nil"/>
              <w:left w:val="nil"/>
              <w:bottom w:val="single" w:sz="4" w:space="0" w:color="ADD6EA"/>
              <w:right w:val="nil"/>
            </w:tcBorders>
            <w:shd w:val="clear" w:color="000000" w:fill="D6E7F0"/>
            <w:noWrap/>
            <w:vAlign w:val="bottom"/>
            <w:hideMark/>
          </w:tcPr>
          <w:p w14:paraId="51CD5173" w14:textId="113BA7F6" w:rsidR="008C45B9" w:rsidRPr="00A75009" w:rsidRDefault="00B56FD6" w:rsidP="00694601">
            <w:pPr>
              <w:tabs>
                <w:tab w:val="clear" w:pos="567"/>
              </w:tabs>
              <w:spacing w:before="0" w:line="240" w:lineRule="auto"/>
              <w:rPr>
                <w:rFonts w:ascii="Open Sans Semibold" w:eastAsia="Times New Roman" w:hAnsi="Open Sans Semibold" w:cs="Open Sans Semibold"/>
                <w:sz w:val="16"/>
                <w:szCs w:val="16"/>
                <w:lang w:eastAsia="en-AU"/>
              </w:rPr>
            </w:pPr>
            <w:r w:rsidRPr="00A75009">
              <w:rPr>
                <w:rFonts w:ascii="Open Sans Semibold" w:eastAsia="Times New Roman" w:hAnsi="Open Sans Semibold" w:cs="Open Sans Semibold"/>
                <w:color w:val="000000"/>
                <w:sz w:val="16"/>
                <w:szCs w:val="16"/>
                <w:lang w:eastAsia="en-AU"/>
              </w:rPr>
              <w:t>Total change</w:t>
            </w:r>
          </w:p>
        </w:tc>
        <w:tc>
          <w:tcPr>
            <w:tcW w:w="2200" w:type="dxa"/>
            <w:tcBorders>
              <w:top w:val="nil"/>
              <w:left w:val="nil"/>
              <w:bottom w:val="single" w:sz="4" w:space="0" w:color="ADD6EA"/>
              <w:right w:val="nil"/>
            </w:tcBorders>
            <w:shd w:val="clear" w:color="000000" w:fill="D6E7F0"/>
            <w:noWrap/>
            <w:vAlign w:val="bottom"/>
            <w:hideMark/>
          </w:tcPr>
          <w:p w14:paraId="4CBA9952" w14:textId="06221771" w:rsidR="008C45B9" w:rsidRPr="00A75009" w:rsidRDefault="00B56FD6" w:rsidP="008C45B9">
            <w:pPr>
              <w:tabs>
                <w:tab w:val="clear" w:pos="567"/>
              </w:tabs>
              <w:spacing w:before="0" w:line="240" w:lineRule="auto"/>
              <w:jc w:val="right"/>
              <w:rPr>
                <w:rFonts w:ascii="Open Sans Semibold" w:eastAsia="Times New Roman" w:hAnsi="Open Sans Semibold" w:cs="Open Sans Semibold"/>
                <w:sz w:val="16"/>
                <w:szCs w:val="16"/>
                <w:lang w:eastAsia="en-AU"/>
              </w:rPr>
            </w:pPr>
            <w:r w:rsidRPr="00A75009">
              <w:rPr>
                <w:rFonts w:ascii="Open Sans Semibold" w:eastAsia="Times New Roman" w:hAnsi="Open Sans Semibold" w:cs="Open Sans Semibold"/>
                <w:color w:val="000000"/>
                <w:sz w:val="16"/>
                <w:szCs w:val="16"/>
                <w:lang w:eastAsia="en-AU"/>
              </w:rPr>
              <w:t>838</w:t>
            </w:r>
          </w:p>
        </w:tc>
        <w:tc>
          <w:tcPr>
            <w:tcW w:w="2320" w:type="dxa"/>
            <w:tcBorders>
              <w:top w:val="nil"/>
              <w:left w:val="nil"/>
              <w:bottom w:val="single" w:sz="4" w:space="0" w:color="ADD6EA"/>
              <w:right w:val="nil"/>
            </w:tcBorders>
            <w:shd w:val="clear" w:color="000000" w:fill="D6E7F0"/>
            <w:noWrap/>
            <w:vAlign w:val="bottom"/>
            <w:hideMark/>
          </w:tcPr>
          <w:p w14:paraId="2D98B1E3" w14:textId="7FBE5511" w:rsidR="008C45B9" w:rsidRPr="00A75009" w:rsidRDefault="00B56FD6" w:rsidP="008C45B9">
            <w:pPr>
              <w:tabs>
                <w:tab w:val="clear" w:pos="567"/>
              </w:tabs>
              <w:spacing w:before="0" w:line="240" w:lineRule="auto"/>
              <w:jc w:val="right"/>
              <w:rPr>
                <w:rFonts w:ascii="Open Sans Semibold" w:eastAsia="Times New Roman" w:hAnsi="Open Sans Semibold" w:cs="Open Sans Semibold"/>
                <w:sz w:val="16"/>
                <w:szCs w:val="16"/>
                <w:lang w:eastAsia="en-AU"/>
              </w:rPr>
            </w:pPr>
            <w:r w:rsidRPr="00A75009">
              <w:rPr>
                <w:rFonts w:ascii="Open Sans Semibold" w:eastAsia="Times New Roman" w:hAnsi="Open Sans Semibold" w:cs="Open Sans Semibold"/>
                <w:color w:val="000000"/>
                <w:sz w:val="16"/>
                <w:szCs w:val="16"/>
                <w:lang w:eastAsia="en-AU"/>
              </w:rPr>
              <w:t>283</w:t>
            </w:r>
          </w:p>
        </w:tc>
      </w:tr>
    </w:tbl>
    <w:p w14:paraId="3E753AB4" w14:textId="77777777" w:rsidR="00587993" w:rsidRPr="008D72BE" w:rsidRDefault="00587993" w:rsidP="00742765">
      <w:pPr>
        <w:pStyle w:val="CGCTablenote"/>
      </w:pPr>
      <w:r w:rsidRPr="008D72BE">
        <w:t xml:space="preserve">Note: </w:t>
      </w:r>
      <w:r w:rsidRPr="008D72BE">
        <w:tab/>
        <w:t>Table may not add due to rounding.</w:t>
      </w:r>
    </w:p>
    <w:p w14:paraId="3259E66E" w14:textId="77777777" w:rsidR="00587993" w:rsidRPr="008D72BE" w:rsidRDefault="00587993" w:rsidP="00742765">
      <w:pPr>
        <w:pStyle w:val="CGCTablenote"/>
      </w:pPr>
      <w:r w:rsidRPr="008D72BE">
        <w:t>Source: Commission calculation.</w:t>
      </w:r>
    </w:p>
    <w:p w14:paraId="3CF571C2" w14:textId="77777777" w:rsidR="00CF3BD3" w:rsidRDefault="00CF3BD3">
      <w:pPr>
        <w:tabs>
          <w:tab w:val="clear" w:pos="567"/>
        </w:tabs>
        <w:spacing w:before="0" w:line="240" w:lineRule="auto"/>
        <w:rPr>
          <w:rFonts w:ascii="Open Sans Light" w:eastAsia="Times New Roman" w:hAnsi="Open Sans Light" w:cs="Times New Roman"/>
          <w:szCs w:val="20"/>
        </w:rPr>
      </w:pPr>
    </w:p>
    <w:p w14:paraId="12F164ED" w14:textId="5D639833" w:rsidR="00C007E3" w:rsidRDefault="00C007E3">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433F0524" w14:textId="0EBA99F6" w:rsidR="00505738" w:rsidRPr="008D72BE" w:rsidRDefault="00505738" w:rsidP="00505738">
      <w:pPr>
        <w:pStyle w:val="Tableheading"/>
      </w:pPr>
      <w:r w:rsidRPr="008D72BE">
        <w:lastRenderedPageBreak/>
        <w:t>Figure 3-4</w:t>
      </w:r>
      <w:r w:rsidRPr="008D72BE">
        <w:tab/>
        <w:t xml:space="preserve">Western Australia: main changes in assessed GST needs, 2024 </w:t>
      </w:r>
      <w:proofErr w:type="gramStart"/>
      <w:r w:rsidRPr="008D72BE">
        <w:t>Update</w:t>
      </w:r>
      <w:proofErr w:type="gramEnd"/>
    </w:p>
    <w:tbl>
      <w:tblPr>
        <w:tblW w:w="8960" w:type="dxa"/>
        <w:tblLook w:val="04A0" w:firstRow="1" w:lastRow="0" w:firstColumn="1" w:lastColumn="0" w:noHBand="0" w:noVBand="1"/>
      </w:tblPr>
      <w:tblGrid>
        <w:gridCol w:w="2940"/>
        <w:gridCol w:w="760"/>
        <w:gridCol w:w="760"/>
        <w:gridCol w:w="4500"/>
      </w:tblGrid>
      <w:tr w:rsidR="00233F05" w:rsidRPr="00233F05" w14:paraId="4CD1BE04" w14:textId="77777777" w:rsidTr="00233F05">
        <w:trPr>
          <w:trHeight w:val="375"/>
        </w:trPr>
        <w:tc>
          <w:tcPr>
            <w:tcW w:w="2940" w:type="dxa"/>
            <w:tcBorders>
              <w:top w:val="nil"/>
              <w:left w:val="nil"/>
              <w:bottom w:val="nil"/>
              <w:right w:val="nil"/>
            </w:tcBorders>
            <w:shd w:val="clear" w:color="000000" w:fill="006991"/>
            <w:noWrap/>
            <w:vAlign w:val="bottom"/>
            <w:hideMark/>
          </w:tcPr>
          <w:p w14:paraId="01B628AD"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color w:val="FFFFFF"/>
                <w:szCs w:val="20"/>
                <w:lang w:eastAsia="en-AU"/>
              </w:rPr>
            </w:pPr>
            <w:r w:rsidRPr="00233F05">
              <w:rPr>
                <w:rFonts w:ascii="Open Sans Semibold" w:eastAsia="Times New Roman" w:hAnsi="Open Sans Semibold" w:cs="Open Sans Semibold"/>
                <w:color w:val="FFFFFF"/>
                <w:szCs w:val="20"/>
                <w:lang w:eastAsia="en-AU"/>
              </w:rPr>
              <w:t>Changes in circumstances</w:t>
            </w:r>
          </w:p>
        </w:tc>
        <w:tc>
          <w:tcPr>
            <w:tcW w:w="760" w:type="dxa"/>
            <w:tcBorders>
              <w:top w:val="nil"/>
              <w:left w:val="nil"/>
              <w:bottom w:val="nil"/>
              <w:right w:val="nil"/>
            </w:tcBorders>
            <w:shd w:val="clear" w:color="000000" w:fill="006991"/>
            <w:noWrap/>
            <w:vAlign w:val="bottom"/>
            <w:hideMark/>
          </w:tcPr>
          <w:p w14:paraId="4443258D"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color w:val="FFFFFF"/>
                <w:szCs w:val="20"/>
                <w:lang w:eastAsia="en-AU"/>
              </w:rPr>
            </w:pPr>
            <w:r w:rsidRPr="00233F05">
              <w:rPr>
                <w:rFonts w:ascii="Open Sans Semibold" w:eastAsia="Times New Roman" w:hAnsi="Open Sans Semibold" w:cs="Open Sans Semibold"/>
                <w:color w:val="FFFFFF"/>
                <w:szCs w:val="20"/>
                <w:lang w:eastAsia="en-AU"/>
              </w:rPr>
              <w:t> </w:t>
            </w:r>
          </w:p>
        </w:tc>
        <w:tc>
          <w:tcPr>
            <w:tcW w:w="760" w:type="dxa"/>
            <w:tcBorders>
              <w:top w:val="nil"/>
              <w:left w:val="nil"/>
              <w:bottom w:val="nil"/>
              <w:right w:val="nil"/>
            </w:tcBorders>
            <w:shd w:val="clear" w:color="000000" w:fill="006991"/>
            <w:noWrap/>
            <w:vAlign w:val="bottom"/>
            <w:hideMark/>
          </w:tcPr>
          <w:p w14:paraId="5F046E9C"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color w:val="FFFFFF"/>
                <w:szCs w:val="20"/>
                <w:lang w:eastAsia="en-AU"/>
              </w:rPr>
            </w:pPr>
            <w:r w:rsidRPr="00233F05">
              <w:rPr>
                <w:rFonts w:ascii="Open Sans Semibold" w:eastAsia="Times New Roman" w:hAnsi="Open Sans Semibold" w:cs="Open Sans Semibold"/>
                <w:color w:val="FFFFFF"/>
                <w:szCs w:val="20"/>
                <w:lang w:eastAsia="en-AU"/>
              </w:rPr>
              <w:t> </w:t>
            </w:r>
          </w:p>
        </w:tc>
        <w:tc>
          <w:tcPr>
            <w:tcW w:w="4500" w:type="dxa"/>
            <w:tcBorders>
              <w:top w:val="nil"/>
              <w:left w:val="nil"/>
              <w:bottom w:val="nil"/>
              <w:right w:val="nil"/>
            </w:tcBorders>
            <w:shd w:val="clear" w:color="000000" w:fill="006991"/>
            <w:noWrap/>
            <w:vAlign w:val="bottom"/>
            <w:hideMark/>
          </w:tcPr>
          <w:p w14:paraId="48144617"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color w:val="FFFFFF"/>
                <w:szCs w:val="20"/>
                <w:lang w:eastAsia="en-AU"/>
              </w:rPr>
            </w:pPr>
            <w:r w:rsidRPr="00233F05">
              <w:rPr>
                <w:rFonts w:ascii="Open Sans Semibold" w:eastAsia="Times New Roman" w:hAnsi="Open Sans Semibold" w:cs="Open Sans Semibold"/>
                <w:color w:val="FFFFFF"/>
                <w:szCs w:val="20"/>
                <w:lang w:eastAsia="en-AU"/>
              </w:rPr>
              <w:t> </w:t>
            </w:r>
          </w:p>
        </w:tc>
      </w:tr>
      <w:tr w:rsidR="00233F05" w:rsidRPr="00233F05" w14:paraId="1AC25757" w14:textId="77777777" w:rsidTr="00233F05">
        <w:trPr>
          <w:trHeight w:val="315"/>
        </w:trPr>
        <w:tc>
          <w:tcPr>
            <w:tcW w:w="2940" w:type="dxa"/>
            <w:tcBorders>
              <w:top w:val="single" w:sz="4" w:space="0" w:color="ADD6EA"/>
              <w:left w:val="nil"/>
              <w:bottom w:val="single" w:sz="4" w:space="0" w:color="ADD6EA"/>
              <w:right w:val="nil"/>
            </w:tcBorders>
            <w:shd w:val="clear" w:color="000000" w:fill="B6D5E4"/>
            <w:noWrap/>
            <w:vAlign w:val="bottom"/>
            <w:hideMark/>
          </w:tcPr>
          <w:p w14:paraId="25737B3E"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000000" w:fill="B6D5E4"/>
            <w:noWrap/>
            <w:vAlign w:val="bottom"/>
            <w:hideMark/>
          </w:tcPr>
          <w:p w14:paraId="5A4BC08E" w14:textId="77777777" w:rsidR="00233F05" w:rsidRPr="00233F05" w:rsidRDefault="00233F05" w:rsidP="00233F05">
            <w:pPr>
              <w:tabs>
                <w:tab w:val="clear" w:pos="567"/>
              </w:tabs>
              <w:spacing w:before="0" w:line="240" w:lineRule="auto"/>
              <w:jc w:val="center"/>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Change</w:t>
            </w:r>
          </w:p>
        </w:tc>
        <w:tc>
          <w:tcPr>
            <w:tcW w:w="4500" w:type="dxa"/>
            <w:tcBorders>
              <w:top w:val="single" w:sz="4" w:space="0" w:color="ADD6EA"/>
              <w:left w:val="nil"/>
              <w:bottom w:val="single" w:sz="4" w:space="0" w:color="ADD6EA"/>
              <w:right w:val="nil"/>
            </w:tcBorders>
            <w:shd w:val="clear" w:color="000000" w:fill="B6D5E4"/>
            <w:noWrap/>
            <w:vAlign w:val="bottom"/>
            <w:hideMark/>
          </w:tcPr>
          <w:p w14:paraId="2726E8EB"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Explanation</w:t>
            </w:r>
          </w:p>
        </w:tc>
      </w:tr>
      <w:tr w:rsidR="00233F05" w:rsidRPr="00233F05" w14:paraId="2383AB7D" w14:textId="77777777" w:rsidTr="00233F05">
        <w:trPr>
          <w:trHeight w:val="259"/>
        </w:trPr>
        <w:tc>
          <w:tcPr>
            <w:tcW w:w="2940" w:type="dxa"/>
            <w:tcBorders>
              <w:top w:val="nil"/>
              <w:left w:val="nil"/>
              <w:bottom w:val="single" w:sz="4" w:space="0" w:color="ADD6EA"/>
              <w:right w:val="nil"/>
            </w:tcBorders>
            <w:shd w:val="clear" w:color="000000" w:fill="D6E7F0"/>
            <w:noWrap/>
            <w:vAlign w:val="bottom"/>
            <w:hideMark/>
          </w:tcPr>
          <w:p w14:paraId="2C9D6186"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000000" w:fill="D6E7F0"/>
            <w:noWrap/>
            <w:vAlign w:val="bottom"/>
            <w:hideMark/>
          </w:tcPr>
          <w:p w14:paraId="2CB31F02" w14:textId="77777777" w:rsidR="00233F05" w:rsidRPr="00233F05" w:rsidRDefault="00233F05" w:rsidP="00233F05">
            <w:pPr>
              <w:tabs>
                <w:tab w:val="clear" w:pos="567"/>
              </w:tabs>
              <w:spacing w:before="0" w:line="240" w:lineRule="auto"/>
              <w:jc w:val="center"/>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000000" w:fill="D6E7F0"/>
            <w:noWrap/>
            <w:vAlign w:val="bottom"/>
            <w:hideMark/>
          </w:tcPr>
          <w:p w14:paraId="6EB95495" w14:textId="77777777" w:rsidR="00233F05" w:rsidRPr="00233F05" w:rsidRDefault="00233F05" w:rsidP="00233F05">
            <w:pPr>
              <w:tabs>
                <w:tab w:val="clear" w:pos="567"/>
              </w:tabs>
              <w:spacing w:before="0" w:line="240" w:lineRule="auto"/>
              <w:jc w:val="center"/>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000000" w:fill="D6E7F0"/>
            <w:noWrap/>
            <w:vAlign w:val="bottom"/>
            <w:hideMark/>
          </w:tcPr>
          <w:p w14:paraId="56EED58F"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 </w:t>
            </w:r>
          </w:p>
        </w:tc>
      </w:tr>
      <w:tr w:rsidR="00233F05" w:rsidRPr="00233F05" w14:paraId="1FE0F8B9" w14:textId="77777777" w:rsidTr="00DA58F6">
        <w:trPr>
          <w:trHeight w:val="900"/>
        </w:trPr>
        <w:tc>
          <w:tcPr>
            <w:tcW w:w="2940" w:type="dxa"/>
            <w:tcBorders>
              <w:top w:val="nil"/>
              <w:left w:val="nil"/>
              <w:bottom w:val="single" w:sz="4" w:space="0" w:color="ADD6EA"/>
              <w:right w:val="nil"/>
            </w:tcBorders>
            <w:shd w:val="clear" w:color="auto" w:fill="auto"/>
            <w:hideMark/>
          </w:tcPr>
          <w:p w14:paraId="0D569A67" w14:textId="77777777"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Mining production</w:t>
            </w:r>
          </w:p>
        </w:tc>
        <w:tc>
          <w:tcPr>
            <w:tcW w:w="760" w:type="dxa"/>
            <w:tcBorders>
              <w:top w:val="nil"/>
              <w:left w:val="nil"/>
              <w:bottom w:val="single" w:sz="4" w:space="0" w:color="ADD6EA"/>
              <w:right w:val="nil"/>
            </w:tcBorders>
            <w:shd w:val="clear" w:color="auto" w:fill="ADD6EA"/>
            <w:noWrap/>
            <w:hideMark/>
          </w:tcPr>
          <w:p w14:paraId="4E6E198A"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608</w:t>
            </w:r>
          </w:p>
        </w:tc>
        <w:tc>
          <w:tcPr>
            <w:tcW w:w="760" w:type="dxa"/>
            <w:tcBorders>
              <w:top w:val="nil"/>
              <w:left w:val="nil"/>
              <w:bottom w:val="single" w:sz="4" w:space="0" w:color="ADD6EA"/>
              <w:right w:val="nil"/>
            </w:tcBorders>
            <w:shd w:val="clear" w:color="auto" w:fill="ADD6EA"/>
            <w:noWrap/>
            <w:hideMark/>
          </w:tcPr>
          <w:p w14:paraId="70D69ED8"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206</w:t>
            </w:r>
          </w:p>
        </w:tc>
        <w:tc>
          <w:tcPr>
            <w:tcW w:w="4500" w:type="dxa"/>
            <w:tcBorders>
              <w:top w:val="nil"/>
              <w:left w:val="nil"/>
              <w:bottom w:val="single" w:sz="4" w:space="0" w:color="ADD6EA"/>
              <w:right w:val="nil"/>
            </w:tcBorders>
            <w:shd w:val="clear" w:color="auto" w:fill="auto"/>
            <w:hideMark/>
          </w:tcPr>
          <w:p w14:paraId="7498AAE5" w14:textId="018D412D"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A large increase in coal prices and average coal royalty rates between 2019</w:t>
            </w:r>
            <w:r w:rsidR="00DA58F6">
              <w:rPr>
                <w:rFonts w:ascii="Open Sans Light" w:eastAsia="Times New Roman" w:hAnsi="Open Sans Light" w:cs="Open Sans Light"/>
                <w:szCs w:val="20"/>
                <w:lang w:eastAsia="en-AU"/>
              </w:rPr>
              <w:t>–</w:t>
            </w:r>
            <w:r w:rsidRPr="00233F05">
              <w:rPr>
                <w:rFonts w:ascii="Open Sans Light" w:eastAsia="Times New Roman" w:hAnsi="Open Sans Light" w:cs="Open Sans Light"/>
                <w:szCs w:val="20"/>
                <w:lang w:eastAsia="en-AU"/>
              </w:rPr>
              <w:t>20 and 2022</w:t>
            </w:r>
            <w:r w:rsidR="008F47F6" w:rsidRPr="00FB6DE0">
              <w:rPr>
                <w:rFonts w:ascii="Open Sans Light" w:eastAsia="Times New Roman" w:hAnsi="Open Sans Light" w:cs="Open Sans Light"/>
                <w:szCs w:val="20"/>
                <w:lang w:eastAsia="en-AU"/>
              </w:rPr>
              <w:t>–</w:t>
            </w:r>
            <w:r w:rsidRPr="00233F05">
              <w:rPr>
                <w:rFonts w:ascii="Open Sans Light" w:eastAsia="Times New Roman" w:hAnsi="Open Sans Light" w:cs="Open Sans Light"/>
                <w:szCs w:val="20"/>
                <w:lang w:eastAsia="en-AU"/>
              </w:rPr>
              <w:t>23 increased the relative revenue</w:t>
            </w:r>
            <w:r w:rsidR="00BD3FE5">
              <w:rPr>
                <w:rFonts w:ascii="Open Sans Light" w:eastAsia="Times New Roman" w:hAnsi="Open Sans Light" w:cs="Open Sans Light"/>
                <w:szCs w:val="20"/>
                <w:lang w:eastAsia="en-AU"/>
              </w:rPr>
              <w:t xml:space="preserve"> </w:t>
            </w:r>
            <w:r w:rsidRPr="00233F05">
              <w:rPr>
                <w:rFonts w:ascii="Open Sans Light" w:eastAsia="Times New Roman" w:hAnsi="Open Sans Light" w:cs="Open Sans Light"/>
                <w:szCs w:val="20"/>
                <w:lang w:eastAsia="en-AU"/>
              </w:rPr>
              <w:t>raising capacity of the major coal-producing states. Combined with moderation in the growth of iron ore royalties, this reduced Western Australia’s relative mining revenue capacity, increasing its assessed GST needs.</w:t>
            </w:r>
          </w:p>
        </w:tc>
      </w:tr>
      <w:tr w:rsidR="00233F05" w:rsidRPr="00233F05" w14:paraId="570AE22F" w14:textId="77777777" w:rsidTr="00DA58F6">
        <w:trPr>
          <w:trHeight w:val="900"/>
        </w:trPr>
        <w:tc>
          <w:tcPr>
            <w:tcW w:w="2940" w:type="dxa"/>
            <w:tcBorders>
              <w:top w:val="nil"/>
              <w:left w:val="nil"/>
              <w:bottom w:val="single" w:sz="4" w:space="0" w:color="ADD6EA"/>
              <w:right w:val="nil"/>
            </w:tcBorders>
            <w:shd w:val="clear" w:color="auto" w:fill="auto"/>
            <w:hideMark/>
          </w:tcPr>
          <w:p w14:paraId="14B2897B" w14:textId="77777777"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Property sales</w:t>
            </w:r>
          </w:p>
        </w:tc>
        <w:tc>
          <w:tcPr>
            <w:tcW w:w="760" w:type="dxa"/>
            <w:tcBorders>
              <w:top w:val="nil"/>
              <w:left w:val="nil"/>
              <w:bottom w:val="single" w:sz="4" w:space="0" w:color="ADD6EA"/>
              <w:right w:val="nil"/>
            </w:tcBorders>
            <w:shd w:val="clear" w:color="auto" w:fill="EBBFA0"/>
            <w:noWrap/>
            <w:hideMark/>
          </w:tcPr>
          <w:p w14:paraId="2050F6F9"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-194</w:t>
            </w:r>
          </w:p>
        </w:tc>
        <w:tc>
          <w:tcPr>
            <w:tcW w:w="760" w:type="dxa"/>
            <w:tcBorders>
              <w:top w:val="nil"/>
              <w:left w:val="nil"/>
              <w:bottom w:val="single" w:sz="4" w:space="0" w:color="ADD6EA"/>
              <w:right w:val="nil"/>
            </w:tcBorders>
            <w:shd w:val="clear" w:color="auto" w:fill="EBBFA0"/>
            <w:noWrap/>
            <w:hideMark/>
          </w:tcPr>
          <w:p w14:paraId="5D1F6647"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-65</w:t>
            </w:r>
          </w:p>
        </w:tc>
        <w:tc>
          <w:tcPr>
            <w:tcW w:w="4500" w:type="dxa"/>
            <w:tcBorders>
              <w:top w:val="nil"/>
              <w:left w:val="nil"/>
              <w:bottom w:val="single" w:sz="4" w:space="0" w:color="ADD6EA"/>
              <w:right w:val="nil"/>
            </w:tcBorders>
            <w:shd w:val="clear" w:color="auto" w:fill="auto"/>
            <w:hideMark/>
          </w:tcPr>
          <w:p w14:paraId="18A397FF" w14:textId="2F418AC6"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Above-average growth in property sales increased Western Australia’s relative revenue</w:t>
            </w:r>
            <w:r w:rsidR="00BD3FE5">
              <w:rPr>
                <w:rFonts w:ascii="Open Sans Light" w:eastAsia="Times New Roman" w:hAnsi="Open Sans Light" w:cs="Open Sans Light"/>
                <w:szCs w:val="20"/>
                <w:lang w:eastAsia="en-AU"/>
              </w:rPr>
              <w:t xml:space="preserve"> </w:t>
            </w:r>
            <w:r w:rsidRPr="00233F05">
              <w:rPr>
                <w:rFonts w:ascii="Open Sans Light" w:eastAsia="Times New Roman" w:hAnsi="Open Sans Light" w:cs="Open Sans Light"/>
                <w:szCs w:val="20"/>
                <w:lang w:eastAsia="en-AU"/>
              </w:rPr>
              <w:t>raising capacity.</w:t>
            </w:r>
          </w:p>
        </w:tc>
      </w:tr>
      <w:tr w:rsidR="00233F05" w:rsidRPr="00233F05" w14:paraId="6CC9248D" w14:textId="77777777" w:rsidTr="00DA58F6">
        <w:trPr>
          <w:trHeight w:val="1200"/>
        </w:trPr>
        <w:tc>
          <w:tcPr>
            <w:tcW w:w="2940" w:type="dxa"/>
            <w:tcBorders>
              <w:top w:val="nil"/>
              <w:left w:val="nil"/>
              <w:bottom w:val="single" w:sz="4" w:space="0" w:color="ADD6EA"/>
              <w:right w:val="nil"/>
            </w:tcBorders>
            <w:shd w:val="clear" w:color="auto" w:fill="auto"/>
            <w:hideMark/>
          </w:tcPr>
          <w:p w14:paraId="57940907" w14:textId="77777777"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Commonwealth payments</w:t>
            </w:r>
          </w:p>
        </w:tc>
        <w:tc>
          <w:tcPr>
            <w:tcW w:w="760" w:type="dxa"/>
            <w:tcBorders>
              <w:top w:val="nil"/>
              <w:left w:val="nil"/>
              <w:bottom w:val="single" w:sz="4" w:space="0" w:color="ADD6EA"/>
              <w:right w:val="nil"/>
            </w:tcBorders>
            <w:shd w:val="clear" w:color="auto" w:fill="EBBFA0"/>
            <w:noWrap/>
            <w:hideMark/>
          </w:tcPr>
          <w:p w14:paraId="652B3738"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-151</w:t>
            </w:r>
          </w:p>
        </w:tc>
        <w:tc>
          <w:tcPr>
            <w:tcW w:w="760" w:type="dxa"/>
            <w:tcBorders>
              <w:top w:val="nil"/>
              <w:left w:val="nil"/>
              <w:bottom w:val="single" w:sz="4" w:space="0" w:color="ADD6EA"/>
              <w:right w:val="nil"/>
            </w:tcBorders>
            <w:shd w:val="clear" w:color="auto" w:fill="EBBFA0"/>
            <w:noWrap/>
            <w:hideMark/>
          </w:tcPr>
          <w:p w14:paraId="45F24BD7"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-51</w:t>
            </w:r>
          </w:p>
        </w:tc>
        <w:tc>
          <w:tcPr>
            <w:tcW w:w="4500" w:type="dxa"/>
            <w:tcBorders>
              <w:top w:val="nil"/>
              <w:left w:val="nil"/>
              <w:bottom w:val="single" w:sz="4" w:space="0" w:color="ADD6EA"/>
              <w:right w:val="nil"/>
            </w:tcBorders>
            <w:shd w:val="clear" w:color="auto" w:fill="auto"/>
            <w:hideMark/>
          </w:tcPr>
          <w:p w14:paraId="7B54518A" w14:textId="53421747"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Western Australia received a greater share of assessed Commonwealth payments in 2022</w:t>
            </w:r>
            <w:r w:rsidR="00881EC0">
              <w:rPr>
                <w:rFonts w:ascii="Open Sans Light" w:eastAsia="Times New Roman" w:hAnsi="Open Sans Light" w:cs="Open Sans Light"/>
                <w:szCs w:val="20"/>
                <w:lang w:eastAsia="en-AU"/>
              </w:rPr>
              <w:t>–</w:t>
            </w:r>
            <w:r w:rsidRPr="00233F05">
              <w:rPr>
                <w:rFonts w:ascii="Open Sans Light" w:eastAsia="Times New Roman" w:hAnsi="Open Sans Light" w:cs="Open Sans Light"/>
                <w:szCs w:val="20"/>
                <w:lang w:eastAsia="en-AU"/>
              </w:rPr>
              <w:t>23 than in 2019</w:t>
            </w:r>
            <w:r w:rsidR="00881EC0">
              <w:rPr>
                <w:rFonts w:ascii="Open Sans Light" w:eastAsia="Times New Roman" w:hAnsi="Open Sans Light" w:cs="Open Sans Light"/>
                <w:szCs w:val="20"/>
                <w:lang w:eastAsia="en-AU"/>
              </w:rPr>
              <w:t>–</w:t>
            </w:r>
            <w:r w:rsidRPr="00233F05">
              <w:rPr>
                <w:rFonts w:ascii="Open Sans Light" w:eastAsia="Times New Roman" w:hAnsi="Open Sans Light" w:cs="Open Sans Light"/>
                <w:szCs w:val="20"/>
                <w:lang w:eastAsia="en-AU"/>
              </w:rPr>
              <w:t>20, reducing its assessed GST needs.</w:t>
            </w:r>
          </w:p>
        </w:tc>
      </w:tr>
      <w:tr w:rsidR="00233F05" w:rsidRPr="00233F05" w14:paraId="7607F9F1" w14:textId="77777777" w:rsidTr="00DA58F6">
        <w:trPr>
          <w:trHeight w:val="900"/>
        </w:trPr>
        <w:tc>
          <w:tcPr>
            <w:tcW w:w="2940" w:type="dxa"/>
            <w:tcBorders>
              <w:top w:val="nil"/>
              <w:left w:val="nil"/>
              <w:bottom w:val="single" w:sz="4" w:space="0" w:color="ADD6EA"/>
              <w:right w:val="nil"/>
            </w:tcBorders>
            <w:shd w:val="clear" w:color="auto" w:fill="auto"/>
            <w:hideMark/>
          </w:tcPr>
          <w:p w14:paraId="7B8C1427" w14:textId="77777777"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Taxable land values</w:t>
            </w:r>
          </w:p>
        </w:tc>
        <w:tc>
          <w:tcPr>
            <w:tcW w:w="760" w:type="dxa"/>
            <w:tcBorders>
              <w:top w:val="nil"/>
              <w:left w:val="nil"/>
              <w:bottom w:val="single" w:sz="4" w:space="0" w:color="ADD6EA"/>
              <w:right w:val="nil"/>
            </w:tcBorders>
            <w:shd w:val="clear" w:color="auto" w:fill="ADD6EA"/>
            <w:noWrap/>
            <w:hideMark/>
          </w:tcPr>
          <w:p w14:paraId="47EE21C4"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138</w:t>
            </w:r>
          </w:p>
        </w:tc>
        <w:tc>
          <w:tcPr>
            <w:tcW w:w="760" w:type="dxa"/>
            <w:tcBorders>
              <w:top w:val="nil"/>
              <w:left w:val="nil"/>
              <w:bottom w:val="single" w:sz="4" w:space="0" w:color="ADD6EA"/>
              <w:right w:val="nil"/>
            </w:tcBorders>
            <w:shd w:val="clear" w:color="auto" w:fill="ADD6EA"/>
            <w:noWrap/>
            <w:hideMark/>
          </w:tcPr>
          <w:p w14:paraId="159230F3"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47</w:t>
            </w:r>
          </w:p>
        </w:tc>
        <w:tc>
          <w:tcPr>
            <w:tcW w:w="4500" w:type="dxa"/>
            <w:tcBorders>
              <w:top w:val="nil"/>
              <w:left w:val="nil"/>
              <w:bottom w:val="single" w:sz="4" w:space="0" w:color="ADD6EA"/>
              <w:right w:val="nil"/>
            </w:tcBorders>
            <w:shd w:val="clear" w:color="auto" w:fill="auto"/>
            <w:hideMark/>
          </w:tcPr>
          <w:p w14:paraId="246C9E77" w14:textId="729FC1B5"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Below-average growth in taxable land values reduced Western Australia’s relative revenue</w:t>
            </w:r>
            <w:r w:rsidR="00BD3FE5">
              <w:rPr>
                <w:rFonts w:ascii="Open Sans Light" w:eastAsia="Times New Roman" w:hAnsi="Open Sans Light" w:cs="Open Sans Light"/>
                <w:szCs w:val="20"/>
                <w:lang w:eastAsia="en-AU"/>
              </w:rPr>
              <w:t xml:space="preserve"> </w:t>
            </w:r>
            <w:r w:rsidRPr="00233F05">
              <w:rPr>
                <w:rFonts w:ascii="Open Sans Light" w:eastAsia="Times New Roman" w:hAnsi="Open Sans Light" w:cs="Open Sans Light"/>
                <w:szCs w:val="20"/>
                <w:lang w:eastAsia="en-AU"/>
              </w:rPr>
              <w:t>raising capacity.</w:t>
            </w:r>
          </w:p>
        </w:tc>
      </w:tr>
      <w:tr w:rsidR="00233F05" w:rsidRPr="00233F05" w14:paraId="15F2128B" w14:textId="77777777" w:rsidTr="00DA58F6">
        <w:trPr>
          <w:trHeight w:val="2100"/>
        </w:trPr>
        <w:tc>
          <w:tcPr>
            <w:tcW w:w="2940" w:type="dxa"/>
            <w:tcBorders>
              <w:top w:val="nil"/>
              <w:left w:val="nil"/>
              <w:bottom w:val="single" w:sz="4" w:space="0" w:color="ADD6EA"/>
              <w:right w:val="nil"/>
            </w:tcBorders>
            <w:shd w:val="clear" w:color="auto" w:fill="auto"/>
            <w:hideMark/>
          </w:tcPr>
          <w:p w14:paraId="2B0C9407" w14:textId="77777777"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Capital improvements</w:t>
            </w:r>
          </w:p>
        </w:tc>
        <w:tc>
          <w:tcPr>
            <w:tcW w:w="760" w:type="dxa"/>
            <w:tcBorders>
              <w:top w:val="nil"/>
              <w:left w:val="nil"/>
              <w:bottom w:val="single" w:sz="4" w:space="0" w:color="ADD6EA"/>
              <w:right w:val="nil"/>
            </w:tcBorders>
            <w:shd w:val="clear" w:color="auto" w:fill="EBBFA0"/>
            <w:noWrap/>
            <w:hideMark/>
          </w:tcPr>
          <w:p w14:paraId="1C97A597"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-95</w:t>
            </w:r>
          </w:p>
        </w:tc>
        <w:tc>
          <w:tcPr>
            <w:tcW w:w="760" w:type="dxa"/>
            <w:tcBorders>
              <w:top w:val="nil"/>
              <w:left w:val="nil"/>
              <w:bottom w:val="single" w:sz="4" w:space="0" w:color="ADD6EA"/>
              <w:right w:val="nil"/>
            </w:tcBorders>
            <w:shd w:val="clear" w:color="auto" w:fill="EBBFA0"/>
            <w:noWrap/>
            <w:hideMark/>
          </w:tcPr>
          <w:p w14:paraId="00B84B8E"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-32</w:t>
            </w:r>
          </w:p>
        </w:tc>
        <w:tc>
          <w:tcPr>
            <w:tcW w:w="4500" w:type="dxa"/>
            <w:tcBorders>
              <w:top w:val="nil"/>
              <w:left w:val="nil"/>
              <w:bottom w:val="single" w:sz="4" w:space="0" w:color="ADD6EA"/>
              <w:right w:val="nil"/>
            </w:tcBorders>
            <w:shd w:val="clear" w:color="auto" w:fill="auto"/>
            <w:hideMark/>
          </w:tcPr>
          <w:p w14:paraId="393734D1" w14:textId="77777777"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Strong growth in national urban transport investment reduced the relative needs of states with below-average needs for urban transport, including Western Australia. Weak growth in national investment in rural roads, for which Western Australia has above-average needs, also reduced its assessed GST needs.</w:t>
            </w:r>
          </w:p>
        </w:tc>
      </w:tr>
      <w:tr w:rsidR="00233F05" w:rsidRPr="00233F05" w14:paraId="05341D00" w14:textId="77777777" w:rsidTr="00233F05">
        <w:trPr>
          <w:trHeight w:val="375"/>
        </w:trPr>
        <w:tc>
          <w:tcPr>
            <w:tcW w:w="2940" w:type="dxa"/>
            <w:tcBorders>
              <w:top w:val="nil"/>
              <w:left w:val="nil"/>
              <w:bottom w:val="single" w:sz="4" w:space="0" w:color="ADD6EA"/>
              <w:right w:val="nil"/>
            </w:tcBorders>
            <w:shd w:val="clear" w:color="000000" w:fill="006991"/>
            <w:noWrap/>
            <w:vAlign w:val="bottom"/>
            <w:hideMark/>
          </w:tcPr>
          <w:p w14:paraId="6D70F8BF"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color w:val="FFFFFF"/>
                <w:szCs w:val="20"/>
                <w:lang w:eastAsia="en-AU"/>
              </w:rPr>
            </w:pPr>
            <w:r w:rsidRPr="00233F05">
              <w:rPr>
                <w:rFonts w:ascii="Open Sans Semibold" w:eastAsia="Times New Roman" w:hAnsi="Open Sans Semibold" w:cs="Open Sans Semibold"/>
                <w:color w:val="FFFFFF"/>
                <w:szCs w:val="20"/>
                <w:lang w:eastAsia="en-AU"/>
              </w:rPr>
              <w:t>Revisions</w:t>
            </w:r>
          </w:p>
        </w:tc>
        <w:tc>
          <w:tcPr>
            <w:tcW w:w="760" w:type="dxa"/>
            <w:tcBorders>
              <w:top w:val="nil"/>
              <w:left w:val="nil"/>
              <w:bottom w:val="single" w:sz="4" w:space="0" w:color="ADD6EA"/>
              <w:right w:val="nil"/>
            </w:tcBorders>
            <w:shd w:val="clear" w:color="000000" w:fill="006991"/>
            <w:noWrap/>
            <w:vAlign w:val="bottom"/>
            <w:hideMark/>
          </w:tcPr>
          <w:p w14:paraId="2203B8DD"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color w:val="FFFFFF"/>
                <w:szCs w:val="20"/>
                <w:lang w:eastAsia="en-AU"/>
              </w:rPr>
            </w:pPr>
            <w:r w:rsidRPr="00233F05">
              <w:rPr>
                <w:rFonts w:ascii="Open Sans Semibold" w:eastAsia="Times New Roman" w:hAnsi="Open Sans Semibold" w:cs="Open Sans Semibold"/>
                <w:color w:val="FFFFFF"/>
                <w:szCs w:val="20"/>
                <w:lang w:eastAsia="en-AU"/>
              </w:rPr>
              <w:t> </w:t>
            </w:r>
          </w:p>
        </w:tc>
        <w:tc>
          <w:tcPr>
            <w:tcW w:w="760" w:type="dxa"/>
            <w:tcBorders>
              <w:top w:val="nil"/>
              <w:left w:val="nil"/>
              <w:bottom w:val="single" w:sz="4" w:space="0" w:color="ADD6EA"/>
              <w:right w:val="nil"/>
            </w:tcBorders>
            <w:shd w:val="clear" w:color="000000" w:fill="006991"/>
            <w:noWrap/>
            <w:vAlign w:val="bottom"/>
            <w:hideMark/>
          </w:tcPr>
          <w:p w14:paraId="03D7CB55"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color w:val="FFFFFF"/>
                <w:szCs w:val="20"/>
                <w:lang w:eastAsia="en-AU"/>
              </w:rPr>
            </w:pPr>
            <w:r w:rsidRPr="00233F05">
              <w:rPr>
                <w:rFonts w:ascii="Open Sans Semibold" w:eastAsia="Times New Roman" w:hAnsi="Open Sans Semibold" w:cs="Open Sans Semibold"/>
                <w:color w:val="FFFFFF"/>
                <w:szCs w:val="20"/>
                <w:lang w:eastAsia="en-AU"/>
              </w:rPr>
              <w:t> </w:t>
            </w:r>
          </w:p>
        </w:tc>
        <w:tc>
          <w:tcPr>
            <w:tcW w:w="4500" w:type="dxa"/>
            <w:tcBorders>
              <w:top w:val="nil"/>
              <w:left w:val="nil"/>
              <w:bottom w:val="single" w:sz="4" w:space="0" w:color="ADD6EA"/>
              <w:right w:val="nil"/>
            </w:tcBorders>
            <w:shd w:val="clear" w:color="000000" w:fill="006991"/>
            <w:noWrap/>
            <w:vAlign w:val="bottom"/>
            <w:hideMark/>
          </w:tcPr>
          <w:p w14:paraId="08A03594"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color w:val="FFFFFF"/>
                <w:szCs w:val="20"/>
                <w:lang w:eastAsia="en-AU"/>
              </w:rPr>
            </w:pPr>
            <w:r w:rsidRPr="00233F05">
              <w:rPr>
                <w:rFonts w:ascii="Open Sans Semibold" w:eastAsia="Times New Roman" w:hAnsi="Open Sans Semibold" w:cs="Open Sans Semibold"/>
                <w:color w:val="FFFFFF"/>
                <w:szCs w:val="20"/>
                <w:lang w:eastAsia="en-AU"/>
              </w:rPr>
              <w:t> </w:t>
            </w:r>
          </w:p>
        </w:tc>
      </w:tr>
      <w:tr w:rsidR="00233F05" w:rsidRPr="00233F05" w14:paraId="4070517C" w14:textId="77777777" w:rsidTr="00233F05">
        <w:trPr>
          <w:trHeight w:val="315"/>
        </w:trPr>
        <w:tc>
          <w:tcPr>
            <w:tcW w:w="2940" w:type="dxa"/>
            <w:tcBorders>
              <w:top w:val="nil"/>
              <w:left w:val="nil"/>
              <w:bottom w:val="single" w:sz="4" w:space="0" w:color="ADD6EA"/>
              <w:right w:val="nil"/>
            </w:tcBorders>
            <w:shd w:val="clear" w:color="000000" w:fill="B6D5E4"/>
            <w:noWrap/>
            <w:vAlign w:val="bottom"/>
            <w:hideMark/>
          </w:tcPr>
          <w:p w14:paraId="3B493F40"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000000" w:fill="B6D5E4"/>
            <w:noWrap/>
            <w:vAlign w:val="bottom"/>
            <w:hideMark/>
          </w:tcPr>
          <w:p w14:paraId="040C4136" w14:textId="77777777" w:rsidR="00233F05" w:rsidRPr="00233F05" w:rsidRDefault="00233F05" w:rsidP="00233F05">
            <w:pPr>
              <w:tabs>
                <w:tab w:val="clear" w:pos="567"/>
              </w:tabs>
              <w:spacing w:before="0" w:line="240" w:lineRule="auto"/>
              <w:jc w:val="center"/>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Change</w:t>
            </w:r>
          </w:p>
        </w:tc>
        <w:tc>
          <w:tcPr>
            <w:tcW w:w="4500" w:type="dxa"/>
            <w:tcBorders>
              <w:top w:val="nil"/>
              <w:left w:val="nil"/>
              <w:bottom w:val="single" w:sz="4" w:space="0" w:color="ADD6EA"/>
              <w:right w:val="nil"/>
            </w:tcBorders>
            <w:shd w:val="clear" w:color="000000" w:fill="B6D5E4"/>
            <w:noWrap/>
            <w:vAlign w:val="bottom"/>
            <w:hideMark/>
          </w:tcPr>
          <w:p w14:paraId="652E689E"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Explanation</w:t>
            </w:r>
          </w:p>
        </w:tc>
      </w:tr>
      <w:tr w:rsidR="00233F05" w:rsidRPr="00233F05" w14:paraId="53F7F3AB" w14:textId="77777777" w:rsidTr="00233F05">
        <w:trPr>
          <w:trHeight w:val="259"/>
        </w:trPr>
        <w:tc>
          <w:tcPr>
            <w:tcW w:w="2940" w:type="dxa"/>
            <w:tcBorders>
              <w:top w:val="nil"/>
              <w:left w:val="nil"/>
              <w:bottom w:val="single" w:sz="4" w:space="0" w:color="ADD6EA"/>
              <w:right w:val="nil"/>
            </w:tcBorders>
            <w:shd w:val="clear" w:color="000000" w:fill="D6E7F0"/>
            <w:noWrap/>
            <w:vAlign w:val="bottom"/>
            <w:hideMark/>
          </w:tcPr>
          <w:p w14:paraId="2FF2E4F4"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000000" w:fill="D6E7F0"/>
            <w:noWrap/>
            <w:vAlign w:val="bottom"/>
            <w:hideMark/>
          </w:tcPr>
          <w:p w14:paraId="1446357E" w14:textId="77777777" w:rsidR="00233F05" w:rsidRPr="00233F05" w:rsidRDefault="00233F05" w:rsidP="00233F05">
            <w:pPr>
              <w:tabs>
                <w:tab w:val="clear" w:pos="567"/>
              </w:tabs>
              <w:spacing w:before="0" w:line="240" w:lineRule="auto"/>
              <w:jc w:val="center"/>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000000" w:fill="D6E7F0"/>
            <w:noWrap/>
            <w:vAlign w:val="bottom"/>
            <w:hideMark/>
          </w:tcPr>
          <w:p w14:paraId="647ED5DF" w14:textId="77777777" w:rsidR="00233F05" w:rsidRPr="00233F05" w:rsidRDefault="00233F05" w:rsidP="00233F05">
            <w:pPr>
              <w:tabs>
                <w:tab w:val="clear" w:pos="567"/>
              </w:tabs>
              <w:spacing w:before="0" w:line="240" w:lineRule="auto"/>
              <w:jc w:val="center"/>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000000" w:fill="D6E7F0"/>
            <w:noWrap/>
            <w:vAlign w:val="bottom"/>
            <w:hideMark/>
          </w:tcPr>
          <w:p w14:paraId="70DFC791" w14:textId="77777777" w:rsidR="00233F05" w:rsidRPr="00233F05" w:rsidRDefault="00233F05" w:rsidP="00233F05">
            <w:pPr>
              <w:tabs>
                <w:tab w:val="clear" w:pos="567"/>
              </w:tabs>
              <w:spacing w:before="0" w:line="240" w:lineRule="auto"/>
              <w:rPr>
                <w:rFonts w:ascii="Open Sans Semibold" w:eastAsia="Times New Roman" w:hAnsi="Open Sans Semibold" w:cs="Open Sans Semibold"/>
                <w:szCs w:val="20"/>
                <w:lang w:eastAsia="en-AU"/>
              </w:rPr>
            </w:pPr>
            <w:r w:rsidRPr="00233F05">
              <w:rPr>
                <w:rFonts w:ascii="Open Sans Semibold" w:eastAsia="Times New Roman" w:hAnsi="Open Sans Semibold" w:cs="Open Sans Semibold"/>
                <w:szCs w:val="20"/>
                <w:lang w:eastAsia="en-AU"/>
              </w:rPr>
              <w:t> </w:t>
            </w:r>
          </w:p>
        </w:tc>
      </w:tr>
      <w:tr w:rsidR="00233F05" w:rsidRPr="00233F05" w14:paraId="2529FFEA" w14:textId="77777777" w:rsidTr="00DA58F6">
        <w:trPr>
          <w:trHeight w:val="1841"/>
        </w:trPr>
        <w:tc>
          <w:tcPr>
            <w:tcW w:w="2940" w:type="dxa"/>
            <w:tcBorders>
              <w:top w:val="nil"/>
              <w:left w:val="nil"/>
              <w:bottom w:val="single" w:sz="4" w:space="0" w:color="ADD6EA"/>
              <w:right w:val="nil"/>
            </w:tcBorders>
            <w:shd w:val="clear" w:color="auto" w:fill="auto"/>
            <w:hideMark/>
          </w:tcPr>
          <w:p w14:paraId="6A4BD9D6" w14:textId="0742629B"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 xml:space="preserve">Census </w:t>
            </w:r>
            <w:r w:rsidR="00A741DA">
              <w:rPr>
                <w:rFonts w:ascii="Open Sans Light" w:eastAsia="Times New Roman" w:hAnsi="Open Sans Light" w:cs="Open Sans Light"/>
                <w:szCs w:val="20"/>
                <w:lang w:eastAsia="en-AU"/>
              </w:rPr>
              <w:t>–</w:t>
            </w:r>
            <w:r w:rsidRPr="00233F05">
              <w:rPr>
                <w:rFonts w:ascii="Open Sans Light" w:eastAsia="Times New Roman" w:hAnsi="Open Sans Light" w:cs="Open Sans Light"/>
                <w:szCs w:val="20"/>
                <w:lang w:eastAsia="en-AU"/>
              </w:rPr>
              <w:t xml:space="preserve"> </w:t>
            </w:r>
            <w:r w:rsidR="00353C18">
              <w:rPr>
                <w:rFonts w:ascii="Open Sans Light" w:eastAsia="Times New Roman" w:hAnsi="Open Sans Light" w:cs="Open Sans Light"/>
                <w:szCs w:val="20"/>
                <w:lang w:eastAsia="en-AU"/>
              </w:rPr>
              <w:t>u</w:t>
            </w:r>
            <w:r w:rsidRPr="00233F05">
              <w:rPr>
                <w:rFonts w:ascii="Open Sans Light" w:eastAsia="Times New Roman" w:hAnsi="Open Sans Light" w:cs="Open Sans Light"/>
                <w:szCs w:val="20"/>
                <w:lang w:eastAsia="en-AU"/>
              </w:rPr>
              <w:t xml:space="preserve">rban </w:t>
            </w:r>
            <w:r w:rsidR="00353C18">
              <w:rPr>
                <w:rFonts w:ascii="Open Sans Light" w:eastAsia="Times New Roman" w:hAnsi="Open Sans Light" w:cs="Open Sans Light"/>
                <w:szCs w:val="20"/>
                <w:lang w:eastAsia="en-AU"/>
              </w:rPr>
              <w:t>centre c</w:t>
            </w:r>
            <w:r w:rsidRPr="00233F05">
              <w:rPr>
                <w:rFonts w:ascii="Open Sans Light" w:eastAsia="Times New Roman" w:hAnsi="Open Sans Light" w:cs="Open Sans Light"/>
                <w:szCs w:val="20"/>
                <w:lang w:eastAsia="en-AU"/>
              </w:rPr>
              <w:t>haracteristics</w:t>
            </w:r>
          </w:p>
        </w:tc>
        <w:tc>
          <w:tcPr>
            <w:tcW w:w="760" w:type="dxa"/>
            <w:tcBorders>
              <w:top w:val="nil"/>
              <w:left w:val="nil"/>
              <w:bottom w:val="single" w:sz="4" w:space="0" w:color="ADD6EA"/>
              <w:right w:val="nil"/>
            </w:tcBorders>
            <w:shd w:val="clear" w:color="auto" w:fill="EBBFA0"/>
            <w:noWrap/>
            <w:hideMark/>
          </w:tcPr>
          <w:p w14:paraId="7AF0C419"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-265</w:t>
            </w:r>
          </w:p>
        </w:tc>
        <w:tc>
          <w:tcPr>
            <w:tcW w:w="760" w:type="dxa"/>
            <w:tcBorders>
              <w:top w:val="nil"/>
              <w:left w:val="nil"/>
              <w:bottom w:val="single" w:sz="4" w:space="0" w:color="ADD6EA"/>
              <w:right w:val="nil"/>
            </w:tcBorders>
            <w:shd w:val="clear" w:color="auto" w:fill="EBBFA0"/>
            <w:noWrap/>
            <w:hideMark/>
          </w:tcPr>
          <w:p w14:paraId="019FFFBA"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-90</w:t>
            </w:r>
          </w:p>
        </w:tc>
        <w:tc>
          <w:tcPr>
            <w:tcW w:w="4500" w:type="dxa"/>
            <w:tcBorders>
              <w:top w:val="nil"/>
              <w:left w:val="nil"/>
              <w:bottom w:val="single" w:sz="4" w:space="0" w:color="ADD6EA"/>
              <w:right w:val="nil"/>
            </w:tcBorders>
            <w:shd w:val="clear" w:color="auto" w:fill="auto"/>
            <w:hideMark/>
          </w:tcPr>
          <w:p w14:paraId="722233CC" w14:textId="43178525"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Incorporating 2021</w:t>
            </w:r>
            <w:r w:rsidR="00881EC0">
              <w:rPr>
                <w:rFonts w:ascii="Open Sans Light" w:eastAsia="Times New Roman" w:hAnsi="Open Sans Light" w:cs="Open Sans Light"/>
                <w:szCs w:val="20"/>
                <w:lang w:eastAsia="en-AU"/>
              </w:rPr>
              <w:t> </w:t>
            </w:r>
            <w:r w:rsidRPr="00233F05">
              <w:rPr>
                <w:rFonts w:ascii="Open Sans Light" w:eastAsia="Times New Roman" w:hAnsi="Open Sans Light" w:cs="Open Sans Light"/>
                <w:szCs w:val="20"/>
                <w:lang w:eastAsia="en-AU"/>
              </w:rPr>
              <w:t>Census data led to downward revisions to Western Australia’s urban population share and below</w:t>
            </w:r>
            <w:r w:rsidRPr="00233F05">
              <w:rPr>
                <w:rFonts w:ascii="Open Sans Light" w:eastAsia="Times New Roman" w:hAnsi="Open Sans Light" w:cs="Open Sans Light"/>
                <w:szCs w:val="20"/>
                <w:lang w:eastAsia="en-AU"/>
              </w:rPr>
              <w:noBreakHyphen/>
              <w:t>average growth in its urban population-weighted density. This reduced its assessed GST needs for urban transport services and associated investment.</w:t>
            </w:r>
          </w:p>
        </w:tc>
      </w:tr>
      <w:tr w:rsidR="00233F05" w:rsidRPr="00233F05" w14:paraId="51A3199C" w14:textId="77777777" w:rsidTr="00DA58F6">
        <w:trPr>
          <w:trHeight w:val="1200"/>
        </w:trPr>
        <w:tc>
          <w:tcPr>
            <w:tcW w:w="2940" w:type="dxa"/>
            <w:tcBorders>
              <w:top w:val="nil"/>
              <w:left w:val="nil"/>
              <w:bottom w:val="single" w:sz="4" w:space="0" w:color="ADD6EA"/>
              <w:right w:val="nil"/>
            </w:tcBorders>
            <w:shd w:val="clear" w:color="auto" w:fill="auto"/>
            <w:hideMark/>
          </w:tcPr>
          <w:p w14:paraId="574B7B1D" w14:textId="77777777"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Mining production</w:t>
            </w:r>
          </w:p>
        </w:tc>
        <w:tc>
          <w:tcPr>
            <w:tcW w:w="760" w:type="dxa"/>
            <w:tcBorders>
              <w:top w:val="nil"/>
              <w:left w:val="nil"/>
              <w:bottom w:val="single" w:sz="4" w:space="0" w:color="ADD6EA"/>
              <w:right w:val="nil"/>
            </w:tcBorders>
            <w:shd w:val="clear" w:color="auto" w:fill="ADD6EA"/>
            <w:noWrap/>
            <w:hideMark/>
          </w:tcPr>
          <w:p w14:paraId="05BEEFD7"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91</w:t>
            </w:r>
          </w:p>
        </w:tc>
        <w:tc>
          <w:tcPr>
            <w:tcW w:w="760" w:type="dxa"/>
            <w:tcBorders>
              <w:top w:val="nil"/>
              <w:left w:val="nil"/>
              <w:bottom w:val="single" w:sz="4" w:space="0" w:color="ADD6EA"/>
              <w:right w:val="nil"/>
            </w:tcBorders>
            <w:shd w:val="clear" w:color="auto" w:fill="ADD6EA"/>
            <w:noWrap/>
            <w:hideMark/>
          </w:tcPr>
          <w:p w14:paraId="0903B897" w14:textId="77777777" w:rsidR="00233F05" w:rsidRPr="00233F05" w:rsidRDefault="00233F05" w:rsidP="00233F05">
            <w:pPr>
              <w:tabs>
                <w:tab w:val="clear" w:pos="567"/>
              </w:tabs>
              <w:spacing w:before="0" w:line="240" w:lineRule="auto"/>
              <w:jc w:val="center"/>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31</w:t>
            </w:r>
          </w:p>
        </w:tc>
        <w:tc>
          <w:tcPr>
            <w:tcW w:w="4500" w:type="dxa"/>
            <w:tcBorders>
              <w:top w:val="nil"/>
              <w:left w:val="nil"/>
              <w:bottom w:val="single" w:sz="4" w:space="0" w:color="ADD6EA"/>
              <w:right w:val="nil"/>
            </w:tcBorders>
            <w:shd w:val="clear" w:color="auto" w:fill="auto"/>
            <w:hideMark/>
          </w:tcPr>
          <w:p w14:paraId="6ECD3625" w14:textId="180177D9" w:rsidR="00233F05" w:rsidRPr="00233F05" w:rsidRDefault="00233F05" w:rsidP="00233F05">
            <w:pPr>
              <w:tabs>
                <w:tab w:val="clear" w:pos="567"/>
              </w:tabs>
              <w:spacing w:before="0" w:line="240" w:lineRule="auto"/>
              <w:rPr>
                <w:rFonts w:ascii="Open Sans Light" w:eastAsia="Times New Roman" w:hAnsi="Open Sans Light" w:cs="Open Sans Light"/>
                <w:szCs w:val="20"/>
                <w:lang w:eastAsia="en-AU"/>
              </w:rPr>
            </w:pPr>
            <w:r w:rsidRPr="00233F05">
              <w:rPr>
                <w:rFonts w:ascii="Open Sans Light" w:eastAsia="Times New Roman" w:hAnsi="Open Sans Light" w:cs="Open Sans Light"/>
                <w:szCs w:val="20"/>
                <w:lang w:eastAsia="en-AU"/>
              </w:rPr>
              <w:t>A separate assessment of nickel became material. This resulted in a lower royalty rate in all 3 assessment years, reducing Western Australia’s relative revenue</w:t>
            </w:r>
            <w:r w:rsidR="00BD3FE5">
              <w:rPr>
                <w:rFonts w:ascii="Open Sans Light" w:eastAsia="Times New Roman" w:hAnsi="Open Sans Light" w:cs="Open Sans Light"/>
                <w:szCs w:val="20"/>
                <w:lang w:eastAsia="en-AU"/>
              </w:rPr>
              <w:t xml:space="preserve"> </w:t>
            </w:r>
            <w:r w:rsidRPr="00233F05">
              <w:rPr>
                <w:rFonts w:ascii="Open Sans Light" w:eastAsia="Times New Roman" w:hAnsi="Open Sans Light" w:cs="Open Sans Light"/>
                <w:szCs w:val="20"/>
                <w:lang w:eastAsia="en-AU"/>
              </w:rPr>
              <w:t>raising capacity.</w:t>
            </w:r>
          </w:p>
        </w:tc>
      </w:tr>
    </w:tbl>
    <w:p w14:paraId="3DF87B04" w14:textId="77777777" w:rsidR="00505738" w:rsidRDefault="00505738" w:rsidP="00505738">
      <w:pPr>
        <w:pStyle w:val="Tablefootnote"/>
      </w:pPr>
      <w:r w:rsidRPr="008D72BE">
        <w:t>Source: Commission calculation.</w:t>
      </w:r>
    </w:p>
    <w:p w14:paraId="2F4C3DCE" w14:textId="43C0292D" w:rsidR="00505738" w:rsidRPr="008D72BE" w:rsidRDefault="00505738" w:rsidP="00505738">
      <w:pPr>
        <w:pStyle w:val="Tablefootnote"/>
        <w:rPr>
          <w:highlight w:val="yellow"/>
        </w:rPr>
      </w:pPr>
      <w:r w:rsidRPr="008D72BE">
        <w:br w:type="page"/>
      </w:r>
    </w:p>
    <w:p w14:paraId="50D2BE29" w14:textId="2593B800" w:rsidR="00CF3BD3" w:rsidRDefault="008934E3" w:rsidP="00F373B6">
      <w:pPr>
        <w:pStyle w:val="Heading2"/>
      </w:pPr>
      <w:r>
        <w:lastRenderedPageBreak/>
        <w:t>South Australia</w:t>
      </w:r>
    </w:p>
    <w:p w14:paraId="28C92202" w14:textId="066D955A" w:rsidR="00F373B6" w:rsidRPr="008D72BE" w:rsidRDefault="00F373B6" w:rsidP="00F373B6">
      <w:r w:rsidRPr="008D72BE">
        <w:t xml:space="preserve">South Australia’s share of the GST pool is estimated to remain steady at 9.7%. </w:t>
      </w:r>
      <w:proofErr w:type="gramStart"/>
      <w:r w:rsidRPr="008D72BE">
        <w:t>Taking into account</w:t>
      </w:r>
      <w:proofErr w:type="gramEnd"/>
      <w:r w:rsidRPr="008D72BE">
        <w:t xml:space="preserve"> growth in the GST pool, South Australia’s estimated GST distribution in 2024</w:t>
      </w:r>
      <w:r w:rsidR="006E1B94">
        <w:t>–</w:t>
      </w:r>
      <w:r w:rsidRPr="008D72BE">
        <w:t>25 would increase by $457 million ($242 per capita), or 5.6%.</w:t>
      </w:r>
    </w:p>
    <w:p w14:paraId="472A7DF1" w14:textId="171A62A9" w:rsidR="00F373B6" w:rsidRPr="0095123E" w:rsidRDefault="00F373B6" w:rsidP="00A05918">
      <w:pPr>
        <w:pStyle w:val="BulletPoints"/>
      </w:pPr>
      <w:r w:rsidRPr="0095123E">
        <w:t xml:space="preserve">South Australia’s assessed GST needs </w:t>
      </w:r>
      <w:r w:rsidR="000C63B8" w:rsidRPr="0095123E">
        <w:t>increased</w:t>
      </w:r>
      <w:r w:rsidR="005A1147" w:rsidRPr="0095123E">
        <w:t xml:space="preserve"> largely</w:t>
      </w:r>
      <w:r w:rsidRPr="0095123E">
        <w:t xml:space="preserve"> due to:</w:t>
      </w:r>
    </w:p>
    <w:p w14:paraId="10928042" w14:textId="0115FC60" w:rsidR="009E3245" w:rsidRPr="0095123E" w:rsidRDefault="009E3245" w:rsidP="00A05918">
      <w:pPr>
        <w:pStyle w:val="BulletPoints-Level2"/>
      </w:pPr>
      <w:r w:rsidRPr="0095123E">
        <w:t xml:space="preserve">a reduction in its relative capacity to raise mining </w:t>
      </w:r>
      <w:proofErr w:type="gramStart"/>
      <w:r w:rsidRPr="0095123E">
        <w:t>revenue</w:t>
      </w:r>
      <w:proofErr w:type="gramEnd"/>
    </w:p>
    <w:p w14:paraId="68993180" w14:textId="751AF74E" w:rsidR="009E3245" w:rsidRPr="0095123E" w:rsidRDefault="009E3245" w:rsidP="001F4522">
      <w:pPr>
        <w:pStyle w:val="BulletPoints-Level2"/>
      </w:pPr>
      <w:r w:rsidRPr="0095123E">
        <w:t>below-average growth in taxable payrolls</w:t>
      </w:r>
    </w:p>
    <w:p w14:paraId="792E1C02" w14:textId="551260E9" w:rsidR="009E3245" w:rsidRPr="0095123E" w:rsidRDefault="009E3245" w:rsidP="00B319C0">
      <w:pPr>
        <w:pStyle w:val="BulletPoints-Level2"/>
      </w:pPr>
      <w:r w:rsidRPr="0095123E">
        <w:t>revisions to national urban transport investment</w:t>
      </w:r>
      <w:r w:rsidR="00C02198" w:rsidRPr="0095123E">
        <w:t xml:space="preserve"> spending</w:t>
      </w:r>
      <w:r w:rsidR="000F37BD" w:rsidRPr="0095123E">
        <w:t>.</w:t>
      </w:r>
    </w:p>
    <w:p w14:paraId="493C7FCB" w14:textId="4586CEC9" w:rsidR="0007301F" w:rsidRPr="0095123E" w:rsidRDefault="00662AAF" w:rsidP="001F4522">
      <w:pPr>
        <w:pStyle w:val="BulletPoints"/>
      </w:pPr>
      <w:r w:rsidRPr="0095123E">
        <w:t xml:space="preserve">South Australia’s </w:t>
      </w:r>
      <w:r w:rsidR="000C63B8" w:rsidRPr="0095123E">
        <w:t xml:space="preserve">increase </w:t>
      </w:r>
      <w:r w:rsidR="00F373B6" w:rsidRPr="0095123E">
        <w:t xml:space="preserve">in assessed GST needs was </w:t>
      </w:r>
      <w:r w:rsidR="0007301F" w:rsidRPr="0095123E">
        <w:t xml:space="preserve">partly </w:t>
      </w:r>
      <w:r w:rsidR="00F373B6" w:rsidRPr="0095123E">
        <w:t>offset by</w:t>
      </w:r>
      <w:r w:rsidR="0007301F" w:rsidRPr="0095123E">
        <w:t xml:space="preserve"> revisions to socio-demographic composition and urban population data from the latest 2021</w:t>
      </w:r>
      <w:r w:rsidR="0098292D">
        <w:t> </w:t>
      </w:r>
      <w:r w:rsidR="0007301F" w:rsidRPr="0095123E">
        <w:t>Census release, below-average wage costs growth and strong growth in national urban transport investment.</w:t>
      </w:r>
    </w:p>
    <w:p w14:paraId="43B25185" w14:textId="77777777" w:rsidR="00F373B6" w:rsidRPr="008D72BE" w:rsidRDefault="00F373B6">
      <w:pPr>
        <w:pStyle w:val="BulletPoints"/>
      </w:pPr>
      <w:r w:rsidRPr="008D72BE">
        <w:t>South Australia’s estimated GST distribution also increased due to expected growth in the GST pool.</w:t>
      </w:r>
    </w:p>
    <w:p w14:paraId="2AEE2100" w14:textId="2A9EA8D8" w:rsidR="00F373B6" w:rsidRPr="008D72BE" w:rsidRDefault="00F373B6" w:rsidP="00A05918">
      <w:pPr>
        <w:pStyle w:val="BulletPoints"/>
      </w:pPr>
      <w:r w:rsidRPr="008D72BE">
        <w:t>Compared with 2023</w:t>
      </w:r>
      <w:r w:rsidR="00946B03">
        <w:t>–</w:t>
      </w:r>
      <w:r w:rsidRPr="008D72BE">
        <w:t>24, blended relativities and the GST floor resulted in a reduction ($21 million) in South Australia’s GST distribution.</w:t>
      </w:r>
    </w:p>
    <w:p w14:paraId="0C74D3FF" w14:textId="22E258C9" w:rsidR="00F373B6" w:rsidRPr="008D72BE" w:rsidRDefault="00F373B6" w:rsidP="00A05918">
      <w:pPr>
        <w:pStyle w:val="CGCTableHead"/>
        <w:ind w:left="1440" w:hanging="1440"/>
      </w:pPr>
      <w:r w:rsidRPr="008D72BE">
        <w:t>Table 3-5</w:t>
      </w:r>
      <w:r w:rsidRPr="008D72BE">
        <w:tab/>
        <w:t>Change in estimated GST distribution from 2023</w:t>
      </w:r>
      <w:r w:rsidR="00946B03">
        <w:t>–</w:t>
      </w:r>
      <w:r w:rsidRPr="008D72BE">
        <w:t>24 to 2024</w:t>
      </w:r>
      <w:r w:rsidR="00946B03">
        <w:t>–</w:t>
      </w:r>
      <w:r w:rsidRPr="008D72BE">
        <w:t>25, South</w:t>
      </w:r>
      <w:r w:rsidR="00A05918">
        <w:t> </w:t>
      </w:r>
      <w:r w:rsidRPr="008D72BE">
        <w:t>Australia (excludes no worse off payments)</w:t>
      </w:r>
    </w:p>
    <w:tbl>
      <w:tblPr>
        <w:tblW w:w="8940" w:type="dxa"/>
        <w:tblLook w:val="04A0" w:firstRow="1" w:lastRow="0" w:firstColumn="1" w:lastColumn="0" w:noHBand="0" w:noVBand="1"/>
      </w:tblPr>
      <w:tblGrid>
        <w:gridCol w:w="4420"/>
        <w:gridCol w:w="2200"/>
        <w:gridCol w:w="2320"/>
      </w:tblGrid>
      <w:tr w:rsidR="00F373B6" w14:paraId="33FD80C1" w14:textId="77777777" w:rsidTr="00437247">
        <w:trPr>
          <w:trHeight w:val="375"/>
        </w:trPr>
        <w:tc>
          <w:tcPr>
            <w:tcW w:w="4420" w:type="dxa"/>
            <w:tcBorders>
              <w:top w:val="nil"/>
              <w:left w:val="nil"/>
              <w:bottom w:val="single" w:sz="4" w:space="0" w:color="ADD6EA"/>
              <w:right w:val="nil"/>
            </w:tcBorders>
            <w:shd w:val="clear" w:color="000000" w:fill="006991"/>
            <w:noWrap/>
            <w:vAlign w:val="center"/>
            <w:hideMark/>
          </w:tcPr>
          <w:p w14:paraId="79072C1B" w14:textId="77777777" w:rsidR="00F373B6" w:rsidRPr="00437247" w:rsidRDefault="00F373B6" w:rsidP="0043724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7247">
              <w:rPr>
                <w:rFonts w:ascii="Open Sans Semibold" w:eastAsia="Times New Roman" w:hAnsi="Open Sans Semibold" w:cs="Open Sans Semibold"/>
                <w:color w:val="FFFFFF"/>
                <w:sz w:val="16"/>
                <w:szCs w:val="16"/>
                <w:lang w:eastAsia="en-AU"/>
              </w:rPr>
              <w:t> </w:t>
            </w:r>
          </w:p>
        </w:tc>
        <w:tc>
          <w:tcPr>
            <w:tcW w:w="2200" w:type="dxa"/>
            <w:tcBorders>
              <w:top w:val="nil"/>
              <w:left w:val="nil"/>
              <w:bottom w:val="single" w:sz="4" w:space="0" w:color="ADD6EA"/>
              <w:right w:val="nil"/>
            </w:tcBorders>
            <w:shd w:val="clear" w:color="000000" w:fill="006991"/>
            <w:noWrap/>
            <w:vAlign w:val="center"/>
            <w:hideMark/>
          </w:tcPr>
          <w:p w14:paraId="2333FDF9" w14:textId="77777777" w:rsidR="00F373B6" w:rsidRPr="00437247" w:rsidRDefault="00F373B6" w:rsidP="0043724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7247">
              <w:rPr>
                <w:rFonts w:ascii="Open Sans Semibold" w:eastAsia="Times New Roman" w:hAnsi="Open Sans Semibold" w:cs="Open Sans Semibold"/>
                <w:color w:val="FFFFFF"/>
                <w:sz w:val="16"/>
                <w:szCs w:val="16"/>
                <w:lang w:eastAsia="en-AU"/>
              </w:rPr>
              <w:t>$m</w:t>
            </w:r>
          </w:p>
        </w:tc>
        <w:tc>
          <w:tcPr>
            <w:tcW w:w="2320" w:type="dxa"/>
            <w:tcBorders>
              <w:top w:val="nil"/>
              <w:left w:val="nil"/>
              <w:bottom w:val="single" w:sz="4" w:space="0" w:color="ADD6EA"/>
              <w:right w:val="nil"/>
            </w:tcBorders>
            <w:shd w:val="clear" w:color="000000" w:fill="006991"/>
            <w:noWrap/>
            <w:vAlign w:val="center"/>
            <w:hideMark/>
          </w:tcPr>
          <w:p w14:paraId="1CA2FE2B" w14:textId="77777777" w:rsidR="00F373B6" w:rsidRPr="00437247" w:rsidRDefault="00F373B6" w:rsidP="00437247">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437247">
              <w:rPr>
                <w:rFonts w:ascii="Open Sans Semibold" w:eastAsia="Times New Roman" w:hAnsi="Open Sans Semibold" w:cs="Open Sans Semibold"/>
                <w:color w:val="FFFFFF"/>
                <w:sz w:val="16"/>
                <w:szCs w:val="16"/>
                <w:lang w:eastAsia="en-AU"/>
              </w:rPr>
              <w:t>$pc</w:t>
            </w:r>
          </w:p>
        </w:tc>
      </w:tr>
      <w:tr w:rsidR="00F373B6" w14:paraId="4B82EEBF" w14:textId="77777777" w:rsidTr="00437247">
        <w:trPr>
          <w:trHeight w:val="315"/>
        </w:trPr>
        <w:tc>
          <w:tcPr>
            <w:tcW w:w="4420" w:type="dxa"/>
            <w:tcBorders>
              <w:top w:val="nil"/>
              <w:left w:val="nil"/>
              <w:bottom w:val="single" w:sz="4" w:space="0" w:color="ADD6EA"/>
              <w:right w:val="nil"/>
            </w:tcBorders>
            <w:shd w:val="clear" w:color="auto" w:fill="auto"/>
            <w:noWrap/>
            <w:vAlign w:val="bottom"/>
            <w:hideMark/>
          </w:tcPr>
          <w:p w14:paraId="1F412A62" w14:textId="77777777" w:rsidR="00F373B6" w:rsidRPr="00200AAE" w:rsidRDefault="00F373B6" w:rsidP="00437247">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Change in </w:t>
            </w:r>
            <w:r w:rsidRPr="00200AAE">
              <w:rPr>
                <w:rFonts w:ascii="Open Sans Light" w:eastAsia="Times New Roman" w:hAnsi="Open Sans Light" w:cs="Open Sans Light"/>
                <w:color w:val="000000"/>
                <w:sz w:val="16"/>
                <w:szCs w:val="16"/>
                <w:lang w:eastAsia="en-AU"/>
              </w:rPr>
              <w:t>population</w:t>
            </w:r>
          </w:p>
        </w:tc>
        <w:tc>
          <w:tcPr>
            <w:tcW w:w="2200" w:type="dxa"/>
            <w:tcBorders>
              <w:top w:val="nil"/>
              <w:left w:val="nil"/>
              <w:bottom w:val="single" w:sz="4" w:space="0" w:color="ADD6EA"/>
              <w:right w:val="nil"/>
            </w:tcBorders>
            <w:shd w:val="clear" w:color="auto" w:fill="auto"/>
            <w:noWrap/>
            <w:vAlign w:val="bottom"/>
            <w:hideMark/>
          </w:tcPr>
          <w:p w14:paraId="2203A2E8"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-31</w:t>
            </w:r>
          </w:p>
        </w:tc>
        <w:tc>
          <w:tcPr>
            <w:tcW w:w="2320" w:type="dxa"/>
            <w:tcBorders>
              <w:top w:val="nil"/>
              <w:left w:val="nil"/>
              <w:bottom w:val="single" w:sz="4" w:space="0" w:color="ADD6EA"/>
              <w:right w:val="nil"/>
            </w:tcBorders>
            <w:shd w:val="clear" w:color="auto" w:fill="auto"/>
            <w:noWrap/>
            <w:vAlign w:val="bottom"/>
            <w:hideMark/>
          </w:tcPr>
          <w:p w14:paraId="008D65B1"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-16</w:t>
            </w:r>
          </w:p>
        </w:tc>
      </w:tr>
      <w:tr w:rsidR="00F373B6" w14:paraId="1E70CBDD" w14:textId="77777777" w:rsidTr="00437247">
        <w:trPr>
          <w:trHeight w:val="315"/>
        </w:trPr>
        <w:tc>
          <w:tcPr>
            <w:tcW w:w="4420" w:type="dxa"/>
            <w:tcBorders>
              <w:top w:val="nil"/>
              <w:left w:val="nil"/>
              <w:bottom w:val="single" w:sz="4" w:space="0" w:color="ADD6EA"/>
              <w:right w:val="nil"/>
            </w:tcBorders>
            <w:shd w:val="clear" w:color="auto" w:fill="auto"/>
            <w:noWrap/>
            <w:vAlign w:val="bottom"/>
            <w:hideMark/>
          </w:tcPr>
          <w:p w14:paraId="790DFF1C" w14:textId="77777777" w:rsidR="00F373B6" w:rsidRPr="00200AAE" w:rsidRDefault="00F373B6" w:rsidP="00437247">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Growth in GST pool </w:t>
            </w:r>
          </w:p>
        </w:tc>
        <w:tc>
          <w:tcPr>
            <w:tcW w:w="2200" w:type="dxa"/>
            <w:tcBorders>
              <w:top w:val="nil"/>
              <w:left w:val="nil"/>
              <w:bottom w:val="single" w:sz="4" w:space="0" w:color="ADD6EA"/>
              <w:right w:val="nil"/>
            </w:tcBorders>
            <w:shd w:val="clear" w:color="auto" w:fill="auto"/>
            <w:noWrap/>
            <w:vAlign w:val="bottom"/>
            <w:hideMark/>
          </w:tcPr>
          <w:p w14:paraId="2900C5CA"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463</w:t>
            </w:r>
          </w:p>
        </w:tc>
        <w:tc>
          <w:tcPr>
            <w:tcW w:w="2320" w:type="dxa"/>
            <w:tcBorders>
              <w:top w:val="nil"/>
              <w:left w:val="nil"/>
              <w:bottom w:val="single" w:sz="4" w:space="0" w:color="ADD6EA"/>
              <w:right w:val="nil"/>
            </w:tcBorders>
            <w:shd w:val="clear" w:color="auto" w:fill="auto"/>
            <w:noWrap/>
            <w:vAlign w:val="bottom"/>
            <w:hideMark/>
          </w:tcPr>
          <w:p w14:paraId="1DB0B086"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245</w:t>
            </w:r>
          </w:p>
        </w:tc>
      </w:tr>
      <w:tr w:rsidR="00F373B6" w14:paraId="7CB00179" w14:textId="77777777" w:rsidTr="00437247">
        <w:trPr>
          <w:trHeight w:val="315"/>
        </w:trPr>
        <w:tc>
          <w:tcPr>
            <w:tcW w:w="4420" w:type="dxa"/>
            <w:tcBorders>
              <w:top w:val="nil"/>
              <w:left w:val="nil"/>
              <w:bottom w:val="single" w:sz="4" w:space="0" w:color="ADD6EA"/>
              <w:right w:val="nil"/>
            </w:tcBorders>
            <w:shd w:val="clear" w:color="auto" w:fill="auto"/>
            <w:noWrap/>
            <w:vAlign w:val="bottom"/>
            <w:hideMark/>
          </w:tcPr>
          <w:p w14:paraId="6849A630" w14:textId="77777777" w:rsidR="00F373B6" w:rsidRPr="00200AAE" w:rsidRDefault="00F373B6" w:rsidP="00437247">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Changes in assessed GST needs</w:t>
            </w:r>
          </w:p>
        </w:tc>
        <w:tc>
          <w:tcPr>
            <w:tcW w:w="2200" w:type="dxa"/>
            <w:tcBorders>
              <w:top w:val="nil"/>
              <w:left w:val="nil"/>
              <w:bottom w:val="single" w:sz="4" w:space="0" w:color="ADD6EA"/>
              <w:right w:val="nil"/>
            </w:tcBorders>
            <w:shd w:val="clear" w:color="auto" w:fill="auto"/>
            <w:noWrap/>
            <w:vAlign w:val="bottom"/>
            <w:hideMark/>
          </w:tcPr>
          <w:p w14:paraId="6C797586"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w:t>
            </w:r>
          </w:p>
        </w:tc>
        <w:tc>
          <w:tcPr>
            <w:tcW w:w="2320" w:type="dxa"/>
            <w:tcBorders>
              <w:top w:val="nil"/>
              <w:left w:val="nil"/>
              <w:bottom w:val="single" w:sz="4" w:space="0" w:color="ADD6EA"/>
              <w:right w:val="nil"/>
            </w:tcBorders>
            <w:shd w:val="clear" w:color="auto" w:fill="auto"/>
            <w:noWrap/>
            <w:vAlign w:val="bottom"/>
            <w:hideMark/>
          </w:tcPr>
          <w:p w14:paraId="0A9E79B6"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w:t>
            </w:r>
          </w:p>
        </w:tc>
      </w:tr>
      <w:tr w:rsidR="00F373B6" w14:paraId="76D6158F" w14:textId="77777777" w:rsidTr="00437247">
        <w:trPr>
          <w:trHeight w:val="315"/>
        </w:trPr>
        <w:tc>
          <w:tcPr>
            <w:tcW w:w="4420" w:type="dxa"/>
            <w:tcBorders>
              <w:top w:val="nil"/>
              <w:left w:val="nil"/>
              <w:bottom w:val="single" w:sz="4" w:space="0" w:color="ADD6EA"/>
              <w:right w:val="nil"/>
            </w:tcBorders>
            <w:shd w:val="clear" w:color="auto" w:fill="auto"/>
            <w:noWrap/>
            <w:vAlign w:val="bottom"/>
            <w:hideMark/>
          </w:tcPr>
          <w:p w14:paraId="07356E4E" w14:textId="2A183F81" w:rsidR="00F373B6" w:rsidRPr="00200AAE" w:rsidRDefault="00F373B6" w:rsidP="00437247">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Revised populations from </w:t>
            </w:r>
            <w:r w:rsidR="00A536AB" w:rsidRPr="00200AAE">
              <w:rPr>
                <w:rFonts w:ascii="Open Sans Light" w:eastAsia="Times New Roman" w:hAnsi="Open Sans Light" w:cs="Open Sans Light"/>
                <w:sz w:val="16"/>
                <w:szCs w:val="16"/>
                <w:lang w:eastAsia="en-AU"/>
              </w:rPr>
              <w:t>C</w:t>
            </w:r>
            <w:r w:rsidRPr="00200AAE">
              <w:rPr>
                <w:rFonts w:ascii="Open Sans Light" w:eastAsia="Times New Roman" w:hAnsi="Open Sans Light" w:cs="Open Sans Light"/>
                <w:sz w:val="16"/>
                <w:szCs w:val="16"/>
                <w:lang w:eastAsia="en-AU"/>
              </w:rPr>
              <w:t>ensus</w:t>
            </w:r>
          </w:p>
        </w:tc>
        <w:tc>
          <w:tcPr>
            <w:tcW w:w="2200" w:type="dxa"/>
            <w:tcBorders>
              <w:top w:val="nil"/>
              <w:left w:val="nil"/>
              <w:bottom w:val="single" w:sz="4" w:space="0" w:color="ADD6EA"/>
              <w:right w:val="nil"/>
            </w:tcBorders>
            <w:shd w:val="clear" w:color="auto" w:fill="auto"/>
            <w:noWrap/>
            <w:vAlign w:val="bottom"/>
            <w:hideMark/>
          </w:tcPr>
          <w:p w14:paraId="27D556D1"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-286</w:t>
            </w:r>
          </w:p>
        </w:tc>
        <w:tc>
          <w:tcPr>
            <w:tcW w:w="2320" w:type="dxa"/>
            <w:tcBorders>
              <w:top w:val="nil"/>
              <w:left w:val="nil"/>
              <w:bottom w:val="single" w:sz="4" w:space="0" w:color="ADD6EA"/>
              <w:right w:val="nil"/>
            </w:tcBorders>
            <w:shd w:val="clear" w:color="auto" w:fill="auto"/>
            <w:noWrap/>
            <w:vAlign w:val="bottom"/>
            <w:hideMark/>
          </w:tcPr>
          <w:p w14:paraId="3E705768"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-151</w:t>
            </w:r>
          </w:p>
        </w:tc>
      </w:tr>
      <w:tr w:rsidR="00F373B6" w14:paraId="1673C762" w14:textId="77777777" w:rsidTr="00437247">
        <w:trPr>
          <w:trHeight w:val="315"/>
        </w:trPr>
        <w:tc>
          <w:tcPr>
            <w:tcW w:w="4420" w:type="dxa"/>
            <w:tcBorders>
              <w:top w:val="nil"/>
              <w:left w:val="nil"/>
              <w:bottom w:val="single" w:sz="4" w:space="0" w:color="ADD6EA"/>
              <w:right w:val="nil"/>
            </w:tcBorders>
            <w:shd w:val="clear" w:color="auto" w:fill="auto"/>
            <w:noWrap/>
            <w:vAlign w:val="bottom"/>
            <w:hideMark/>
          </w:tcPr>
          <w:p w14:paraId="0E05F48E" w14:textId="77777777" w:rsidR="00F373B6" w:rsidRPr="00200AAE" w:rsidRDefault="00F373B6" w:rsidP="00437247">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Other data revisions</w:t>
            </w:r>
          </w:p>
        </w:tc>
        <w:tc>
          <w:tcPr>
            <w:tcW w:w="2200" w:type="dxa"/>
            <w:tcBorders>
              <w:top w:val="nil"/>
              <w:left w:val="nil"/>
              <w:bottom w:val="single" w:sz="4" w:space="0" w:color="ADD6EA"/>
              <w:right w:val="nil"/>
            </w:tcBorders>
            <w:shd w:val="clear" w:color="auto" w:fill="auto"/>
            <w:noWrap/>
            <w:vAlign w:val="bottom"/>
            <w:hideMark/>
          </w:tcPr>
          <w:p w14:paraId="1583AAC1"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69</w:t>
            </w:r>
          </w:p>
        </w:tc>
        <w:tc>
          <w:tcPr>
            <w:tcW w:w="2320" w:type="dxa"/>
            <w:tcBorders>
              <w:top w:val="nil"/>
              <w:left w:val="nil"/>
              <w:bottom w:val="single" w:sz="4" w:space="0" w:color="ADD6EA"/>
              <w:right w:val="nil"/>
            </w:tcBorders>
            <w:shd w:val="clear" w:color="auto" w:fill="auto"/>
            <w:noWrap/>
            <w:vAlign w:val="bottom"/>
            <w:hideMark/>
          </w:tcPr>
          <w:p w14:paraId="773A664E"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37</w:t>
            </w:r>
          </w:p>
        </w:tc>
      </w:tr>
      <w:tr w:rsidR="00F373B6" w14:paraId="1E2BF91C" w14:textId="77777777" w:rsidTr="00437247">
        <w:trPr>
          <w:trHeight w:val="315"/>
        </w:trPr>
        <w:tc>
          <w:tcPr>
            <w:tcW w:w="4420" w:type="dxa"/>
            <w:tcBorders>
              <w:top w:val="nil"/>
              <w:left w:val="nil"/>
              <w:bottom w:val="single" w:sz="4" w:space="0" w:color="ADD6EA"/>
              <w:right w:val="nil"/>
            </w:tcBorders>
            <w:shd w:val="clear" w:color="auto" w:fill="auto"/>
            <w:noWrap/>
            <w:vAlign w:val="bottom"/>
            <w:hideMark/>
          </w:tcPr>
          <w:p w14:paraId="72B4B69E" w14:textId="77777777" w:rsidR="00F373B6" w:rsidRPr="00200AAE" w:rsidRDefault="00F373B6" w:rsidP="00437247">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State circumstances</w:t>
            </w:r>
          </w:p>
        </w:tc>
        <w:tc>
          <w:tcPr>
            <w:tcW w:w="2200" w:type="dxa"/>
            <w:tcBorders>
              <w:top w:val="nil"/>
              <w:left w:val="nil"/>
              <w:bottom w:val="single" w:sz="4" w:space="0" w:color="ADD6EA"/>
              <w:right w:val="nil"/>
            </w:tcBorders>
            <w:shd w:val="clear" w:color="auto" w:fill="auto"/>
            <w:noWrap/>
            <w:vAlign w:val="bottom"/>
            <w:hideMark/>
          </w:tcPr>
          <w:p w14:paraId="19CEB832"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263</w:t>
            </w:r>
          </w:p>
        </w:tc>
        <w:tc>
          <w:tcPr>
            <w:tcW w:w="2320" w:type="dxa"/>
            <w:tcBorders>
              <w:top w:val="nil"/>
              <w:left w:val="nil"/>
              <w:bottom w:val="single" w:sz="4" w:space="0" w:color="ADD6EA"/>
              <w:right w:val="nil"/>
            </w:tcBorders>
            <w:shd w:val="clear" w:color="auto" w:fill="auto"/>
            <w:noWrap/>
            <w:vAlign w:val="bottom"/>
            <w:hideMark/>
          </w:tcPr>
          <w:p w14:paraId="2A7D261D"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139</w:t>
            </w:r>
          </w:p>
        </w:tc>
      </w:tr>
      <w:tr w:rsidR="00F373B6" w14:paraId="2F75A248" w14:textId="77777777" w:rsidTr="00437247">
        <w:trPr>
          <w:trHeight w:val="315"/>
        </w:trPr>
        <w:tc>
          <w:tcPr>
            <w:tcW w:w="4420" w:type="dxa"/>
            <w:tcBorders>
              <w:top w:val="nil"/>
              <w:left w:val="nil"/>
              <w:bottom w:val="single" w:sz="4" w:space="0" w:color="ADD6EA"/>
              <w:right w:val="nil"/>
            </w:tcBorders>
            <w:shd w:val="clear" w:color="auto" w:fill="auto"/>
            <w:noWrap/>
            <w:vAlign w:val="bottom"/>
            <w:hideMark/>
          </w:tcPr>
          <w:p w14:paraId="18006118" w14:textId="77777777" w:rsidR="00F373B6" w:rsidRPr="00200AAE" w:rsidRDefault="00F373B6" w:rsidP="00437247">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Total</w:t>
            </w:r>
          </w:p>
        </w:tc>
        <w:tc>
          <w:tcPr>
            <w:tcW w:w="2200" w:type="dxa"/>
            <w:tcBorders>
              <w:top w:val="nil"/>
              <w:left w:val="nil"/>
              <w:bottom w:val="single" w:sz="4" w:space="0" w:color="ADD6EA"/>
              <w:right w:val="nil"/>
            </w:tcBorders>
            <w:shd w:val="clear" w:color="auto" w:fill="auto"/>
            <w:noWrap/>
            <w:vAlign w:val="bottom"/>
            <w:hideMark/>
          </w:tcPr>
          <w:p w14:paraId="619998DA"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46</w:t>
            </w:r>
          </w:p>
        </w:tc>
        <w:tc>
          <w:tcPr>
            <w:tcW w:w="2320" w:type="dxa"/>
            <w:tcBorders>
              <w:top w:val="nil"/>
              <w:left w:val="nil"/>
              <w:bottom w:val="single" w:sz="4" w:space="0" w:color="ADD6EA"/>
              <w:right w:val="nil"/>
            </w:tcBorders>
            <w:shd w:val="clear" w:color="auto" w:fill="auto"/>
            <w:noWrap/>
            <w:vAlign w:val="bottom"/>
            <w:hideMark/>
          </w:tcPr>
          <w:p w14:paraId="5C89D9CE"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25</w:t>
            </w:r>
          </w:p>
        </w:tc>
      </w:tr>
      <w:tr w:rsidR="00F373B6" w14:paraId="0E34EE7D" w14:textId="77777777" w:rsidTr="00437247">
        <w:trPr>
          <w:trHeight w:val="315"/>
        </w:trPr>
        <w:tc>
          <w:tcPr>
            <w:tcW w:w="4420" w:type="dxa"/>
            <w:tcBorders>
              <w:top w:val="nil"/>
              <w:left w:val="nil"/>
              <w:bottom w:val="single" w:sz="4" w:space="0" w:color="ADD6EA"/>
              <w:right w:val="nil"/>
            </w:tcBorders>
            <w:shd w:val="clear" w:color="auto" w:fill="auto"/>
            <w:noWrap/>
            <w:vAlign w:val="bottom"/>
            <w:hideMark/>
          </w:tcPr>
          <w:p w14:paraId="4EDF73F4" w14:textId="77777777" w:rsidR="00F373B6" w:rsidRPr="00200AAE" w:rsidRDefault="00F373B6" w:rsidP="00437247">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Blended relativities and GST floor</w:t>
            </w:r>
          </w:p>
        </w:tc>
        <w:tc>
          <w:tcPr>
            <w:tcW w:w="2200" w:type="dxa"/>
            <w:tcBorders>
              <w:top w:val="nil"/>
              <w:left w:val="nil"/>
              <w:bottom w:val="single" w:sz="4" w:space="0" w:color="ADD6EA"/>
              <w:right w:val="nil"/>
            </w:tcBorders>
            <w:shd w:val="clear" w:color="auto" w:fill="auto"/>
            <w:noWrap/>
            <w:vAlign w:val="bottom"/>
            <w:hideMark/>
          </w:tcPr>
          <w:p w14:paraId="6D7042A3"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-21</w:t>
            </w:r>
          </w:p>
        </w:tc>
        <w:tc>
          <w:tcPr>
            <w:tcW w:w="2320" w:type="dxa"/>
            <w:tcBorders>
              <w:top w:val="nil"/>
              <w:left w:val="nil"/>
              <w:bottom w:val="single" w:sz="4" w:space="0" w:color="ADD6EA"/>
              <w:right w:val="nil"/>
            </w:tcBorders>
            <w:shd w:val="clear" w:color="auto" w:fill="auto"/>
            <w:noWrap/>
            <w:vAlign w:val="bottom"/>
            <w:hideMark/>
          </w:tcPr>
          <w:p w14:paraId="06B94FBE" w14:textId="77777777" w:rsidR="00F373B6" w:rsidRPr="00200AAE" w:rsidRDefault="00F373B6" w:rsidP="00437247">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-11</w:t>
            </w:r>
          </w:p>
        </w:tc>
      </w:tr>
      <w:tr w:rsidR="00F373B6" w14:paraId="5D1387FF" w14:textId="77777777" w:rsidTr="00437247">
        <w:trPr>
          <w:trHeight w:val="315"/>
        </w:trPr>
        <w:tc>
          <w:tcPr>
            <w:tcW w:w="4420" w:type="dxa"/>
            <w:tcBorders>
              <w:top w:val="nil"/>
              <w:left w:val="nil"/>
              <w:bottom w:val="single" w:sz="4" w:space="0" w:color="ADD6EA"/>
              <w:right w:val="nil"/>
            </w:tcBorders>
            <w:shd w:val="clear" w:color="000000" w:fill="D6E7F0"/>
            <w:noWrap/>
            <w:vAlign w:val="bottom"/>
            <w:hideMark/>
          </w:tcPr>
          <w:p w14:paraId="1FADE94F" w14:textId="77777777" w:rsidR="00F373B6" w:rsidRPr="00200AAE" w:rsidRDefault="00F373B6" w:rsidP="00437247">
            <w:pPr>
              <w:tabs>
                <w:tab w:val="clear" w:pos="567"/>
              </w:tabs>
              <w:spacing w:before="0" w:line="240" w:lineRule="auto"/>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Total change</w:t>
            </w:r>
          </w:p>
        </w:tc>
        <w:tc>
          <w:tcPr>
            <w:tcW w:w="2200" w:type="dxa"/>
            <w:tcBorders>
              <w:top w:val="nil"/>
              <w:left w:val="nil"/>
              <w:bottom w:val="single" w:sz="4" w:space="0" w:color="ADD6EA"/>
              <w:right w:val="nil"/>
            </w:tcBorders>
            <w:shd w:val="clear" w:color="000000" w:fill="D6E7F0"/>
            <w:noWrap/>
            <w:vAlign w:val="bottom"/>
            <w:hideMark/>
          </w:tcPr>
          <w:p w14:paraId="6DDC4281" w14:textId="77777777" w:rsidR="00F373B6" w:rsidRPr="00200AAE" w:rsidRDefault="00F373B6" w:rsidP="0043724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457</w:t>
            </w:r>
          </w:p>
        </w:tc>
        <w:tc>
          <w:tcPr>
            <w:tcW w:w="2320" w:type="dxa"/>
            <w:tcBorders>
              <w:top w:val="nil"/>
              <w:left w:val="nil"/>
              <w:bottom w:val="single" w:sz="4" w:space="0" w:color="ADD6EA"/>
              <w:right w:val="nil"/>
            </w:tcBorders>
            <w:shd w:val="clear" w:color="000000" w:fill="D6E7F0"/>
            <w:noWrap/>
            <w:vAlign w:val="bottom"/>
            <w:hideMark/>
          </w:tcPr>
          <w:p w14:paraId="35F041A8" w14:textId="77777777" w:rsidR="00F373B6" w:rsidRPr="00200AAE" w:rsidRDefault="00F373B6" w:rsidP="00437247">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242</w:t>
            </w:r>
          </w:p>
        </w:tc>
      </w:tr>
    </w:tbl>
    <w:p w14:paraId="370FD569" w14:textId="77777777" w:rsidR="00F373B6" w:rsidRPr="008D72BE" w:rsidRDefault="00F373B6" w:rsidP="00A05918">
      <w:pPr>
        <w:pStyle w:val="CGCTablenote"/>
      </w:pPr>
      <w:r w:rsidRPr="008D72BE">
        <w:t xml:space="preserve">Note: </w:t>
      </w:r>
      <w:r w:rsidRPr="008D72BE">
        <w:tab/>
        <w:t>Table may not add due to rounding.</w:t>
      </w:r>
    </w:p>
    <w:p w14:paraId="2DA804E0" w14:textId="757AE84B" w:rsidR="008934E3" w:rsidRDefault="00F373B6" w:rsidP="00A05918">
      <w:pPr>
        <w:pStyle w:val="CGCTablenote"/>
        <w:rPr>
          <w:rFonts w:ascii="Open Sans Light" w:eastAsia="Times New Roman" w:hAnsi="Open Sans Light" w:cs="Times New Roman"/>
          <w:szCs w:val="20"/>
        </w:rPr>
      </w:pPr>
      <w:r w:rsidRPr="008D72BE">
        <w:t>Source: Commission calculation.</w:t>
      </w:r>
    </w:p>
    <w:p w14:paraId="0FCB9899" w14:textId="77777777" w:rsidR="00A05918" w:rsidRDefault="00A05918">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562B3812" w14:textId="77777777" w:rsidR="005500F4" w:rsidRPr="00754E2C" w:rsidRDefault="005500F4" w:rsidP="005500F4">
      <w:pPr>
        <w:pStyle w:val="CGCTableHead"/>
      </w:pPr>
      <w:r w:rsidRPr="00754E2C">
        <w:lastRenderedPageBreak/>
        <w:t>Figure 3</w:t>
      </w:r>
      <w:r w:rsidRPr="00754E2C">
        <w:noBreakHyphen/>
        <w:t>5</w:t>
      </w:r>
      <w:r w:rsidRPr="00754E2C">
        <w:tab/>
      </w:r>
      <w:r w:rsidRPr="00754E2C">
        <w:tab/>
        <w:t xml:space="preserve">South Australia: main changes in assessed GST needs, 2024 </w:t>
      </w:r>
      <w:proofErr w:type="gramStart"/>
      <w:r w:rsidRPr="00754E2C">
        <w:t>Update</w:t>
      </w:r>
      <w:proofErr w:type="gramEnd"/>
    </w:p>
    <w:tbl>
      <w:tblPr>
        <w:tblW w:w="8960" w:type="dxa"/>
        <w:tblLook w:val="04A0" w:firstRow="1" w:lastRow="0" w:firstColumn="1" w:lastColumn="0" w:noHBand="0" w:noVBand="1"/>
      </w:tblPr>
      <w:tblGrid>
        <w:gridCol w:w="2940"/>
        <w:gridCol w:w="760"/>
        <w:gridCol w:w="760"/>
        <w:gridCol w:w="4500"/>
      </w:tblGrid>
      <w:tr w:rsidR="00F2275C" w:rsidRPr="00F2275C" w14:paraId="4E1D9ED3" w14:textId="77777777" w:rsidTr="056A7DCA">
        <w:trPr>
          <w:trHeight w:val="375"/>
        </w:trPr>
        <w:tc>
          <w:tcPr>
            <w:tcW w:w="2940" w:type="dxa"/>
            <w:tcBorders>
              <w:top w:val="nil"/>
              <w:left w:val="nil"/>
              <w:bottom w:val="nil"/>
              <w:right w:val="nil"/>
            </w:tcBorders>
            <w:shd w:val="clear" w:color="auto" w:fill="006991"/>
            <w:noWrap/>
            <w:vAlign w:val="bottom"/>
            <w:hideMark/>
          </w:tcPr>
          <w:p w14:paraId="36F4BDF2"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color w:val="FFFFFF"/>
                <w:szCs w:val="20"/>
                <w:lang w:eastAsia="en-AU"/>
              </w:rPr>
            </w:pPr>
            <w:r w:rsidRPr="00F2275C">
              <w:rPr>
                <w:rFonts w:ascii="Open Sans Semibold" w:eastAsia="Times New Roman" w:hAnsi="Open Sans Semibold" w:cs="Open Sans Semibold"/>
                <w:color w:val="FFFFFF"/>
                <w:szCs w:val="20"/>
                <w:lang w:eastAsia="en-AU"/>
              </w:rPr>
              <w:t>Changes in circumstances</w:t>
            </w:r>
          </w:p>
        </w:tc>
        <w:tc>
          <w:tcPr>
            <w:tcW w:w="760" w:type="dxa"/>
            <w:tcBorders>
              <w:top w:val="nil"/>
              <w:left w:val="nil"/>
              <w:bottom w:val="nil"/>
              <w:right w:val="nil"/>
            </w:tcBorders>
            <w:shd w:val="clear" w:color="auto" w:fill="006991"/>
            <w:noWrap/>
            <w:vAlign w:val="bottom"/>
            <w:hideMark/>
          </w:tcPr>
          <w:p w14:paraId="6627B298"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color w:val="FFFFFF"/>
                <w:szCs w:val="20"/>
                <w:lang w:eastAsia="en-AU"/>
              </w:rPr>
            </w:pPr>
            <w:r w:rsidRPr="00F2275C">
              <w:rPr>
                <w:rFonts w:ascii="Open Sans Semibold" w:eastAsia="Times New Roman" w:hAnsi="Open Sans Semibold" w:cs="Open Sans Semibold"/>
                <w:color w:val="FFFFFF"/>
                <w:szCs w:val="20"/>
                <w:lang w:eastAsia="en-AU"/>
              </w:rPr>
              <w:t> </w:t>
            </w:r>
          </w:p>
        </w:tc>
        <w:tc>
          <w:tcPr>
            <w:tcW w:w="760" w:type="dxa"/>
            <w:tcBorders>
              <w:top w:val="nil"/>
              <w:left w:val="nil"/>
              <w:bottom w:val="nil"/>
              <w:right w:val="nil"/>
            </w:tcBorders>
            <w:shd w:val="clear" w:color="auto" w:fill="006991"/>
            <w:noWrap/>
            <w:vAlign w:val="bottom"/>
            <w:hideMark/>
          </w:tcPr>
          <w:p w14:paraId="1BFB6E94"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color w:val="FFFFFF"/>
                <w:szCs w:val="20"/>
                <w:lang w:eastAsia="en-AU"/>
              </w:rPr>
            </w:pPr>
            <w:r w:rsidRPr="00F2275C">
              <w:rPr>
                <w:rFonts w:ascii="Open Sans Semibold" w:eastAsia="Times New Roman" w:hAnsi="Open Sans Semibold" w:cs="Open Sans Semibold"/>
                <w:color w:val="FFFFFF"/>
                <w:szCs w:val="20"/>
                <w:lang w:eastAsia="en-AU"/>
              </w:rPr>
              <w:t> </w:t>
            </w:r>
          </w:p>
        </w:tc>
        <w:tc>
          <w:tcPr>
            <w:tcW w:w="4500" w:type="dxa"/>
            <w:tcBorders>
              <w:top w:val="nil"/>
              <w:left w:val="nil"/>
              <w:bottom w:val="nil"/>
              <w:right w:val="nil"/>
            </w:tcBorders>
            <w:shd w:val="clear" w:color="auto" w:fill="006991"/>
            <w:noWrap/>
            <w:vAlign w:val="bottom"/>
            <w:hideMark/>
          </w:tcPr>
          <w:p w14:paraId="17CDD2D3"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color w:val="FFFFFF"/>
                <w:szCs w:val="20"/>
                <w:lang w:eastAsia="en-AU"/>
              </w:rPr>
            </w:pPr>
            <w:r w:rsidRPr="00F2275C">
              <w:rPr>
                <w:rFonts w:ascii="Open Sans Semibold" w:eastAsia="Times New Roman" w:hAnsi="Open Sans Semibold" w:cs="Open Sans Semibold"/>
                <w:color w:val="FFFFFF"/>
                <w:szCs w:val="20"/>
                <w:lang w:eastAsia="en-AU"/>
              </w:rPr>
              <w:t> </w:t>
            </w:r>
          </w:p>
        </w:tc>
      </w:tr>
      <w:tr w:rsidR="00F2275C" w:rsidRPr="00F2275C" w14:paraId="6B9055EC" w14:textId="77777777" w:rsidTr="056A7DCA">
        <w:trPr>
          <w:trHeight w:val="315"/>
        </w:trPr>
        <w:tc>
          <w:tcPr>
            <w:tcW w:w="2940" w:type="dxa"/>
            <w:tcBorders>
              <w:top w:val="single" w:sz="4" w:space="0" w:color="ADD6EA"/>
              <w:left w:val="nil"/>
              <w:bottom w:val="single" w:sz="4" w:space="0" w:color="ADD6EA"/>
              <w:right w:val="nil"/>
            </w:tcBorders>
            <w:shd w:val="clear" w:color="auto" w:fill="B6D5E4"/>
            <w:noWrap/>
            <w:vAlign w:val="bottom"/>
            <w:hideMark/>
          </w:tcPr>
          <w:p w14:paraId="6162EB01"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auto" w:fill="B6D5E4"/>
            <w:noWrap/>
            <w:vAlign w:val="bottom"/>
            <w:hideMark/>
          </w:tcPr>
          <w:p w14:paraId="2ADE63D9" w14:textId="77777777" w:rsidR="00F2275C" w:rsidRPr="00F2275C" w:rsidRDefault="00F2275C" w:rsidP="00F2275C">
            <w:pPr>
              <w:tabs>
                <w:tab w:val="clear" w:pos="567"/>
              </w:tabs>
              <w:spacing w:before="0" w:line="240" w:lineRule="auto"/>
              <w:jc w:val="center"/>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Change</w:t>
            </w:r>
          </w:p>
        </w:tc>
        <w:tc>
          <w:tcPr>
            <w:tcW w:w="4500" w:type="dxa"/>
            <w:tcBorders>
              <w:top w:val="single" w:sz="4" w:space="0" w:color="ADD6EA"/>
              <w:left w:val="nil"/>
              <w:bottom w:val="single" w:sz="4" w:space="0" w:color="ADD6EA"/>
              <w:right w:val="nil"/>
            </w:tcBorders>
            <w:shd w:val="clear" w:color="auto" w:fill="B6D5E4"/>
            <w:noWrap/>
            <w:vAlign w:val="bottom"/>
            <w:hideMark/>
          </w:tcPr>
          <w:p w14:paraId="30A9578C"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Explanation</w:t>
            </w:r>
          </w:p>
        </w:tc>
      </w:tr>
      <w:tr w:rsidR="00F2275C" w:rsidRPr="00F2275C" w14:paraId="1FF38A50" w14:textId="77777777" w:rsidTr="056A7DCA">
        <w:trPr>
          <w:trHeight w:val="259"/>
        </w:trPr>
        <w:tc>
          <w:tcPr>
            <w:tcW w:w="2940" w:type="dxa"/>
            <w:tcBorders>
              <w:top w:val="nil"/>
              <w:left w:val="nil"/>
              <w:bottom w:val="single" w:sz="4" w:space="0" w:color="ADD6EA"/>
              <w:right w:val="nil"/>
            </w:tcBorders>
            <w:shd w:val="clear" w:color="auto" w:fill="D6E7F0"/>
            <w:noWrap/>
            <w:vAlign w:val="bottom"/>
            <w:hideMark/>
          </w:tcPr>
          <w:p w14:paraId="1B3D2431"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auto" w:fill="D6E7F0"/>
            <w:noWrap/>
            <w:vAlign w:val="bottom"/>
            <w:hideMark/>
          </w:tcPr>
          <w:p w14:paraId="13A21D2E" w14:textId="77777777" w:rsidR="00F2275C" w:rsidRPr="00F2275C" w:rsidRDefault="00F2275C" w:rsidP="00F2275C">
            <w:pPr>
              <w:tabs>
                <w:tab w:val="clear" w:pos="567"/>
              </w:tabs>
              <w:spacing w:before="0" w:line="240" w:lineRule="auto"/>
              <w:jc w:val="center"/>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auto" w:fill="D6E7F0"/>
            <w:noWrap/>
            <w:vAlign w:val="bottom"/>
            <w:hideMark/>
          </w:tcPr>
          <w:p w14:paraId="4D463C16" w14:textId="77777777" w:rsidR="00F2275C" w:rsidRPr="00F2275C" w:rsidRDefault="00F2275C" w:rsidP="00F2275C">
            <w:pPr>
              <w:tabs>
                <w:tab w:val="clear" w:pos="567"/>
              </w:tabs>
              <w:spacing w:before="0" w:line="240" w:lineRule="auto"/>
              <w:jc w:val="center"/>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auto" w:fill="D6E7F0"/>
            <w:noWrap/>
            <w:vAlign w:val="bottom"/>
            <w:hideMark/>
          </w:tcPr>
          <w:p w14:paraId="1A7BF1AF"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 </w:t>
            </w:r>
          </w:p>
        </w:tc>
      </w:tr>
      <w:tr w:rsidR="00F2275C" w:rsidRPr="00F2275C" w14:paraId="5FED159B" w14:textId="77777777" w:rsidTr="00F2275C">
        <w:trPr>
          <w:trHeight w:val="900"/>
        </w:trPr>
        <w:tc>
          <w:tcPr>
            <w:tcW w:w="2940" w:type="dxa"/>
            <w:tcBorders>
              <w:top w:val="nil"/>
              <w:left w:val="nil"/>
              <w:bottom w:val="single" w:sz="4" w:space="0" w:color="ADD6EA"/>
              <w:right w:val="nil"/>
            </w:tcBorders>
            <w:shd w:val="clear" w:color="auto" w:fill="auto"/>
            <w:hideMark/>
          </w:tcPr>
          <w:p w14:paraId="5D0DDA54" w14:textId="77777777"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Mining production</w:t>
            </w:r>
          </w:p>
        </w:tc>
        <w:tc>
          <w:tcPr>
            <w:tcW w:w="760" w:type="dxa"/>
            <w:tcBorders>
              <w:top w:val="nil"/>
              <w:left w:val="nil"/>
              <w:bottom w:val="single" w:sz="4" w:space="0" w:color="ADD6EA"/>
              <w:right w:val="nil"/>
            </w:tcBorders>
            <w:shd w:val="clear" w:color="auto" w:fill="ADD6EA"/>
            <w:noWrap/>
            <w:hideMark/>
          </w:tcPr>
          <w:p w14:paraId="777DBC5A"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388</w:t>
            </w:r>
          </w:p>
        </w:tc>
        <w:tc>
          <w:tcPr>
            <w:tcW w:w="760" w:type="dxa"/>
            <w:tcBorders>
              <w:top w:val="nil"/>
              <w:left w:val="nil"/>
              <w:bottom w:val="single" w:sz="4" w:space="0" w:color="ADD6EA"/>
              <w:right w:val="nil"/>
            </w:tcBorders>
            <w:shd w:val="clear" w:color="auto" w:fill="ADD6EA"/>
            <w:noWrap/>
            <w:hideMark/>
          </w:tcPr>
          <w:p w14:paraId="2DAFC1DB"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205</w:t>
            </w:r>
          </w:p>
        </w:tc>
        <w:tc>
          <w:tcPr>
            <w:tcW w:w="4500" w:type="dxa"/>
            <w:tcBorders>
              <w:top w:val="nil"/>
              <w:left w:val="nil"/>
              <w:bottom w:val="single" w:sz="4" w:space="0" w:color="ADD6EA"/>
              <w:right w:val="nil"/>
            </w:tcBorders>
            <w:shd w:val="clear" w:color="auto" w:fill="auto"/>
            <w:hideMark/>
          </w:tcPr>
          <w:p w14:paraId="4AACBD75" w14:textId="6F253B49"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A large increase in coal prices and average coal royalty rates between 2019</w:t>
            </w:r>
            <w:r>
              <w:rPr>
                <w:rFonts w:ascii="Open Sans Light" w:eastAsia="Times New Roman" w:hAnsi="Open Sans Light" w:cs="Open Sans Light"/>
                <w:szCs w:val="20"/>
                <w:lang w:eastAsia="en-AU"/>
              </w:rPr>
              <w:t>–</w:t>
            </w:r>
            <w:r w:rsidRPr="00F2275C">
              <w:rPr>
                <w:rFonts w:ascii="Open Sans Light" w:eastAsia="Times New Roman" w:hAnsi="Open Sans Light" w:cs="Open Sans Light"/>
                <w:szCs w:val="20"/>
                <w:lang w:eastAsia="en-AU"/>
              </w:rPr>
              <w:t>20 and 2022</w:t>
            </w:r>
            <w:r>
              <w:rPr>
                <w:rFonts w:ascii="Open Sans Light" w:eastAsia="Times New Roman" w:hAnsi="Open Sans Light" w:cs="Open Sans Light"/>
                <w:szCs w:val="20"/>
                <w:lang w:eastAsia="en-AU"/>
              </w:rPr>
              <w:t>–</w:t>
            </w:r>
            <w:r w:rsidRPr="00F2275C">
              <w:rPr>
                <w:rFonts w:ascii="Open Sans Light" w:eastAsia="Times New Roman" w:hAnsi="Open Sans Light" w:cs="Open Sans Light"/>
                <w:szCs w:val="20"/>
                <w:lang w:eastAsia="en-AU"/>
              </w:rPr>
              <w:t>23 increased the revenue</w:t>
            </w:r>
            <w:r w:rsidR="00BD3FE5">
              <w:rPr>
                <w:rFonts w:ascii="Open Sans Light" w:eastAsia="Times New Roman" w:hAnsi="Open Sans Light" w:cs="Open Sans Light"/>
                <w:szCs w:val="20"/>
                <w:lang w:eastAsia="en-AU"/>
              </w:rPr>
              <w:t xml:space="preserve"> </w:t>
            </w:r>
            <w:r w:rsidRPr="00F2275C">
              <w:rPr>
                <w:rFonts w:ascii="Open Sans Light" w:eastAsia="Times New Roman" w:hAnsi="Open Sans Light" w:cs="Open Sans Light"/>
                <w:szCs w:val="20"/>
                <w:lang w:eastAsia="en-AU"/>
              </w:rPr>
              <w:t>raising capacity of the coal producing states. This reduced South Australia’s relative mining revenue capacity.</w:t>
            </w:r>
          </w:p>
        </w:tc>
      </w:tr>
      <w:tr w:rsidR="00F2275C" w:rsidRPr="00F2275C" w14:paraId="0CADE3A9" w14:textId="77777777" w:rsidTr="00F2275C">
        <w:trPr>
          <w:trHeight w:val="1200"/>
        </w:trPr>
        <w:tc>
          <w:tcPr>
            <w:tcW w:w="2940" w:type="dxa"/>
            <w:tcBorders>
              <w:top w:val="nil"/>
              <w:left w:val="nil"/>
              <w:bottom w:val="single" w:sz="4" w:space="0" w:color="ADD6EA"/>
              <w:right w:val="nil"/>
            </w:tcBorders>
            <w:shd w:val="clear" w:color="auto" w:fill="auto"/>
            <w:hideMark/>
          </w:tcPr>
          <w:p w14:paraId="2562CEED" w14:textId="77777777"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Wage costs</w:t>
            </w:r>
          </w:p>
        </w:tc>
        <w:tc>
          <w:tcPr>
            <w:tcW w:w="760" w:type="dxa"/>
            <w:tcBorders>
              <w:top w:val="nil"/>
              <w:left w:val="nil"/>
              <w:bottom w:val="single" w:sz="4" w:space="0" w:color="ADD6EA"/>
              <w:right w:val="nil"/>
            </w:tcBorders>
            <w:shd w:val="clear" w:color="auto" w:fill="EBBFA0"/>
            <w:noWrap/>
            <w:hideMark/>
          </w:tcPr>
          <w:p w14:paraId="5AA917FD"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-92</w:t>
            </w:r>
          </w:p>
        </w:tc>
        <w:tc>
          <w:tcPr>
            <w:tcW w:w="760" w:type="dxa"/>
            <w:tcBorders>
              <w:top w:val="nil"/>
              <w:left w:val="nil"/>
              <w:bottom w:val="single" w:sz="4" w:space="0" w:color="ADD6EA"/>
              <w:right w:val="nil"/>
            </w:tcBorders>
            <w:shd w:val="clear" w:color="auto" w:fill="EBBFA0"/>
            <w:noWrap/>
            <w:hideMark/>
          </w:tcPr>
          <w:p w14:paraId="240A201A"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-49</w:t>
            </w:r>
          </w:p>
        </w:tc>
        <w:tc>
          <w:tcPr>
            <w:tcW w:w="4500" w:type="dxa"/>
            <w:tcBorders>
              <w:top w:val="nil"/>
              <w:left w:val="nil"/>
              <w:bottom w:val="single" w:sz="4" w:space="0" w:color="ADD6EA"/>
              <w:right w:val="nil"/>
            </w:tcBorders>
            <w:shd w:val="clear" w:color="auto" w:fill="auto"/>
            <w:hideMark/>
          </w:tcPr>
          <w:p w14:paraId="337E3B18" w14:textId="35DEA206"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Below-average growth in South Australia’s assessed wage costs between 2019</w:t>
            </w:r>
            <w:r>
              <w:rPr>
                <w:rFonts w:ascii="Open Sans Light" w:eastAsia="Times New Roman" w:hAnsi="Open Sans Light" w:cs="Open Sans Light"/>
                <w:szCs w:val="20"/>
                <w:lang w:eastAsia="en-AU"/>
              </w:rPr>
              <w:t>–</w:t>
            </w:r>
            <w:r w:rsidRPr="00F2275C">
              <w:rPr>
                <w:rFonts w:ascii="Open Sans Light" w:eastAsia="Times New Roman" w:hAnsi="Open Sans Light" w:cs="Open Sans Light"/>
                <w:szCs w:val="20"/>
                <w:lang w:eastAsia="en-AU"/>
              </w:rPr>
              <w:t>20 and 2022</w:t>
            </w:r>
            <w:r>
              <w:rPr>
                <w:rFonts w:ascii="Open Sans Light" w:eastAsia="Times New Roman" w:hAnsi="Open Sans Light" w:cs="Open Sans Light"/>
                <w:szCs w:val="20"/>
                <w:lang w:eastAsia="en-AU"/>
              </w:rPr>
              <w:t>–</w:t>
            </w:r>
            <w:r w:rsidRPr="00F2275C">
              <w:rPr>
                <w:rFonts w:ascii="Open Sans Light" w:eastAsia="Times New Roman" w:hAnsi="Open Sans Light" w:cs="Open Sans Light"/>
                <w:szCs w:val="20"/>
                <w:lang w:eastAsia="en-AU"/>
              </w:rPr>
              <w:t>23 decreased its assessed service delivery costs.</w:t>
            </w:r>
          </w:p>
        </w:tc>
      </w:tr>
      <w:tr w:rsidR="00F2275C" w:rsidRPr="00F2275C" w14:paraId="555C1BC5" w14:textId="77777777" w:rsidTr="00F2275C">
        <w:trPr>
          <w:trHeight w:val="1200"/>
        </w:trPr>
        <w:tc>
          <w:tcPr>
            <w:tcW w:w="2940" w:type="dxa"/>
            <w:tcBorders>
              <w:top w:val="nil"/>
              <w:left w:val="nil"/>
              <w:bottom w:val="single" w:sz="4" w:space="0" w:color="ADD6EA"/>
              <w:right w:val="nil"/>
            </w:tcBorders>
            <w:shd w:val="clear" w:color="auto" w:fill="auto"/>
            <w:hideMark/>
          </w:tcPr>
          <w:p w14:paraId="06037901" w14:textId="77777777"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Capital improvements</w:t>
            </w:r>
          </w:p>
        </w:tc>
        <w:tc>
          <w:tcPr>
            <w:tcW w:w="760" w:type="dxa"/>
            <w:tcBorders>
              <w:top w:val="nil"/>
              <w:left w:val="nil"/>
              <w:bottom w:val="single" w:sz="4" w:space="0" w:color="ADD6EA"/>
              <w:right w:val="nil"/>
            </w:tcBorders>
            <w:shd w:val="clear" w:color="auto" w:fill="EBBFA0"/>
            <w:noWrap/>
            <w:hideMark/>
          </w:tcPr>
          <w:p w14:paraId="4E45CE17"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-89</w:t>
            </w:r>
          </w:p>
        </w:tc>
        <w:tc>
          <w:tcPr>
            <w:tcW w:w="760" w:type="dxa"/>
            <w:tcBorders>
              <w:top w:val="nil"/>
              <w:left w:val="nil"/>
              <w:bottom w:val="single" w:sz="4" w:space="0" w:color="ADD6EA"/>
              <w:right w:val="nil"/>
            </w:tcBorders>
            <w:shd w:val="clear" w:color="auto" w:fill="EBBFA0"/>
            <w:noWrap/>
            <w:hideMark/>
          </w:tcPr>
          <w:p w14:paraId="67002112"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-47</w:t>
            </w:r>
          </w:p>
        </w:tc>
        <w:tc>
          <w:tcPr>
            <w:tcW w:w="4500" w:type="dxa"/>
            <w:tcBorders>
              <w:top w:val="nil"/>
              <w:left w:val="nil"/>
              <w:bottom w:val="single" w:sz="4" w:space="0" w:color="ADD6EA"/>
              <w:right w:val="nil"/>
            </w:tcBorders>
            <w:shd w:val="clear" w:color="auto" w:fill="auto"/>
            <w:hideMark/>
          </w:tcPr>
          <w:p w14:paraId="0B018BC8" w14:textId="77777777"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Strong growth in national urban transport investment reduced the relative needs of states with below-average needs for urban transport, including South Australia.</w:t>
            </w:r>
          </w:p>
        </w:tc>
      </w:tr>
      <w:tr w:rsidR="00F2275C" w:rsidRPr="00F2275C" w14:paraId="0C982789" w14:textId="77777777" w:rsidTr="00F2275C">
        <w:trPr>
          <w:trHeight w:val="900"/>
        </w:trPr>
        <w:tc>
          <w:tcPr>
            <w:tcW w:w="2940" w:type="dxa"/>
            <w:tcBorders>
              <w:top w:val="nil"/>
              <w:left w:val="nil"/>
              <w:bottom w:val="single" w:sz="4" w:space="0" w:color="ADD6EA"/>
              <w:right w:val="nil"/>
            </w:tcBorders>
            <w:shd w:val="clear" w:color="auto" w:fill="auto"/>
            <w:hideMark/>
          </w:tcPr>
          <w:p w14:paraId="49A24389" w14:textId="77777777"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Taxable payrolls</w:t>
            </w:r>
          </w:p>
        </w:tc>
        <w:tc>
          <w:tcPr>
            <w:tcW w:w="760" w:type="dxa"/>
            <w:tcBorders>
              <w:top w:val="nil"/>
              <w:left w:val="nil"/>
              <w:bottom w:val="single" w:sz="4" w:space="0" w:color="ADD6EA"/>
              <w:right w:val="nil"/>
            </w:tcBorders>
            <w:shd w:val="clear" w:color="auto" w:fill="ADD6EA"/>
            <w:noWrap/>
            <w:hideMark/>
          </w:tcPr>
          <w:p w14:paraId="7105B8FB"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79</w:t>
            </w:r>
          </w:p>
        </w:tc>
        <w:tc>
          <w:tcPr>
            <w:tcW w:w="760" w:type="dxa"/>
            <w:tcBorders>
              <w:top w:val="nil"/>
              <w:left w:val="nil"/>
              <w:bottom w:val="single" w:sz="4" w:space="0" w:color="ADD6EA"/>
              <w:right w:val="nil"/>
            </w:tcBorders>
            <w:shd w:val="clear" w:color="auto" w:fill="ADD6EA"/>
            <w:noWrap/>
            <w:hideMark/>
          </w:tcPr>
          <w:p w14:paraId="039669B3"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42</w:t>
            </w:r>
          </w:p>
        </w:tc>
        <w:tc>
          <w:tcPr>
            <w:tcW w:w="4500" w:type="dxa"/>
            <w:tcBorders>
              <w:top w:val="nil"/>
              <w:left w:val="nil"/>
              <w:bottom w:val="single" w:sz="4" w:space="0" w:color="ADD6EA"/>
              <w:right w:val="nil"/>
            </w:tcBorders>
            <w:shd w:val="clear" w:color="auto" w:fill="auto"/>
            <w:hideMark/>
          </w:tcPr>
          <w:p w14:paraId="3C61BCE3" w14:textId="2C4152B3"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Below-average growth in South Australia’s taxable wages and salaries per capita decreased South Australia’s relative revenue</w:t>
            </w:r>
            <w:r w:rsidR="00BD3FE5">
              <w:rPr>
                <w:rFonts w:ascii="Open Sans Light" w:eastAsia="Times New Roman" w:hAnsi="Open Sans Light" w:cs="Open Sans Light"/>
                <w:szCs w:val="20"/>
                <w:lang w:eastAsia="en-AU"/>
              </w:rPr>
              <w:t xml:space="preserve"> </w:t>
            </w:r>
            <w:r w:rsidRPr="00F2275C">
              <w:rPr>
                <w:rFonts w:ascii="Open Sans Light" w:eastAsia="Times New Roman" w:hAnsi="Open Sans Light" w:cs="Open Sans Light"/>
                <w:szCs w:val="20"/>
                <w:lang w:eastAsia="en-AU"/>
              </w:rPr>
              <w:t>raising capacity.</w:t>
            </w:r>
          </w:p>
        </w:tc>
      </w:tr>
      <w:tr w:rsidR="00F2275C" w:rsidRPr="00F2275C" w14:paraId="240CB1CB" w14:textId="77777777" w:rsidTr="056A7DCA">
        <w:trPr>
          <w:trHeight w:val="375"/>
        </w:trPr>
        <w:tc>
          <w:tcPr>
            <w:tcW w:w="2940" w:type="dxa"/>
            <w:tcBorders>
              <w:top w:val="nil"/>
              <w:left w:val="nil"/>
              <w:bottom w:val="single" w:sz="4" w:space="0" w:color="ADD6EA"/>
              <w:right w:val="nil"/>
            </w:tcBorders>
            <w:shd w:val="clear" w:color="auto" w:fill="006991"/>
            <w:noWrap/>
            <w:vAlign w:val="bottom"/>
            <w:hideMark/>
          </w:tcPr>
          <w:p w14:paraId="4F2E074C"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color w:val="FFFFFF"/>
                <w:szCs w:val="20"/>
                <w:lang w:eastAsia="en-AU"/>
              </w:rPr>
            </w:pPr>
            <w:r w:rsidRPr="00F2275C">
              <w:rPr>
                <w:rFonts w:ascii="Open Sans Semibold" w:eastAsia="Times New Roman" w:hAnsi="Open Sans Semibold" w:cs="Open Sans Semibold"/>
                <w:color w:val="FFFFFF"/>
                <w:szCs w:val="20"/>
                <w:lang w:eastAsia="en-AU"/>
              </w:rPr>
              <w:t>Revisions</w:t>
            </w:r>
          </w:p>
        </w:tc>
        <w:tc>
          <w:tcPr>
            <w:tcW w:w="760" w:type="dxa"/>
            <w:tcBorders>
              <w:top w:val="nil"/>
              <w:left w:val="nil"/>
              <w:bottom w:val="single" w:sz="4" w:space="0" w:color="ADD6EA"/>
              <w:right w:val="nil"/>
            </w:tcBorders>
            <w:shd w:val="clear" w:color="auto" w:fill="006991"/>
            <w:noWrap/>
            <w:vAlign w:val="bottom"/>
            <w:hideMark/>
          </w:tcPr>
          <w:p w14:paraId="33DACFCB"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color w:val="FFFFFF"/>
                <w:szCs w:val="20"/>
                <w:lang w:eastAsia="en-AU"/>
              </w:rPr>
            </w:pPr>
            <w:r w:rsidRPr="00F2275C">
              <w:rPr>
                <w:rFonts w:ascii="Open Sans Semibold" w:eastAsia="Times New Roman" w:hAnsi="Open Sans Semibold" w:cs="Open Sans Semibold"/>
                <w:color w:val="FFFFFF"/>
                <w:szCs w:val="20"/>
                <w:lang w:eastAsia="en-AU"/>
              </w:rPr>
              <w:t> </w:t>
            </w:r>
          </w:p>
        </w:tc>
        <w:tc>
          <w:tcPr>
            <w:tcW w:w="760" w:type="dxa"/>
            <w:tcBorders>
              <w:top w:val="nil"/>
              <w:left w:val="nil"/>
              <w:bottom w:val="single" w:sz="4" w:space="0" w:color="ADD6EA"/>
              <w:right w:val="nil"/>
            </w:tcBorders>
            <w:shd w:val="clear" w:color="auto" w:fill="006991"/>
            <w:noWrap/>
            <w:vAlign w:val="bottom"/>
            <w:hideMark/>
          </w:tcPr>
          <w:p w14:paraId="6C6268C6"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color w:val="FFFFFF"/>
                <w:szCs w:val="20"/>
                <w:lang w:eastAsia="en-AU"/>
              </w:rPr>
            </w:pPr>
            <w:r w:rsidRPr="00F2275C">
              <w:rPr>
                <w:rFonts w:ascii="Open Sans Semibold" w:eastAsia="Times New Roman" w:hAnsi="Open Sans Semibold" w:cs="Open Sans Semibold"/>
                <w:color w:val="FFFFFF"/>
                <w:szCs w:val="20"/>
                <w:lang w:eastAsia="en-AU"/>
              </w:rPr>
              <w:t> </w:t>
            </w:r>
          </w:p>
        </w:tc>
        <w:tc>
          <w:tcPr>
            <w:tcW w:w="4500" w:type="dxa"/>
            <w:tcBorders>
              <w:top w:val="nil"/>
              <w:left w:val="nil"/>
              <w:bottom w:val="single" w:sz="4" w:space="0" w:color="ADD6EA"/>
              <w:right w:val="nil"/>
            </w:tcBorders>
            <w:shd w:val="clear" w:color="auto" w:fill="006991"/>
            <w:noWrap/>
            <w:vAlign w:val="bottom"/>
            <w:hideMark/>
          </w:tcPr>
          <w:p w14:paraId="165A5F74"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color w:val="FFFFFF"/>
                <w:szCs w:val="20"/>
                <w:lang w:eastAsia="en-AU"/>
              </w:rPr>
            </w:pPr>
            <w:r w:rsidRPr="00F2275C">
              <w:rPr>
                <w:rFonts w:ascii="Open Sans Semibold" w:eastAsia="Times New Roman" w:hAnsi="Open Sans Semibold" w:cs="Open Sans Semibold"/>
                <w:color w:val="FFFFFF"/>
                <w:szCs w:val="20"/>
                <w:lang w:eastAsia="en-AU"/>
              </w:rPr>
              <w:t> </w:t>
            </w:r>
          </w:p>
        </w:tc>
      </w:tr>
      <w:tr w:rsidR="00F2275C" w:rsidRPr="00F2275C" w14:paraId="05DF25AD" w14:textId="77777777" w:rsidTr="056A7DCA">
        <w:trPr>
          <w:trHeight w:val="308"/>
        </w:trPr>
        <w:tc>
          <w:tcPr>
            <w:tcW w:w="2940" w:type="dxa"/>
            <w:tcBorders>
              <w:top w:val="nil"/>
              <w:left w:val="nil"/>
              <w:bottom w:val="single" w:sz="4" w:space="0" w:color="ADD6EA"/>
              <w:right w:val="nil"/>
            </w:tcBorders>
            <w:shd w:val="clear" w:color="auto" w:fill="B6D5E4"/>
            <w:noWrap/>
            <w:vAlign w:val="bottom"/>
            <w:hideMark/>
          </w:tcPr>
          <w:p w14:paraId="160D8B9F"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auto" w:fill="B6D5E4"/>
            <w:noWrap/>
            <w:vAlign w:val="bottom"/>
            <w:hideMark/>
          </w:tcPr>
          <w:p w14:paraId="20B20232" w14:textId="77777777" w:rsidR="00F2275C" w:rsidRPr="00F2275C" w:rsidRDefault="00F2275C" w:rsidP="00F2275C">
            <w:pPr>
              <w:tabs>
                <w:tab w:val="clear" w:pos="567"/>
              </w:tabs>
              <w:spacing w:before="0" w:line="240" w:lineRule="auto"/>
              <w:jc w:val="center"/>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Change</w:t>
            </w:r>
          </w:p>
        </w:tc>
        <w:tc>
          <w:tcPr>
            <w:tcW w:w="4500" w:type="dxa"/>
            <w:tcBorders>
              <w:top w:val="nil"/>
              <w:left w:val="nil"/>
              <w:bottom w:val="single" w:sz="4" w:space="0" w:color="ADD6EA"/>
              <w:right w:val="nil"/>
            </w:tcBorders>
            <w:shd w:val="clear" w:color="auto" w:fill="B6D5E4"/>
            <w:noWrap/>
            <w:vAlign w:val="bottom"/>
            <w:hideMark/>
          </w:tcPr>
          <w:p w14:paraId="680AEAD0"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Explanation</w:t>
            </w:r>
          </w:p>
        </w:tc>
      </w:tr>
      <w:tr w:rsidR="00F2275C" w:rsidRPr="00F2275C" w14:paraId="06A90991" w14:textId="77777777" w:rsidTr="056A7DCA">
        <w:trPr>
          <w:trHeight w:val="259"/>
        </w:trPr>
        <w:tc>
          <w:tcPr>
            <w:tcW w:w="2940" w:type="dxa"/>
            <w:tcBorders>
              <w:top w:val="nil"/>
              <w:left w:val="nil"/>
              <w:bottom w:val="single" w:sz="4" w:space="0" w:color="ADD6EA"/>
              <w:right w:val="nil"/>
            </w:tcBorders>
            <w:shd w:val="clear" w:color="auto" w:fill="D6E7F0"/>
            <w:noWrap/>
            <w:vAlign w:val="bottom"/>
            <w:hideMark/>
          </w:tcPr>
          <w:p w14:paraId="5CB517D7"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auto" w:fill="D6E7F0"/>
            <w:noWrap/>
            <w:vAlign w:val="bottom"/>
            <w:hideMark/>
          </w:tcPr>
          <w:p w14:paraId="2A608393" w14:textId="77777777" w:rsidR="00F2275C" w:rsidRPr="00F2275C" w:rsidRDefault="00F2275C" w:rsidP="00F2275C">
            <w:pPr>
              <w:tabs>
                <w:tab w:val="clear" w:pos="567"/>
              </w:tabs>
              <w:spacing w:before="0" w:line="240" w:lineRule="auto"/>
              <w:jc w:val="center"/>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auto" w:fill="D6E7F0"/>
            <w:noWrap/>
            <w:vAlign w:val="bottom"/>
            <w:hideMark/>
          </w:tcPr>
          <w:p w14:paraId="53A46A87" w14:textId="77777777" w:rsidR="00F2275C" w:rsidRPr="00F2275C" w:rsidRDefault="00F2275C" w:rsidP="00F2275C">
            <w:pPr>
              <w:tabs>
                <w:tab w:val="clear" w:pos="567"/>
              </w:tabs>
              <w:spacing w:before="0" w:line="240" w:lineRule="auto"/>
              <w:jc w:val="center"/>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auto" w:fill="D6E7F0"/>
            <w:noWrap/>
            <w:vAlign w:val="bottom"/>
            <w:hideMark/>
          </w:tcPr>
          <w:p w14:paraId="6597ABDC" w14:textId="77777777" w:rsidR="00F2275C" w:rsidRPr="00F2275C" w:rsidRDefault="00F2275C" w:rsidP="00F2275C">
            <w:pPr>
              <w:tabs>
                <w:tab w:val="clear" w:pos="567"/>
              </w:tabs>
              <w:spacing w:before="0" w:line="240" w:lineRule="auto"/>
              <w:rPr>
                <w:rFonts w:ascii="Open Sans Semibold" w:eastAsia="Times New Roman" w:hAnsi="Open Sans Semibold" w:cs="Open Sans Semibold"/>
                <w:szCs w:val="20"/>
                <w:lang w:eastAsia="en-AU"/>
              </w:rPr>
            </w:pPr>
            <w:r w:rsidRPr="00F2275C">
              <w:rPr>
                <w:rFonts w:ascii="Open Sans Semibold" w:eastAsia="Times New Roman" w:hAnsi="Open Sans Semibold" w:cs="Open Sans Semibold"/>
                <w:szCs w:val="20"/>
                <w:lang w:eastAsia="en-AU"/>
              </w:rPr>
              <w:t> </w:t>
            </w:r>
          </w:p>
        </w:tc>
      </w:tr>
      <w:tr w:rsidR="00F2275C" w:rsidRPr="00F2275C" w14:paraId="5C548F90" w14:textId="77777777" w:rsidTr="00F2275C">
        <w:trPr>
          <w:trHeight w:val="1500"/>
        </w:trPr>
        <w:tc>
          <w:tcPr>
            <w:tcW w:w="2940" w:type="dxa"/>
            <w:tcBorders>
              <w:top w:val="nil"/>
              <w:left w:val="nil"/>
              <w:bottom w:val="single" w:sz="4" w:space="0" w:color="ADD6EA"/>
              <w:right w:val="nil"/>
            </w:tcBorders>
            <w:shd w:val="clear" w:color="auto" w:fill="auto"/>
            <w:hideMark/>
          </w:tcPr>
          <w:p w14:paraId="1DE0AFB5" w14:textId="23C02350"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 xml:space="preserve">Census </w:t>
            </w:r>
            <w:r w:rsidR="00FC3A4A">
              <w:rPr>
                <w:rFonts w:ascii="Open Sans Light" w:eastAsia="Times New Roman" w:hAnsi="Open Sans Light" w:cs="Open Sans Light"/>
                <w:szCs w:val="20"/>
                <w:lang w:eastAsia="en-AU"/>
              </w:rPr>
              <w:t>–</w:t>
            </w:r>
            <w:r w:rsidRPr="00F2275C">
              <w:rPr>
                <w:rFonts w:ascii="Open Sans Light" w:eastAsia="Times New Roman" w:hAnsi="Open Sans Light" w:cs="Open Sans Light"/>
                <w:szCs w:val="20"/>
                <w:lang w:eastAsia="en-AU"/>
              </w:rPr>
              <w:t xml:space="preserve"> </w:t>
            </w:r>
            <w:r w:rsidR="00353C18">
              <w:rPr>
                <w:rFonts w:ascii="Open Sans Light" w:eastAsia="Times New Roman" w:hAnsi="Open Sans Light" w:cs="Open Sans Light"/>
                <w:szCs w:val="20"/>
                <w:lang w:eastAsia="en-AU"/>
              </w:rPr>
              <w:t>u</w:t>
            </w:r>
            <w:r w:rsidRPr="00F2275C">
              <w:rPr>
                <w:rFonts w:ascii="Open Sans Light" w:eastAsia="Times New Roman" w:hAnsi="Open Sans Light" w:cs="Open Sans Light"/>
                <w:szCs w:val="20"/>
                <w:lang w:eastAsia="en-AU"/>
              </w:rPr>
              <w:t xml:space="preserve">rban </w:t>
            </w:r>
            <w:r w:rsidR="00353C18">
              <w:rPr>
                <w:rFonts w:ascii="Open Sans Light" w:eastAsia="Times New Roman" w:hAnsi="Open Sans Light" w:cs="Open Sans Light"/>
                <w:szCs w:val="20"/>
                <w:lang w:eastAsia="en-AU"/>
              </w:rPr>
              <w:t>centre c</w:t>
            </w:r>
            <w:r w:rsidRPr="00F2275C">
              <w:rPr>
                <w:rFonts w:ascii="Open Sans Light" w:eastAsia="Times New Roman" w:hAnsi="Open Sans Light" w:cs="Open Sans Light"/>
                <w:szCs w:val="20"/>
                <w:lang w:eastAsia="en-AU"/>
              </w:rPr>
              <w:t>haracteristics</w:t>
            </w:r>
          </w:p>
        </w:tc>
        <w:tc>
          <w:tcPr>
            <w:tcW w:w="760" w:type="dxa"/>
            <w:tcBorders>
              <w:top w:val="nil"/>
              <w:left w:val="nil"/>
              <w:bottom w:val="single" w:sz="4" w:space="0" w:color="ADD6EA"/>
              <w:right w:val="nil"/>
            </w:tcBorders>
            <w:shd w:val="clear" w:color="auto" w:fill="EBBFA0"/>
            <w:noWrap/>
            <w:hideMark/>
          </w:tcPr>
          <w:p w14:paraId="4FC176CA"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-167</w:t>
            </w:r>
          </w:p>
        </w:tc>
        <w:tc>
          <w:tcPr>
            <w:tcW w:w="760" w:type="dxa"/>
            <w:tcBorders>
              <w:top w:val="nil"/>
              <w:left w:val="nil"/>
              <w:bottom w:val="single" w:sz="4" w:space="0" w:color="ADD6EA"/>
              <w:right w:val="nil"/>
            </w:tcBorders>
            <w:shd w:val="clear" w:color="auto" w:fill="EBBFA0"/>
            <w:noWrap/>
            <w:hideMark/>
          </w:tcPr>
          <w:p w14:paraId="4BF6FA86"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-88</w:t>
            </w:r>
          </w:p>
        </w:tc>
        <w:tc>
          <w:tcPr>
            <w:tcW w:w="4500" w:type="dxa"/>
            <w:tcBorders>
              <w:top w:val="nil"/>
              <w:left w:val="nil"/>
              <w:bottom w:val="single" w:sz="4" w:space="0" w:color="ADD6EA"/>
              <w:right w:val="nil"/>
            </w:tcBorders>
            <w:shd w:val="clear" w:color="auto" w:fill="auto"/>
            <w:hideMark/>
          </w:tcPr>
          <w:p w14:paraId="5CF5CA08" w14:textId="57F9D958"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Incorporating 2021 Census data led to downward revisions to South Australia’s urban population share and below-average growth in its urban population</w:t>
            </w:r>
            <w:r w:rsidR="006B64DD">
              <w:rPr>
                <w:rFonts w:ascii="Open Sans Light" w:eastAsia="Times New Roman" w:hAnsi="Open Sans Light" w:cs="Open Sans Light"/>
                <w:szCs w:val="20"/>
                <w:lang w:eastAsia="en-AU"/>
              </w:rPr>
              <w:t>-weighted</w:t>
            </w:r>
            <w:r w:rsidRPr="00F2275C">
              <w:rPr>
                <w:rFonts w:ascii="Open Sans Light" w:eastAsia="Times New Roman" w:hAnsi="Open Sans Light" w:cs="Open Sans Light"/>
                <w:szCs w:val="20"/>
                <w:lang w:eastAsia="en-AU"/>
              </w:rPr>
              <w:t xml:space="preserve"> density</w:t>
            </w:r>
            <w:r w:rsidR="007446B4">
              <w:rPr>
                <w:rFonts w:ascii="Open Sans Light" w:eastAsia="Times New Roman" w:hAnsi="Open Sans Light" w:cs="Open Sans Light"/>
                <w:szCs w:val="20"/>
                <w:lang w:eastAsia="en-AU"/>
              </w:rPr>
              <w:t>.</w:t>
            </w:r>
            <w:r w:rsidRPr="00F2275C">
              <w:rPr>
                <w:rFonts w:ascii="Open Sans Light" w:eastAsia="Times New Roman" w:hAnsi="Open Sans Light" w:cs="Open Sans Light"/>
                <w:szCs w:val="20"/>
                <w:lang w:eastAsia="en-AU"/>
              </w:rPr>
              <w:t xml:space="preserve"> This reduced its assessed needs for urban transport.</w:t>
            </w:r>
          </w:p>
        </w:tc>
      </w:tr>
      <w:tr w:rsidR="00F2275C" w:rsidRPr="00F2275C" w14:paraId="7CA338EC" w14:textId="77777777" w:rsidTr="00F2275C">
        <w:trPr>
          <w:trHeight w:val="1500"/>
        </w:trPr>
        <w:tc>
          <w:tcPr>
            <w:tcW w:w="2940" w:type="dxa"/>
            <w:tcBorders>
              <w:top w:val="nil"/>
              <w:left w:val="nil"/>
              <w:bottom w:val="single" w:sz="4" w:space="0" w:color="ADD6EA"/>
              <w:right w:val="nil"/>
            </w:tcBorders>
            <w:shd w:val="clear" w:color="auto" w:fill="auto"/>
            <w:hideMark/>
          </w:tcPr>
          <w:p w14:paraId="33146E6A" w14:textId="6A3550CB" w:rsidR="00F2275C" w:rsidRPr="00F2275C" w:rsidRDefault="003D5436" w:rsidP="00F2275C">
            <w:pPr>
              <w:tabs>
                <w:tab w:val="clear" w:pos="567"/>
              </w:tabs>
              <w:spacing w:before="0" w:line="240" w:lineRule="auto"/>
              <w:rPr>
                <w:rFonts w:ascii="Open Sans Light" w:eastAsia="Times New Roman" w:hAnsi="Open Sans Light" w:cs="Open Sans Light"/>
                <w:szCs w:val="20"/>
                <w:lang w:eastAsia="en-AU"/>
              </w:rPr>
            </w:pPr>
            <w:r>
              <w:rPr>
                <w:rFonts w:ascii="Open Sans Light" w:eastAsia="Times New Roman" w:hAnsi="Open Sans Light" w:cs="Open Sans Light"/>
                <w:szCs w:val="20"/>
                <w:lang w:eastAsia="en-AU"/>
              </w:rPr>
              <w:t>Census – socio-demographic composition data</w:t>
            </w:r>
          </w:p>
        </w:tc>
        <w:tc>
          <w:tcPr>
            <w:tcW w:w="760" w:type="dxa"/>
            <w:tcBorders>
              <w:top w:val="nil"/>
              <w:left w:val="nil"/>
              <w:bottom w:val="single" w:sz="4" w:space="0" w:color="ADD6EA"/>
              <w:right w:val="nil"/>
            </w:tcBorders>
            <w:shd w:val="clear" w:color="auto" w:fill="EBBFA0"/>
            <w:noWrap/>
            <w:hideMark/>
          </w:tcPr>
          <w:p w14:paraId="31DCAFF3"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-106</w:t>
            </w:r>
          </w:p>
        </w:tc>
        <w:tc>
          <w:tcPr>
            <w:tcW w:w="760" w:type="dxa"/>
            <w:tcBorders>
              <w:top w:val="nil"/>
              <w:left w:val="nil"/>
              <w:bottom w:val="single" w:sz="4" w:space="0" w:color="ADD6EA"/>
              <w:right w:val="nil"/>
            </w:tcBorders>
            <w:shd w:val="clear" w:color="auto" w:fill="EBBFA0"/>
            <w:noWrap/>
            <w:hideMark/>
          </w:tcPr>
          <w:p w14:paraId="7A56D624"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-56</w:t>
            </w:r>
          </w:p>
        </w:tc>
        <w:tc>
          <w:tcPr>
            <w:tcW w:w="4500" w:type="dxa"/>
            <w:tcBorders>
              <w:top w:val="nil"/>
              <w:left w:val="nil"/>
              <w:bottom w:val="single" w:sz="4" w:space="0" w:color="ADD6EA"/>
              <w:right w:val="nil"/>
            </w:tcBorders>
            <w:shd w:val="clear" w:color="auto" w:fill="auto"/>
            <w:hideMark/>
          </w:tcPr>
          <w:p w14:paraId="70620D40" w14:textId="1D177A6C" w:rsidR="00F2275C" w:rsidRPr="00F2275C" w:rsidRDefault="00F2275C" w:rsidP="00F2275C">
            <w:pPr>
              <w:tabs>
                <w:tab w:val="clear" w:pos="567"/>
              </w:tabs>
              <w:spacing w:before="0" w:line="240" w:lineRule="auto"/>
              <w:rPr>
                <w:rFonts w:ascii="Open Sans Light" w:eastAsia="Times New Roman" w:hAnsi="Open Sans Light" w:cs="Open Sans Light"/>
                <w:lang w:eastAsia="en-AU"/>
              </w:rPr>
            </w:pPr>
            <w:r w:rsidRPr="056A7DCA">
              <w:rPr>
                <w:rFonts w:ascii="Open Sans Light" w:eastAsia="Times New Roman" w:hAnsi="Open Sans Light" w:cs="Open Sans Light"/>
                <w:lang w:eastAsia="en-AU"/>
              </w:rPr>
              <w:t>New 2021 Census data showed South Australia’s non</w:t>
            </w:r>
            <w:r w:rsidR="050334B7" w:rsidRPr="49B46633">
              <w:rPr>
                <w:rFonts w:ascii="Open Sans Light" w:eastAsia="Times New Roman" w:hAnsi="Open Sans Light" w:cs="Open Sans Light"/>
                <w:lang w:eastAsia="en-AU"/>
              </w:rPr>
              <w:t>-</w:t>
            </w:r>
            <w:r w:rsidRPr="056A7DCA">
              <w:rPr>
                <w:rFonts w:ascii="Open Sans Light" w:eastAsia="Times New Roman" w:hAnsi="Open Sans Light" w:cs="Open Sans Light"/>
                <w:lang w:eastAsia="en-AU"/>
              </w:rPr>
              <w:t>Indigenous population is relatively less disadvantaged compared with the 2016 Census. This decreased South Australia’s assessed GST needs.</w:t>
            </w:r>
          </w:p>
        </w:tc>
      </w:tr>
      <w:tr w:rsidR="00F2275C" w:rsidRPr="00F2275C" w14:paraId="0EF9B76C" w14:textId="77777777" w:rsidTr="00F2275C">
        <w:trPr>
          <w:trHeight w:val="1200"/>
        </w:trPr>
        <w:tc>
          <w:tcPr>
            <w:tcW w:w="2940" w:type="dxa"/>
            <w:tcBorders>
              <w:top w:val="nil"/>
              <w:left w:val="nil"/>
              <w:bottom w:val="single" w:sz="4" w:space="0" w:color="ADD6EA"/>
              <w:right w:val="nil"/>
            </w:tcBorders>
            <w:shd w:val="clear" w:color="auto" w:fill="auto"/>
            <w:hideMark/>
          </w:tcPr>
          <w:p w14:paraId="1CCBAC80" w14:textId="77777777"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Capital improvements</w:t>
            </w:r>
          </w:p>
        </w:tc>
        <w:tc>
          <w:tcPr>
            <w:tcW w:w="760" w:type="dxa"/>
            <w:tcBorders>
              <w:top w:val="nil"/>
              <w:left w:val="nil"/>
              <w:bottom w:val="single" w:sz="4" w:space="0" w:color="ADD6EA"/>
              <w:right w:val="nil"/>
            </w:tcBorders>
            <w:shd w:val="clear" w:color="auto" w:fill="ADD6EA"/>
            <w:noWrap/>
            <w:hideMark/>
          </w:tcPr>
          <w:p w14:paraId="4CA55A3B"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37</w:t>
            </w:r>
          </w:p>
        </w:tc>
        <w:tc>
          <w:tcPr>
            <w:tcW w:w="760" w:type="dxa"/>
            <w:tcBorders>
              <w:top w:val="nil"/>
              <w:left w:val="nil"/>
              <w:bottom w:val="single" w:sz="4" w:space="0" w:color="ADD6EA"/>
              <w:right w:val="nil"/>
            </w:tcBorders>
            <w:shd w:val="clear" w:color="auto" w:fill="ADD6EA"/>
            <w:noWrap/>
            <w:hideMark/>
          </w:tcPr>
          <w:p w14:paraId="7E8357F4" w14:textId="77777777" w:rsidR="00F2275C" w:rsidRPr="00F2275C" w:rsidRDefault="00F2275C" w:rsidP="00F2275C">
            <w:pPr>
              <w:tabs>
                <w:tab w:val="clear" w:pos="567"/>
              </w:tabs>
              <w:spacing w:before="0" w:line="240" w:lineRule="auto"/>
              <w:jc w:val="center"/>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19</w:t>
            </w:r>
          </w:p>
        </w:tc>
        <w:tc>
          <w:tcPr>
            <w:tcW w:w="4500" w:type="dxa"/>
            <w:tcBorders>
              <w:top w:val="nil"/>
              <w:left w:val="nil"/>
              <w:bottom w:val="single" w:sz="4" w:space="0" w:color="ADD6EA"/>
              <w:right w:val="nil"/>
            </w:tcBorders>
            <w:shd w:val="clear" w:color="auto" w:fill="auto"/>
            <w:hideMark/>
          </w:tcPr>
          <w:p w14:paraId="0FD239A2" w14:textId="597C4AF1" w:rsidR="00F2275C" w:rsidRPr="00F2275C" w:rsidRDefault="00F2275C" w:rsidP="00F2275C">
            <w:pPr>
              <w:tabs>
                <w:tab w:val="clear" w:pos="567"/>
              </w:tabs>
              <w:spacing w:before="0" w:line="240" w:lineRule="auto"/>
              <w:rPr>
                <w:rFonts w:ascii="Open Sans Light" w:eastAsia="Times New Roman" w:hAnsi="Open Sans Light" w:cs="Open Sans Light"/>
                <w:szCs w:val="20"/>
                <w:lang w:eastAsia="en-AU"/>
              </w:rPr>
            </w:pPr>
            <w:r w:rsidRPr="00F2275C">
              <w:rPr>
                <w:rFonts w:ascii="Open Sans Light" w:eastAsia="Times New Roman" w:hAnsi="Open Sans Light" w:cs="Open Sans Light"/>
                <w:szCs w:val="20"/>
                <w:lang w:eastAsia="en-AU"/>
              </w:rPr>
              <w:t>A downward revision to national investment in urban transport in 2021</w:t>
            </w:r>
            <w:r>
              <w:rPr>
                <w:rFonts w:ascii="Open Sans Light" w:eastAsia="Times New Roman" w:hAnsi="Open Sans Light" w:cs="Open Sans Light"/>
                <w:szCs w:val="20"/>
                <w:lang w:eastAsia="en-AU"/>
              </w:rPr>
              <w:t>–</w:t>
            </w:r>
            <w:r w:rsidRPr="00F2275C">
              <w:rPr>
                <w:rFonts w:ascii="Open Sans Light" w:eastAsia="Times New Roman" w:hAnsi="Open Sans Light" w:cs="Open Sans Light"/>
                <w:szCs w:val="20"/>
                <w:lang w:eastAsia="en-AU"/>
              </w:rPr>
              <w:t>22 increased the GST needs of states with below-average urban transport needs, including South Australia.</w:t>
            </w:r>
          </w:p>
        </w:tc>
      </w:tr>
    </w:tbl>
    <w:p w14:paraId="15113522" w14:textId="77777777" w:rsidR="005500F4" w:rsidRDefault="005500F4" w:rsidP="005500F4">
      <w:pPr>
        <w:pStyle w:val="CGCTablenote"/>
      </w:pPr>
      <w:r w:rsidRPr="00754E2C">
        <w:t>Source: Commission calculation.</w:t>
      </w:r>
    </w:p>
    <w:p w14:paraId="0FCCBEC6" w14:textId="4F94A881" w:rsidR="005500F4" w:rsidRPr="00754E2C" w:rsidRDefault="005500F4" w:rsidP="005500F4">
      <w:pPr>
        <w:pStyle w:val="CGCTablenote"/>
        <w:rPr>
          <w:highlight w:val="yellow"/>
        </w:rPr>
      </w:pPr>
      <w:r w:rsidRPr="00754E2C">
        <w:br w:type="page"/>
      </w:r>
    </w:p>
    <w:p w14:paraId="62010334" w14:textId="464E8D33" w:rsidR="00A05918" w:rsidRDefault="00536906" w:rsidP="00376C7A">
      <w:pPr>
        <w:pStyle w:val="Heading2"/>
      </w:pPr>
      <w:r>
        <w:lastRenderedPageBreak/>
        <w:t>Tasmania</w:t>
      </w:r>
    </w:p>
    <w:p w14:paraId="44631D98" w14:textId="25B1859B" w:rsidR="00376C7A" w:rsidRPr="00754E2C" w:rsidRDefault="00376C7A" w:rsidP="00376C7A">
      <w:r w:rsidRPr="00754E2C">
        <w:t xml:space="preserve">Tasmania’s share of the GST pool is estimated to increase slightly, from 3.8% to 3.9%. </w:t>
      </w:r>
      <w:proofErr w:type="gramStart"/>
      <w:r w:rsidRPr="00754E2C">
        <w:t>Taking into account</w:t>
      </w:r>
      <w:proofErr w:type="gramEnd"/>
      <w:r w:rsidRPr="00754E2C">
        <w:t xml:space="preserve"> growth in the GST pool, Tasmania’s estimated GST distribution in 2024</w:t>
      </w:r>
      <w:r w:rsidR="00296C06">
        <w:t>–</w:t>
      </w:r>
      <w:r w:rsidRPr="00754E2C">
        <w:t>25 would increase by $219 million ($377 per capita), or 6.7%.</w:t>
      </w:r>
    </w:p>
    <w:p w14:paraId="297333F3" w14:textId="28C04A37" w:rsidR="00376C7A" w:rsidRPr="00754E2C" w:rsidRDefault="00376C7A" w:rsidP="00037398">
      <w:pPr>
        <w:pStyle w:val="BulletPoints"/>
      </w:pPr>
      <w:r w:rsidRPr="00754E2C">
        <w:t>Tasmania’s assessed GST needs increased</w:t>
      </w:r>
      <w:r w:rsidR="005A1147">
        <w:t xml:space="preserve"> largely</w:t>
      </w:r>
      <w:r w:rsidRPr="00754E2C">
        <w:t xml:space="preserve"> due to:</w:t>
      </w:r>
    </w:p>
    <w:p w14:paraId="439CC20D" w14:textId="77777777" w:rsidR="00376C7A" w:rsidRPr="00754E2C" w:rsidRDefault="00376C7A" w:rsidP="00037398">
      <w:pPr>
        <w:pStyle w:val="BulletPoints-Level2"/>
      </w:pPr>
      <w:r w:rsidRPr="00754E2C">
        <w:t xml:space="preserve">a reduced relative capacity to raise mining </w:t>
      </w:r>
      <w:proofErr w:type="gramStart"/>
      <w:r w:rsidRPr="00754E2C">
        <w:t>revenue</w:t>
      </w:r>
      <w:proofErr w:type="gramEnd"/>
    </w:p>
    <w:p w14:paraId="6FCD3F37" w14:textId="77777777" w:rsidR="00376C7A" w:rsidRPr="00754E2C" w:rsidRDefault="00376C7A" w:rsidP="00037398">
      <w:pPr>
        <w:pStyle w:val="BulletPoints-Level2"/>
      </w:pPr>
      <w:r w:rsidRPr="00754E2C">
        <w:t>below-average growth in property sales</w:t>
      </w:r>
    </w:p>
    <w:p w14:paraId="2FFF20A9" w14:textId="77777777" w:rsidR="00376C7A" w:rsidRPr="00754E2C" w:rsidRDefault="00376C7A" w:rsidP="00037398">
      <w:pPr>
        <w:pStyle w:val="BulletPoints-Level2"/>
      </w:pPr>
      <w:r w:rsidRPr="00754E2C">
        <w:t>revisions to socio-demographic composition data from the latest 2021 Census release</w:t>
      </w:r>
    </w:p>
    <w:p w14:paraId="6994BAA6" w14:textId="77777777" w:rsidR="00376C7A" w:rsidRPr="00754E2C" w:rsidRDefault="00376C7A" w:rsidP="00037398">
      <w:pPr>
        <w:pStyle w:val="BulletPoints-Level2"/>
      </w:pPr>
      <w:r w:rsidRPr="00754E2C">
        <w:t>revisions to health activity data.</w:t>
      </w:r>
    </w:p>
    <w:p w14:paraId="2B125D2C" w14:textId="353F6A66" w:rsidR="00376C7A" w:rsidRPr="00754E2C" w:rsidRDefault="00376C7A" w:rsidP="004B3CA7">
      <w:pPr>
        <w:pStyle w:val="BulletPoints"/>
      </w:pPr>
      <w:r w:rsidRPr="00754E2C">
        <w:t xml:space="preserve">Tasmania’s </w:t>
      </w:r>
      <w:r w:rsidR="005D2CFD">
        <w:t xml:space="preserve">increase in </w:t>
      </w:r>
      <w:r w:rsidRPr="00754E2C">
        <w:t xml:space="preserve">assessed GST needs </w:t>
      </w:r>
      <w:r w:rsidR="00C46688">
        <w:t xml:space="preserve">was partly offset </w:t>
      </w:r>
      <w:r w:rsidR="0038497C">
        <w:t xml:space="preserve">by </w:t>
      </w:r>
      <w:r w:rsidR="00692F2C">
        <w:t>s</w:t>
      </w:r>
      <w:r w:rsidRPr="00754E2C">
        <w:t>lower growth in assessed wage costs</w:t>
      </w:r>
      <w:r w:rsidR="00D2384F">
        <w:t xml:space="preserve">, </w:t>
      </w:r>
      <w:r w:rsidRPr="00754E2C">
        <w:t>strong growth in national urban transport investment</w:t>
      </w:r>
      <w:r w:rsidR="00D2384F">
        <w:t xml:space="preserve"> and </w:t>
      </w:r>
      <w:r w:rsidRPr="00754E2C">
        <w:t>above-average growth of other Commonwealth payments.</w:t>
      </w:r>
    </w:p>
    <w:p w14:paraId="7A8D34D3" w14:textId="5606427C" w:rsidR="00376C7A" w:rsidRPr="00754E2C" w:rsidRDefault="00376C7A" w:rsidP="00037398">
      <w:pPr>
        <w:pStyle w:val="BulletPoints"/>
      </w:pPr>
      <w:r w:rsidRPr="00754E2C">
        <w:t xml:space="preserve">Tasmania’s estimated GST distribution </w:t>
      </w:r>
      <w:r w:rsidR="00EE55BF">
        <w:t xml:space="preserve">also </w:t>
      </w:r>
      <w:r w:rsidRPr="00754E2C">
        <w:t>increased due to expected growth in the GST pool.</w:t>
      </w:r>
    </w:p>
    <w:p w14:paraId="16308CAC" w14:textId="7D9FA6A1" w:rsidR="00376C7A" w:rsidRPr="00754E2C" w:rsidRDefault="00376C7A" w:rsidP="00037398">
      <w:pPr>
        <w:pStyle w:val="BulletPoints"/>
      </w:pPr>
      <w:r w:rsidRPr="00754E2C">
        <w:t>Compared with 2023</w:t>
      </w:r>
      <w:r w:rsidR="0056257C">
        <w:t>–</w:t>
      </w:r>
      <w:r w:rsidRPr="00754E2C">
        <w:t>24, blended relativities and the GST floor resulted in a reduction ($6 million) in Tasmania’s GST distribution.</w:t>
      </w:r>
    </w:p>
    <w:p w14:paraId="5F916C70" w14:textId="134EF99E" w:rsidR="00376C7A" w:rsidRPr="00754E2C" w:rsidRDefault="00376C7A" w:rsidP="00037398">
      <w:pPr>
        <w:pStyle w:val="CGCTableHead"/>
        <w:ind w:left="1440" w:hanging="1440"/>
      </w:pPr>
      <w:r w:rsidRPr="00754E2C">
        <w:t>Table 3-6</w:t>
      </w:r>
      <w:r w:rsidRPr="00754E2C">
        <w:tab/>
        <w:t>Change in estimated GST distribution from 2023</w:t>
      </w:r>
      <w:r w:rsidR="0056257C">
        <w:t>–</w:t>
      </w:r>
      <w:r w:rsidRPr="00754E2C">
        <w:t>24 to 2024</w:t>
      </w:r>
      <w:r w:rsidR="0056257C">
        <w:t>–</w:t>
      </w:r>
      <w:r w:rsidRPr="00754E2C">
        <w:t>25, Tasmania (excludes no worse off payments)</w:t>
      </w:r>
    </w:p>
    <w:tbl>
      <w:tblPr>
        <w:tblW w:w="8940" w:type="dxa"/>
        <w:tblLook w:val="04A0" w:firstRow="1" w:lastRow="0" w:firstColumn="1" w:lastColumn="0" w:noHBand="0" w:noVBand="1"/>
      </w:tblPr>
      <w:tblGrid>
        <w:gridCol w:w="4420"/>
        <w:gridCol w:w="2200"/>
        <w:gridCol w:w="2320"/>
      </w:tblGrid>
      <w:tr w:rsidR="00376C7A" w14:paraId="264D3760" w14:textId="77777777" w:rsidTr="007E2ED3">
        <w:trPr>
          <w:trHeight w:val="375"/>
        </w:trPr>
        <w:tc>
          <w:tcPr>
            <w:tcW w:w="4420" w:type="dxa"/>
            <w:tcBorders>
              <w:top w:val="nil"/>
              <w:left w:val="nil"/>
              <w:bottom w:val="single" w:sz="4" w:space="0" w:color="ADD6EA"/>
              <w:right w:val="nil"/>
            </w:tcBorders>
            <w:shd w:val="clear" w:color="000000" w:fill="006991"/>
            <w:noWrap/>
            <w:vAlign w:val="center"/>
            <w:hideMark/>
          </w:tcPr>
          <w:p w14:paraId="77B25BF0" w14:textId="77777777" w:rsidR="00376C7A" w:rsidRPr="007E2ED3" w:rsidRDefault="00376C7A" w:rsidP="007E2ED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2ED3">
              <w:rPr>
                <w:rFonts w:ascii="Open Sans Semibold" w:eastAsia="Times New Roman" w:hAnsi="Open Sans Semibold" w:cs="Open Sans Semibold"/>
                <w:color w:val="FFFFFF"/>
                <w:sz w:val="16"/>
                <w:szCs w:val="16"/>
                <w:lang w:eastAsia="en-AU"/>
              </w:rPr>
              <w:t> </w:t>
            </w:r>
          </w:p>
        </w:tc>
        <w:tc>
          <w:tcPr>
            <w:tcW w:w="2200" w:type="dxa"/>
            <w:tcBorders>
              <w:top w:val="nil"/>
              <w:left w:val="nil"/>
              <w:bottom w:val="single" w:sz="4" w:space="0" w:color="ADD6EA"/>
              <w:right w:val="nil"/>
            </w:tcBorders>
            <w:shd w:val="clear" w:color="000000" w:fill="006991"/>
            <w:noWrap/>
            <w:vAlign w:val="center"/>
            <w:hideMark/>
          </w:tcPr>
          <w:p w14:paraId="107DEF04" w14:textId="77777777" w:rsidR="00376C7A" w:rsidRPr="007E2ED3" w:rsidRDefault="00376C7A" w:rsidP="007E2ED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2ED3">
              <w:rPr>
                <w:rFonts w:ascii="Open Sans Semibold" w:eastAsia="Times New Roman" w:hAnsi="Open Sans Semibold" w:cs="Open Sans Semibold"/>
                <w:color w:val="FFFFFF"/>
                <w:sz w:val="16"/>
                <w:szCs w:val="16"/>
                <w:lang w:eastAsia="en-AU"/>
              </w:rPr>
              <w:t>$m</w:t>
            </w:r>
          </w:p>
        </w:tc>
        <w:tc>
          <w:tcPr>
            <w:tcW w:w="2320" w:type="dxa"/>
            <w:tcBorders>
              <w:top w:val="nil"/>
              <w:left w:val="nil"/>
              <w:bottom w:val="single" w:sz="4" w:space="0" w:color="ADD6EA"/>
              <w:right w:val="nil"/>
            </w:tcBorders>
            <w:shd w:val="clear" w:color="000000" w:fill="006991"/>
            <w:noWrap/>
            <w:vAlign w:val="center"/>
            <w:hideMark/>
          </w:tcPr>
          <w:p w14:paraId="4A47246D" w14:textId="77777777" w:rsidR="00376C7A" w:rsidRPr="007E2ED3" w:rsidRDefault="00376C7A" w:rsidP="007E2ED3">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7E2ED3">
              <w:rPr>
                <w:rFonts w:ascii="Open Sans Semibold" w:eastAsia="Times New Roman" w:hAnsi="Open Sans Semibold" w:cs="Open Sans Semibold"/>
                <w:color w:val="FFFFFF"/>
                <w:sz w:val="16"/>
                <w:szCs w:val="16"/>
                <w:lang w:eastAsia="en-AU"/>
              </w:rPr>
              <w:t>$pc</w:t>
            </w:r>
          </w:p>
        </w:tc>
      </w:tr>
      <w:tr w:rsidR="00376C7A" w14:paraId="7662FAB9" w14:textId="77777777" w:rsidTr="007E2ED3">
        <w:trPr>
          <w:trHeight w:val="315"/>
        </w:trPr>
        <w:tc>
          <w:tcPr>
            <w:tcW w:w="4420" w:type="dxa"/>
            <w:tcBorders>
              <w:top w:val="nil"/>
              <w:left w:val="nil"/>
              <w:bottom w:val="single" w:sz="4" w:space="0" w:color="ADD6EA"/>
              <w:right w:val="nil"/>
            </w:tcBorders>
            <w:shd w:val="clear" w:color="auto" w:fill="auto"/>
            <w:noWrap/>
            <w:vAlign w:val="bottom"/>
            <w:hideMark/>
          </w:tcPr>
          <w:p w14:paraId="7B52262D" w14:textId="77777777" w:rsidR="00376C7A" w:rsidRPr="00200AAE" w:rsidRDefault="00376C7A" w:rsidP="007E2ED3">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Change in </w:t>
            </w:r>
            <w:r w:rsidRPr="00200AAE">
              <w:rPr>
                <w:rFonts w:ascii="Open Sans Light" w:eastAsia="Times New Roman" w:hAnsi="Open Sans Light" w:cs="Open Sans Light"/>
                <w:color w:val="000000"/>
                <w:sz w:val="16"/>
                <w:szCs w:val="16"/>
                <w:lang w:eastAsia="en-AU"/>
              </w:rPr>
              <w:t>population</w:t>
            </w:r>
          </w:p>
        </w:tc>
        <w:tc>
          <w:tcPr>
            <w:tcW w:w="2200" w:type="dxa"/>
            <w:tcBorders>
              <w:top w:val="nil"/>
              <w:left w:val="nil"/>
              <w:bottom w:val="single" w:sz="4" w:space="0" w:color="ADD6EA"/>
              <w:right w:val="nil"/>
            </w:tcBorders>
            <w:shd w:val="clear" w:color="auto" w:fill="auto"/>
            <w:noWrap/>
            <w:vAlign w:val="bottom"/>
            <w:hideMark/>
          </w:tcPr>
          <w:p w14:paraId="198F976B"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-24</w:t>
            </w:r>
          </w:p>
        </w:tc>
        <w:tc>
          <w:tcPr>
            <w:tcW w:w="2320" w:type="dxa"/>
            <w:tcBorders>
              <w:top w:val="nil"/>
              <w:left w:val="nil"/>
              <w:bottom w:val="single" w:sz="4" w:space="0" w:color="ADD6EA"/>
              <w:right w:val="nil"/>
            </w:tcBorders>
            <w:shd w:val="clear" w:color="auto" w:fill="auto"/>
            <w:noWrap/>
            <w:vAlign w:val="bottom"/>
            <w:hideMark/>
          </w:tcPr>
          <w:p w14:paraId="34B09C25"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-42</w:t>
            </w:r>
          </w:p>
        </w:tc>
      </w:tr>
      <w:tr w:rsidR="00376C7A" w14:paraId="5352924D" w14:textId="77777777" w:rsidTr="007E2ED3">
        <w:trPr>
          <w:trHeight w:val="315"/>
        </w:trPr>
        <w:tc>
          <w:tcPr>
            <w:tcW w:w="4420" w:type="dxa"/>
            <w:tcBorders>
              <w:top w:val="nil"/>
              <w:left w:val="nil"/>
              <w:bottom w:val="single" w:sz="4" w:space="0" w:color="ADD6EA"/>
              <w:right w:val="nil"/>
            </w:tcBorders>
            <w:shd w:val="clear" w:color="auto" w:fill="auto"/>
            <w:noWrap/>
            <w:vAlign w:val="bottom"/>
            <w:hideMark/>
          </w:tcPr>
          <w:p w14:paraId="4E398FC1" w14:textId="77777777" w:rsidR="00376C7A" w:rsidRPr="00200AAE" w:rsidRDefault="00376C7A" w:rsidP="007E2ED3">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Growth in GST pool </w:t>
            </w:r>
          </w:p>
        </w:tc>
        <w:tc>
          <w:tcPr>
            <w:tcW w:w="2200" w:type="dxa"/>
            <w:tcBorders>
              <w:top w:val="nil"/>
              <w:left w:val="nil"/>
              <w:bottom w:val="single" w:sz="4" w:space="0" w:color="ADD6EA"/>
              <w:right w:val="nil"/>
            </w:tcBorders>
            <w:shd w:val="clear" w:color="auto" w:fill="auto"/>
            <w:noWrap/>
            <w:vAlign w:val="bottom"/>
            <w:hideMark/>
          </w:tcPr>
          <w:p w14:paraId="114CC565"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183</w:t>
            </w:r>
          </w:p>
        </w:tc>
        <w:tc>
          <w:tcPr>
            <w:tcW w:w="2320" w:type="dxa"/>
            <w:tcBorders>
              <w:top w:val="nil"/>
              <w:left w:val="nil"/>
              <w:bottom w:val="single" w:sz="4" w:space="0" w:color="ADD6EA"/>
              <w:right w:val="nil"/>
            </w:tcBorders>
            <w:shd w:val="clear" w:color="auto" w:fill="auto"/>
            <w:noWrap/>
            <w:vAlign w:val="bottom"/>
            <w:hideMark/>
          </w:tcPr>
          <w:p w14:paraId="493D64D8"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315</w:t>
            </w:r>
          </w:p>
        </w:tc>
      </w:tr>
      <w:tr w:rsidR="00376C7A" w14:paraId="08CFF1B8" w14:textId="77777777" w:rsidTr="007E2ED3">
        <w:trPr>
          <w:trHeight w:val="315"/>
        </w:trPr>
        <w:tc>
          <w:tcPr>
            <w:tcW w:w="4420" w:type="dxa"/>
            <w:tcBorders>
              <w:top w:val="nil"/>
              <w:left w:val="nil"/>
              <w:bottom w:val="single" w:sz="4" w:space="0" w:color="ADD6EA"/>
              <w:right w:val="nil"/>
            </w:tcBorders>
            <w:shd w:val="clear" w:color="auto" w:fill="auto"/>
            <w:noWrap/>
            <w:vAlign w:val="bottom"/>
            <w:hideMark/>
          </w:tcPr>
          <w:p w14:paraId="21C37A07" w14:textId="77777777" w:rsidR="00376C7A" w:rsidRPr="00200AAE" w:rsidRDefault="00376C7A" w:rsidP="007E2ED3">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Changes in assessed GST needs</w:t>
            </w:r>
          </w:p>
        </w:tc>
        <w:tc>
          <w:tcPr>
            <w:tcW w:w="2200" w:type="dxa"/>
            <w:tcBorders>
              <w:top w:val="nil"/>
              <w:left w:val="nil"/>
              <w:bottom w:val="single" w:sz="4" w:space="0" w:color="ADD6EA"/>
              <w:right w:val="nil"/>
            </w:tcBorders>
            <w:shd w:val="clear" w:color="auto" w:fill="auto"/>
            <w:noWrap/>
            <w:vAlign w:val="bottom"/>
            <w:hideMark/>
          </w:tcPr>
          <w:p w14:paraId="632D2127"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w:t>
            </w:r>
          </w:p>
        </w:tc>
        <w:tc>
          <w:tcPr>
            <w:tcW w:w="2320" w:type="dxa"/>
            <w:tcBorders>
              <w:top w:val="nil"/>
              <w:left w:val="nil"/>
              <w:bottom w:val="single" w:sz="4" w:space="0" w:color="ADD6EA"/>
              <w:right w:val="nil"/>
            </w:tcBorders>
            <w:shd w:val="clear" w:color="auto" w:fill="auto"/>
            <w:noWrap/>
            <w:vAlign w:val="bottom"/>
            <w:hideMark/>
          </w:tcPr>
          <w:p w14:paraId="555DC15D"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w:t>
            </w:r>
          </w:p>
        </w:tc>
      </w:tr>
      <w:tr w:rsidR="00376C7A" w14:paraId="70D679EE" w14:textId="77777777" w:rsidTr="007E2ED3">
        <w:trPr>
          <w:trHeight w:val="315"/>
        </w:trPr>
        <w:tc>
          <w:tcPr>
            <w:tcW w:w="4420" w:type="dxa"/>
            <w:tcBorders>
              <w:top w:val="nil"/>
              <w:left w:val="nil"/>
              <w:bottom w:val="single" w:sz="4" w:space="0" w:color="ADD6EA"/>
              <w:right w:val="nil"/>
            </w:tcBorders>
            <w:shd w:val="clear" w:color="auto" w:fill="auto"/>
            <w:noWrap/>
            <w:vAlign w:val="bottom"/>
            <w:hideMark/>
          </w:tcPr>
          <w:p w14:paraId="2C78C6A8" w14:textId="3F849E37" w:rsidR="00376C7A" w:rsidRPr="00200AAE" w:rsidRDefault="00376C7A" w:rsidP="007E2ED3">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Revised populations from </w:t>
            </w:r>
            <w:r w:rsidR="008A4509" w:rsidRPr="00200AAE">
              <w:rPr>
                <w:rFonts w:ascii="Open Sans Light" w:eastAsia="Times New Roman" w:hAnsi="Open Sans Light" w:cs="Open Sans Light"/>
                <w:sz w:val="16"/>
                <w:szCs w:val="16"/>
                <w:lang w:eastAsia="en-AU"/>
              </w:rPr>
              <w:t>C</w:t>
            </w:r>
            <w:r w:rsidRPr="00200AAE">
              <w:rPr>
                <w:rFonts w:ascii="Open Sans Light" w:eastAsia="Times New Roman" w:hAnsi="Open Sans Light" w:cs="Open Sans Light"/>
                <w:sz w:val="16"/>
                <w:szCs w:val="16"/>
                <w:lang w:eastAsia="en-AU"/>
              </w:rPr>
              <w:t>ensus</w:t>
            </w:r>
          </w:p>
        </w:tc>
        <w:tc>
          <w:tcPr>
            <w:tcW w:w="2200" w:type="dxa"/>
            <w:tcBorders>
              <w:top w:val="nil"/>
              <w:left w:val="nil"/>
              <w:bottom w:val="single" w:sz="4" w:space="0" w:color="ADD6EA"/>
              <w:right w:val="nil"/>
            </w:tcBorders>
            <w:shd w:val="clear" w:color="auto" w:fill="auto"/>
            <w:noWrap/>
            <w:vAlign w:val="bottom"/>
            <w:hideMark/>
          </w:tcPr>
          <w:p w14:paraId="3069F851"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63</w:t>
            </w:r>
          </w:p>
        </w:tc>
        <w:tc>
          <w:tcPr>
            <w:tcW w:w="2320" w:type="dxa"/>
            <w:tcBorders>
              <w:top w:val="nil"/>
              <w:left w:val="nil"/>
              <w:bottom w:val="single" w:sz="4" w:space="0" w:color="ADD6EA"/>
              <w:right w:val="nil"/>
            </w:tcBorders>
            <w:shd w:val="clear" w:color="auto" w:fill="auto"/>
            <w:noWrap/>
            <w:vAlign w:val="bottom"/>
            <w:hideMark/>
          </w:tcPr>
          <w:p w14:paraId="6C681ABB"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108</w:t>
            </w:r>
          </w:p>
        </w:tc>
      </w:tr>
      <w:tr w:rsidR="00376C7A" w14:paraId="784C432A" w14:textId="77777777" w:rsidTr="007E2ED3">
        <w:trPr>
          <w:trHeight w:val="315"/>
        </w:trPr>
        <w:tc>
          <w:tcPr>
            <w:tcW w:w="4420" w:type="dxa"/>
            <w:tcBorders>
              <w:top w:val="nil"/>
              <w:left w:val="nil"/>
              <w:bottom w:val="single" w:sz="4" w:space="0" w:color="ADD6EA"/>
              <w:right w:val="nil"/>
            </w:tcBorders>
            <w:shd w:val="clear" w:color="auto" w:fill="auto"/>
            <w:noWrap/>
            <w:vAlign w:val="bottom"/>
            <w:hideMark/>
          </w:tcPr>
          <w:p w14:paraId="6F10A55B" w14:textId="77777777" w:rsidR="00376C7A" w:rsidRPr="00200AAE" w:rsidRDefault="00376C7A" w:rsidP="007E2ED3">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Other data revisions</w:t>
            </w:r>
          </w:p>
        </w:tc>
        <w:tc>
          <w:tcPr>
            <w:tcW w:w="2200" w:type="dxa"/>
            <w:tcBorders>
              <w:top w:val="nil"/>
              <w:left w:val="nil"/>
              <w:bottom w:val="single" w:sz="4" w:space="0" w:color="ADD6EA"/>
              <w:right w:val="nil"/>
            </w:tcBorders>
            <w:shd w:val="clear" w:color="auto" w:fill="auto"/>
            <w:noWrap/>
            <w:vAlign w:val="bottom"/>
            <w:hideMark/>
          </w:tcPr>
          <w:p w14:paraId="6CA484AC"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31</w:t>
            </w:r>
          </w:p>
        </w:tc>
        <w:tc>
          <w:tcPr>
            <w:tcW w:w="2320" w:type="dxa"/>
            <w:tcBorders>
              <w:top w:val="nil"/>
              <w:left w:val="nil"/>
              <w:bottom w:val="single" w:sz="4" w:space="0" w:color="ADD6EA"/>
              <w:right w:val="nil"/>
            </w:tcBorders>
            <w:shd w:val="clear" w:color="auto" w:fill="auto"/>
            <w:noWrap/>
            <w:vAlign w:val="bottom"/>
            <w:hideMark/>
          </w:tcPr>
          <w:p w14:paraId="7E82BAFC"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54</w:t>
            </w:r>
          </w:p>
        </w:tc>
      </w:tr>
      <w:tr w:rsidR="00376C7A" w14:paraId="2AE8A708" w14:textId="77777777" w:rsidTr="007E2ED3">
        <w:trPr>
          <w:trHeight w:val="315"/>
        </w:trPr>
        <w:tc>
          <w:tcPr>
            <w:tcW w:w="4420" w:type="dxa"/>
            <w:tcBorders>
              <w:top w:val="nil"/>
              <w:left w:val="nil"/>
              <w:bottom w:val="single" w:sz="4" w:space="0" w:color="ADD6EA"/>
              <w:right w:val="nil"/>
            </w:tcBorders>
            <w:shd w:val="clear" w:color="auto" w:fill="auto"/>
            <w:noWrap/>
            <w:vAlign w:val="bottom"/>
            <w:hideMark/>
          </w:tcPr>
          <w:p w14:paraId="20B99892" w14:textId="77777777" w:rsidR="00376C7A" w:rsidRPr="00200AAE" w:rsidRDefault="00376C7A" w:rsidP="007E2ED3">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State circumstances</w:t>
            </w:r>
          </w:p>
        </w:tc>
        <w:tc>
          <w:tcPr>
            <w:tcW w:w="2200" w:type="dxa"/>
            <w:tcBorders>
              <w:top w:val="nil"/>
              <w:left w:val="nil"/>
              <w:bottom w:val="single" w:sz="4" w:space="0" w:color="ADD6EA"/>
              <w:right w:val="nil"/>
            </w:tcBorders>
            <w:shd w:val="clear" w:color="auto" w:fill="auto"/>
            <w:noWrap/>
            <w:vAlign w:val="bottom"/>
            <w:hideMark/>
          </w:tcPr>
          <w:p w14:paraId="0B1EEBB0"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-27</w:t>
            </w:r>
          </w:p>
        </w:tc>
        <w:tc>
          <w:tcPr>
            <w:tcW w:w="2320" w:type="dxa"/>
            <w:tcBorders>
              <w:top w:val="nil"/>
              <w:left w:val="nil"/>
              <w:bottom w:val="single" w:sz="4" w:space="0" w:color="ADD6EA"/>
              <w:right w:val="nil"/>
            </w:tcBorders>
            <w:shd w:val="clear" w:color="auto" w:fill="auto"/>
            <w:noWrap/>
            <w:vAlign w:val="bottom"/>
            <w:hideMark/>
          </w:tcPr>
          <w:p w14:paraId="3C447FD3"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-46</w:t>
            </w:r>
          </w:p>
        </w:tc>
      </w:tr>
      <w:tr w:rsidR="00376C7A" w14:paraId="3A4C8164" w14:textId="77777777" w:rsidTr="007E2ED3">
        <w:trPr>
          <w:trHeight w:val="315"/>
        </w:trPr>
        <w:tc>
          <w:tcPr>
            <w:tcW w:w="4420" w:type="dxa"/>
            <w:tcBorders>
              <w:top w:val="nil"/>
              <w:left w:val="nil"/>
              <w:bottom w:val="single" w:sz="4" w:space="0" w:color="ADD6EA"/>
              <w:right w:val="nil"/>
            </w:tcBorders>
            <w:shd w:val="clear" w:color="auto" w:fill="auto"/>
            <w:noWrap/>
            <w:vAlign w:val="bottom"/>
            <w:hideMark/>
          </w:tcPr>
          <w:p w14:paraId="3A5CAE88" w14:textId="77777777" w:rsidR="00376C7A" w:rsidRPr="00200AAE" w:rsidRDefault="00376C7A" w:rsidP="007E2ED3">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Total</w:t>
            </w:r>
          </w:p>
        </w:tc>
        <w:tc>
          <w:tcPr>
            <w:tcW w:w="2200" w:type="dxa"/>
            <w:tcBorders>
              <w:top w:val="nil"/>
              <w:left w:val="nil"/>
              <w:bottom w:val="single" w:sz="4" w:space="0" w:color="ADD6EA"/>
              <w:right w:val="nil"/>
            </w:tcBorders>
            <w:shd w:val="clear" w:color="auto" w:fill="auto"/>
            <w:noWrap/>
            <w:vAlign w:val="bottom"/>
            <w:hideMark/>
          </w:tcPr>
          <w:p w14:paraId="10A05BF8"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67</w:t>
            </w:r>
          </w:p>
        </w:tc>
        <w:tc>
          <w:tcPr>
            <w:tcW w:w="2320" w:type="dxa"/>
            <w:tcBorders>
              <w:top w:val="nil"/>
              <w:left w:val="nil"/>
              <w:bottom w:val="single" w:sz="4" w:space="0" w:color="ADD6EA"/>
              <w:right w:val="nil"/>
            </w:tcBorders>
            <w:shd w:val="clear" w:color="auto" w:fill="auto"/>
            <w:noWrap/>
            <w:vAlign w:val="bottom"/>
            <w:hideMark/>
          </w:tcPr>
          <w:p w14:paraId="72F4F449"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115</w:t>
            </w:r>
          </w:p>
        </w:tc>
      </w:tr>
      <w:tr w:rsidR="00376C7A" w14:paraId="29836BBD" w14:textId="77777777" w:rsidTr="007E2ED3">
        <w:trPr>
          <w:trHeight w:val="315"/>
        </w:trPr>
        <w:tc>
          <w:tcPr>
            <w:tcW w:w="4420" w:type="dxa"/>
            <w:tcBorders>
              <w:top w:val="nil"/>
              <w:left w:val="nil"/>
              <w:bottom w:val="single" w:sz="4" w:space="0" w:color="ADD6EA"/>
              <w:right w:val="nil"/>
            </w:tcBorders>
            <w:shd w:val="clear" w:color="auto" w:fill="auto"/>
            <w:noWrap/>
            <w:vAlign w:val="bottom"/>
            <w:hideMark/>
          </w:tcPr>
          <w:p w14:paraId="240CB052" w14:textId="77777777" w:rsidR="00376C7A" w:rsidRPr="00200AAE" w:rsidRDefault="00376C7A" w:rsidP="007E2ED3">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Blended relativities and GST floor</w:t>
            </w:r>
          </w:p>
        </w:tc>
        <w:tc>
          <w:tcPr>
            <w:tcW w:w="2200" w:type="dxa"/>
            <w:tcBorders>
              <w:top w:val="nil"/>
              <w:left w:val="nil"/>
              <w:bottom w:val="single" w:sz="4" w:space="0" w:color="ADD6EA"/>
              <w:right w:val="nil"/>
            </w:tcBorders>
            <w:shd w:val="clear" w:color="auto" w:fill="auto"/>
            <w:noWrap/>
            <w:vAlign w:val="bottom"/>
            <w:hideMark/>
          </w:tcPr>
          <w:p w14:paraId="15D50F36"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-6</w:t>
            </w:r>
          </w:p>
        </w:tc>
        <w:tc>
          <w:tcPr>
            <w:tcW w:w="2320" w:type="dxa"/>
            <w:tcBorders>
              <w:top w:val="nil"/>
              <w:left w:val="nil"/>
              <w:bottom w:val="single" w:sz="4" w:space="0" w:color="ADD6EA"/>
              <w:right w:val="nil"/>
            </w:tcBorders>
            <w:shd w:val="clear" w:color="auto" w:fill="auto"/>
            <w:noWrap/>
            <w:vAlign w:val="bottom"/>
            <w:hideMark/>
          </w:tcPr>
          <w:p w14:paraId="29B540CB" w14:textId="77777777" w:rsidR="00376C7A" w:rsidRPr="00200AAE" w:rsidRDefault="00376C7A" w:rsidP="007E2ED3">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-11</w:t>
            </w:r>
          </w:p>
        </w:tc>
      </w:tr>
      <w:tr w:rsidR="00376C7A" w14:paraId="0E7179DC" w14:textId="77777777" w:rsidTr="007E2ED3">
        <w:trPr>
          <w:trHeight w:val="315"/>
        </w:trPr>
        <w:tc>
          <w:tcPr>
            <w:tcW w:w="4420" w:type="dxa"/>
            <w:tcBorders>
              <w:top w:val="nil"/>
              <w:left w:val="nil"/>
              <w:bottom w:val="single" w:sz="4" w:space="0" w:color="ADD6EA"/>
              <w:right w:val="nil"/>
            </w:tcBorders>
            <w:shd w:val="clear" w:color="000000" w:fill="D6E7F0"/>
            <w:noWrap/>
            <w:vAlign w:val="bottom"/>
            <w:hideMark/>
          </w:tcPr>
          <w:p w14:paraId="31C8E9C8" w14:textId="77777777" w:rsidR="00376C7A" w:rsidRPr="00200AAE" w:rsidRDefault="00376C7A" w:rsidP="007E2ED3">
            <w:pPr>
              <w:tabs>
                <w:tab w:val="clear" w:pos="567"/>
              </w:tabs>
              <w:spacing w:before="0" w:line="240" w:lineRule="auto"/>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Total change</w:t>
            </w:r>
          </w:p>
        </w:tc>
        <w:tc>
          <w:tcPr>
            <w:tcW w:w="2200" w:type="dxa"/>
            <w:tcBorders>
              <w:top w:val="nil"/>
              <w:left w:val="nil"/>
              <w:bottom w:val="single" w:sz="4" w:space="0" w:color="ADD6EA"/>
              <w:right w:val="nil"/>
            </w:tcBorders>
            <w:shd w:val="clear" w:color="000000" w:fill="D6E7F0"/>
            <w:noWrap/>
            <w:vAlign w:val="bottom"/>
            <w:hideMark/>
          </w:tcPr>
          <w:p w14:paraId="03BD795F" w14:textId="77777777" w:rsidR="00376C7A" w:rsidRPr="00200AAE" w:rsidRDefault="00376C7A" w:rsidP="007E2ED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219</w:t>
            </w:r>
          </w:p>
        </w:tc>
        <w:tc>
          <w:tcPr>
            <w:tcW w:w="2320" w:type="dxa"/>
            <w:tcBorders>
              <w:top w:val="nil"/>
              <w:left w:val="nil"/>
              <w:bottom w:val="single" w:sz="4" w:space="0" w:color="ADD6EA"/>
              <w:right w:val="nil"/>
            </w:tcBorders>
            <w:shd w:val="clear" w:color="000000" w:fill="D6E7F0"/>
            <w:noWrap/>
            <w:vAlign w:val="bottom"/>
            <w:hideMark/>
          </w:tcPr>
          <w:p w14:paraId="16E5F194" w14:textId="77777777" w:rsidR="00376C7A" w:rsidRPr="00200AAE" w:rsidRDefault="00376C7A" w:rsidP="007E2ED3">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377</w:t>
            </w:r>
          </w:p>
        </w:tc>
      </w:tr>
    </w:tbl>
    <w:p w14:paraId="62FB35BB" w14:textId="77777777" w:rsidR="00376C7A" w:rsidRPr="00754E2C" w:rsidRDefault="00376C7A" w:rsidP="00037398">
      <w:pPr>
        <w:pStyle w:val="CGCTablenote"/>
      </w:pPr>
      <w:r w:rsidRPr="00754E2C">
        <w:t xml:space="preserve">Note: </w:t>
      </w:r>
      <w:r w:rsidRPr="00754E2C">
        <w:tab/>
        <w:t>Table may not add due to rounding.</w:t>
      </w:r>
    </w:p>
    <w:p w14:paraId="62EF0CD5" w14:textId="5A492E2F" w:rsidR="00536906" w:rsidRDefault="00376C7A" w:rsidP="00037398">
      <w:pPr>
        <w:pStyle w:val="CGCTablenote"/>
        <w:rPr>
          <w:rFonts w:ascii="Open Sans Light" w:eastAsia="Times New Roman" w:hAnsi="Open Sans Light" w:cs="Times New Roman"/>
          <w:szCs w:val="20"/>
        </w:rPr>
      </w:pPr>
      <w:r w:rsidRPr="00754E2C">
        <w:t>Source: Commission calculation.</w:t>
      </w:r>
    </w:p>
    <w:p w14:paraId="70EBC7A3" w14:textId="77777777" w:rsidR="00A05918" w:rsidRDefault="00A05918">
      <w:pPr>
        <w:tabs>
          <w:tab w:val="clear" w:pos="567"/>
        </w:tabs>
        <w:spacing w:before="0" w:line="240" w:lineRule="auto"/>
        <w:rPr>
          <w:rFonts w:ascii="Open Sans Light" w:eastAsia="Times New Roman" w:hAnsi="Open Sans Light" w:cs="Times New Roman"/>
          <w:szCs w:val="20"/>
        </w:rPr>
      </w:pPr>
    </w:p>
    <w:p w14:paraId="335A00B9" w14:textId="77777777" w:rsidR="0090045B" w:rsidRDefault="0090045B">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3F05ABF4" w14:textId="77777777" w:rsidR="008D1228" w:rsidRPr="00754E2C" w:rsidRDefault="008D1228" w:rsidP="008D1228">
      <w:pPr>
        <w:pStyle w:val="Tableheading"/>
      </w:pPr>
      <w:r w:rsidRPr="00754E2C">
        <w:lastRenderedPageBreak/>
        <w:t>Figure 3-6</w:t>
      </w:r>
      <w:r w:rsidRPr="00754E2C">
        <w:tab/>
        <w:t xml:space="preserve">Tasmania: main changes in assessed GST needs, 2024 </w:t>
      </w:r>
      <w:proofErr w:type="gramStart"/>
      <w:r w:rsidRPr="00754E2C">
        <w:t>Update</w:t>
      </w:r>
      <w:proofErr w:type="gramEnd"/>
    </w:p>
    <w:tbl>
      <w:tblPr>
        <w:tblW w:w="8960" w:type="dxa"/>
        <w:tblLook w:val="04A0" w:firstRow="1" w:lastRow="0" w:firstColumn="1" w:lastColumn="0" w:noHBand="0" w:noVBand="1"/>
      </w:tblPr>
      <w:tblGrid>
        <w:gridCol w:w="2940"/>
        <w:gridCol w:w="760"/>
        <w:gridCol w:w="760"/>
        <w:gridCol w:w="4500"/>
      </w:tblGrid>
      <w:tr w:rsidR="004B3C71" w:rsidRPr="004B3C71" w14:paraId="22F2FAA1" w14:textId="77777777" w:rsidTr="004B3C71">
        <w:trPr>
          <w:trHeight w:val="375"/>
        </w:trPr>
        <w:tc>
          <w:tcPr>
            <w:tcW w:w="2940" w:type="dxa"/>
            <w:tcBorders>
              <w:top w:val="nil"/>
              <w:left w:val="nil"/>
              <w:bottom w:val="nil"/>
              <w:right w:val="nil"/>
            </w:tcBorders>
            <w:shd w:val="clear" w:color="000000" w:fill="006991"/>
            <w:noWrap/>
            <w:vAlign w:val="bottom"/>
            <w:hideMark/>
          </w:tcPr>
          <w:p w14:paraId="041B0337"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color w:val="FFFFFF"/>
                <w:szCs w:val="20"/>
                <w:lang w:eastAsia="en-AU"/>
              </w:rPr>
            </w:pPr>
            <w:r w:rsidRPr="004B3C71">
              <w:rPr>
                <w:rFonts w:ascii="Open Sans Semibold" w:eastAsia="Times New Roman" w:hAnsi="Open Sans Semibold" w:cs="Open Sans Semibold"/>
                <w:color w:val="FFFFFF"/>
                <w:szCs w:val="20"/>
                <w:lang w:eastAsia="en-AU"/>
              </w:rPr>
              <w:t>Changes in circumstances</w:t>
            </w:r>
          </w:p>
        </w:tc>
        <w:tc>
          <w:tcPr>
            <w:tcW w:w="760" w:type="dxa"/>
            <w:tcBorders>
              <w:top w:val="nil"/>
              <w:left w:val="nil"/>
              <w:bottom w:val="nil"/>
              <w:right w:val="nil"/>
            </w:tcBorders>
            <w:shd w:val="clear" w:color="000000" w:fill="006991"/>
            <w:noWrap/>
            <w:vAlign w:val="bottom"/>
            <w:hideMark/>
          </w:tcPr>
          <w:p w14:paraId="1B571306"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color w:val="FFFFFF"/>
                <w:szCs w:val="20"/>
                <w:lang w:eastAsia="en-AU"/>
              </w:rPr>
            </w:pPr>
            <w:r w:rsidRPr="004B3C71">
              <w:rPr>
                <w:rFonts w:ascii="Open Sans Semibold" w:eastAsia="Times New Roman" w:hAnsi="Open Sans Semibold" w:cs="Open Sans Semibold"/>
                <w:color w:val="FFFFFF"/>
                <w:szCs w:val="20"/>
                <w:lang w:eastAsia="en-AU"/>
              </w:rPr>
              <w:t> </w:t>
            </w:r>
          </w:p>
        </w:tc>
        <w:tc>
          <w:tcPr>
            <w:tcW w:w="760" w:type="dxa"/>
            <w:tcBorders>
              <w:top w:val="nil"/>
              <w:left w:val="nil"/>
              <w:bottom w:val="nil"/>
              <w:right w:val="nil"/>
            </w:tcBorders>
            <w:shd w:val="clear" w:color="000000" w:fill="006991"/>
            <w:noWrap/>
            <w:vAlign w:val="bottom"/>
            <w:hideMark/>
          </w:tcPr>
          <w:p w14:paraId="76818FF0"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color w:val="FFFFFF"/>
                <w:szCs w:val="20"/>
                <w:lang w:eastAsia="en-AU"/>
              </w:rPr>
            </w:pPr>
            <w:r w:rsidRPr="004B3C71">
              <w:rPr>
                <w:rFonts w:ascii="Open Sans Semibold" w:eastAsia="Times New Roman" w:hAnsi="Open Sans Semibold" w:cs="Open Sans Semibold"/>
                <w:color w:val="FFFFFF"/>
                <w:szCs w:val="20"/>
                <w:lang w:eastAsia="en-AU"/>
              </w:rPr>
              <w:t> </w:t>
            </w:r>
          </w:p>
        </w:tc>
        <w:tc>
          <w:tcPr>
            <w:tcW w:w="4500" w:type="dxa"/>
            <w:tcBorders>
              <w:top w:val="nil"/>
              <w:left w:val="nil"/>
              <w:bottom w:val="nil"/>
              <w:right w:val="nil"/>
            </w:tcBorders>
            <w:shd w:val="clear" w:color="000000" w:fill="006991"/>
            <w:noWrap/>
            <w:vAlign w:val="bottom"/>
            <w:hideMark/>
          </w:tcPr>
          <w:p w14:paraId="637BE452"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color w:val="FFFFFF"/>
                <w:szCs w:val="20"/>
                <w:lang w:eastAsia="en-AU"/>
              </w:rPr>
            </w:pPr>
            <w:r w:rsidRPr="004B3C71">
              <w:rPr>
                <w:rFonts w:ascii="Open Sans Semibold" w:eastAsia="Times New Roman" w:hAnsi="Open Sans Semibold" w:cs="Open Sans Semibold"/>
                <w:color w:val="FFFFFF"/>
                <w:szCs w:val="20"/>
                <w:lang w:eastAsia="en-AU"/>
              </w:rPr>
              <w:t> </w:t>
            </w:r>
          </w:p>
        </w:tc>
      </w:tr>
      <w:tr w:rsidR="004B3C71" w:rsidRPr="004B3C71" w14:paraId="5013E6E6" w14:textId="77777777" w:rsidTr="004B3C71">
        <w:trPr>
          <w:trHeight w:val="315"/>
        </w:trPr>
        <w:tc>
          <w:tcPr>
            <w:tcW w:w="2940" w:type="dxa"/>
            <w:tcBorders>
              <w:top w:val="single" w:sz="4" w:space="0" w:color="ADD6EA"/>
              <w:left w:val="nil"/>
              <w:bottom w:val="single" w:sz="4" w:space="0" w:color="ADD6EA"/>
              <w:right w:val="nil"/>
            </w:tcBorders>
            <w:shd w:val="clear" w:color="000000" w:fill="B6D5E4"/>
            <w:noWrap/>
            <w:vAlign w:val="bottom"/>
            <w:hideMark/>
          </w:tcPr>
          <w:p w14:paraId="5E85A7FC"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000000" w:fill="B6D5E4"/>
            <w:noWrap/>
            <w:vAlign w:val="bottom"/>
            <w:hideMark/>
          </w:tcPr>
          <w:p w14:paraId="488A62E9" w14:textId="77777777" w:rsidR="004B3C71" w:rsidRPr="004B3C71" w:rsidRDefault="004B3C71" w:rsidP="004B3C71">
            <w:pPr>
              <w:tabs>
                <w:tab w:val="clear" w:pos="567"/>
              </w:tabs>
              <w:spacing w:before="0" w:line="240" w:lineRule="auto"/>
              <w:jc w:val="center"/>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Change</w:t>
            </w:r>
          </w:p>
        </w:tc>
        <w:tc>
          <w:tcPr>
            <w:tcW w:w="4500" w:type="dxa"/>
            <w:tcBorders>
              <w:top w:val="single" w:sz="4" w:space="0" w:color="ADD6EA"/>
              <w:left w:val="nil"/>
              <w:bottom w:val="single" w:sz="4" w:space="0" w:color="ADD6EA"/>
              <w:right w:val="nil"/>
            </w:tcBorders>
            <w:shd w:val="clear" w:color="000000" w:fill="B6D5E4"/>
            <w:noWrap/>
            <w:vAlign w:val="bottom"/>
            <w:hideMark/>
          </w:tcPr>
          <w:p w14:paraId="000161DC"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Explanation</w:t>
            </w:r>
          </w:p>
        </w:tc>
      </w:tr>
      <w:tr w:rsidR="004B3C71" w:rsidRPr="004B3C71" w14:paraId="33F1BED2" w14:textId="77777777" w:rsidTr="004B3C71">
        <w:trPr>
          <w:trHeight w:val="259"/>
        </w:trPr>
        <w:tc>
          <w:tcPr>
            <w:tcW w:w="2940" w:type="dxa"/>
            <w:tcBorders>
              <w:top w:val="nil"/>
              <w:left w:val="nil"/>
              <w:bottom w:val="single" w:sz="4" w:space="0" w:color="ADD6EA"/>
              <w:right w:val="nil"/>
            </w:tcBorders>
            <w:shd w:val="clear" w:color="000000" w:fill="D6E7F0"/>
            <w:noWrap/>
            <w:vAlign w:val="bottom"/>
            <w:hideMark/>
          </w:tcPr>
          <w:p w14:paraId="268DE551"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000000" w:fill="D6E7F0"/>
            <w:noWrap/>
            <w:vAlign w:val="bottom"/>
            <w:hideMark/>
          </w:tcPr>
          <w:p w14:paraId="2CA31B02" w14:textId="77777777" w:rsidR="004B3C71" w:rsidRPr="004B3C71" w:rsidRDefault="004B3C71" w:rsidP="004B3C71">
            <w:pPr>
              <w:tabs>
                <w:tab w:val="clear" w:pos="567"/>
              </w:tabs>
              <w:spacing w:before="0" w:line="240" w:lineRule="auto"/>
              <w:jc w:val="center"/>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000000" w:fill="D6E7F0"/>
            <w:noWrap/>
            <w:vAlign w:val="bottom"/>
            <w:hideMark/>
          </w:tcPr>
          <w:p w14:paraId="084FF99E" w14:textId="77777777" w:rsidR="004B3C71" w:rsidRPr="004B3C71" w:rsidRDefault="004B3C71" w:rsidP="004B3C71">
            <w:pPr>
              <w:tabs>
                <w:tab w:val="clear" w:pos="567"/>
              </w:tabs>
              <w:spacing w:before="0" w:line="240" w:lineRule="auto"/>
              <w:jc w:val="center"/>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000000" w:fill="D6E7F0"/>
            <w:noWrap/>
            <w:vAlign w:val="bottom"/>
            <w:hideMark/>
          </w:tcPr>
          <w:p w14:paraId="7F27C65C"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 </w:t>
            </w:r>
          </w:p>
        </w:tc>
      </w:tr>
      <w:tr w:rsidR="004B3C71" w:rsidRPr="004B3C71" w14:paraId="12B66285" w14:textId="77777777" w:rsidTr="002D69AC">
        <w:trPr>
          <w:trHeight w:val="900"/>
        </w:trPr>
        <w:tc>
          <w:tcPr>
            <w:tcW w:w="2940" w:type="dxa"/>
            <w:tcBorders>
              <w:top w:val="nil"/>
              <w:left w:val="nil"/>
              <w:bottom w:val="single" w:sz="4" w:space="0" w:color="ADD6EA"/>
              <w:right w:val="nil"/>
            </w:tcBorders>
            <w:shd w:val="clear" w:color="auto" w:fill="auto"/>
            <w:hideMark/>
          </w:tcPr>
          <w:p w14:paraId="5C323A75" w14:textId="77777777"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Mining production</w:t>
            </w:r>
          </w:p>
        </w:tc>
        <w:tc>
          <w:tcPr>
            <w:tcW w:w="760" w:type="dxa"/>
            <w:tcBorders>
              <w:top w:val="nil"/>
              <w:left w:val="nil"/>
              <w:bottom w:val="single" w:sz="4" w:space="0" w:color="ADD6EA"/>
              <w:right w:val="nil"/>
            </w:tcBorders>
            <w:shd w:val="clear" w:color="auto" w:fill="ADD6EA"/>
            <w:noWrap/>
            <w:hideMark/>
          </w:tcPr>
          <w:p w14:paraId="0DF96EE0"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121</w:t>
            </w:r>
          </w:p>
        </w:tc>
        <w:tc>
          <w:tcPr>
            <w:tcW w:w="760" w:type="dxa"/>
            <w:tcBorders>
              <w:top w:val="nil"/>
              <w:left w:val="nil"/>
              <w:bottom w:val="single" w:sz="4" w:space="0" w:color="ADD6EA"/>
              <w:right w:val="nil"/>
            </w:tcBorders>
            <w:shd w:val="clear" w:color="auto" w:fill="ADD6EA"/>
            <w:noWrap/>
            <w:hideMark/>
          </w:tcPr>
          <w:p w14:paraId="351F4F15"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208</w:t>
            </w:r>
          </w:p>
        </w:tc>
        <w:tc>
          <w:tcPr>
            <w:tcW w:w="4500" w:type="dxa"/>
            <w:tcBorders>
              <w:top w:val="nil"/>
              <w:left w:val="nil"/>
              <w:bottom w:val="single" w:sz="4" w:space="0" w:color="ADD6EA"/>
              <w:right w:val="nil"/>
            </w:tcBorders>
            <w:shd w:val="clear" w:color="auto" w:fill="auto"/>
            <w:hideMark/>
          </w:tcPr>
          <w:p w14:paraId="0D29ABF4" w14:textId="0F66DCAF"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A large increase in coal prices and average coal royalty rates between 2019</w:t>
            </w:r>
            <w:r w:rsidR="00C20743">
              <w:rPr>
                <w:rFonts w:ascii="Open Sans Light" w:eastAsia="Times New Roman" w:hAnsi="Open Sans Light" w:cs="Open Sans Light"/>
                <w:szCs w:val="20"/>
                <w:lang w:eastAsia="en-AU"/>
              </w:rPr>
              <w:t>–</w:t>
            </w:r>
            <w:r w:rsidRPr="004B3C71">
              <w:rPr>
                <w:rFonts w:ascii="Open Sans Light" w:eastAsia="Times New Roman" w:hAnsi="Open Sans Light" w:cs="Open Sans Light"/>
                <w:szCs w:val="20"/>
                <w:lang w:eastAsia="en-AU"/>
              </w:rPr>
              <w:t>20 and 2022</w:t>
            </w:r>
            <w:r w:rsidR="00C20743">
              <w:rPr>
                <w:rFonts w:ascii="Open Sans Light" w:eastAsia="Times New Roman" w:hAnsi="Open Sans Light" w:cs="Open Sans Light"/>
                <w:szCs w:val="20"/>
                <w:lang w:eastAsia="en-AU"/>
              </w:rPr>
              <w:t>–</w:t>
            </w:r>
            <w:r w:rsidRPr="004B3C71">
              <w:rPr>
                <w:rFonts w:ascii="Open Sans Light" w:eastAsia="Times New Roman" w:hAnsi="Open Sans Light" w:cs="Open Sans Light"/>
                <w:szCs w:val="20"/>
                <w:lang w:eastAsia="en-AU"/>
              </w:rPr>
              <w:t>23 increased the revenue</w:t>
            </w:r>
            <w:r w:rsidR="00BD3FE5">
              <w:rPr>
                <w:rFonts w:ascii="Open Sans Light" w:eastAsia="Times New Roman" w:hAnsi="Open Sans Light" w:cs="Open Sans Light"/>
                <w:szCs w:val="20"/>
                <w:lang w:eastAsia="en-AU"/>
              </w:rPr>
              <w:t xml:space="preserve"> </w:t>
            </w:r>
            <w:r w:rsidRPr="004B3C71">
              <w:rPr>
                <w:rFonts w:ascii="Open Sans Light" w:eastAsia="Times New Roman" w:hAnsi="Open Sans Light" w:cs="Open Sans Light"/>
                <w:szCs w:val="20"/>
                <w:lang w:eastAsia="en-AU"/>
              </w:rPr>
              <w:t>raising capacity of the main coal producing states. This reduced Tasmania’s relative mining revenue capacity.</w:t>
            </w:r>
          </w:p>
        </w:tc>
      </w:tr>
      <w:tr w:rsidR="004B3C71" w:rsidRPr="004B3C71" w14:paraId="4878126B" w14:textId="77777777" w:rsidTr="002D69AC">
        <w:trPr>
          <w:trHeight w:val="1200"/>
        </w:trPr>
        <w:tc>
          <w:tcPr>
            <w:tcW w:w="2940" w:type="dxa"/>
            <w:tcBorders>
              <w:top w:val="nil"/>
              <w:left w:val="nil"/>
              <w:bottom w:val="single" w:sz="4" w:space="0" w:color="ADD6EA"/>
              <w:right w:val="nil"/>
            </w:tcBorders>
            <w:shd w:val="clear" w:color="auto" w:fill="auto"/>
            <w:hideMark/>
          </w:tcPr>
          <w:p w14:paraId="79EE489A" w14:textId="77777777"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Wage costs</w:t>
            </w:r>
          </w:p>
        </w:tc>
        <w:tc>
          <w:tcPr>
            <w:tcW w:w="760" w:type="dxa"/>
            <w:tcBorders>
              <w:top w:val="nil"/>
              <w:left w:val="nil"/>
              <w:bottom w:val="single" w:sz="4" w:space="0" w:color="ADD6EA"/>
              <w:right w:val="nil"/>
            </w:tcBorders>
            <w:shd w:val="clear" w:color="auto" w:fill="EBBFA0"/>
            <w:noWrap/>
            <w:hideMark/>
          </w:tcPr>
          <w:p w14:paraId="4564364E"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-62</w:t>
            </w:r>
          </w:p>
        </w:tc>
        <w:tc>
          <w:tcPr>
            <w:tcW w:w="760" w:type="dxa"/>
            <w:tcBorders>
              <w:top w:val="nil"/>
              <w:left w:val="nil"/>
              <w:bottom w:val="single" w:sz="4" w:space="0" w:color="ADD6EA"/>
              <w:right w:val="nil"/>
            </w:tcBorders>
            <w:shd w:val="clear" w:color="auto" w:fill="EBBFA0"/>
            <w:noWrap/>
            <w:hideMark/>
          </w:tcPr>
          <w:p w14:paraId="308419A4"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-107</w:t>
            </w:r>
          </w:p>
        </w:tc>
        <w:tc>
          <w:tcPr>
            <w:tcW w:w="4500" w:type="dxa"/>
            <w:tcBorders>
              <w:top w:val="nil"/>
              <w:left w:val="nil"/>
              <w:bottom w:val="single" w:sz="4" w:space="0" w:color="ADD6EA"/>
              <w:right w:val="nil"/>
            </w:tcBorders>
            <w:shd w:val="clear" w:color="auto" w:fill="auto"/>
            <w:hideMark/>
          </w:tcPr>
          <w:p w14:paraId="56D8711C" w14:textId="6193F5DB"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Assessed wage costs in Tasmania grew more slowly than the national average between 2019</w:t>
            </w:r>
            <w:r w:rsidR="00C20743">
              <w:rPr>
                <w:rFonts w:ascii="Open Sans Light" w:eastAsia="Times New Roman" w:hAnsi="Open Sans Light" w:cs="Open Sans Light"/>
                <w:szCs w:val="20"/>
                <w:lang w:eastAsia="en-AU"/>
              </w:rPr>
              <w:t>–</w:t>
            </w:r>
            <w:r w:rsidRPr="004B3C71">
              <w:rPr>
                <w:rFonts w:ascii="Open Sans Light" w:eastAsia="Times New Roman" w:hAnsi="Open Sans Light" w:cs="Open Sans Light"/>
                <w:szCs w:val="20"/>
                <w:lang w:eastAsia="en-AU"/>
              </w:rPr>
              <w:t>20 and 2022</w:t>
            </w:r>
            <w:r w:rsidR="00C20743">
              <w:rPr>
                <w:rFonts w:ascii="Open Sans Light" w:eastAsia="Times New Roman" w:hAnsi="Open Sans Light" w:cs="Open Sans Light"/>
                <w:szCs w:val="20"/>
                <w:lang w:eastAsia="en-AU"/>
              </w:rPr>
              <w:t>–</w:t>
            </w:r>
            <w:r w:rsidRPr="004B3C71">
              <w:rPr>
                <w:rFonts w:ascii="Open Sans Light" w:eastAsia="Times New Roman" w:hAnsi="Open Sans Light" w:cs="Open Sans Light"/>
                <w:szCs w:val="20"/>
                <w:lang w:eastAsia="en-AU"/>
              </w:rPr>
              <w:t xml:space="preserve">23, decreasing its assessed </w:t>
            </w:r>
            <w:r w:rsidR="00AE1D6F">
              <w:rPr>
                <w:rFonts w:ascii="Open Sans Light" w:eastAsia="Times New Roman" w:hAnsi="Open Sans Light" w:cs="Open Sans Light"/>
                <w:szCs w:val="20"/>
                <w:lang w:eastAsia="en-AU"/>
              </w:rPr>
              <w:t>GST needs</w:t>
            </w:r>
            <w:r w:rsidRPr="004B3C71">
              <w:rPr>
                <w:rFonts w:ascii="Open Sans Light" w:eastAsia="Times New Roman" w:hAnsi="Open Sans Light" w:cs="Open Sans Light"/>
                <w:szCs w:val="20"/>
                <w:lang w:eastAsia="en-AU"/>
              </w:rPr>
              <w:t>.</w:t>
            </w:r>
          </w:p>
        </w:tc>
      </w:tr>
      <w:tr w:rsidR="004B3C71" w:rsidRPr="004B3C71" w14:paraId="06CC5105" w14:textId="77777777" w:rsidTr="002D69AC">
        <w:trPr>
          <w:trHeight w:val="1200"/>
        </w:trPr>
        <w:tc>
          <w:tcPr>
            <w:tcW w:w="2940" w:type="dxa"/>
            <w:tcBorders>
              <w:top w:val="nil"/>
              <w:left w:val="nil"/>
              <w:bottom w:val="single" w:sz="4" w:space="0" w:color="ADD6EA"/>
              <w:right w:val="nil"/>
            </w:tcBorders>
            <w:shd w:val="clear" w:color="auto" w:fill="auto"/>
            <w:hideMark/>
          </w:tcPr>
          <w:p w14:paraId="41676525" w14:textId="77777777"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Capital improvements</w:t>
            </w:r>
          </w:p>
        </w:tc>
        <w:tc>
          <w:tcPr>
            <w:tcW w:w="760" w:type="dxa"/>
            <w:tcBorders>
              <w:top w:val="nil"/>
              <w:left w:val="nil"/>
              <w:bottom w:val="single" w:sz="4" w:space="0" w:color="ADD6EA"/>
              <w:right w:val="nil"/>
            </w:tcBorders>
            <w:shd w:val="clear" w:color="auto" w:fill="EBBFA0"/>
            <w:noWrap/>
            <w:hideMark/>
          </w:tcPr>
          <w:p w14:paraId="36A000DA"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-52</w:t>
            </w:r>
          </w:p>
        </w:tc>
        <w:tc>
          <w:tcPr>
            <w:tcW w:w="760" w:type="dxa"/>
            <w:tcBorders>
              <w:top w:val="nil"/>
              <w:left w:val="nil"/>
              <w:bottom w:val="single" w:sz="4" w:space="0" w:color="ADD6EA"/>
              <w:right w:val="nil"/>
            </w:tcBorders>
            <w:shd w:val="clear" w:color="auto" w:fill="EBBFA0"/>
            <w:noWrap/>
            <w:hideMark/>
          </w:tcPr>
          <w:p w14:paraId="334D7ED1"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-89</w:t>
            </w:r>
          </w:p>
        </w:tc>
        <w:tc>
          <w:tcPr>
            <w:tcW w:w="4500" w:type="dxa"/>
            <w:tcBorders>
              <w:top w:val="nil"/>
              <w:left w:val="nil"/>
              <w:bottom w:val="single" w:sz="4" w:space="0" w:color="ADD6EA"/>
              <w:right w:val="nil"/>
            </w:tcBorders>
            <w:shd w:val="clear" w:color="auto" w:fill="auto"/>
            <w:hideMark/>
          </w:tcPr>
          <w:p w14:paraId="3F06E6AD" w14:textId="77777777"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Strong growth in national urban transport investment reduced the relative needs of states with below-average needs for urban transport, including Tasmania.</w:t>
            </w:r>
          </w:p>
        </w:tc>
      </w:tr>
      <w:tr w:rsidR="004B3C71" w:rsidRPr="004B3C71" w14:paraId="1AC4CD87" w14:textId="77777777" w:rsidTr="002D69AC">
        <w:trPr>
          <w:trHeight w:val="900"/>
        </w:trPr>
        <w:tc>
          <w:tcPr>
            <w:tcW w:w="2940" w:type="dxa"/>
            <w:tcBorders>
              <w:top w:val="nil"/>
              <w:left w:val="nil"/>
              <w:bottom w:val="single" w:sz="4" w:space="0" w:color="ADD6EA"/>
              <w:right w:val="nil"/>
            </w:tcBorders>
            <w:shd w:val="clear" w:color="auto" w:fill="auto"/>
            <w:hideMark/>
          </w:tcPr>
          <w:p w14:paraId="674CDBF2" w14:textId="77777777"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Commonwealth payments</w:t>
            </w:r>
          </w:p>
        </w:tc>
        <w:tc>
          <w:tcPr>
            <w:tcW w:w="760" w:type="dxa"/>
            <w:tcBorders>
              <w:top w:val="nil"/>
              <w:left w:val="nil"/>
              <w:bottom w:val="single" w:sz="4" w:space="0" w:color="ADD6EA"/>
              <w:right w:val="nil"/>
            </w:tcBorders>
            <w:shd w:val="clear" w:color="auto" w:fill="EBBFA0"/>
            <w:noWrap/>
            <w:hideMark/>
          </w:tcPr>
          <w:p w14:paraId="0A9EB66C"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-36</w:t>
            </w:r>
          </w:p>
        </w:tc>
        <w:tc>
          <w:tcPr>
            <w:tcW w:w="760" w:type="dxa"/>
            <w:tcBorders>
              <w:top w:val="nil"/>
              <w:left w:val="nil"/>
              <w:bottom w:val="single" w:sz="4" w:space="0" w:color="ADD6EA"/>
              <w:right w:val="nil"/>
            </w:tcBorders>
            <w:shd w:val="clear" w:color="auto" w:fill="EBBFA0"/>
            <w:noWrap/>
            <w:hideMark/>
          </w:tcPr>
          <w:p w14:paraId="05C9091B"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-62</w:t>
            </w:r>
          </w:p>
        </w:tc>
        <w:tc>
          <w:tcPr>
            <w:tcW w:w="4500" w:type="dxa"/>
            <w:tcBorders>
              <w:top w:val="nil"/>
              <w:left w:val="nil"/>
              <w:bottom w:val="single" w:sz="4" w:space="0" w:color="ADD6EA"/>
              <w:right w:val="nil"/>
            </w:tcBorders>
            <w:shd w:val="clear" w:color="auto" w:fill="auto"/>
            <w:hideMark/>
          </w:tcPr>
          <w:p w14:paraId="0C6F094F" w14:textId="1557D6A1"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Tasmania received a greater share of assessed Commonwealth payments in 2022</w:t>
            </w:r>
            <w:r w:rsidR="00154D78">
              <w:rPr>
                <w:rFonts w:ascii="Open Sans Light" w:eastAsia="Times New Roman" w:hAnsi="Open Sans Light" w:cs="Open Sans Light"/>
                <w:szCs w:val="20"/>
                <w:lang w:eastAsia="en-AU"/>
              </w:rPr>
              <w:t>–</w:t>
            </w:r>
            <w:r w:rsidRPr="004B3C71">
              <w:rPr>
                <w:rFonts w:ascii="Open Sans Light" w:eastAsia="Times New Roman" w:hAnsi="Open Sans Light" w:cs="Open Sans Light"/>
                <w:szCs w:val="20"/>
                <w:lang w:eastAsia="en-AU"/>
              </w:rPr>
              <w:t>23 than in 2019</w:t>
            </w:r>
            <w:r w:rsidR="00154D78">
              <w:rPr>
                <w:rFonts w:ascii="Open Sans Light" w:eastAsia="Times New Roman" w:hAnsi="Open Sans Light" w:cs="Open Sans Light"/>
                <w:szCs w:val="20"/>
                <w:lang w:eastAsia="en-AU"/>
              </w:rPr>
              <w:t>–</w:t>
            </w:r>
            <w:r w:rsidRPr="004B3C71">
              <w:rPr>
                <w:rFonts w:ascii="Open Sans Light" w:eastAsia="Times New Roman" w:hAnsi="Open Sans Light" w:cs="Open Sans Light"/>
                <w:szCs w:val="20"/>
                <w:lang w:eastAsia="en-AU"/>
              </w:rPr>
              <w:t>20, reducing its assessed GST needs.</w:t>
            </w:r>
          </w:p>
        </w:tc>
      </w:tr>
      <w:tr w:rsidR="004B3C71" w:rsidRPr="004B3C71" w14:paraId="32810DB9" w14:textId="77777777" w:rsidTr="002D69AC">
        <w:trPr>
          <w:trHeight w:val="900"/>
        </w:trPr>
        <w:tc>
          <w:tcPr>
            <w:tcW w:w="2940" w:type="dxa"/>
            <w:tcBorders>
              <w:top w:val="nil"/>
              <w:left w:val="nil"/>
              <w:bottom w:val="single" w:sz="4" w:space="0" w:color="ADD6EA"/>
              <w:right w:val="nil"/>
            </w:tcBorders>
            <w:shd w:val="clear" w:color="auto" w:fill="auto"/>
            <w:hideMark/>
          </w:tcPr>
          <w:p w14:paraId="0B0D85DE" w14:textId="77777777"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Property sales</w:t>
            </w:r>
          </w:p>
        </w:tc>
        <w:tc>
          <w:tcPr>
            <w:tcW w:w="760" w:type="dxa"/>
            <w:tcBorders>
              <w:top w:val="nil"/>
              <w:left w:val="nil"/>
              <w:bottom w:val="single" w:sz="4" w:space="0" w:color="ADD6EA"/>
              <w:right w:val="nil"/>
            </w:tcBorders>
            <w:shd w:val="clear" w:color="auto" w:fill="ADD6EA"/>
            <w:noWrap/>
            <w:hideMark/>
          </w:tcPr>
          <w:p w14:paraId="20D5569D"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31</w:t>
            </w:r>
          </w:p>
        </w:tc>
        <w:tc>
          <w:tcPr>
            <w:tcW w:w="760" w:type="dxa"/>
            <w:tcBorders>
              <w:top w:val="nil"/>
              <w:left w:val="nil"/>
              <w:bottom w:val="single" w:sz="4" w:space="0" w:color="ADD6EA"/>
              <w:right w:val="nil"/>
            </w:tcBorders>
            <w:shd w:val="clear" w:color="auto" w:fill="ADD6EA"/>
            <w:noWrap/>
            <w:hideMark/>
          </w:tcPr>
          <w:p w14:paraId="33688B05"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54</w:t>
            </w:r>
          </w:p>
        </w:tc>
        <w:tc>
          <w:tcPr>
            <w:tcW w:w="4500" w:type="dxa"/>
            <w:tcBorders>
              <w:top w:val="nil"/>
              <w:left w:val="nil"/>
              <w:bottom w:val="single" w:sz="4" w:space="0" w:color="ADD6EA"/>
              <w:right w:val="nil"/>
            </w:tcBorders>
            <w:shd w:val="clear" w:color="auto" w:fill="auto"/>
            <w:hideMark/>
          </w:tcPr>
          <w:p w14:paraId="4CAA0B51" w14:textId="1BBE7DB2"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Below-average growth in property sales decreased Tasmania’s relative revenue</w:t>
            </w:r>
            <w:r w:rsidR="00BD3FE5">
              <w:rPr>
                <w:rFonts w:ascii="Open Sans Light" w:eastAsia="Times New Roman" w:hAnsi="Open Sans Light" w:cs="Open Sans Light"/>
                <w:szCs w:val="20"/>
                <w:lang w:eastAsia="en-AU"/>
              </w:rPr>
              <w:t xml:space="preserve"> </w:t>
            </w:r>
            <w:r w:rsidRPr="004B3C71">
              <w:rPr>
                <w:rFonts w:ascii="Open Sans Light" w:eastAsia="Times New Roman" w:hAnsi="Open Sans Light" w:cs="Open Sans Light"/>
                <w:szCs w:val="20"/>
                <w:lang w:eastAsia="en-AU"/>
              </w:rPr>
              <w:t>raising capacity.</w:t>
            </w:r>
          </w:p>
        </w:tc>
      </w:tr>
      <w:tr w:rsidR="004B3C71" w:rsidRPr="004B3C71" w14:paraId="44BA280C" w14:textId="77777777" w:rsidTr="004B3C71">
        <w:trPr>
          <w:trHeight w:val="375"/>
        </w:trPr>
        <w:tc>
          <w:tcPr>
            <w:tcW w:w="2940" w:type="dxa"/>
            <w:tcBorders>
              <w:top w:val="nil"/>
              <w:left w:val="nil"/>
              <w:bottom w:val="single" w:sz="4" w:space="0" w:color="ADD6EA"/>
              <w:right w:val="nil"/>
            </w:tcBorders>
            <w:shd w:val="clear" w:color="000000" w:fill="006991"/>
            <w:noWrap/>
            <w:vAlign w:val="bottom"/>
            <w:hideMark/>
          </w:tcPr>
          <w:p w14:paraId="614706D7"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color w:val="FFFFFF"/>
                <w:szCs w:val="20"/>
                <w:lang w:eastAsia="en-AU"/>
              </w:rPr>
            </w:pPr>
            <w:r w:rsidRPr="004B3C71">
              <w:rPr>
                <w:rFonts w:ascii="Open Sans Semibold" w:eastAsia="Times New Roman" w:hAnsi="Open Sans Semibold" w:cs="Open Sans Semibold"/>
                <w:color w:val="FFFFFF"/>
                <w:szCs w:val="20"/>
                <w:lang w:eastAsia="en-AU"/>
              </w:rPr>
              <w:t>Revisions</w:t>
            </w:r>
          </w:p>
        </w:tc>
        <w:tc>
          <w:tcPr>
            <w:tcW w:w="760" w:type="dxa"/>
            <w:tcBorders>
              <w:top w:val="nil"/>
              <w:left w:val="nil"/>
              <w:bottom w:val="single" w:sz="4" w:space="0" w:color="ADD6EA"/>
              <w:right w:val="nil"/>
            </w:tcBorders>
            <w:shd w:val="clear" w:color="000000" w:fill="006991"/>
            <w:noWrap/>
            <w:vAlign w:val="bottom"/>
            <w:hideMark/>
          </w:tcPr>
          <w:p w14:paraId="7CDE44A9"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color w:val="FFFFFF"/>
                <w:szCs w:val="20"/>
                <w:lang w:eastAsia="en-AU"/>
              </w:rPr>
            </w:pPr>
            <w:r w:rsidRPr="004B3C71">
              <w:rPr>
                <w:rFonts w:ascii="Open Sans Semibold" w:eastAsia="Times New Roman" w:hAnsi="Open Sans Semibold" w:cs="Open Sans Semibold"/>
                <w:color w:val="FFFFFF"/>
                <w:szCs w:val="20"/>
                <w:lang w:eastAsia="en-AU"/>
              </w:rPr>
              <w:t> </w:t>
            </w:r>
          </w:p>
        </w:tc>
        <w:tc>
          <w:tcPr>
            <w:tcW w:w="760" w:type="dxa"/>
            <w:tcBorders>
              <w:top w:val="nil"/>
              <w:left w:val="nil"/>
              <w:bottom w:val="single" w:sz="4" w:space="0" w:color="ADD6EA"/>
              <w:right w:val="nil"/>
            </w:tcBorders>
            <w:shd w:val="clear" w:color="000000" w:fill="006991"/>
            <w:noWrap/>
            <w:vAlign w:val="bottom"/>
            <w:hideMark/>
          </w:tcPr>
          <w:p w14:paraId="75FD106F"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color w:val="FFFFFF"/>
                <w:szCs w:val="20"/>
                <w:lang w:eastAsia="en-AU"/>
              </w:rPr>
            </w:pPr>
            <w:r w:rsidRPr="004B3C71">
              <w:rPr>
                <w:rFonts w:ascii="Open Sans Semibold" w:eastAsia="Times New Roman" w:hAnsi="Open Sans Semibold" w:cs="Open Sans Semibold"/>
                <w:color w:val="FFFFFF"/>
                <w:szCs w:val="20"/>
                <w:lang w:eastAsia="en-AU"/>
              </w:rPr>
              <w:t> </w:t>
            </w:r>
          </w:p>
        </w:tc>
        <w:tc>
          <w:tcPr>
            <w:tcW w:w="4500" w:type="dxa"/>
            <w:tcBorders>
              <w:top w:val="nil"/>
              <w:left w:val="nil"/>
              <w:bottom w:val="single" w:sz="4" w:space="0" w:color="ADD6EA"/>
              <w:right w:val="nil"/>
            </w:tcBorders>
            <w:shd w:val="clear" w:color="000000" w:fill="006991"/>
            <w:noWrap/>
            <w:vAlign w:val="bottom"/>
            <w:hideMark/>
          </w:tcPr>
          <w:p w14:paraId="086C7B12"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color w:val="FFFFFF"/>
                <w:szCs w:val="20"/>
                <w:lang w:eastAsia="en-AU"/>
              </w:rPr>
            </w:pPr>
            <w:r w:rsidRPr="004B3C71">
              <w:rPr>
                <w:rFonts w:ascii="Open Sans Semibold" w:eastAsia="Times New Roman" w:hAnsi="Open Sans Semibold" w:cs="Open Sans Semibold"/>
                <w:color w:val="FFFFFF"/>
                <w:szCs w:val="20"/>
                <w:lang w:eastAsia="en-AU"/>
              </w:rPr>
              <w:t> </w:t>
            </w:r>
          </w:p>
        </w:tc>
      </w:tr>
      <w:tr w:rsidR="004B3C71" w:rsidRPr="004B3C71" w14:paraId="30C9C2B1" w14:textId="77777777" w:rsidTr="000D0465">
        <w:trPr>
          <w:trHeight w:val="304"/>
        </w:trPr>
        <w:tc>
          <w:tcPr>
            <w:tcW w:w="2940" w:type="dxa"/>
            <w:tcBorders>
              <w:top w:val="nil"/>
              <w:left w:val="nil"/>
              <w:bottom w:val="single" w:sz="4" w:space="0" w:color="ADD6EA"/>
              <w:right w:val="nil"/>
            </w:tcBorders>
            <w:shd w:val="clear" w:color="000000" w:fill="B6D5E4"/>
            <w:noWrap/>
            <w:vAlign w:val="bottom"/>
            <w:hideMark/>
          </w:tcPr>
          <w:p w14:paraId="349F2B47"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000000" w:fill="B6D5E4"/>
            <w:noWrap/>
            <w:vAlign w:val="bottom"/>
            <w:hideMark/>
          </w:tcPr>
          <w:p w14:paraId="594C113E" w14:textId="77777777" w:rsidR="004B3C71" w:rsidRPr="004B3C71" w:rsidRDefault="004B3C71" w:rsidP="004B3C71">
            <w:pPr>
              <w:tabs>
                <w:tab w:val="clear" w:pos="567"/>
              </w:tabs>
              <w:spacing w:before="0" w:line="240" w:lineRule="auto"/>
              <w:jc w:val="center"/>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Change</w:t>
            </w:r>
          </w:p>
        </w:tc>
        <w:tc>
          <w:tcPr>
            <w:tcW w:w="4500" w:type="dxa"/>
            <w:tcBorders>
              <w:top w:val="nil"/>
              <w:left w:val="nil"/>
              <w:bottom w:val="single" w:sz="4" w:space="0" w:color="ADD6EA"/>
              <w:right w:val="nil"/>
            </w:tcBorders>
            <w:shd w:val="clear" w:color="000000" w:fill="B6D5E4"/>
            <w:noWrap/>
            <w:vAlign w:val="bottom"/>
            <w:hideMark/>
          </w:tcPr>
          <w:p w14:paraId="563E582E"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Explanation</w:t>
            </w:r>
          </w:p>
        </w:tc>
      </w:tr>
      <w:tr w:rsidR="004B3C71" w:rsidRPr="004B3C71" w14:paraId="5BB5D862" w14:textId="77777777" w:rsidTr="004B3C71">
        <w:trPr>
          <w:trHeight w:val="259"/>
        </w:trPr>
        <w:tc>
          <w:tcPr>
            <w:tcW w:w="2940" w:type="dxa"/>
            <w:tcBorders>
              <w:top w:val="nil"/>
              <w:left w:val="nil"/>
              <w:bottom w:val="single" w:sz="4" w:space="0" w:color="ADD6EA"/>
              <w:right w:val="nil"/>
            </w:tcBorders>
            <w:shd w:val="clear" w:color="000000" w:fill="D6E7F0"/>
            <w:noWrap/>
            <w:vAlign w:val="bottom"/>
            <w:hideMark/>
          </w:tcPr>
          <w:p w14:paraId="473EBBF2"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000000" w:fill="D6E7F0"/>
            <w:noWrap/>
            <w:vAlign w:val="bottom"/>
            <w:hideMark/>
          </w:tcPr>
          <w:p w14:paraId="4CBCFCDE" w14:textId="77777777" w:rsidR="004B3C71" w:rsidRPr="004B3C71" w:rsidRDefault="004B3C71" w:rsidP="004B3C71">
            <w:pPr>
              <w:tabs>
                <w:tab w:val="clear" w:pos="567"/>
              </w:tabs>
              <w:spacing w:before="0" w:line="240" w:lineRule="auto"/>
              <w:jc w:val="center"/>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000000" w:fill="D6E7F0"/>
            <w:noWrap/>
            <w:vAlign w:val="bottom"/>
            <w:hideMark/>
          </w:tcPr>
          <w:p w14:paraId="093DB535" w14:textId="77777777" w:rsidR="004B3C71" w:rsidRPr="004B3C71" w:rsidRDefault="004B3C71" w:rsidP="004B3C71">
            <w:pPr>
              <w:tabs>
                <w:tab w:val="clear" w:pos="567"/>
              </w:tabs>
              <w:spacing w:before="0" w:line="240" w:lineRule="auto"/>
              <w:jc w:val="center"/>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000000" w:fill="D6E7F0"/>
            <w:noWrap/>
            <w:vAlign w:val="bottom"/>
            <w:hideMark/>
          </w:tcPr>
          <w:p w14:paraId="1F5D5C97" w14:textId="77777777" w:rsidR="004B3C71" w:rsidRPr="004B3C71" w:rsidRDefault="004B3C71" w:rsidP="004B3C71">
            <w:pPr>
              <w:tabs>
                <w:tab w:val="clear" w:pos="567"/>
              </w:tabs>
              <w:spacing w:before="0" w:line="240" w:lineRule="auto"/>
              <w:rPr>
                <w:rFonts w:ascii="Open Sans Semibold" w:eastAsia="Times New Roman" w:hAnsi="Open Sans Semibold" w:cs="Open Sans Semibold"/>
                <w:szCs w:val="20"/>
                <w:lang w:eastAsia="en-AU"/>
              </w:rPr>
            </w:pPr>
            <w:r w:rsidRPr="004B3C71">
              <w:rPr>
                <w:rFonts w:ascii="Open Sans Semibold" w:eastAsia="Times New Roman" w:hAnsi="Open Sans Semibold" w:cs="Open Sans Semibold"/>
                <w:szCs w:val="20"/>
                <w:lang w:eastAsia="en-AU"/>
              </w:rPr>
              <w:t> </w:t>
            </w:r>
          </w:p>
        </w:tc>
      </w:tr>
      <w:tr w:rsidR="004B3C71" w:rsidRPr="004B3C71" w14:paraId="54E03489" w14:textId="77777777" w:rsidTr="002D69AC">
        <w:trPr>
          <w:trHeight w:val="1500"/>
        </w:trPr>
        <w:tc>
          <w:tcPr>
            <w:tcW w:w="2940" w:type="dxa"/>
            <w:tcBorders>
              <w:top w:val="nil"/>
              <w:left w:val="nil"/>
              <w:bottom w:val="single" w:sz="4" w:space="0" w:color="ADD6EA"/>
              <w:right w:val="nil"/>
            </w:tcBorders>
            <w:shd w:val="clear" w:color="auto" w:fill="auto"/>
            <w:hideMark/>
          </w:tcPr>
          <w:p w14:paraId="6A3B0509" w14:textId="5801F646" w:rsidR="004B3C71" w:rsidRPr="004B3C71" w:rsidRDefault="000840BA" w:rsidP="004B3C71">
            <w:pPr>
              <w:tabs>
                <w:tab w:val="clear" w:pos="567"/>
              </w:tabs>
              <w:spacing w:before="0" w:line="240" w:lineRule="auto"/>
              <w:rPr>
                <w:rFonts w:ascii="Open Sans Light" w:eastAsia="Times New Roman" w:hAnsi="Open Sans Light" w:cs="Open Sans Light"/>
                <w:szCs w:val="20"/>
                <w:lang w:eastAsia="en-AU"/>
              </w:rPr>
            </w:pPr>
            <w:r>
              <w:rPr>
                <w:rFonts w:ascii="Open Sans Light" w:eastAsia="Times New Roman" w:hAnsi="Open Sans Light" w:cs="Open Sans Light"/>
                <w:szCs w:val="20"/>
                <w:lang w:eastAsia="en-AU"/>
              </w:rPr>
              <w:t>Census – socio-demographic composition data</w:t>
            </w:r>
          </w:p>
        </w:tc>
        <w:tc>
          <w:tcPr>
            <w:tcW w:w="760" w:type="dxa"/>
            <w:tcBorders>
              <w:top w:val="nil"/>
              <w:left w:val="nil"/>
              <w:bottom w:val="single" w:sz="4" w:space="0" w:color="ADD6EA"/>
              <w:right w:val="nil"/>
            </w:tcBorders>
            <w:shd w:val="clear" w:color="auto" w:fill="ADD6EA"/>
            <w:noWrap/>
            <w:hideMark/>
          </w:tcPr>
          <w:p w14:paraId="753D1783"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49</w:t>
            </w:r>
          </w:p>
        </w:tc>
        <w:tc>
          <w:tcPr>
            <w:tcW w:w="760" w:type="dxa"/>
            <w:tcBorders>
              <w:top w:val="nil"/>
              <w:left w:val="nil"/>
              <w:bottom w:val="single" w:sz="4" w:space="0" w:color="ADD6EA"/>
              <w:right w:val="nil"/>
            </w:tcBorders>
            <w:shd w:val="clear" w:color="auto" w:fill="ADD6EA"/>
            <w:noWrap/>
            <w:hideMark/>
          </w:tcPr>
          <w:p w14:paraId="43BBF659"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85</w:t>
            </w:r>
          </w:p>
        </w:tc>
        <w:tc>
          <w:tcPr>
            <w:tcW w:w="4500" w:type="dxa"/>
            <w:tcBorders>
              <w:top w:val="nil"/>
              <w:left w:val="nil"/>
              <w:bottom w:val="single" w:sz="4" w:space="0" w:color="ADD6EA"/>
              <w:right w:val="nil"/>
            </w:tcBorders>
            <w:shd w:val="clear" w:color="auto" w:fill="auto"/>
            <w:hideMark/>
          </w:tcPr>
          <w:p w14:paraId="1CE6949E" w14:textId="77777777"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Incorporating 2021 Census data resulted in upward revisions to Tasmania’s share of people living in more remote areas, increasing its assessed needs for health services and infrastructure.</w:t>
            </w:r>
          </w:p>
        </w:tc>
      </w:tr>
      <w:tr w:rsidR="004B3C71" w:rsidRPr="004B3C71" w14:paraId="17AF37D4" w14:textId="77777777" w:rsidTr="002D69AC">
        <w:trPr>
          <w:trHeight w:val="900"/>
        </w:trPr>
        <w:tc>
          <w:tcPr>
            <w:tcW w:w="2940" w:type="dxa"/>
            <w:tcBorders>
              <w:top w:val="nil"/>
              <w:left w:val="nil"/>
              <w:bottom w:val="single" w:sz="4" w:space="0" w:color="ADD6EA"/>
              <w:right w:val="nil"/>
            </w:tcBorders>
            <w:shd w:val="clear" w:color="auto" w:fill="auto"/>
            <w:hideMark/>
          </w:tcPr>
          <w:p w14:paraId="384C3C05" w14:textId="77777777"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Population growth</w:t>
            </w:r>
          </w:p>
        </w:tc>
        <w:tc>
          <w:tcPr>
            <w:tcW w:w="760" w:type="dxa"/>
            <w:tcBorders>
              <w:top w:val="nil"/>
              <w:left w:val="nil"/>
              <w:bottom w:val="single" w:sz="4" w:space="0" w:color="ADD6EA"/>
              <w:right w:val="nil"/>
            </w:tcBorders>
            <w:shd w:val="clear" w:color="auto" w:fill="ADD6EA"/>
            <w:noWrap/>
            <w:hideMark/>
          </w:tcPr>
          <w:p w14:paraId="5FA753E5"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34</w:t>
            </w:r>
          </w:p>
        </w:tc>
        <w:tc>
          <w:tcPr>
            <w:tcW w:w="760" w:type="dxa"/>
            <w:tcBorders>
              <w:top w:val="nil"/>
              <w:left w:val="nil"/>
              <w:bottom w:val="single" w:sz="4" w:space="0" w:color="ADD6EA"/>
              <w:right w:val="nil"/>
            </w:tcBorders>
            <w:shd w:val="clear" w:color="auto" w:fill="ADD6EA"/>
            <w:noWrap/>
            <w:hideMark/>
          </w:tcPr>
          <w:p w14:paraId="314A6E5B" w14:textId="77777777" w:rsidR="004B3C71" w:rsidRPr="004B3C71" w:rsidRDefault="004B3C71" w:rsidP="004B3C71">
            <w:pPr>
              <w:tabs>
                <w:tab w:val="clear" w:pos="567"/>
              </w:tabs>
              <w:spacing w:before="0" w:line="240" w:lineRule="auto"/>
              <w:jc w:val="center"/>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59</w:t>
            </w:r>
          </w:p>
        </w:tc>
        <w:tc>
          <w:tcPr>
            <w:tcW w:w="4500" w:type="dxa"/>
            <w:tcBorders>
              <w:top w:val="nil"/>
              <w:left w:val="nil"/>
              <w:bottom w:val="single" w:sz="4" w:space="0" w:color="ADD6EA"/>
              <w:right w:val="nil"/>
            </w:tcBorders>
            <w:shd w:val="clear" w:color="auto" w:fill="auto"/>
            <w:hideMark/>
          </w:tcPr>
          <w:p w14:paraId="0F785DB2" w14:textId="77777777" w:rsidR="004B3C71" w:rsidRPr="004B3C71" w:rsidRDefault="004B3C71" w:rsidP="004B3C71">
            <w:pPr>
              <w:tabs>
                <w:tab w:val="clear" w:pos="567"/>
              </w:tabs>
              <w:spacing w:before="0" w:line="240" w:lineRule="auto"/>
              <w:rPr>
                <w:rFonts w:ascii="Open Sans Light" w:eastAsia="Times New Roman" w:hAnsi="Open Sans Light" w:cs="Open Sans Light"/>
                <w:szCs w:val="20"/>
                <w:lang w:eastAsia="en-AU"/>
              </w:rPr>
            </w:pPr>
            <w:r w:rsidRPr="004B3C71">
              <w:rPr>
                <w:rFonts w:ascii="Open Sans Light" w:eastAsia="Times New Roman" w:hAnsi="Open Sans Light" w:cs="Open Sans Light"/>
                <w:szCs w:val="20"/>
                <w:lang w:eastAsia="en-AU"/>
              </w:rPr>
              <w:t xml:space="preserve">There was an upward revision to growth in Tasmania’s health user population, increasing its assessed need for health investment. </w:t>
            </w:r>
          </w:p>
        </w:tc>
      </w:tr>
    </w:tbl>
    <w:p w14:paraId="5EF0A27A" w14:textId="77777777" w:rsidR="008D1228" w:rsidRDefault="008D1228" w:rsidP="008D1228">
      <w:pPr>
        <w:pStyle w:val="CGCTablenote"/>
      </w:pPr>
      <w:r w:rsidRPr="00754E2C">
        <w:t>Source: Commission calculation.</w:t>
      </w:r>
    </w:p>
    <w:p w14:paraId="1E4691CD" w14:textId="3C1A7B15" w:rsidR="008D1228" w:rsidRPr="00754E2C" w:rsidRDefault="008D1228" w:rsidP="008D1228">
      <w:pPr>
        <w:pStyle w:val="CGCTablenote"/>
        <w:rPr>
          <w:highlight w:val="yellow"/>
        </w:rPr>
      </w:pPr>
      <w:r w:rsidRPr="00754E2C">
        <w:br w:type="page"/>
      </w:r>
    </w:p>
    <w:p w14:paraId="421CE6F9" w14:textId="2253BE32" w:rsidR="0090045B" w:rsidRPr="00E87042" w:rsidRDefault="00230B2D" w:rsidP="00256084">
      <w:pPr>
        <w:pStyle w:val="Heading2"/>
      </w:pPr>
      <w:r w:rsidRPr="00E87042">
        <w:lastRenderedPageBreak/>
        <w:t>Australian Capital Territory</w:t>
      </w:r>
    </w:p>
    <w:p w14:paraId="5A2FD949" w14:textId="2A8A88E2" w:rsidR="00256084" w:rsidRPr="0095123E" w:rsidRDefault="00256084" w:rsidP="00256084">
      <w:r w:rsidRPr="00E87042">
        <w:t xml:space="preserve">The ACT’s share of the GST pool is estimated to remain steady at 2.1%. </w:t>
      </w:r>
      <w:proofErr w:type="gramStart"/>
      <w:r w:rsidRPr="00E87042">
        <w:t>Taking into account</w:t>
      </w:r>
      <w:proofErr w:type="gramEnd"/>
      <w:r w:rsidRPr="00E87042">
        <w:t xml:space="preserve"> </w:t>
      </w:r>
      <w:r w:rsidRPr="0095123E">
        <w:t>growth in the GST pool, the ACT’s estimated GST distribution in 2024</w:t>
      </w:r>
      <w:r w:rsidR="004E2452">
        <w:t>–</w:t>
      </w:r>
      <w:r w:rsidRPr="0095123E">
        <w:t>25 would increase by $111 million ($231 per capita), or 6.2%.</w:t>
      </w:r>
    </w:p>
    <w:p w14:paraId="78AF9FA8" w14:textId="73EBF6AB" w:rsidR="00256084" w:rsidRPr="0095123E" w:rsidRDefault="00256084" w:rsidP="00812C63">
      <w:pPr>
        <w:pStyle w:val="BulletPoints"/>
      </w:pPr>
      <w:r w:rsidRPr="0095123E">
        <w:t xml:space="preserve">The ACT’s assessed GST needs </w:t>
      </w:r>
      <w:r w:rsidR="006E5CF4" w:rsidRPr="0095123E">
        <w:t>increas</w:t>
      </w:r>
      <w:r w:rsidR="009A7224" w:rsidRPr="0095123E">
        <w:t>ed</w:t>
      </w:r>
      <w:r w:rsidRPr="0095123E">
        <w:t xml:space="preserve"> </w:t>
      </w:r>
      <w:r w:rsidR="009A7224" w:rsidRPr="0095123E">
        <w:t>largely</w:t>
      </w:r>
      <w:r w:rsidRPr="0095123E">
        <w:t xml:space="preserve"> due to:</w:t>
      </w:r>
    </w:p>
    <w:p w14:paraId="2E6109A9" w14:textId="77777777" w:rsidR="009A7224" w:rsidRPr="0095123E" w:rsidRDefault="009A7224" w:rsidP="001F4522">
      <w:pPr>
        <w:pStyle w:val="BulletPoints-Level2"/>
      </w:pPr>
      <w:r w:rsidRPr="0095123E">
        <w:t xml:space="preserve">increased capacity to raise mining revenue in coal producing </w:t>
      </w:r>
      <w:proofErr w:type="gramStart"/>
      <w:r w:rsidRPr="0095123E">
        <w:t>states</w:t>
      </w:r>
      <w:proofErr w:type="gramEnd"/>
      <w:r w:rsidRPr="0095123E">
        <w:t xml:space="preserve"> </w:t>
      </w:r>
    </w:p>
    <w:p w14:paraId="6E482F47" w14:textId="1CB4EF37" w:rsidR="00BC4360" w:rsidRPr="0095123E" w:rsidRDefault="009A7224" w:rsidP="001F4522">
      <w:pPr>
        <w:pStyle w:val="BulletPoints-Level2"/>
      </w:pPr>
      <w:r w:rsidRPr="0095123E">
        <w:t>revisions to urban population data from the latest 2021 Census release</w:t>
      </w:r>
      <w:r w:rsidR="008154BA" w:rsidRPr="0095123E">
        <w:t>.</w:t>
      </w:r>
    </w:p>
    <w:p w14:paraId="65B3B935" w14:textId="110DDB73" w:rsidR="00256084" w:rsidRPr="0095123E" w:rsidRDefault="0066433A" w:rsidP="004B3CA7">
      <w:pPr>
        <w:pStyle w:val="BulletPoints"/>
      </w:pPr>
      <w:r w:rsidRPr="0095123E">
        <w:t>The ACT’s increase in</w:t>
      </w:r>
      <w:r w:rsidR="00722293">
        <w:t xml:space="preserve"> assessed</w:t>
      </w:r>
      <w:r w:rsidRPr="0095123E">
        <w:t xml:space="preserve"> GST needs was</w:t>
      </w:r>
      <w:r w:rsidR="009A7224" w:rsidRPr="0095123E">
        <w:t xml:space="preserve"> partly offset by </w:t>
      </w:r>
      <w:r w:rsidR="00256084" w:rsidRPr="0095123E">
        <w:t>above-average growth in property sales</w:t>
      </w:r>
      <w:r w:rsidR="009A7224" w:rsidRPr="0095123E">
        <w:t xml:space="preserve">, </w:t>
      </w:r>
      <w:r w:rsidR="00256084" w:rsidRPr="0095123E">
        <w:t>below-average wage costs growth</w:t>
      </w:r>
      <w:r w:rsidR="009A7224" w:rsidRPr="0095123E">
        <w:t xml:space="preserve">, </w:t>
      </w:r>
      <w:r w:rsidR="00256084" w:rsidRPr="0095123E">
        <w:t>below-average population growth</w:t>
      </w:r>
      <w:r w:rsidR="009A7224" w:rsidRPr="0095123E">
        <w:t xml:space="preserve">, </w:t>
      </w:r>
      <w:r w:rsidR="00256084" w:rsidRPr="0095123E">
        <w:t>slow growth in administrative scale expenses relative to the GST pool</w:t>
      </w:r>
      <w:r w:rsidR="009A7224" w:rsidRPr="0095123E">
        <w:t xml:space="preserve"> and </w:t>
      </w:r>
      <w:r w:rsidR="00256084" w:rsidRPr="0095123E">
        <w:t>revisions to the additional costs for low</w:t>
      </w:r>
      <w:r w:rsidR="00B77CD2" w:rsidRPr="0095123E">
        <w:t xml:space="preserve"> </w:t>
      </w:r>
      <w:r w:rsidR="00256084" w:rsidRPr="0095123E">
        <w:t>socio</w:t>
      </w:r>
      <w:r w:rsidR="00B77CD2" w:rsidRPr="0095123E">
        <w:t>-</w:t>
      </w:r>
      <w:r w:rsidR="00256084" w:rsidRPr="0095123E">
        <w:t>economic status students.</w:t>
      </w:r>
    </w:p>
    <w:p w14:paraId="1990E8ED" w14:textId="77777777" w:rsidR="00256084" w:rsidRPr="00754E2C" w:rsidRDefault="00256084" w:rsidP="00812C63">
      <w:pPr>
        <w:pStyle w:val="BulletPoints"/>
      </w:pPr>
      <w:r w:rsidRPr="0095123E">
        <w:t>The ACT’s estimated GST distribution also increased due to expected growth in the GST</w:t>
      </w:r>
      <w:r w:rsidRPr="00754E2C">
        <w:t xml:space="preserve"> pool.</w:t>
      </w:r>
    </w:p>
    <w:p w14:paraId="674480FF" w14:textId="72EA15D2" w:rsidR="00256084" w:rsidRPr="00754E2C" w:rsidRDefault="00256084" w:rsidP="00812C63">
      <w:pPr>
        <w:pStyle w:val="BulletPoints"/>
      </w:pPr>
      <w:r w:rsidRPr="00754E2C">
        <w:t>Compared with 2023</w:t>
      </w:r>
      <w:r w:rsidR="00722293">
        <w:t>–</w:t>
      </w:r>
      <w:r w:rsidRPr="00754E2C">
        <w:t>24, blended relativities and the GST floor resulted in a reduction ($6 million) in the ACT’s GST distribution.</w:t>
      </w:r>
    </w:p>
    <w:p w14:paraId="4A15999E" w14:textId="061A7252" w:rsidR="00256084" w:rsidRPr="00754E2C" w:rsidRDefault="00256084" w:rsidP="00812C63">
      <w:pPr>
        <w:pStyle w:val="CGCTableHead"/>
        <w:ind w:left="1440" w:hanging="1440"/>
      </w:pPr>
      <w:r w:rsidRPr="00754E2C">
        <w:t>Table 3-7</w:t>
      </w:r>
      <w:r w:rsidRPr="00754E2C">
        <w:tab/>
        <w:t>Change in estimated GST distribution from 2023</w:t>
      </w:r>
      <w:r w:rsidR="00722293">
        <w:t>–</w:t>
      </w:r>
      <w:r w:rsidRPr="00754E2C">
        <w:t>24 to 2024</w:t>
      </w:r>
      <w:r w:rsidR="00722293">
        <w:t>–</w:t>
      </w:r>
      <w:r w:rsidRPr="00754E2C">
        <w:t>25, ACT (excludes no worse off payments)</w:t>
      </w:r>
    </w:p>
    <w:tbl>
      <w:tblPr>
        <w:tblW w:w="8940" w:type="dxa"/>
        <w:tblLook w:val="04A0" w:firstRow="1" w:lastRow="0" w:firstColumn="1" w:lastColumn="0" w:noHBand="0" w:noVBand="1"/>
      </w:tblPr>
      <w:tblGrid>
        <w:gridCol w:w="4420"/>
        <w:gridCol w:w="2200"/>
        <w:gridCol w:w="2320"/>
      </w:tblGrid>
      <w:tr w:rsidR="00256084" w14:paraId="2A525D41" w14:textId="77777777" w:rsidTr="00DE17BB">
        <w:trPr>
          <w:trHeight w:val="375"/>
        </w:trPr>
        <w:tc>
          <w:tcPr>
            <w:tcW w:w="4420" w:type="dxa"/>
            <w:tcBorders>
              <w:top w:val="nil"/>
              <w:left w:val="nil"/>
              <w:bottom w:val="single" w:sz="4" w:space="0" w:color="ADD6EA"/>
              <w:right w:val="nil"/>
            </w:tcBorders>
            <w:shd w:val="clear" w:color="000000" w:fill="006991"/>
            <w:noWrap/>
            <w:vAlign w:val="center"/>
            <w:hideMark/>
          </w:tcPr>
          <w:p w14:paraId="192F3F23" w14:textId="77777777" w:rsidR="00256084" w:rsidRPr="00DE17BB" w:rsidRDefault="00256084" w:rsidP="00DE17B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E17BB">
              <w:rPr>
                <w:rFonts w:ascii="Open Sans Semibold" w:eastAsia="Times New Roman" w:hAnsi="Open Sans Semibold" w:cs="Open Sans Semibold"/>
                <w:color w:val="FFFFFF"/>
                <w:sz w:val="16"/>
                <w:szCs w:val="16"/>
                <w:lang w:eastAsia="en-AU"/>
              </w:rPr>
              <w:t> </w:t>
            </w:r>
          </w:p>
        </w:tc>
        <w:tc>
          <w:tcPr>
            <w:tcW w:w="2200" w:type="dxa"/>
            <w:tcBorders>
              <w:top w:val="nil"/>
              <w:left w:val="nil"/>
              <w:bottom w:val="single" w:sz="4" w:space="0" w:color="ADD6EA"/>
              <w:right w:val="nil"/>
            </w:tcBorders>
            <w:shd w:val="clear" w:color="000000" w:fill="006991"/>
            <w:noWrap/>
            <w:vAlign w:val="center"/>
            <w:hideMark/>
          </w:tcPr>
          <w:p w14:paraId="4495F20A" w14:textId="77777777" w:rsidR="00256084" w:rsidRPr="00DE17BB" w:rsidRDefault="00256084" w:rsidP="00DE17B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E17BB">
              <w:rPr>
                <w:rFonts w:ascii="Open Sans Semibold" w:eastAsia="Times New Roman" w:hAnsi="Open Sans Semibold" w:cs="Open Sans Semibold"/>
                <w:color w:val="FFFFFF"/>
                <w:sz w:val="16"/>
                <w:szCs w:val="16"/>
                <w:lang w:eastAsia="en-AU"/>
              </w:rPr>
              <w:t>$m</w:t>
            </w:r>
          </w:p>
        </w:tc>
        <w:tc>
          <w:tcPr>
            <w:tcW w:w="2320" w:type="dxa"/>
            <w:tcBorders>
              <w:top w:val="nil"/>
              <w:left w:val="nil"/>
              <w:bottom w:val="single" w:sz="4" w:space="0" w:color="ADD6EA"/>
              <w:right w:val="nil"/>
            </w:tcBorders>
            <w:shd w:val="clear" w:color="000000" w:fill="006991"/>
            <w:noWrap/>
            <w:vAlign w:val="center"/>
            <w:hideMark/>
          </w:tcPr>
          <w:p w14:paraId="477338AF" w14:textId="77777777" w:rsidR="00256084" w:rsidRPr="00DE17BB" w:rsidRDefault="00256084" w:rsidP="00DE17BB">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DE17BB">
              <w:rPr>
                <w:rFonts w:ascii="Open Sans Semibold" w:eastAsia="Times New Roman" w:hAnsi="Open Sans Semibold" w:cs="Open Sans Semibold"/>
                <w:color w:val="FFFFFF"/>
                <w:sz w:val="16"/>
                <w:szCs w:val="16"/>
                <w:lang w:eastAsia="en-AU"/>
              </w:rPr>
              <w:t>$pc</w:t>
            </w:r>
          </w:p>
        </w:tc>
      </w:tr>
      <w:tr w:rsidR="00256084" w14:paraId="0456A580" w14:textId="77777777" w:rsidTr="00DE17BB">
        <w:trPr>
          <w:trHeight w:val="315"/>
        </w:trPr>
        <w:tc>
          <w:tcPr>
            <w:tcW w:w="4420" w:type="dxa"/>
            <w:tcBorders>
              <w:top w:val="nil"/>
              <w:left w:val="nil"/>
              <w:bottom w:val="single" w:sz="4" w:space="0" w:color="ADD6EA"/>
              <w:right w:val="nil"/>
            </w:tcBorders>
            <w:shd w:val="clear" w:color="auto" w:fill="auto"/>
            <w:noWrap/>
            <w:vAlign w:val="bottom"/>
            <w:hideMark/>
          </w:tcPr>
          <w:p w14:paraId="34D04BA0" w14:textId="77777777" w:rsidR="00256084" w:rsidRPr="00200AAE" w:rsidRDefault="00256084" w:rsidP="00DE17BB">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Change in </w:t>
            </w:r>
            <w:r w:rsidRPr="00200AAE">
              <w:rPr>
                <w:rFonts w:ascii="Open Sans Light" w:eastAsia="Times New Roman" w:hAnsi="Open Sans Light" w:cs="Open Sans Light"/>
                <w:color w:val="000000"/>
                <w:sz w:val="16"/>
                <w:szCs w:val="16"/>
                <w:lang w:eastAsia="en-AU"/>
              </w:rPr>
              <w:t>population</w:t>
            </w:r>
          </w:p>
        </w:tc>
        <w:tc>
          <w:tcPr>
            <w:tcW w:w="2200" w:type="dxa"/>
            <w:tcBorders>
              <w:top w:val="nil"/>
              <w:left w:val="nil"/>
              <w:bottom w:val="single" w:sz="4" w:space="0" w:color="ADD6EA"/>
              <w:right w:val="nil"/>
            </w:tcBorders>
            <w:shd w:val="clear" w:color="auto" w:fill="auto"/>
            <w:noWrap/>
            <w:vAlign w:val="bottom"/>
            <w:hideMark/>
          </w:tcPr>
          <w:p w14:paraId="35F1F7C4"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3</w:t>
            </w:r>
          </w:p>
        </w:tc>
        <w:tc>
          <w:tcPr>
            <w:tcW w:w="2320" w:type="dxa"/>
            <w:tcBorders>
              <w:top w:val="nil"/>
              <w:left w:val="nil"/>
              <w:bottom w:val="single" w:sz="4" w:space="0" w:color="ADD6EA"/>
              <w:right w:val="nil"/>
            </w:tcBorders>
            <w:shd w:val="clear" w:color="auto" w:fill="auto"/>
            <w:noWrap/>
            <w:vAlign w:val="bottom"/>
            <w:hideMark/>
          </w:tcPr>
          <w:p w14:paraId="1EBAEE5A"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5</w:t>
            </w:r>
          </w:p>
        </w:tc>
      </w:tr>
      <w:tr w:rsidR="00256084" w14:paraId="47C61A4C" w14:textId="77777777" w:rsidTr="00DE17BB">
        <w:trPr>
          <w:trHeight w:val="315"/>
        </w:trPr>
        <w:tc>
          <w:tcPr>
            <w:tcW w:w="4420" w:type="dxa"/>
            <w:tcBorders>
              <w:top w:val="nil"/>
              <w:left w:val="nil"/>
              <w:bottom w:val="single" w:sz="4" w:space="0" w:color="ADD6EA"/>
              <w:right w:val="nil"/>
            </w:tcBorders>
            <w:shd w:val="clear" w:color="auto" w:fill="auto"/>
            <w:noWrap/>
            <w:vAlign w:val="bottom"/>
            <w:hideMark/>
          </w:tcPr>
          <w:p w14:paraId="0B17D8D3" w14:textId="77777777" w:rsidR="00256084" w:rsidRPr="00200AAE" w:rsidRDefault="00256084" w:rsidP="00DE17BB">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Growth in GST pool </w:t>
            </w:r>
          </w:p>
        </w:tc>
        <w:tc>
          <w:tcPr>
            <w:tcW w:w="2200" w:type="dxa"/>
            <w:tcBorders>
              <w:top w:val="nil"/>
              <w:left w:val="nil"/>
              <w:bottom w:val="single" w:sz="4" w:space="0" w:color="ADD6EA"/>
              <w:right w:val="nil"/>
            </w:tcBorders>
            <w:shd w:val="clear" w:color="auto" w:fill="auto"/>
            <w:noWrap/>
            <w:vAlign w:val="bottom"/>
            <w:hideMark/>
          </w:tcPr>
          <w:p w14:paraId="2CE5C868"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101</w:t>
            </w:r>
          </w:p>
        </w:tc>
        <w:tc>
          <w:tcPr>
            <w:tcW w:w="2320" w:type="dxa"/>
            <w:tcBorders>
              <w:top w:val="nil"/>
              <w:left w:val="nil"/>
              <w:bottom w:val="single" w:sz="4" w:space="0" w:color="ADD6EA"/>
              <w:right w:val="nil"/>
            </w:tcBorders>
            <w:shd w:val="clear" w:color="auto" w:fill="auto"/>
            <w:noWrap/>
            <w:vAlign w:val="bottom"/>
            <w:hideMark/>
          </w:tcPr>
          <w:p w14:paraId="064608A3"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210</w:t>
            </w:r>
          </w:p>
        </w:tc>
      </w:tr>
      <w:tr w:rsidR="00256084" w14:paraId="02C651EB" w14:textId="77777777" w:rsidTr="00DE17BB">
        <w:trPr>
          <w:trHeight w:val="315"/>
        </w:trPr>
        <w:tc>
          <w:tcPr>
            <w:tcW w:w="4420" w:type="dxa"/>
            <w:tcBorders>
              <w:top w:val="nil"/>
              <w:left w:val="nil"/>
              <w:bottom w:val="single" w:sz="4" w:space="0" w:color="ADD6EA"/>
              <w:right w:val="nil"/>
            </w:tcBorders>
            <w:shd w:val="clear" w:color="auto" w:fill="auto"/>
            <w:noWrap/>
            <w:vAlign w:val="bottom"/>
            <w:hideMark/>
          </w:tcPr>
          <w:p w14:paraId="15EBC195" w14:textId="77777777" w:rsidR="00256084" w:rsidRPr="00200AAE" w:rsidRDefault="00256084" w:rsidP="00DE17BB">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Changes in assessed GST needs</w:t>
            </w:r>
          </w:p>
        </w:tc>
        <w:tc>
          <w:tcPr>
            <w:tcW w:w="2200" w:type="dxa"/>
            <w:tcBorders>
              <w:top w:val="nil"/>
              <w:left w:val="nil"/>
              <w:bottom w:val="single" w:sz="4" w:space="0" w:color="ADD6EA"/>
              <w:right w:val="nil"/>
            </w:tcBorders>
            <w:shd w:val="clear" w:color="auto" w:fill="auto"/>
            <w:noWrap/>
            <w:vAlign w:val="bottom"/>
            <w:hideMark/>
          </w:tcPr>
          <w:p w14:paraId="106E4128"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w:t>
            </w:r>
          </w:p>
        </w:tc>
        <w:tc>
          <w:tcPr>
            <w:tcW w:w="2320" w:type="dxa"/>
            <w:tcBorders>
              <w:top w:val="nil"/>
              <w:left w:val="nil"/>
              <w:bottom w:val="single" w:sz="4" w:space="0" w:color="ADD6EA"/>
              <w:right w:val="nil"/>
            </w:tcBorders>
            <w:shd w:val="clear" w:color="auto" w:fill="auto"/>
            <w:noWrap/>
            <w:vAlign w:val="bottom"/>
            <w:hideMark/>
          </w:tcPr>
          <w:p w14:paraId="70C64EB4"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w:t>
            </w:r>
          </w:p>
        </w:tc>
      </w:tr>
      <w:tr w:rsidR="00256084" w14:paraId="04C642F6" w14:textId="77777777" w:rsidTr="00DE17BB">
        <w:trPr>
          <w:trHeight w:val="315"/>
        </w:trPr>
        <w:tc>
          <w:tcPr>
            <w:tcW w:w="4420" w:type="dxa"/>
            <w:tcBorders>
              <w:top w:val="nil"/>
              <w:left w:val="nil"/>
              <w:bottom w:val="single" w:sz="4" w:space="0" w:color="ADD6EA"/>
              <w:right w:val="nil"/>
            </w:tcBorders>
            <w:shd w:val="clear" w:color="auto" w:fill="auto"/>
            <w:noWrap/>
            <w:vAlign w:val="bottom"/>
            <w:hideMark/>
          </w:tcPr>
          <w:p w14:paraId="0D416809" w14:textId="72307A90" w:rsidR="00256084" w:rsidRPr="00200AAE" w:rsidRDefault="00256084" w:rsidP="00DE17BB">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Revised populations from </w:t>
            </w:r>
            <w:r w:rsidR="00A536AB" w:rsidRPr="00200AAE">
              <w:rPr>
                <w:rFonts w:ascii="Open Sans Light" w:eastAsia="Times New Roman" w:hAnsi="Open Sans Light" w:cs="Open Sans Light"/>
                <w:sz w:val="16"/>
                <w:szCs w:val="16"/>
                <w:lang w:eastAsia="en-AU"/>
              </w:rPr>
              <w:t>C</w:t>
            </w:r>
            <w:r w:rsidRPr="00200AAE">
              <w:rPr>
                <w:rFonts w:ascii="Open Sans Light" w:eastAsia="Times New Roman" w:hAnsi="Open Sans Light" w:cs="Open Sans Light"/>
                <w:sz w:val="16"/>
                <w:szCs w:val="16"/>
                <w:lang w:eastAsia="en-AU"/>
              </w:rPr>
              <w:t>ensus</w:t>
            </w:r>
          </w:p>
        </w:tc>
        <w:tc>
          <w:tcPr>
            <w:tcW w:w="2200" w:type="dxa"/>
            <w:tcBorders>
              <w:top w:val="nil"/>
              <w:left w:val="nil"/>
              <w:bottom w:val="single" w:sz="4" w:space="0" w:color="ADD6EA"/>
              <w:right w:val="nil"/>
            </w:tcBorders>
            <w:shd w:val="clear" w:color="auto" w:fill="auto"/>
            <w:noWrap/>
            <w:vAlign w:val="bottom"/>
            <w:hideMark/>
          </w:tcPr>
          <w:p w14:paraId="2140D593"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47</w:t>
            </w:r>
          </w:p>
        </w:tc>
        <w:tc>
          <w:tcPr>
            <w:tcW w:w="2320" w:type="dxa"/>
            <w:tcBorders>
              <w:top w:val="nil"/>
              <w:left w:val="nil"/>
              <w:bottom w:val="single" w:sz="4" w:space="0" w:color="ADD6EA"/>
              <w:right w:val="nil"/>
            </w:tcBorders>
            <w:shd w:val="clear" w:color="auto" w:fill="auto"/>
            <w:noWrap/>
            <w:vAlign w:val="bottom"/>
            <w:hideMark/>
          </w:tcPr>
          <w:p w14:paraId="4F4E2AA1"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97</w:t>
            </w:r>
          </w:p>
        </w:tc>
      </w:tr>
      <w:tr w:rsidR="00256084" w14:paraId="65E5A754" w14:textId="77777777" w:rsidTr="00DE17BB">
        <w:trPr>
          <w:trHeight w:val="315"/>
        </w:trPr>
        <w:tc>
          <w:tcPr>
            <w:tcW w:w="4420" w:type="dxa"/>
            <w:tcBorders>
              <w:top w:val="nil"/>
              <w:left w:val="nil"/>
              <w:bottom w:val="single" w:sz="4" w:space="0" w:color="ADD6EA"/>
              <w:right w:val="nil"/>
            </w:tcBorders>
            <w:shd w:val="clear" w:color="auto" w:fill="auto"/>
            <w:noWrap/>
            <w:vAlign w:val="bottom"/>
            <w:hideMark/>
          </w:tcPr>
          <w:p w14:paraId="450398B4" w14:textId="77777777" w:rsidR="00256084" w:rsidRPr="00200AAE" w:rsidRDefault="00256084" w:rsidP="00DE17BB">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Other data revisions</w:t>
            </w:r>
          </w:p>
        </w:tc>
        <w:tc>
          <w:tcPr>
            <w:tcW w:w="2200" w:type="dxa"/>
            <w:tcBorders>
              <w:top w:val="nil"/>
              <w:left w:val="nil"/>
              <w:bottom w:val="single" w:sz="4" w:space="0" w:color="ADD6EA"/>
              <w:right w:val="nil"/>
            </w:tcBorders>
            <w:shd w:val="clear" w:color="auto" w:fill="auto"/>
            <w:noWrap/>
            <w:vAlign w:val="bottom"/>
            <w:hideMark/>
          </w:tcPr>
          <w:p w14:paraId="36061A37"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7</w:t>
            </w:r>
          </w:p>
        </w:tc>
        <w:tc>
          <w:tcPr>
            <w:tcW w:w="2320" w:type="dxa"/>
            <w:tcBorders>
              <w:top w:val="nil"/>
              <w:left w:val="nil"/>
              <w:bottom w:val="single" w:sz="4" w:space="0" w:color="ADD6EA"/>
              <w:right w:val="nil"/>
            </w:tcBorders>
            <w:shd w:val="clear" w:color="auto" w:fill="auto"/>
            <w:noWrap/>
            <w:vAlign w:val="bottom"/>
            <w:hideMark/>
          </w:tcPr>
          <w:p w14:paraId="23288E3E"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15</w:t>
            </w:r>
          </w:p>
        </w:tc>
      </w:tr>
      <w:tr w:rsidR="00256084" w14:paraId="5D672FE6" w14:textId="77777777" w:rsidTr="00DE17BB">
        <w:trPr>
          <w:trHeight w:val="315"/>
        </w:trPr>
        <w:tc>
          <w:tcPr>
            <w:tcW w:w="4420" w:type="dxa"/>
            <w:tcBorders>
              <w:top w:val="nil"/>
              <w:left w:val="nil"/>
              <w:bottom w:val="single" w:sz="4" w:space="0" w:color="ADD6EA"/>
              <w:right w:val="nil"/>
            </w:tcBorders>
            <w:shd w:val="clear" w:color="auto" w:fill="auto"/>
            <w:noWrap/>
            <w:vAlign w:val="bottom"/>
            <w:hideMark/>
          </w:tcPr>
          <w:p w14:paraId="3651344F" w14:textId="77777777" w:rsidR="00256084" w:rsidRPr="00200AAE" w:rsidRDefault="00256084" w:rsidP="00DE17BB">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State circumstances</w:t>
            </w:r>
          </w:p>
        </w:tc>
        <w:tc>
          <w:tcPr>
            <w:tcW w:w="2200" w:type="dxa"/>
            <w:tcBorders>
              <w:top w:val="nil"/>
              <w:left w:val="nil"/>
              <w:bottom w:val="single" w:sz="4" w:space="0" w:color="ADD6EA"/>
              <w:right w:val="nil"/>
            </w:tcBorders>
            <w:shd w:val="clear" w:color="auto" w:fill="auto"/>
            <w:noWrap/>
            <w:vAlign w:val="bottom"/>
            <w:hideMark/>
          </w:tcPr>
          <w:p w14:paraId="645078AA"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-40</w:t>
            </w:r>
          </w:p>
        </w:tc>
        <w:tc>
          <w:tcPr>
            <w:tcW w:w="2320" w:type="dxa"/>
            <w:tcBorders>
              <w:top w:val="nil"/>
              <w:left w:val="nil"/>
              <w:bottom w:val="single" w:sz="4" w:space="0" w:color="ADD6EA"/>
              <w:right w:val="nil"/>
            </w:tcBorders>
            <w:shd w:val="clear" w:color="auto" w:fill="auto"/>
            <w:noWrap/>
            <w:vAlign w:val="bottom"/>
            <w:hideMark/>
          </w:tcPr>
          <w:p w14:paraId="7E31F3E9"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-84</w:t>
            </w:r>
          </w:p>
        </w:tc>
      </w:tr>
      <w:tr w:rsidR="00256084" w14:paraId="3D38C078" w14:textId="77777777" w:rsidTr="00DE17BB">
        <w:trPr>
          <w:trHeight w:val="315"/>
        </w:trPr>
        <w:tc>
          <w:tcPr>
            <w:tcW w:w="4420" w:type="dxa"/>
            <w:tcBorders>
              <w:top w:val="nil"/>
              <w:left w:val="nil"/>
              <w:bottom w:val="single" w:sz="4" w:space="0" w:color="ADD6EA"/>
              <w:right w:val="nil"/>
            </w:tcBorders>
            <w:shd w:val="clear" w:color="auto" w:fill="auto"/>
            <w:noWrap/>
            <w:vAlign w:val="bottom"/>
            <w:hideMark/>
          </w:tcPr>
          <w:p w14:paraId="5AA566F1" w14:textId="77777777" w:rsidR="00256084" w:rsidRPr="00200AAE" w:rsidRDefault="00256084" w:rsidP="00DE17BB">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Total</w:t>
            </w:r>
          </w:p>
        </w:tc>
        <w:tc>
          <w:tcPr>
            <w:tcW w:w="2200" w:type="dxa"/>
            <w:tcBorders>
              <w:top w:val="nil"/>
              <w:left w:val="nil"/>
              <w:bottom w:val="single" w:sz="4" w:space="0" w:color="ADD6EA"/>
              <w:right w:val="nil"/>
            </w:tcBorders>
            <w:shd w:val="clear" w:color="auto" w:fill="auto"/>
            <w:noWrap/>
            <w:vAlign w:val="bottom"/>
            <w:hideMark/>
          </w:tcPr>
          <w:p w14:paraId="166B03F8"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13</w:t>
            </w:r>
          </w:p>
        </w:tc>
        <w:tc>
          <w:tcPr>
            <w:tcW w:w="2320" w:type="dxa"/>
            <w:tcBorders>
              <w:top w:val="nil"/>
              <w:left w:val="nil"/>
              <w:bottom w:val="single" w:sz="4" w:space="0" w:color="ADD6EA"/>
              <w:right w:val="nil"/>
            </w:tcBorders>
            <w:shd w:val="clear" w:color="auto" w:fill="auto"/>
            <w:noWrap/>
            <w:vAlign w:val="bottom"/>
            <w:hideMark/>
          </w:tcPr>
          <w:p w14:paraId="22840176"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28</w:t>
            </w:r>
          </w:p>
        </w:tc>
      </w:tr>
      <w:tr w:rsidR="00256084" w14:paraId="2B118C14" w14:textId="77777777" w:rsidTr="00DE17BB">
        <w:trPr>
          <w:trHeight w:val="315"/>
        </w:trPr>
        <w:tc>
          <w:tcPr>
            <w:tcW w:w="4420" w:type="dxa"/>
            <w:tcBorders>
              <w:top w:val="nil"/>
              <w:left w:val="nil"/>
              <w:bottom w:val="single" w:sz="4" w:space="0" w:color="ADD6EA"/>
              <w:right w:val="nil"/>
            </w:tcBorders>
            <w:shd w:val="clear" w:color="auto" w:fill="auto"/>
            <w:noWrap/>
            <w:vAlign w:val="bottom"/>
            <w:hideMark/>
          </w:tcPr>
          <w:p w14:paraId="453C82B3" w14:textId="77777777" w:rsidR="00256084" w:rsidRPr="00200AAE" w:rsidRDefault="00256084" w:rsidP="00DE17BB">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Blended relativities and GST floor</w:t>
            </w:r>
          </w:p>
        </w:tc>
        <w:tc>
          <w:tcPr>
            <w:tcW w:w="2200" w:type="dxa"/>
            <w:tcBorders>
              <w:top w:val="nil"/>
              <w:left w:val="nil"/>
              <w:bottom w:val="single" w:sz="4" w:space="0" w:color="ADD6EA"/>
              <w:right w:val="nil"/>
            </w:tcBorders>
            <w:shd w:val="clear" w:color="auto" w:fill="auto"/>
            <w:noWrap/>
            <w:vAlign w:val="bottom"/>
            <w:hideMark/>
          </w:tcPr>
          <w:p w14:paraId="3D6EF554"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-6</w:t>
            </w:r>
          </w:p>
        </w:tc>
        <w:tc>
          <w:tcPr>
            <w:tcW w:w="2320" w:type="dxa"/>
            <w:tcBorders>
              <w:top w:val="nil"/>
              <w:left w:val="nil"/>
              <w:bottom w:val="single" w:sz="4" w:space="0" w:color="ADD6EA"/>
              <w:right w:val="nil"/>
            </w:tcBorders>
            <w:shd w:val="clear" w:color="auto" w:fill="auto"/>
            <w:noWrap/>
            <w:vAlign w:val="bottom"/>
            <w:hideMark/>
          </w:tcPr>
          <w:p w14:paraId="64C66B5C" w14:textId="77777777" w:rsidR="00256084" w:rsidRPr="00200AAE" w:rsidRDefault="00256084" w:rsidP="00DE17BB">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-12</w:t>
            </w:r>
          </w:p>
        </w:tc>
      </w:tr>
      <w:tr w:rsidR="00256084" w14:paraId="6B36D1BC" w14:textId="77777777" w:rsidTr="00DE17BB">
        <w:trPr>
          <w:trHeight w:val="315"/>
        </w:trPr>
        <w:tc>
          <w:tcPr>
            <w:tcW w:w="4420" w:type="dxa"/>
            <w:tcBorders>
              <w:top w:val="nil"/>
              <w:left w:val="nil"/>
              <w:bottom w:val="single" w:sz="4" w:space="0" w:color="ADD6EA"/>
              <w:right w:val="nil"/>
            </w:tcBorders>
            <w:shd w:val="clear" w:color="000000" w:fill="D6E7F0"/>
            <w:noWrap/>
            <w:vAlign w:val="bottom"/>
            <w:hideMark/>
          </w:tcPr>
          <w:p w14:paraId="5B37A512" w14:textId="77777777" w:rsidR="00256084" w:rsidRPr="00200AAE" w:rsidRDefault="00256084" w:rsidP="00DE17BB">
            <w:pPr>
              <w:tabs>
                <w:tab w:val="clear" w:pos="567"/>
              </w:tabs>
              <w:spacing w:before="0" w:line="240" w:lineRule="auto"/>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Total change</w:t>
            </w:r>
          </w:p>
        </w:tc>
        <w:tc>
          <w:tcPr>
            <w:tcW w:w="2200" w:type="dxa"/>
            <w:tcBorders>
              <w:top w:val="nil"/>
              <w:left w:val="nil"/>
              <w:bottom w:val="single" w:sz="4" w:space="0" w:color="ADD6EA"/>
              <w:right w:val="nil"/>
            </w:tcBorders>
            <w:shd w:val="clear" w:color="000000" w:fill="D6E7F0"/>
            <w:noWrap/>
            <w:vAlign w:val="bottom"/>
            <w:hideMark/>
          </w:tcPr>
          <w:p w14:paraId="00C47A29" w14:textId="77777777" w:rsidR="00256084" w:rsidRPr="00200AAE" w:rsidRDefault="00256084" w:rsidP="00DE17B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111</w:t>
            </w:r>
          </w:p>
        </w:tc>
        <w:tc>
          <w:tcPr>
            <w:tcW w:w="2320" w:type="dxa"/>
            <w:tcBorders>
              <w:top w:val="nil"/>
              <w:left w:val="nil"/>
              <w:bottom w:val="single" w:sz="4" w:space="0" w:color="ADD6EA"/>
              <w:right w:val="nil"/>
            </w:tcBorders>
            <w:shd w:val="clear" w:color="000000" w:fill="D6E7F0"/>
            <w:noWrap/>
            <w:vAlign w:val="bottom"/>
            <w:hideMark/>
          </w:tcPr>
          <w:p w14:paraId="0C8F2979" w14:textId="77777777" w:rsidR="00256084" w:rsidRPr="00200AAE" w:rsidRDefault="00256084" w:rsidP="00DE17BB">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231</w:t>
            </w:r>
          </w:p>
        </w:tc>
      </w:tr>
    </w:tbl>
    <w:p w14:paraId="74411FD8" w14:textId="77777777" w:rsidR="00256084" w:rsidRPr="00754E2C" w:rsidRDefault="00256084" w:rsidP="00812C63">
      <w:pPr>
        <w:pStyle w:val="CGCTablenote"/>
      </w:pPr>
      <w:r w:rsidRPr="00754E2C">
        <w:t xml:space="preserve">Note: </w:t>
      </w:r>
      <w:r w:rsidRPr="00754E2C">
        <w:tab/>
        <w:t>Table may not add due to rounding.</w:t>
      </w:r>
    </w:p>
    <w:p w14:paraId="7CC11DFA" w14:textId="016F9683" w:rsidR="00230B2D" w:rsidRDefault="00256084" w:rsidP="00812C63">
      <w:pPr>
        <w:pStyle w:val="CGCTablenote"/>
        <w:rPr>
          <w:rFonts w:ascii="Open Sans Light" w:eastAsia="Times New Roman" w:hAnsi="Open Sans Light" w:cs="Times New Roman"/>
          <w:szCs w:val="20"/>
        </w:rPr>
      </w:pPr>
      <w:r w:rsidRPr="00754E2C">
        <w:t>Source: Commission calculation.</w:t>
      </w:r>
    </w:p>
    <w:p w14:paraId="46A62426" w14:textId="77777777" w:rsidR="00812C63" w:rsidRDefault="00812C63">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43FF5C13" w14:textId="77777777" w:rsidR="00631F23" w:rsidRPr="00754E2C" w:rsidRDefault="00631F23" w:rsidP="00631F23">
      <w:pPr>
        <w:pStyle w:val="CGCTableHead"/>
      </w:pPr>
      <w:r w:rsidRPr="00754E2C">
        <w:lastRenderedPageBreak/>
        <w:t>Figure 3</w:t>
      </w:r>
      <w:r w:rsidRPr="00754E2C">
        <w:noBreakHyphen/>
        <w:t>7</w:t>
      </w:r>
      <w:r w:rsidRPr="00754E2C">
        <w:tab/>
        <w:t xml:space="preserve">ACT: main changes in assessed GST needs, 2024 </w:t>
      </w:r>
      <w:proofErr w:type="gramStart"/>
      <w:r w:rsidRPr="00754E2C">
        <w:t>Update</w:t>
      </w:r>
      <w:proofErr w:type="gramEnd"/>
    </w:p>
    <w:tbl>
      <w:tblPr>
        <w:tblW w:w="8960" w:type="dxa"/>
        <w:tblCellMar>
          <w:left w:w="0" w:type="dxa"/>
          <w:right w:w="0" w:type="dxa"/>
        </w:tblCellMar>
        <w:tblLook w:val="04A0" w:firstRow="1" w:lastRow="0" w:firstColumn="1" w:lastColumn="0" w:noHBand="0" w:noVBand="1"/>
      </w:tblPr>
      <w:tblGrid>
        <w:gridCol w:w="2940"/>
        <w:gridCol w:w="760"/>
        <w:gridCol w:w="760"/>
        <w:gridCol w:w="4500"/>
      </w:tblGrid>
      <w:tr w:rsidR="00BB3D7A" w14:paraId="7946231A" w14:textId="77777777" w:rsidTr="00BB3D7A">
        <w:trPr>
          <w:trHeight w:val="375"/>
        </w:trPr>
        <w:tc>
          <w:tcPr>
            <w:tcW w:w="2940" w:type="dxa"/>
            <w:tcBorders>
              <w:top w:val="nil"/>
              <w:left w:val="nil"/>
              <w:bottom w:val="nil"/>
              <w:right w:val="nil"/>
            </w:tcBorders>
            <w:shd w:val="clear" w:color="000000" w:fill="006991"/>
            <w:noWrap/>
            <w:tcMar>
              <w:top w:w="15" w:type="dxa"/>
              <w:left w:w="15" w:type="dxa"/>
              <w:bottom w:w="0" w:type="dxa"/>
              <w:right w:w="15" w:type="dxa"/>
            </w:tcMar>
            <w:vAlign w:val="bottom"/>
            <w:hideMark/>
          </w:tcPr>
          <w:p w14:paraId="0671D1F6" w14:textId="77777777" w:rsidR="00BB3D7A" w:rsidRDefault="00BB3D7A" w:rsidP="004E17CF">
            <w:pPr>
              <w:tabs>
                <w:tab w:val="clear" w:pos="567"/>
              </w:tabs>
              <w:spacing w:before="0" w:line="240" w:lineRule="auto"/>
              <w:ind w:left="122" w:hanging="72"/>
              <w:rPr>
                <w:rFonts w:ascii="Open Sans Semibold" w:hAnsi="Open Sans Semibold" w:cs="Open Sans Semibold"/>
                <w:color w:val="FFFFFF"/>
                <w:szCs w:val="20"/>
              </w:rPr>
            </w:pPr>
            <w:r>
              <w:rPr>
                <w:rFonts w:ascii="Open Sans Semibold" w:hAnsi="Open Sans Semibold" w:cs="Open Sans Semibold"/>
                <w:color w:val="FFFFFF"/>
                <w:szCs w:val="20"/>
              </w:rPr>
              <w:t>Changes in circumstances</w:t>
            </w:r>
          </w:p>
        </w:tc>
        <w:tc>
          <w:tcPr>
            <w:tcW w:w="760" w:type="dxa"/>
            <w:tcBorders>
              <w:top w:val="nil"/>
              <w:left w:val="nil"/>
              <w:bottom w:val="nil"/>
              <w:right w:val="nil"/>
            </w:tcBorders>
            <w:shd w:val="clear" w:color="000000" w:fill="006991"/>
            <w:noWrap/>
            <w:tcMar>
              <w:top w:w="15" w:type="dxa"/>
              <w:left w:w="15" w:type="dxa"/>
              <w:bottom w:w="0" w:type="dxa"/>
              <w:right w:w="15" w:type="dxa"/>
            </w:tcMar>
            <w:vAlign w:val="bottom"/>
            <w:hideMark/>
          </w:tcPr>
          <w:p w14:paraId="5790906D" w14:textId="77777777" w:rsidR="00BB3D7A" w:rsidRDefault="00BB3D7A">
            <w:pPr>
              <w:rPr>
                <w:rFonts w:ascii="Open Sans Semibold" w:hAnsi="Open Sans Semibold" w:cs="Open Sans Semibold"/>
                <w:color w:val="FFFFFF"/>
                <w:szCs w:val="20"/>
              </w:rPr>
            </w:pPr>
            <w:r>
              <w:rPr>
                <w:rFonts w:ascii="Open Sans Semibold" w:hAnsi="Open Sans Semibold" w:cs="Open Sans Semibold"/>
                <w:color w:val="FFFFFF"/>
                <w:szCs w:val="20"/>
              </w:rPr>
              <w:t> </w:t>
            </w:r>
          </w:p>
        </w:tc>
        <w:tc>
          <w:tcPr>
            <w:tcW w:w="760" w:type="dxa"/>
            <w:tcBorders>
              <w:top w:val="nil"/>
              <w:left w:val="nil"/>
              <w:bottom w:val="nil"/>
              <w:right w:val="nil"/>
            </w:tcBorders>
            <w:shd w:val="clear" w:color="000000" w:fill="006991"/>
            <w:noWrap/>
            <w:tcMar>
              <w:top w:w="15" w:type="dxa"/>
              <w:left w:w="15" w:type="dxa"/>
              <w:bottom w:w="0" w:type="dxa"/>
              <w:right w:w="15" w:type="dxa"/>
            </w:tcMar>
            <w:vAlign w:val="bottom"/>
            <w:hideMark/>
          </w:tcPr>
          <w:p w14:paraId="60017911" w14:textId="77777777" w:rsidR="00BB3D7A" w:rsidRDefault="00BB3D7A">
            <w:pPr>
              <w:rPr>
                <w:rFonts w:ascii="Open Sans Semibold" w:hAnsi="Open Sans Semibold" w:cs="Open Sans Semibold"/>
                <w:color w:val="FFFFFF"/>
                <w:szCs w:val="20"/>
              </w:rPr>
            </w:pPr>
            <w:r>
              <w:rPr>
                <w:rFonts w:ascii="Open Sans Semibold" w:hAnsi="Open Sans Semibold" w:cs="Open Sans Semibold"/>
                <w:color w:val="FFFFFF"/>
                <w:szCs w:val="20"/>
              </w:rPr>
              <w:t> </w:t>
            </w:r>
          </w:p>
        </w:tc>
        <w:tc>
          <w:tcPr>
            <w:tcW w:w="4500" w:type="dxa"/>
            <w:tcBorders>
              <w:top w:val="nil"/>
              <w:left w:val="nil"/>
              <w:bottom w:val="nil"/>
              <w:right w:val="nil"/>
            </w:tcBorders>
            <w:shd w:val="clear" w:color="000000" w:fill="006991"/>
            <w:noWrap/>
            <w:tcMar>
              <w:top w:w="15" w:type="dxa"/>
              <w:left w:w="15" w:type="dxa"/>
              <w:bottom w:w="0" w:type="dxa"/>
              <w:right w:w="15" w:type="dxa"/>
            </w:tcMar>
            <w:vAlign w:val="bottom"/>
            <w:hideMark/>
          </w:tcPr>
          <w:p w14:paraId="338E685A" w14:textId="77777777" w:rsidR="00BB3D7A" w:rsidRDefault="00BB3D7A">
            <w:pPr>
              <w:rPr>
                <w:rFonts w:ascii="Open Sans Semibold" w:hAnsi="Open Sans Semibold" w:cs="Open Sans Semibold"/>
                <w:color w:val="FFFFFF"/>
                <w:szCs w:val="20"/>
              </w:rPr>
            </w:pPr>
            <w:r>
              <w:rPr>
                <w:rFonts w:ascii="Open Sans Semibold" w:hAnsi="Open Sans Semibold" w:cs="Open Sans Semibold"/>
                <w:color w:val="FFFFFF"/>
                <w:szCs w:val="20"/>
              </w:rPr>
              <w:t> </w:t>
            </w:r>
          </w:p>
        </w:tc>
      </w:tr>
      <w:tr w:rsidR="00BB3D7A" w14:paraId="491616F2" w14:textId="77777777" w:rsidTr="00BB3D7A">
        <w:trPr>
          <w:trHeight w:val="315"/>
        </w:trPr>
        <w:tc>
          <w:tcPr>
            <w:tcW w:w="0" w:type="auto"/>
            <w:tcBorders>
              <w:top w:val="single" w:sz="4" w:space="0" w:color="ADD6EA"/>
              <w:left w:val="nil"/>
              <w:bottom w:val="single" w:sz="4" w:space="0" w:color="ADD6EA"/>
              <w:right w:val="nil"/>
            </w:tcBorders>
            <w:shd w:val="clear" w:color="000000" w:fill="B6D5E4"/>
            <w:noWrap/>
            <w:tcMar>
              <w:top w:w="15" w:type="dxa"/>
              <w:left w:w="15" w:type="dxa"/>
              <w:bottom w:w="0" w:type="dxa"/>
              <w:right w:w="15" w:type="dxa"/>
            </w:tcMar>
            <w:vAlign w:val="bottom"/>
            <w:hideMark/>
          </w:tcPr>
          <w:p w14:paraId="12BD978E" w14:textId="77777777" w:rsidR="00BB3D7A" w:rsidRPr="000D0465" w:rsidRDefault="00BB3D7A" w:rsidP="004E17CF">
            <w:pPr>
              <w:tabs>
                <w:tab w:val="clear" w:pos="567"/>
              </w:tabs>
              <w:spacing w:before="0" w:line="240" w:lineRule="auto"/>
              <w:ind w:left="50"/>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Driver</w:t>
            </w:r>
          </w:p>
        </w:tc>
        <w:tc>
          <w:tcPr>
            <w:tcW w:w="0" w:type="auto"/>
            <w:gridSpan w:val="2"/>
            <w:tcBorders>
              <w:top w:val="single" w:sz="4" w:space="0" w:color="ADD6EA"/>
              <w:left w:val="nil"/>
              <w:bottom w:val="single" w:sz="4" w:space="0" w:color="ADD6EA"/>
              <w:right w:val="nil"/>
            </w:tcBorders>
            <w:shd w:val="clear" w:color="000000" w:fill="B6D5E4"/>
            <w:noWrap/>
            <w:tcMar>
              <w:top w:w="15" w:type="dxa"/>
              <w:left w:w="15" w:type="dxa"/>
              <w:bottom w:w="0" w:type="dxa"/>
              <w:right w:w="15" w:type="dxa"/>
            </w:tcMar>
            <w:vAlign w:val="bottom"/>
            <w:hideMark/>
          </w:tcPr>
          <w:p w14:paraId="0E6BE6D9" w14:textId="77777777" w:rsidR="00BB3D7A" w:rsidRPr="000D0465" w:rsidRDefault="00BB3D7A" w:rsidP="000D0465">
            <w:pPr>
              <w:tabs>
                <w:tab w:val="clear" w:pos="567"/>
              </w:tabs>
              <w:spacing w:before="0" w:line="240" w:lineRule="auto"/>
              <w:jc w:val="center"/>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Change</w:t>
            </w:r>
          </w:p>
        </w:tc>
        <w:tc>
          <w:tcPr>
            <w:tcW w:w="0" w:type="auto"/>
            <w:tcBorders>
              <w:top w:val="single" w:sz="4" w:space="0" w:color="ADD6EA"/>
              <w:left w:val="nil"/>
              <w:bottom w:val="single" w:sz="4" w:space="0" w:color="ADD6EA"/>
              <w:right w:val="nil"/>
            </w:tcBorders>
            <w:shd w:val="clear" w:color="000000" w:fill="B6D5E4"/>
            <w:noWrap/>
            <w:tcMar>
              <w:top w:w="15" w:type="dxa"/>
              <w:left w:w="15" w:type="dxa"/>
              <w:bottom w:w="0" w:type="dxa"/>
              <w:right w:w="15" w:type="dxa"/>
            </w:tcMar>
            <w:vAlign w:val="bottom"/>
            <w:hideMark/>
          </w:tcPr>
          <w:p w14:paraId="5C83D884" w14:textId="77777777" w:rsidR="00BB3D7A" w:rsidRPr="000D0465" w:rsidRDefault="00BB3D7A" w:rsidP="007F0688">
            <w:pPr>
              <w:tabs>
                <w:tab w:val="clear" w:pos="567"/>
              </w:tabs>
              <w:spacing w:before="0" w:line="240" w:lineRule="auto"/>
              <w:ind w:left="70"/>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Explanation</w:t>
            </w:r>
          </w:p>
        </w:tc>
      </w:tr>
      <w:tr w:rsidR="00BB3D7A" w14:paraId="03D56563" w14:textId="77777777" w:rsidTr="00BB3D7A">
        <w:trPr>
          <w:trHeight w:val="259"/>
        </w:trPr>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F7B1754" w14:textId="77777777" w:rsidR="00BB3D7A" w:rsidRPr="000D0465" w:rsidRDefault="00BB3D7A" w:rsidP="000D0465">
            <w:pPr>
              <w:tabs>
                <w:tab w:val="clear" w:pos="567"/>
              </w:tabs>
              <w:spacing w:before="0" w:line="240" w:lineRule="auto"/>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 </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603AF46A" w14:textId="77777777" w:rsidR="00BB3D7A" w:rsidRPr="000D0465" w:rsidRDefault="00BB3D7A" w:rsidP="000D0465">
            <w:pPr>
              <w:tabs>
                <w:tab w:val="clear" w:pos="567"/>
              </w:tabs>
              <w:spacing w:before="0" w:line="240" w:lineRule="auto"/>
              <w:jc w:val="center"/>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$m</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0BF6CEF" w14:textId="77777777" w:rsidR="00BB3D7A" w:rsidRPr="000D0465" w:rsidRDefault="00BB3D7A" w:rsidP="000D0465">
            <w:pPr>
              <w:tabs>
                <w:tab w:val="clear" w:pos="567"/>
              </w:tabs>
              <w:spacing w:before="0" w:line="240" w:lineRule="auto"/>
              <w:jc w:val="center"/>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$pc</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AC2F247" w14:textId="77777777" w:rsidR="00BB3D7A" w:rsidRPr="000D0465" w:rsidRDefault="00BB3D7A" w:rsidP="000D0465">
            <w:pPr>
              <w:tabs>
                <w:tab w:val="clear" w:pos="567"/>
              </w:tabs>
              <w:spacing w:before="0" w:line="240" w:lineRule="auto"/>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 </w:t>
            </w:r>
          </w:p>
        </w:tc>
      </w:tr>
      <w:tr w:rsidR="00BB3D7A" w14:paraId="382DC688" w14:textId="77777777" w:rsidTr="00BB3D7A">
        <w:trPr>
          <w:trHeight w:val="900"/>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2C9F4768" w14:textId="77777777" w:rsidR="00BB3D7A" w:rsidRDefault="00BB3D7A" w:rsidP="004E17CF">
            <w:pPr>
              <w:tabs>
                <w:tab w:val="clear" w:pos="567"/>
              </w:tabs>
              <w:spacing w:before="0" w:line="240" w:lineRule="auto"/>
              <w:ind w:left="64"/>
              <w:rPr>
                <w:rFonts w:ascii="Open Sans Light" w:hAnsi="Open Sans Light" w:cs="Open Sans Light"/>
                <w:szCs w:val="20"/>
              </w:rPr>
            </w:pPr>
            <w:r w:rsidRPr="00BB3D7A">
              <w:rPr>
                <w:rFonts w:ascii="Open Sans Light" w:eastAsia="Times New Roman" w:hAnsi="Open Sans Light" w:cs="Open Sans Light"/>
                <w:szCs w:val="20"/>
                <w:lang w:eastAsia="en-AU"/>
              </w:rPr>
              <w:t>Mining</w:t>
            </w:r>
            <w:r>
              <w:rPr>
                <w:rFonts w:ascii="Open Sans Light" w:hAnsi="Open Sans Light" w:cs="Open Sans Light"/>
                <w:szCs w:val="20"/>
              </w:rPr>
              <w:t xml:space="preserve"> production</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75831C59"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89</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41E36BAE"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185</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4CA6DB09" w14:textId="50640A5B" w:rsidR="00BB3D7A" w:rsidRPr="00BB3D7A" w:rsidRDefault="00BB3D7A" w:rsidP="00546871">
            <w:pPr>
              <w:tabs>
                <w:tab w:val="clear" w:pos="567"/>
              </w:tabs>
              <w:spacing w:before="0" w:line="240" w:lineRule="auto"/>
              <w:ind w:left="8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A large increase in coal prices and average coal royalty rates between 2019</w:t>
            </w:r>
            <w:r w:rsidR="008C2AC9">
              <w:rPr>
                <w:rFonts w:ascii="Open Sans Light" w:eastAsia="Times New Roman" w:hAnsi="Open Sans Light" w:cs="Open Sans Light"/>
                <w:szCs w:val="20"/>
                <w:lang w:eastAsia="en-AU"/>
              </w:rPr>
              <w:t>–</w:t>
            </w:r>
            <w:r w:rsidRPr="00BB3D7A">
              <w:rPr>
                <w:rFonts w:ascii="Open Sans Light" w:eastAsia="Times New Roman" w:hAnsi="Open Sans Light" w:cs="Open Sans Light"/>
                <w:szCs w:val="20"/>
                <w:lang w:eastAsia="en-AU"/>
              </w:rPr>
              <w:t>20 and 2022</w:t>
            </w:r>
            <w:r w:rsidR="008C2AC9">
              <w:rPr>
                <w:rFonts w:ascii="Open Sans Light" w:eastAsia="Times New Roman" w:hAnsi="Open Sans Light" w:cs="Open Sans Light"/>
                <w:szCs w:val="20"/>
                <w:lang w:eastAsia="en-AU"/>
              </w:rPr>
              <w:t>–</w:t>
            </w:r>
            <w:r w:rsidRPr="00BB3D7A">
              <w:rPr>
                <w:rFonts w:ascii="Open Sans Light" w:eastAsia="Times New Roman" w:hAnsi="Open Sans Light" w:cs="Open Sans Light"/>
                <w:szCs w:val="20"/>
                <w:lang w:eastAsia="en-AU"/>
              </w:rPr>
              <w:t>23 increased the revenue</w:t>
            </w:r>
            <w:r w:rsidR="00BD3FE5">
              <w:rPr>
                <w:rFonts w:ascii="Open Sans Light" w:eastAsia="Times New Roman" w:hAnsi="Open Sans Light" w:cs="Open Sans Light"/>
                <w:szCs w:val="20"/>
                <w:lang w:eastAsia="en-AU"/>
              </w:rPr>
              <w:t xml:space="preserve"> </w:t>
            </w:r>
            <w:r w:rsidRPr="00BB3D7A">
              <w:rPr>
                <w:rFonts w:ascii="Open Sans Light" w:eastAsia="Times New Roman" w:hAnsi="Open Sans Light" w:cs="Open Sans Light"/>
                <w:szCs w:val="20"/>
                <w:lang w:eastAsia="en-AU"/>
              </w:rPr>
              <w:t>raising capacity of coal producing states. This reduced the ACT’s relative mining revenue capacity.</w:t>
            </w:r>
          </w:p>
        </w:tc>
      </w:tr>
      <w:tr w:rsidR="00BB3D7A" w14:paraId="34DEBB69" w14:textId="77777777" w:rsidTr="000D0465">
        <w:trPr>
          <w:trHeight w:val="744"/>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4F261636" w14:textId="77777777" w:rsidR="00BB3D7A" w:rsidRPr="00BB3D7A" w:rsidRDefault="00BB3D7A" w:rsidP="004E17CF">
            <w:pPr>
              <w:tabs>
                <w:tab w:val="clear" w:pos="567"/>
              </w:tabs>
              <w:spacing w:before="0" w:line="240" w:lineRule="auto"/>
              <w:ind w:left="6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Property sales</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032F0869"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-40</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3E62621C"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-83</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5F5AAE54" w14:textId="7B0761F6" w:rsidR="00BB3D7A" w:rsidRPr="00BB3D7A" w:rsidRDefault="00BB3D7A" w:rsidP="007F0688">
            <w:pPr>
              <w:tabs>
                <w:tab w:val="clear" w:pos="567"/>
              </w:tabs>
              <w:spacing w:before="0" w:line="240" w:lineRule="auto"/>
              <w:ind w:left="8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Above-average growth in property sales increased the ACT’s relative revenue</w:t>
            </w:r>
            <w:r w:rsidR="00BD3FE5">
              <w:rPr>
                <w:rFonts w:ascii="Open Sans Light" w:eastAsia="Times New Roman" w:hAnsi="Open Sans Light" w:cs="Open Sans Light"/>
                <w:szCs w:val="20"/>
                <w:lang w:eastAsia="en-AU"/>
              </w:rPr>
              <w:t xml:space="preserve"> </w:t>
            </w:r>
            <w:r w:rsidRPr="00BB3D7A">
              <w:rPr>
                <w:rFonts w:ascii="Open Sans Light" w:eastAsia="Times New Roman" w:hAnsi="Open Sans Light" w:cs="Open Sans Light"/>
                <w:szCs w:val="20"/>
                <w:lang w:eastAsia="en-AU"/>
              </w:rPr>
              <w:t>raising capacity.</w:t>
            </w:r>
          </w:p>
        </w:tc>
      </w:tr>
      <w:tr w:rsidR="00BB3D7A" w14:paraId="76C03BF5" w14:textId="77777777" w:rsidTr="000D0465">
        <w:trPr>
          <w:trHeight w:val="814"/>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5FC87E63" w14:textId="77777777" w:rsidR="00BB3D7A" w:rsidRPr="00BB3D7A" w:rsidRDefault="00BB3D7A" w:rsidP="004E17CF">
            <w:pPr>
              <w:tabs>
                <w:tab w:val="clear" w:pos="567"/>
              </w:tabs>
              <w:spacing w:before="0" w:line="240" w:lineRule="auto"/>
              <w:ind w:left="6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Wage costs</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29A5949A"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-35</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50429C5B"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-74</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267522AE" w14:textId="0DC93A02" w:rsidR="00BB3D7A" w:rsidRPr="00BB3D7A" w:rsidRDefault="00BB3D7A" w:rsidP="007F0688">
            <w:pPr>
              <w:tabs>
                <w:tab w:val="clear" w:pos="567"/>
              </w:tabs>
              <w:spacing w:before="0" w:line="240" w:lineRule="auto"/>
              <w:ind w:left="8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Wage costs in the ACT grew more slowly than the national average between 2019</w:t>
            </w:r>
            <w:r w:rsidR="00320E3D">
              <w:rPr>
                <w:rFonts w:ascii="Open Sans Light" w:eastAsia="Times New Roman" w:hAnsi="Open Sans Light" w:cs="Open Sans Light"/>
                <w:szCs w:val="20"/>
                <w:lang w:eastAsia="en-AU"/>
              </w:rPr>
              <w:t>–</w:t>
            </w:r>
            <w:r w:rsidRPr="00BB3D7A">
              <w:rPr>
                <w:rFonts w:ascii="Open Sans Light" w:eastAsia="Times New Roman" w:hAnsi="Open Sans Light" w:cs="Open Sans Light"/>
                <w:szCs w:val="20"/>
                <w:lang w:eastAsia="en-AU"/>
              </w:rPr>
              <w:t>20 and 2022</w:t>
            </w:r>
            <w:r w:rsidR="00320E3D">
              <w:rPr>
                <w:rFonts w:ascii="Open Sans Light" w:eastAsia="Times New Roman" w:hAnsi="Open Sans Light" w:cs="Open Sans Light"/>
                <w:szCs w:val="20"/>
                <w:lang w:eastAsia="en-AU"/>
              </w:rPr>
              <w:t>–</w:t>
            </w:r>
            <w:r w:rsidRPr="00BB3D7A">
              <w:rPr>
                <w:rFonts w:ascii="Open Sans Light" w:eastAsia="Times New Roman" w:hAnsi="Open Sans Light" w:cs="Open Sans Light"/>
                <w:szCs w:val="20"/>
                <w:lang w:eastAsia="en-AU"/>
              </w:rPr>
              <w:t>23, decreasing its assessed service delivery costs.</w:t>
            </w:r>
          </w:p>
        </w:tc>
      </w:tr>
      <w:tr w:rsidR="00BB3D7A" w14:paraId="44DB3A4B" w14:textId="77777777" w:rsidTr="00BB3D7A">
        <w:trPr>
          <w:trHeight w:val="900"/>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47C92289" w14:textId="77777777" w:rsidR="00BB3D7A" w:rsidRPr="00BB3D7A" w:rsidRDefault="00BB3D7A" w:rsidP="004E17CF">
            <w:pPr>
              <w:tabs>
                <w:tab w:val="clear" w:pos="567"/>
              </w:tabs>
              <w:spacing w:before="0" w:line="240" w:lineRule="auto"/>
              <w:ind w:left="6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Population growth</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0A3EB76B"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-35</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230F2897"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-72</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1794DC7C" w14:textId="57F6806D" w:rsidR="00BB3D7A" w:rsidRPr="00BB3D7A" w:rsidRDefault="00BB3D7A" w:rsidP="007F0688">
            <w:pPr>
              <w:tabs>
                <w:tab w:val="clear" w:pos="567"/>
              </w:tabs>
              <w:spacing w:before="0" w:line="240" w:lineRule="auto"/>
              <w:ind w:left="8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The ACT’s population growth rate increased more slowly than the national average between 2019</w:t>
            </w:r>
            <w:r w:rsidR="00320E3D">
              <w:rPr>
                <w:rFonts w:ascii="Open Sans Light" w:eastAsia="Times New Roman" w:hAnsi="Open Sans Light" w:cs="Open Sans Light"/>
                <w:szCs w:val="20"/>
                <w:lang w:eastAsia="en-AU"/>
              </w:rPr>
              <w:t>–</w:t>
            </w:r>
            <w:r w:rsidR="00320E3D">
              <w:rPr>
                <w:rFonts w:ascii="Arial" w:eastAsia="Times New Roman" w:hAnsi="Arial" w:cs="Arial" w:hint="cs"/>
                <w:szCs w:val="20"/>
                <w:rtl/>
                <w:lang w:eastAsia="en-AU"/>
              </w:rPr>
              <w:t>‍</w:t>
            </w:r>
            <w:r w:rsidRPr="00BB3D7A">
              <w:rPr>
                <w:rFonts w:ascii="Open Sans Light" w:eastAsia="Times New Roman" w:hAnsi="Open Sans Light" w:cs="Open Sans Light"/>
                <w:szCs w:val="20"/>
                <w:lang w:eastAsia="en-AU"/>
              </w:rPr>
              <w:t>20 and 2022</w:t>
            </w:r>
            <w:r w:rsidR="00320E3D">
              <w:rPr>
                <w:rFonts w:ascii="Open Sans Light" w:eastAsia="Times New Roman" w:hAnsi="Open Sans Light" w:cs="Open Sans Light"/>
                <w:szCs w:val="20"/>
                <w:lang w:eastAsia="en-AU"/>
              </w:rPr>
              <w:t>–</w:t>
            </w:r>
            <w:r w:rsidRPr="00BB3D7A">
              <w:rPr>
                <w:rFonts w:ascii="Open Sans Light" w:eastAsia="Times New Roman" w:hAnsi="Open Sans Light" w:cs="Open Sans Light"/>
                <w:szCs w:val="20"/>
                <w:lang w:eastAsia="en-AU"/>
              </w:rPr>
              <w:t>23, reducing its assessed GST needs for investment.</w:t>
            </w:r>
          </w:p>
        </w:tc>
      </w:tr>
      <w:tr w:rsidR="00BB3D7A" w14:paraId="16B41CDC" w14:textId="77777777" w:rsidTr="00BB3D7A">
        <w:trPr>
          <w:trHeight w:val="1500"/>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29582065" w14:textId="77777777" w:rsidR="00BB3D7A" w:rsidRPr="00BB3D7A" w:rsidRDefault="00BB3D7A" w:rsidP="004E17CF">
            <w:pPr>
              <w:tabs>
                <w:tab w:val="clear" w:pos="567"/>
              </w:tabs>
              <w:spacing w:before="0" w:line="240" w:lineRule="auto"/>
              <w:ind w:left="6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Administrative scale</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34DF91AB"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-32</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7FE411D4"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-67</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6B8CE182" w14:textId="0DD2E2B3" w:rsidR="00BB3D7A" w:rsidRPr="00BB3D7A" w:rsidRDefault="00BB3D7A" w:rsidP="007F0688">
            <w:pPr>
              <w:tabs>
                <w:tab w:val="clear" w:pos="567"/>
              </w:tabs>
              <w:spacing w:before="0" w:line="240" w:lineRule="auto"/>
              <w:ind w:left="8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Assessed administrative scale expenses grew relatively slowly between 2019</w:t>
            </w:r>
            <w:r w:rsidR="00320E3D">
              <w:rPr>
                <w:rFonts w:ascii="Open Sans Light" w:eastAsia="Times New Roman" w:hAnsi="Open Sans Light" w:cs="Open Sans Light"/>
                <w:szCs w:val="20"/>
                <w:lang w:eastAsia="en-AU"/>
              </w:rPr>
              <w:t>–</w:t>
            </w:r>
            <w:r w:rsidRPr="00BB3D7A">
              <w:rPr>
                <w:rFonts w:ascii="Open Sans Light" w:eastAsia="Times New Roman" w:hAnsi="Open Sans Light" w:cs="Open Sans Light"/>
                <w:szCs w:val="20"/>
                <w:lang w:eastAsia="en-AU"/>
              </w:rPr>
              <w:t>20 and 2022</w:t>
            </w:r>
            <w:r w:rsidR="00320E3D">
              <w:rPr>
                <w:rFonts w:ascii="Open Sans Light" w:eastAsia="Times New Roman" w:hAnsi="Open Sans Light" w:cs="Open Sans Light"/>
                <w:szCs w:val="20"/>
                <w:lang w:eastAsia="en-AU"/>
              </w:rPr>
              <w:t>–</w:t>
            </w:r>
            <w:r w:rsidRPr="00BB3D7A">
              <w:rPr>
                <w:rFonts w:ascii="Open Sans Light" w:eastAsia="Times New Roman" w:hAnsi="Open Sans Light" w:cs="Open Sans Light"/>
                <w:szCs w:val="20"/>
                <w:lang w:eastAsia="en-AU"/>
              </w:rPr>
              <w:t>23, reducing their relative size. This reduced the</w:t>
            </w:r>
            <w:r w:rsidR="00320E3D">
              <w:rPr>
                <w:rFonts w:ascii="Open Sans Light" w:eastAsia="Times New Roman" w:hAnsi="Open Sans Light" w:cs="Open Sans Light"/>
                <w:szCs w:val="20"/>
                <w:lang w:eastAsia="en-AU"/>
              </w:rPr>
              <w:t xml:space="preserve"> assessed</w:t>
            </w:r>
            <w:r w:rsidRPr="00BB3D7A">
              <w:rPr>
                <w:rFonts w:ascii="Open Sans Light" w:eastAsia="Times New Roman" w:hAnsi="Open Sans Light" w:cs="Open Sans Light"/>
                <w:szCs w:val="20"/>
                <w:lang w:eastAsia="en-AU"/>
              </w:rPr>
              <w:t xml:space="preserve"> GST needs of states with high administrative scale expenses, including the ACT. </w:t>
            </w:r>
          </w:p>
        </w:tc>
      </w:tr>
      <w:tr w:rsidR="00BB3D7A" w14:paraId="6C87FE14" w14:textId="77777777" w:rsidTr="00BB3D7A">
        <w:trPr>
          <w:trHeight w:val="375"/>
        </w:trPr>
        <w:tc>
          <w:tcPr>
            <w:tcW w:w="0" w:type="auto"/>
            <w:tcBorders>
              <w:top w:val="nil"/>
              <w:left w:val="nil"/>
              <w:bottom w:val="single" w:sz="4" w:space="0" w:color="ADD6EA"/>
              <w:right w:val="nil"/>
            </w:tcBorders>
            <w:shd w:val="clear" w:color="000000" w:fill="006991"/>
            <w:noWrap/>
            <w:tcMar>
              <w:top w:w="15" w:type="dxa"/>
              <w:left w:w="15" w:type="dxa"/>
              <w:bottom w:w="0" w:type="dxa"/>
              <w:right w:w="15" w:type="dxa"/>
            </w:tcMar>
            <w:vAlign w:val="bottom"/>
            <w:hideMark/>
          </w:tcPr>
          <w:p w14:paraId="63832694" w14:textId="77777777" w:rsidR="00BB3D7A" w:rsidRDefault="00BB3D7A" w:rsidP="004E17CF">
            <w:pPr>
              <w:ind w:left="64"/>
              <w:rPr>
                <w:rFonts w:ascii="Open Sans Semibold" w:hAnsi="Open Sans Semibold" w:cs="Open Sans Semibold"/>
                <w:color w:val="FFFFFF"/>
                <w:szCs w:val="20"/>
              </w:rPr>
            </w:pPr>
            <w:r>
              <w:rPr>
                <w:rFonts w:ascii="Open Sans Semibold" w:hAnsi="Open Sans Semibold" w:cs="Open Sans Semibold"/>
                <w:color w:val="FFFFFF"/>
                <w:szCs w:val="20"/>
              </w:rPr>
              <w:t>Revisions</w:t>
            </w:r>
          </w:p>
        </w:tc>
        <w:tc>
          <w:tcPr>
            <w:tcW w:w="0" w:type="auto"/>
            <w:tcBorders>
              <w:top w:val="nil"/>
              <w:left w:val="nil"/>
              <w:bottom w:val="single" w:sz="4" w:space="0" w:color="ADD6EA"/>
              <w:right w:val="nil"/>
            </w:tcBorders>
            <w:shd w:val="clear" w:color="000000" w:fill="006991"/>
            <w:noWrap/>
            <w:tcMar>
              <w:top w:w="15" w:type="dxa"/>
              <w:left w:w="15" w:type="dxa"/>
              <w:bottom w:w="0" w:type="dxa"/>
              <w:right w:w="15" w:type="dxa"/>
            </w:tcMar>
            <w:vAlign w:val="bottom"/>
            <w:hideMark/>
          </w:tcPr>
          <w:p w14:paraId="396BD502" w14:textId="77777777" w:rsidR="00BB3D7A" w:rsidRDefault="00BB3D7A">
            <w:pPr>
              <w:rPr>
                <w:rFonts w:ascii="Open Sans Semibold" w:hAnsi="Open Sans Semibold" w:cs="Open Sans Semibold"/>
                <w:color w:val="FFFFFF"/>
                <w:szCs w:val="20"/>
              </w:rPr>
            </w:pPr>
            <w:r>
              <w:rPr>
                <w:rFonts w:ascii="Open Sans Semibold" w:hAnsi="Open Sans Semibold" w:cs="Open Sans Semibold"/>
                <w:color w:val="FFFFFF"/>
                <w:szCs w:val="20"/>
              </w:rPr>
              <w:t> </w:t>
            </w:r>
          </w:p>
        </w:tc>
        <w:tc>
          <w:tcPr>
            <w:tcW w:w="0" w:type="auto"/>
            <w:tcBorders>
              <w:top w:val="nil"/>
              <w:left w:val="nil"/>
              <w:bottom w:val="single" w:sz="4" w:space="0" w:color="ADD6EA"/>
              <w:right w:val="nil"/>
            </w:tcBorders>
            <w:shd w:val="clear" w:color="000000" w:fill="006991"/>
            <w:noWrap/>
            <w:tcMar>
              <w:top w:w="15" w:type="dxa"/>
              <w:left w:w="15" w:type="dxa"/>
              <w:bottom w:w="0" w:type="dxa"/>
              <w:right w:w="15" w:type="dxa"/>
            </w:tcMar>
            <w:vAlign w:val="bottom"/>
            <w:hideMark/>
          </w:tcPr>
          <w:p w14:paraId="78D76E03" w14:textId="77777777" w:rsidR="00BB3D7A" w:rsidRDefault="00BB3D7A">
            <w:pPr>
              <w:rPr>
                <w:rFonts w:ascii="Open Sans Semibold" w:hAnsi="Open Sans Semibold" w:cs="Open Sans Semibold"/>
                <w:color w:val="FFFFFF"/>
                <w:szCs w:val="20"/>
              </w:rPr>
            </w:pPr>
            <w:r>
              <w:rPr>
                <w:rFonts w:ascii="Open Sans Semibold" w:hAnsi="Open Sans Semibold" w:cs="Open Sans Semibold"/>
                <w:color w:val="FFFFFF"/>
                <w:szCs w:val="20"/>
              </w:rPr>
              <w:t> </w:t>
            </w:r>
          </w:p>
        </w:tc>
        <w:tc>
          <w:tcPr>
            <w:tcW w:w="0" w:type="auto"/>
            <w:tcBorders>
              <w:top w:val="nil"/>
              <w:left w:val="nil"/>
              <w:bottom w:val="single" w:sz="4" w:space="0" w:color="ADD6EA"/>
              <w:right w:val="nil"/>
            </w:tcBorders>
            <w:shd w:val="clear" w:color="000000" w:fill="006991"/>
            <w:noWrap/>
            <w:tcMar>
              <w:top w:w="15" w:type="dxa"/>
              <w:left w:w="15" w:type="dxa"/>
              <w:bottom w:w="0" w:type="dxa"/>
              <w:right w:w="15" w:type="dxa"/>
            </w:tcMar>
            <w:vAlign w:val="bottom"/>
            <w:hideMark/>
          </w:tcPr>
          <w:p w14:paraId="7BA46372" w14:textId="77777777" w:rsidR="00BB3D7A" w:rsidRDefault="00BB3D7A">
            <w:pPr>
              <w:rPr>
                <w:rFonts w:ascii="Open Sans Semibold" w:hAnsi="Open Sans Semibold" w:cs="Open Sans Semibold"/>
                <w:color w:val="FFFFFF"/>
                <w:szCs w:val="20"/>
              </w:rPr>
            </w:pPr>
            <w:r>
              <w:rPr>
                <w:rFonts w:ascii="Open Sans Semibold" w:hAnsi="Open Sans Semibold" w:cs="Open Sans Semibold"/>
                <w:color w:val="FFFFFF"/>
                <w:szCs w:val="20"/>
              </w:rPr>
              <w:t> </w:t>
            </w:r>
          </w:p>
        </w:tc>
      </w:tr>
      <w:tr w:rsidR="00BB3D7A" w14:paraId="16E9B233" w14:textId="77777777" w:rsidTr="00BB3D7A">
        <w:trPr>
          <w:trHeight w:val="315"/>
        </w:trPr>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382B343C" w14:textId="77777777" w:rsidR="00BB3D7A" w:rsidRPr="000D0465" w:rsidRDefault="00BB3D7A" w:rsidP="004E17CF">
            <w:pPr>
              <w:tabs>
                <w:tab w:val="clear" w:pos="567"/>
              </w:tabs>
              <w:spacing w:before="0" w:line="240" w:lineRule="auto"/>
              <w:ind w:left="64"/>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Driver</w:t>
            </w:r>
          </w:p>
        </w:tc>
        <w:tc>
          <w:tcPr>
            <w:tcW w:w="0" w:type="auto"/>
            <w:gridSpan w:val="2"/>
            <w:tcBorders>
              <w:top w:val="single" w:sz="4" w:space="0" w:color="ADD6EA"/>
              <w:left w:val="nil"/>
              <w:bottom w:val="single" w:sz="4" w:space="0" w:color="ADD6EA"/>
              <w:right w:val="nil"/>
            </w:tcBorders>
            <w:shd w:val="clear" w:color="000000" w:fill="B6D5E4"/>
            <w:noWrap/>
            <w:tcMar>
              <w:top w:w="15" w:type="dxa"/>
              <w:left w:w="15" w:type="dxa"/>
              <w:bottom w:w="0" w:type="dxa"/>
              <w:right w:w="15" w:type="dxa"/>
            </w:tcMar>
            <w:vAlign w:val="bottom"/>
            <w:hideMark/>
          </w:tcPr>
          <w:p w14:paraId="6C7FBC15" w14:textId="77777777" w:rsidR="00BB3D7A" w:rsidRPr="000D0465" w:rsidRDefault="00BB3D7A" w:rsidP="000D0465">
            <w:pPr>
              <w:tabs>
                <w:tab w:val="clear" w:pos="567"/>
              </w:tabs>
              <w:spacing w:before="0" w:line="240" w:lineRule="auto"/>
              <w:jc w:val="center"/>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Change</w:t>
            </w:r>
          </w:p>
        </w:tc>
        <w:tc>
          <w:tcPr>
            <w:tcW w:w="0" w:type="auto"/>
            <w:tcBorders>
              <w:top w:val="nil"/>
              <w:left w:val="nil"/>
              <w:bottom w:val="single" w:sz="4" w:space="0" w:color="ADD6EA"/>
              <w:right w:val="nil"/>
            </w:tcBorders>
            <w:shd w:val="clear" w:color="000000" w:fill="B6D5E4"/>
            <w:noWrap/>
            <w:tcMar>
              <w:top w:w="15" w:type="dxa"/>
              <w:left w:w="15" w:type="dxa"/>
              <w:bottom w:w="0" w:type="dxa"/>
              <w:right w:w="15" w:type="dxa"/>
            </w:tcMar>
            <w:vAlign w:val="bottom"/>
            <w:hideMark/>
          </w:tcPr>
          <w:p w14:paraId="7B5F6D1C" w14:textId="77777777" w:rsidR="00BB3D7A" w:rsidRPr="000D0465" w:rsidRDefault="00BB3D7A" w:rsidP="007F0688">
            <w:pPr>
              <w:tabs>
                <w:tab w:val="clear" w:pos="567"/>
              </w:tabs>
              <w:spacing w:before="0" w:line="240" w:lineRule="auto"/>
              <w:ind w:left="84"/>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Explanation</w:t>
            </w:r>
          </w:p>
        </w:tc>
      </w:tr>
      <w:tr w:rsidR="00BB3D7A" w14:paraId="60D0C3AF" w14:textId="77777777" w:rsidTr="00BB3D7A">
        <w:trPr>
          <w:trHeight w:val="259"/>
        </w:trPr>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1E661F14" w14:textId="77777777" w:rsidR="00BB3D7A" w:rsidRPr="000D0465" w:rsidRDefault="00BB3D7A" w:rsidP="000D0465">
            <w:pPr>
              <w:tabs>
                <w:tab w:val="clear" w:pos="567"/>
              </w:tabs>
              <w:spacing w:before="0" w:line="240" w:lineRule="auto"/>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 </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4EC2FFDB" w14:textId="77777777" w:rsidR="00BB3D7A" w:rsidRPr="000D0465" w:rsidRDefault="00BB3D7A" w:rsidP="000D0465">
            <w:pPr>
              <w:tabs>
                <w:tab w:val="clear" w:pos="567"/>
              </w:tabs>
              <w:spacing w:before="0" w:line="240" w:lineRule="auto"/>
              <w:jc w:val="center"/>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$m</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29DE5A3D" w14:textId="77777777" w:rsidR="00BB3D7A" w:rsidRPr="000D0465" w:rsidRDefault="00BB3D7A" w:rsidP="000D0465">
            <w:pPr>
              <w:tabs>
                <w:tab w:val="clear" w:pos="567"/>
              </w:tabs>
              <w:spacing w:before="0" w:line="240" w:lineRule="auto"/>
              <w:jc w:val="center"/>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$pc</w:t>
            </w:r>
          </w:p>
        </w:tc>
        <w:tc>
          <w:tcPr>
            <w:tcW w:w="0" w:type="auto"/>
            <w:tcBorders>
              <w:top w:val="nil"/>
              <w:left w:val="nil"/>
              <w:bottom w:val="single" w:sz="4" w:space="0" w:color="ADD6EA"/>
              <w:right w:val="nil"/>
            </w:tcBorders>
            <w:shd w:val="clear" w:color="000000" w:fill="D6E7F0"/>
            <w:noWrap/>
            <w:tcMar>
              <w:top w:w="15" w:type="dxa"/>
              <w:left w:w="15" w:type="dxa"/>
              <w:bottom w:w="0" w:type="dxa"/>
              <w:right w:w="15" w:type="dxa"/>
            </w:tcMar>
            <w:vAlign w:val="bottom"/>
            <w:hideMark/>
          </w:tcPr>
          <w:p w14:paraId="52389C4B" w14:textId="77777777" w:rsidR="00BB3D7A" w:rsidRPr="000D0465" w:rsidRDefault="00BB3D7A" w:rsidP="000D0465">
            <w:pPr>
              <w:tabs>
                <w:tab w:val="clear" w:pos="567"/>
              </w:tabs>
              <w:spacing w:before="0" w:line="240" w:lineRule="auto"/>
              <w:rPr>
                <w:rFonts w:ascii="Open Sans Semibold" w:eastAsia="Times New Roman" w:hAnsi="Open Sans Semibold" w:cs="Open Sans Semibold"/>
                <w:szCs w:val="20"/>
                <w:lang w:eastAsia="en-AU"/>
              </w:rPr>
            </w:pPr>
            <w:r w:rsidRPr="000D0465">
              <w:rPr>
                <w:rFonts w:ascii="Open Sans Semibold" w:eastAsia="Times New Roman" w:hAnsi="Open Sans Semibold" w:cs="Open Sans Semibold"/>
                <w:szCs w:val="20"/>
                <w:lang w:eastAsia="en-AU"/>
              </w:rPr>
              <w:t> </w:t>
            </w:r>
          </w:p>
        </w:tc>
      </w:tr>
      <w:tr w:rsidR="00BB3D7A" w14:paraId="400ACFA0" w14:textId="77777777" w:rsidTr="00BB3D7A">
        <w:trPr>
          <w:trHeight w:val="1500"/>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43EFF3A1" w14:textId="1165B169" w:rsidR="00BB3D7A" w:rsidRPr="00BB3D7A" w:rsidRDefault="00BB3D7A" w:rsidP="004E17CF">
            <w:pPr>
              <w:tabs>
                <w:tab w:val="clear" w:pos="567"/>
              </w:tabs>
              <w:spacing w:before="0" w:line="240" w:lineRule="auto"/>
              <w:ind w:left="6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 xml:space="preserve">Census </w:t>
            </w:r>
            <w:r w:rsidR="00A533F7">
              <w:rPr>
                <w:rFonts w:ascii="Open Sans Light" w:eastAsia="Times New Roman" w:hAnsi="Open Sans Light" w:cs="Open Sans Light"/>
                <w:szCs w:val="20"/>
                <w:lang w:eastAsia="en-AU"/>
              </w:rPr>
              <w:t>–</w:t>
            </w:r>
            <w:r w:rsidRPr="00BB3D7A">
              <w:rPr>
                <w:rFonts w:ascii="Open Sans Light" w:eastAsia="Times New Roman" w:hAnsi="Open Sans Light" w:cs="Open Sans Light"/>
                <w:szCs w:val="20"/>
                <w:lang w:eastAsia="en-AU"/>
              </w:rPr>
              <w:t xml:space="preserve"> </w:t>
            </w:r>
            <w:r w:rsidR="00353C18">
              <w:rPr>
                <w:rFonts w:ascii="Open Sans Light" w:eastAsia="Times New Roman" w:hAnsi="Open Sans Light" w:cs="Open Sans Light"/>
                <w:szCs w:val="20"/>
                <w:lang w:eastAsia="en-AU"/>
              </w:rPr>
              <w:t>u</w:t>
            </w:r>
            <w:r w:rsidRPr="00BB3D7A">
              <w:rPr>
                <w:rFonts w:ascii="Open Sans Light" w:eastAsia="Times New Roman" w:hAnsi="Open Sans Light" w:cs="Open Sans Light"/>
                <w:szCs w:val="20"/>
                <w:lang w:eastAsia="en-AU"/>
              </w:rPr>
              <w:t xml:space="preserve">rban </w:t>
            </w:r>
            <w:r w:rsidR="00353C18">
              <w:rPr>
                <w:rFonts w:ascii="Open Sans Light" w:eastAsia="Times New Roman" w:hAnsi="Open Sans Light" w:cs="Open Sans Light"/>
                <w:szCs w:val="20"/>
                <w:lang w:eastAsia="en-AU"/>
              </w:rPr>
              <w:t>centre c</w:t>
            </w:r>
            <w:r w:rsidRPr="00BB3D7A">
              <w:rPr>
                <w:rFonts w:ascii="Open Sans Light" w:eastAsia="Times New Roman" w:hAnsi="Open Sans Light" w:cs="Open Sans Light"/>
                <w:szCs w:val="20"/>
                <w:lang w:eastAsia="en-AU"/>
              </w:rPr>
              <w:t>haracteristics</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67624645"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35</w:t>
            </w:r>
          </w:p>
        </w:tc>
        <w:tc>
          <w:tcPr>
            <w:tcW w:w="0" w:type="auto"/>
            <w:tcBorders>
              <w:top w:val="nil"/>
              <w:left w:val="nil"/>
              <w:bottom w:val="single" w:sz="4" w:space="0" w:color="ADD6EA"/>
              <w:right w:val="nil"/>
            </w:tcBorders>
            <w:shd w:val="clear" w:color="auto" w:fill="ADD6EA"/>
            <w:noWrap/>
            <w:tcMar>
              <w:top w:w="15" w:type="dxa"/>
              <w:left w:w="15" w:type="dxa"/>
              <w:bottom w:w="0" w:type="dxa"/>
              <w:right w:w="15" w:type="dxa"/>
            </w:tcMar>
            <w:hideMark/>
          </w:tcPr>
          <w:p w14:paraId="402EBCA7"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72</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5C08289C" w14:textId="54E2936A" w:rsidR="00BB3D7A" w:rsidRPr="00BB3D7A" w:rsidRDefault="00BB3D7A" w:rsidP="007F0688">
            <w:pPr>
              <w:tabs>
                <w:tab w:val="clear" w:pos="567"/>
              </w:tabs>
              <w:spacing w:before="0" w:line="240" w:lineRule="auto"/>
              <w:ind w:left="8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 xml:space="preserve">Incorporating 2021 Census data led to large upward revisions to the ACT’s urban population and population-weighted density. This increased its assessed </w:t>
            </w:r>
            <w:r w:rsidR="006A426F">
              <w:rPr>
                <w:rFonts w:ascii="Open Sans Light" w:eastAsia="Times New Roman" w:hAnsi="Open Sans Light" w:cs="Open Sans Light"/>
                <w:szCs w:val="20"/>
                <w:lang w:eastAsia="en-AU"/>
              </w:rPr>
              <w:t>GST</w:t>
            </w:r>
            <w:r w:rsidRPr="00BB3D7A">
              <w:rPr>
                <w:rFonts w:ascii="Open Sans Light" w:eastAsia="Times New Roman" w:hAnsi="Open Sans Light" w:cs="Open Sans Light"/>
                <w:szCs w:val="20"/>
                <w:lang w:eastAsia="en-AU"/>
              </w:rPr>
              <w:t xml:space="preserve"> needs for urban transport services and infrastructure.</w:t>
            </w:r>
          </w:p>
        </w:tc>
      </w:tr>
      <w:tr w:rsidR="00BB3D7A" w14:paraId="041BF8EA" w14:textId="77777777" w:rsidTr="00BB3D7A">
        <w:trPr>
          <w:trHeight w:val="1500"/>
        </w:trPr>
        <w:tc>
          <w:tcPr>
            <w:tcW w:w="2940" w:type="dxa"/>
            <w:tcBorders>
              <w:top w:val="nil"/>
              <w:left w:val="nil"/>
              <w:bottom w:val="single" w:sz="4" w:space="0" w:color="ADD6EA"/>
              <w:right w:val="nil"/>
            </w:tcBorders>
            <w:shd w:val="clear" w:color="auto" w:fill="auto"/>
            <w:tcMar>
              <w:top w:w="15" w:type="dxa"/>
              <w:left w:w="15" w:type="dxa"/>
              <w:bottom w:w="0" w:type="dxa"/>
              <w:right w:w="15" w:type="dxa"/>
            </w:tcMar>
            <w:hideMark/>
          </w:tcPr>
          <w:p w14:paraId="79CBF6A0" w14:textId="6620CDE7" w:rsidR="00BB3D7A" w:rsidRPr="00BB3D7A" w:rsidRDefault="00792E0B" w:rsidP="004E17CF">
            <w:pPr>
              <w:tabs>
                <w:tab w:val="clear" w:pos="567"/>
              </w:tabs>
              <w:spacing w:before="0" w:line="240" w:lineRule="auto"/>
              <w:ind w:left="64"/>
              <w:rPr>
                <w:rFonts w:ascii="Open Sans Light" w:eastAsia="Times New Roman" w:hAnsi="Open Sans Light" w:cs="Open Sans Light"/>
                <w:szCs w:val="20"/>
                <w:lang w:eastAsia="en-AU"/>
              </w:rPr>
            </w:pPr>
            <w:r>
              <w:rPr>
                <w:rFonts w:ascii="Open Sans Light" w:eastAsia="Times New Roman" w:hAnsi="Open Sans Light" w:cs="Open Sans Light"/>
                <w:szCs w:val="20"/>
                <w:lang w:eastAsia="en-AU"/>
              </w:rPr>
              <w:t>Socio-economic disadvantage in schools</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20C15F99"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-19</w:t>
            </w:r>
          </w:p>
        </w:tc>
        <w:tc>
          <w:tcPr>
            <w:tcW w:w="0" w:type="auto"/>
            <w:tcBorders>
              <w:top w:val="nil"/>
              <w:left w:val="nil"/>
              <w:bottom w:val="single" w:sz="4" w:space="0" w:color="ADD6EA"/>
              <w:right w:val="nil"/>
            </w:tcBorders>
            <w:shd w:val="clear" w:color="auto" w:fill="EBBFA0"/>
            <w:noWrap/>
            <w:tcMar>
              <w:top w:w="15" w:type="dxa"/>
              <w:left w:w="15" w:type="dxa"/>
              <w:bottom w:w="0" w:type="dxa"/>
              <w:right w:w="15" w:type="dxa"/>
            </w:tcMar>
            <w:hideMark/>
          </w:tcPr>
          <w:p w14:paraId="357D33A5" w14:textId="77777777" w:rsidR="00BB3D7A" w:rsidRPr="000D0465" w:rsidRDefault="00BB3D7A" w:rsidP="000D0465">
            <w:pPr>
              <w:tabs>
                <w:tab w:val="clear" w:pos="567"/>
              </w:tabs>
              <w:spacing w:before="0" w:line="240" w:lineRule="auto"/>
              <w:jc w:val="center"/>
              <w:rPr>
                <w:rFonts w:ascii="Open Sans Light" w:eastAsia="Times New Roman" w:hAnsi="Open Sans Light" w:cs="Open Sans Light"/>
                <w:szCs w:val="20"/>
                <w:lang w:eastAsia="en-AU"/>
              </w:rPr>
            </w:pPr>
            <w:r w:rsidRPr="000D0465">
              <w:rPr>
                <w:rFonts w:ascii="Open Sans Light" w:eastAsia="Times New Roman" w:hAnsi="Open Sans Light" w:cs="Open Sans Light"/>
                <w:szCs w:val="20"/>
                <w:lang w:eastAsia="en-AU"/>
              </w:rPr>
              <w:t>-39</w:t>
            </w:r>
          </w:p>
        </w:tc>
        <w:tc>
          <w:tcPr>
            <w:tcW w:w="4500" w:type="dxa"/>
            <w:tcBorders>
              <w:top w:val="nil"/>
              <w:left w:val="nil"/>
              <w:bottom w:val="single" w:sz="4" w:space="0" w:color="ADD6EA"/>
              <w:right w:val="nil"/>
            </w:tcBorders>
            <w:shd w:val="clear" w:color="auto" w:fill="auto"/>
            <w:tcMar>
              <w:top w:w="15" w:type="dxa"/>
              <w:left w:w="15" w:type="dxa"/>
              <w:bottom w:w="0" w:type="dxa"/>
              <w:right w:w="15" w:type="dxa"/>
            </w:tcMar>
            <w:hideMark/>
          </w:tcPr>
          <w:p w14:paraId="1F330A39" w14:textId="77777777" w:rsidR="00BB3D7A" w:rsidRPr="00BB3D7A" w:rsidRDefault="00BB3D7A" w:rsidP="007F0688">
            <w:pPr>
              <w:tabs>
                <w:tab w:val="clear" w:pos="567"/>
              </w:tabs>
              <w:spacing w:before="0" w:line="240" w:lineRule="auto"/>
              <w:ind w:left="84"/>
              <w:rPr>
                <w:rFonts w:ascii="Open Sans Light" w:eastAsia="Times New Roman" w:hAnsi="Open Sans Light" w:cs="Open Sans Light"/>
                <w:szCs w:val="20"/>
                <w:lang w:eastAsia="en-AU"/>
              </w:rPr>
            </w:pPr>
            <w:r w:rsidRPr="00BB3D7A">
              <w:rPr>
                <w:rFonts w:ascii="Open Sans Light" w:eastAsia="Times New Roman" w:hAnsi="Open Sans Light" w:cs="Open Sans Light"/>
                <w:szCs w:val="20"/>
                <w:lang w:eastAsia="en-AU"/>
              </w:rPr>
              <w:t xml:space="preserve">An upward revision to the cost weight for school students from low socio-economic status backgrounds led to a decrease in assessed expenses for states with below-average shares of these students, including the ACT. </w:t>
            </w:r>
          </w:p>
        </w:tc>
      </w:tr>
    </w:tbl>
    <w:p w14:paraId="569B1C1D" w14:textId="79FBA185" w:rsidR="00631F23" w:rsidRPr="00754E2C" w:rsidRDefault="00631F23" w:rsidP="00631F23">
      <w:pPr>
        <w:pStyle w:val="CGCTablenote"/>
      </w:pPr>
      <w:r w:rsidRPr="00754E2C">
        <w:t>Source: Commission calculation.</w:t>
      </w:r>
      <w:r w:rsidRPr="00754E2C">
        <w:br w:type="page"/>
      </w:r>
    </w:p>
    <w:p w14:paraId="316A2D82" w14:textId="04D01F68" w:rsidR="00812C63" w:rsidRDefault="00631F23" w:rsidP="006E6B27">
      <w:pPr>
        <w:pStyle w:val="Heading2"/>
      </w:pPr>
      <w:r>
        <w:lastRenderedPageBreak/>
        <w:t>Northern Territory</w:t>
      </w:r>
    </w:p>
    <w:p w14:paraId="673E4799" w14:textId="26263C59" w:rsidR="006E6B27" w:rsidRPr="00754E2C" w:rsidRDefault="006E6B27" w:rsidP="006E6B27">
      <w:r w:rsidRPr="00754E2C">
        <w:t xml:space="preserve">The Northern Territory’s share of the GST pool is estimated to increase from 4.7% to 4.8%. </w:t>
      </w:r>
      <w:proofErr w:type="gramStart"/>
      <w:r w:rsidRPr="00754E2C">
        <w:t>Taking into account</w:t>
      </w:r>
      <w:proofErr w:type="gramEnd"/>
      <w:r w:rsidRPr="00754E2C">
        <w:t xml:space="preserve"> growth in the GST pool, the Northern Territory’s estimated GST distribution in 2024</w:t>
      </w:r>
      <w:r w:rsidR="00C9539C">
        <w:t>–</w:t>
      </w:r>
      <w:r w:rsidRPr="00754E2C">
        <w:t>25 would increase by $256 million ($995 per capita), or 6.4%.</w:t>
      </w:r>
    </w:p>
    <w:p w14:paraId="5B4D9E8F" w14:textId="3BD1F40C" w:rsidR="006E6B27" w:rsidRPr="00754E2C" w:rsidRDefault="006E6B27" w:rsidP="006E6B27">
      <w:pPr>
        <w:pStyle w:val="BulletPoints"/>
      </w:pPr>
      <w:r w:rsidRPr="00754E2C">
        <w:t>The Northern Territory’s assessed GST needs increased</w:t>
      </w:r>
      <w:r w:rsidR="005A1147">
        <w:t xml:space="preserve"> largely</w:t>
      </w:r>
      <w:r w:rsidRPr="00754E2C">
        <w:t xml:space="preserve"> due to:</w:t>
      </w:r>
    </w:p>
    <w:p w14:paraId="4BC8B5F4" w14:textId="77777777" w:rsidR="006E6B27" w:rsidRPr="00754E2C" w:rsidRDefault="006E6B27" w:rsidP="006E6B27">
      <w:pPr>
        <w:pStyle w:val="BulletPoints-Level2"/>
      </w:pPr>
      <w:r w:rsidRPr="00754E2C">
        <w:t xml:space="preserve">the increased capacity to raise mining revenue in coal producing </w:t>
      </w:r>
      <w:proofErr w:type="gramStart"/>
      <w:r w:rsidRPr="00754E2C">
        <w:t>states</w:t>
      </w:r>
      <w:proofErr w:type="gramEnd"/>
    </w:p>
    <w:p w14:paraId="6DF941F5" w14:textId="77777777" w:rsidR="006E6B27" w:rsidRPr="00754E2C" w:rsidRDefault="006E6B27" w:rsidP="006E6B27">
      <w:pPr>
        <w:pStyle w:val="BulletPoints-Level2"/>
      </w:pPr>
      <w:r w:rsidRPr="00754E2C">
        <w:t xml:space="preserve">above-average growth in assessed wage </w:t>
      </w:r>
      <w:proofErr w:type="gramStart"/>
      <w:r w:rsidRPr="00754E2C">
        <w:t>costs</w:t>
      </w:r>
      <w:proofErr w:type="gramEnd"/>
    </w:p>
    <w:p w14:paraId="0E643890" w14:textId="77777777" w:rsidR="006E6B27" w:rsidRPr="00754E2C" w:rsidRDefault="006E6B27" w:rsidP="006E6B27">
      <w:pPr>
        <w:pStyle w:val="BulletPoints-Level2"/>
      </w:pPr>
      <w:r w:rsidRPr="00754E2C">
        <w:t xml:space="preserve">revisions to disaggregated socio-demographic population data in the latest 2021 Census </w:t>
      </w:r>
      <w:proofErr w:type="gramStart"/>
      <w:r w:rsidRPr="00754E2C">
        <w:t>release</w:t>
      </w:r>
      <w:proofErr w:type="gramEnd"/>
    </w:p>
    <w:p w14:paraId="35DA96CC" w14:textId="77777777" w:rsidR="006E6B27" w:rsidRPr="00754E2C" w:rsidRDefault="006E6B27" w:rsidP="006E6B27">
      <w:pPr>
        <w:pStyle w:val="BulletPoints-Level2"/>
      </w:pPr>
      <w:r w:rsidRPr="00754E2C">
        <w:t>revisions to investment data.</w:t>
      </w:r>
    </w:p>
    <w:p w14:paraId="1DD7E993" w14:textId="07BEDBB7" w:rsidR="006E6B27" w:rsidRPr="00754E2C" w:rsidRDefault="006E6B27" w:rsidP="006E6B27">
      <w:pPr>
        <w:pStyle w:val="BulletPoints"/>
      </w:pPr>
      <w:r w:rsidRPr="00754E2C">
        <w:t xml:space="preserve">These changes were partly offset by strong growth in national urban transport investment and </w:t>
      </w:r>
      <w:r w:rsidR="00F23AC0">
        <w:t>slow</w:t>
      </w:r>
      <w:r w:rsidRPr="00754E2C">
        <w:t xml:space="preserve"> growth in investment in health and rural roads. There was also </w:t>
      </w:r>
      <w:r w:rsidR="00F23AC0">
        <w:t>slow</w:t>
      </w:r>
      <w:r w:rsidRPr="00754E2C">
        <w:t xml:space="preserve"> growth in national spending on First Nations people, and in administrative scale expenses.</w:t>
      </w:r>
    </w:p>
    <w:p w14:paraId="7F288198" w14:textId="1BFC264C" w:rsidR="006E6B27" w:rsidRPr="00754E2C" w:rsidRDefault="006E6B27" w:rsidP="006E6B27">
      <w:pPr>
        <w:pStyle w:val="BulletPoints"/>
      </w:pPr>
      <w:r w:rsidRPr="00754E2C">
        <w:t xml:space="preserve">The Northern Territory’s estimated GST distribution </w:t>
      </w:r>
      <w:r w:rsidR="00391D60">
        <w:t xml:space="preserve">also </w:t>
      </w:r>
      <w:r w:rsidRPr="00754E2C">
        <w:t>increased due to expected growth in the GST pool.</w:t>
      </w:r>
    </w:p>
    <w:p w14:paraId="50009236" w14:textId="3A16703C" w:rsidR="006E6B27" w:rsidRPr="00754E2C" w:rsidRDefault="006E6B27" w:rsidP="006E6B27">
      <w:pPr>
        <w:pStyle w:val="BulletPoints"/>
      </w:pPr>
      <w:r w:rsidRPr="00754E2C">
        <w:t>Compared with 2023</w:t>
      </w:r>
      <w:r w:rsidR="003C2034">
        <w:t>–</w:t>
      </w:r>
      <w:r w:rsidRPr="00754E2C">
        <w:t>24, blended relativities and the GST floor resulted in a reduction ($2 million) in the Northern Territory’s GST distribution.</w:t>
      </w:r>
    </w:p>
    <w:p w14:paraId="40F61455" w14:textId="03E3EA46" w:rsidR="006E6B27" w:rsidRPr="00754E2C" w:rsidRDefault="006E6B27" w:rsidP="00D424B7">
      <w:pPr>
        <w:pStyle w:val="Tableheading"/>
        <w:ind w:left="1440" w:hanging="1440"/>
      </w:pPr>
      <w:r w:rsidRPr="00754E2C">
        <w:t>Table 3-8</w:t>
      </w:r>
      <w:r w:rsidRPr="00754E2C">
        <w:tab/>
        <w:t>Change in estimated GST distribution from 2023</w:t>
      </w:r>
      <w:r w:rsidR="003C2034">
        <w:t>–</w:t>
      </w:r>
      <w:r w:rsidRPr="00754E2C">
        <w:t>24 to 2024</w:t>
      </w:r>
      <w:r w:rsidR="003C2034">
        <w:t>–</w:t>
      </w:r>
      <w:r w:rsidRPr="00754E2C">
        <w:t>25, Northern</w:t>
      </w:r>
      <w:r w:rsidR="00C1319A">
        <w:t> </w:t>
      </w:r>
      <w:r w:rsidRPr="00754E2C">
        <w:t>Territory (excludes no worse off payments)</w:t>
      </w:r>
    </w:p>
    <w:tbl>
      <w:tblPr>
        <w:tblW w:w="8940" w:type="dxa"/>
        <w:tblLook w:val="04A0" w:firstRow="1" w:lastRow="0" w:firstColumn="1" w:lastColumn="0" w:noHBand="0" w:noVBand="1"/>
      </w:tblPr>
      <w:tblGrid>
        <w:gridCol w:w="4420"/>
        <w:gridCol w:w="2200"/>
        <w:gridCol w:w="2320"/>
      </w:tblGrid>
      <w:tr w:rsidR="006E6B27" w14:paraId="0CE6C318" w14:textId="77777777" w:rsidTr="00C64326">
        <w:trPr>
          <w:trHeight w:val="375"/>
        </w:trPr>
        <w:tc>
          <w:tcPr>
            <w:tcW w:w="4420" w:type="dxa"/>
            <w:tcBorders>
              <w:top w:val="nil"/>
              <w:left w:val="nil"/>
              <w:bottom w:val="single" w:sz="4" w:space="0" w:color="ADD6EA"/>
              <w:right w:val="nil"/>
            </w:tcBorders>
            <w:shd w:val="clear" w:color="000000" w:fill="006991"/>
            <w:noWrap/>
            <w:vAlign w:val="center"/>
            <w:hideMark/>
          </w:tcPr>
          <w:p w14:paraId="79A11C4F" w14:textId="77777777" w:rsidR="006E6B27" w:rsidRPr="00C64326" w:rsidRDefault="006E6B27" w:rsidP="00C6432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326">
              <w:rPr>
                <w:rFonts w:ascii="Open Sans Semibold" w:eastAsia="Times New Roman" w:hAnsi="Open Sans Semibold" w:cs="Open Sans Semibold"/>
                <w:color w:val="FFFFFF"/>
                <w:sz w:val="16"/>
                <w:szCs w:val="16"/>
                <w:lang w:eastAsia="en-AU"/>
              </w:rPr>
              <w:t> </w:t>
            </w:r>
          </w:p>
        </w:tc>
        <w:tc>
          <w:tcPr>
            <w:tcW w:w="2200" w:type="dxa"/>
            <w:tcBorders>
              <w:top w:val="nil"/>
              <w:left w:val="nil"/>
              <w:bottom w:val="single" w:sz="4" w:space="0" w:color="ADD6EA"/>
              <w:right w:val="nil"/>
            </w:tcBorders>
            <w:shd w:val="clear" w:color="000000" w:fill="006991"/>
            <w:noWrap/>
            <w:vAlign w:val="center"/>
            <w:hideMark/>
          </w:tcPr>
          <w:p w14:paraId="34C7F93D" w14:textId="77777777" w:rsidR="006E6B27" w:rsidRPr="00C64326" w:rsidRDefault="006E6B27" w:rsidP="00C6432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326">
              <w:rPr>
                <w:rFonts w:ascii="Open Sans Semibold" w:eastAsia="Times New Roman" w:hAnsi="Open Sans Semibold" w:cs="Open Sans Semibold"/>
                <w:color w:val="FFFFFF"/>
                <w:sz w:val="16"/>
                <w:szCs w:val="16"/>
                <w:lang w:eastAsia="en-AU"/>
              </w:rPr>
              <w:t>$m</w:t>
            </w:r>
          </w:p>
        </w:tc>
        <w:tc>
          <w:tcPr>
            <w:tcW w:w="2320" w:type="dxa"/>
            <w:tcBorders>
              <w:top w:val="nil"/>
              <w:left w:val="nil"/>
              <w:bottom w:val="single" w:sz="4" w:space="0" w:color="ADD6EA"/>
              <w:right w:val="nil"/>
            </w:tcBorders>
            <w:shd w:val="clear" w:color="000000" w:fill="006991"/>
            <w:noWrap/>
            <w:vAlign w:val="center"/>
            <w:hideMark/>
          </w:tcPr>
          <w:p w14:paraId="76B15A6B" w14:textId="77777777" w:rsidR="006E6B27" w:rsidRPr="00C64326" w:rsidRDefault="006E6B27" w:rsidP="00C64326">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C64326">
              <w:rPr>
                <w:rFonts w:ascii="Open Sans Semibold" w:eastAsia="Times New Roman" w:hAnsi="Open Sans Semibold" w:cs="Open Sans Semibold"/>
                <w:color w:val="FFFFFF"/>
                <w:sz w:val="16"/>
                <w:szCs w:val="16"/>
                <w:lang w:eastAsia="en-AU"/>
              </w:rPr>
              <w:t>$pc</w:t>
            </w:r>
          </w:p>
        </w:tc>
      </w:tr>
      <w:tr w:rsidR="006E6B27" w14:paraId="7DAA5318" w14:textId="77777777" w:rsidTr="00C64326">
        <w:trPr>
          <w:trHeight w:val="315"/>
        </w:trPr>
        <w:tc>
          <w:tcPr>
            <w:tcW w:w="4420" w:type="dxa"/>
            <w:tcBorders>
              <w:top w:val="nil"/>
              <w:left w:val="nil"/>
              <w:bottom w:val="single" w:sz="4" w:space="0" w:color="ADD6EA"/>
              <w:right w:val="nil"/>
            </w:tcBorders>
            <w:shd w:val="clear" w:color="auto" w:fill="auto"/>
            <w:noWrap/>
            <w:vAlign w:val="bottom"/>
            <w:hideMark/>
          </w:tcPr>
          <w:p w14:paraId="0BD72BE4" w14:textId="77777777" w:rsidR="006E6B27" w:rsidRPr="00200AAE" w:rsidRDefault="006E6B27" w:rsidP="00C64326">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Change in </w:t>
            </w:r>
            <w:r w:rsidRPr="00200AAE">
              <w:rPr>
                <w:rFonts w:ascii="Open Sans Light" w:eastAsia="Times New Roman" w:hAnsi="Open Sans Light" w:cs="Open Sans Light"/>
                <w:color w:val="000000"/>
                <w:sz w:val="16"/>
                <w:szCs w:val="16"/>
                <w:lang w:eastAsia="en-AU"/>
              </w:rPr>
              <w:t>population</w:t>
            </w:r>
          </w:p>
        </w:tc>
        <w:tc>
          <w:tcPr>
            <w:tcW w:w="2200" w:type="dxa"/>
            <w:tcBorders>
              <w:top w:val="nil"/>
              <w:left w:val="nil"/>
              <w:bottom w:val="single" w:sz="4" w:space="0" w:color="ADD6EA"/>
              <w:right w:val="nil"/>
            </w:tcBorders>
            <w:shd w:val="clear" w:color="auto" w:fill="auto"/>
            <w:noWrap/>
            <w:vAlign w:val="bottom"/>
            <w:hideMark/>
          </w:tcPr>
          <w:p w14:paraId="58BB77D5"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-23</w:t>
            </w:r>
          </w:p>
        </w:tc>
        <w:tc>
          <w:tcPr>
            <w:tcW w:w="2320" w:type="dxa"/>
            <w:tcBorders>
              <w:top w:val="nil"/>
              <w:left w:val="nil"/>
              <w:bottom w:val="single" w:sz="4" w:space="0" w:color="ADD6EA"/>
              <w:right w:val="nil"/>
            </w:tcBorders>
            <w:shd w:val="clear" w:color="auto" w:fill="auto"/>
            <w:noWrap/>
            <w:vAlign w:val="bottom"/>
            <w:hideMark/>
          </w:tcPr>
          <w:p w14:paraId="2AF11473"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-89</w:t>
            </w:r>
          </w:p>
        </w:tc>
      </w:tr>
      <w:tr w:rsidR="006E6B27" w14:paraId="42D3437A" w14:textId="77777777" w:rsidTr="00C64326">
        <w:trPr>
          <w:trHeight w:val="315"/>
        </w:trPr>
        <w:tc>
          <w:tcPr>
            <w:tcW w:w="4420" w:type="dxa"/>
            <w:tcBorders>
              <w:top w:val="nil"/>
              <w:left w:val="nil"/>
              <w:bottom w:val="single" w:sz="4" w:space="0" w:color="ADD6EA"/>
              <w:right w:val="nil"/>
            </w:tcBorders>
            <w:shd w:val="clear" w:color="auto" w:fill="auto"/>
            <w:noWrap/>
            <w:vAlign w:val="bottom"/>
            <w:hideMark/>
          </w:tcPr>
          <w:p w14:paraId="0A42BF53" w14:textId="77777777" w:rsidR="006E6B27" w:rsidRPr="00200AAE" w:rsidRDefault="006E6B27" w:rsidP="00C64326">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Growth in GST pool </w:t>
            </w:r>
          </w:p>
        </w:tc>
        <w:tc>
          <w:tcPr>
            <w:tcW w:w="2200" w:type="dxa"/>
            <w:tcBorders>
              <w:top w:val="nil"/>
              <w:left w:val="nil"/>
              <w:bottom w:val="single" w:sz="4" w:space="0" w:color="ADD6EA"/>
              <w:right w:val="nil"/>
            </w:tcBorders>
            <w:shd w:val="clear" w:color="auto" w:fill="auto"/>
            <w:noWrap/>
            <w:vAlign w:val="bottom"/>
            <w:hideMark/>
          </w:tcPr>
          <w:p w14:paraId="3DB29384"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225</w:t>
            </w:r>
          </w:p>
        </w:tc>
        <w:tc>
          <w:tcPr>
            <w:tcW w:w="2320" w:type="dxa"/>
            <w:tcBorders>
              <w:top w:val="nil"/>
              <w:left w:val="nil"/>
              <w:bottom w:val="single" w:sz="4" w:space="0" w:color="ADD6EA"/>
              <w:right w:val="nil"/>
            </w:tcBorders>
            <w:shd w:val="clear" w:color="auto" w:fill="auto"/>
            <w:noWrap/>
            <w:vAlign w:val="bottom"/>
            <w:hideMark/>
          </w:tcPr>
          <w:p w14:paraId="06D209EB"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876</w:t>
            </w:r>
          </w:p>
        </w:tc>
      </w:tr>
      <w:tr w:rsidR="006E6B27" w14:paraId="2F3B1889" w14:textId="77777777" w:rsidTr="00C64326">
        <w:trPr>
          <w:trHeight w:val="315"/>
        </w:trPr>
        <w:tc>
          <w:tcPr>
            <w:tcW w:w="4420" w:type="dxa"/>
            <w:tcBorders>
              <w:top w:val="nil"/>
              <w:left w:val="nil"/>
              <w:bottom w:val="single" w:sz="4" w:space="0" w:color="ADD6EA"/>
              <w:right w:val="nil"/>
            </w:tcBorders>
            <w:shd w:val="clear" w:color="auto" w:fill="auto"/>
            <w:noWrap/>
            <w:vAlign w:val="bottom"/>
            <w:hideMark/>
          </w:tcPr>
          <w:p w14:paraId="3DD0879F" w14:textId="77777777" w:rsidR="006E6B27" w:rsidRPr="00200AAE" w:rsidRDefault="006E6B27" w:rsidP="00C64326">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Changes in assessed GST needs</w:t>
            </w:r>
          </w:p>
        </w:tc>
        <w:tc>
          <w:tcPr>
            <w:tcW w:w="2200" w:type="dxa"/>
            <w:tcBorders>
              <w:top w:val="nil"/>
              <w:left w:val="nil"/>
              <w:bottom w:val="single" w:sz="4" w:space="0" w:color="ADD6EA"/>
              <w:right w:val="nil"/>
            </w:tcBorders>
            <w:shd w:val="clear" w:color="auto" w:fill="auto"/>
            <w:noWrap/>
            <w:vAlign w:val="bottom"/>
            <w:hideMark/>
          </w:tcPr>
          <w:p w14:paraId="03EFB29C"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w:t>
            </w:r>
          </w:p>
        </w:tc>
        <w:tc>
          <w:tcPr>
            <w:tcW w:w="2320" w:type="dxa"/>
            <w:tcBorders>
              <w:top w:val="nil"/>
              <w:left w:val="nil"/>
              <w:bottom w:val="single" w:sz="4" w:space="0" w:color="ADD6EA"/>
              <w:right w:val="nil"/>
            </w:tcBorders>
            <w:shd w:val="clear" w:color="auto" w:fill="auto"/>
            <w:noWrap/>
            <w:vAlign w:val="bottom"/>
            <w:hideMark/>
          </w:tcPr>
          <w:p w14:paraId="1DA3C7F7"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w:t>
            </w:r>
          </w:p>
        </w:tc>
      </w:tr>
      <w:tr w:rsidR="006E6B27" w14:paraId="7DBF22ED" w14:textId="77777777" w:rsidTr="00C64326">
        <w:trPr>
          <w:trHeight w:val="315"/>
        </w:trPr>
        <w:tc>
          <w:tcPr>
            <w:tcW w:w="4420" w:type="dxa"/>
            <w:tcBorders>
              <w:top w:val="nil"/>
              <w:left w:val="nil"/>
              <w:bottom w:val="single" w:sz="4" w:space="0" w:color="ADD6EA"/>
              <w:right w:val="nil"/>
            </w:tcBorders>
            <w:shd w:val="clear" w:color="auto" w:fill="auto"/>
            <w:noWrap/>
            <w:vAlign w:val="bottom"/>
            <w:hideMark/>
          </w:tcPr>
          <w:p w14:paraId="09291664" w14:textId="1D48A178" w:rsidR="006E6B27" w:rsidRPr="00200AAE" w:rsidRDefault="006E6B27" w:rsidP="00C64326">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 xml:space="preserve">Revised populations from </w:t>
            </w:r>
            <w:r w:rsidR="000849E9" w:rsidRPr="00200AAE">
              <w:rPr>
                <w:rFonts w:ascii="Open Sans Light" w:eastAsia="Times New Roman" w:hAnsi="Open Sans Light" w:cs="Open Sans Light"/>
                <w:sz w:val="16"/>
                <w:szCs w:val="16"/>
                <w:lang w:eastAsia="en-AU"/>
              </w:rPr>
              <w:t>C</w:t>
            </w:r>
            <w:r w:rsidRPr="00200AAE">
              <w:rPr>
                <w:rFonts w:ascii="Open Sans Light" w:eastAsia="Times New Roman" w:hAnsi="Open Sans Light" w:cs="Open Sans Light"/>
                <w:sz w:val="16"/>
                <w:szCs w:val="16"/>
                <w:lang w:eastAsia="en-AU"/>
              </w:rPr>
              <w:t>ensus</w:t>
            </w:r>
          </w:p>
        </w:tc>
        <w:tc>
          <w:tcPr>
            <w:tcW w:w="2200" w:type="dxa"/>
            <w:tcBorders>
              <w:top w:val="nil"/>
              <w:left w:val="nil"/>
              <w:bottom w:val="single" w:sz="4" w:space="0" w:color="ADD6EA"/>
              <w:right w:val="nil"/>
            </w:tcBorders>
            <w:shd w:val="clear" w:color="auto" w:fill="auto"/>
            <w:noWrap/>
            <w:vAlign w:val="bottom"/>
            <w:hideMark/>
          </w:tcPr>
          <w:p w14:paraId="084CACE9"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50</w:t>
            </w:r>
          </w:p>
        </w:tc>
        <w:tc>
          <w:tcPr>
            <w:tcW w:w="2320" w:type="dxa"/>
            <w:tcBorders>
              <w:top w:val="nil"/>
              <w:left w:val="nil"/>
              <w:bottom w:val="single" w:sz="4" w:space="0" w:color="ADD6EA"/>
              <w:right w:val="nil"/>
            </w:tcBorders>
            <w:shd w:val="clear" w:color="auto" w:fill="auto"/>
            <w:noWrap/>
            <w:vAlign w:val="bottom"/>
            <w:hideMark/>
          </w:tcPr>
          <w:p w14:paraId="00920B10"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193</w:t>
            </w:r>
          </w:p>
        </w:tc>
      </w:tr>
      <w:tr w:rsidR="006E6B27" w14:paraId="4DF012AC" w14:textId="77777777" w:rsidTr="00C64326">
        <w:trPr>
          <w:trHeight w:val="315"/>
        </w:trPr>
        <w:tc>
          <w:tcPr>
            <w:tcW w:w="4420" w:type="dxa"/>
            <w:tcBorders>
              <w:top w:val="nil"/>
              <w:left w:val="nil"/>
              <w:bottom w:val="single" w:sz="4" w:space="0" w:color="ADD6EA"/>
              <w:right w:val="nil"/>
            </w:tcBorders>
            <w:shd w:val="clear" w:color="auto" w:fill="auto"/>
            <w:noWrap/>
            <w:vAlign w:val="bottom"/>
            <w:hideMark/>
          </w:tcPr>
          <w:p w14:paraId="28ABCE31" w14:textId="77777777" w:rsidR="006E6B27" w:rsidRPr="00200AAE" w:rsidRDefault="006E6B27" w:rsidP="00C64326">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Other data revisions</w:t>
            </w:r>
          </w:p>
        </w:tc>
        <w:tc>
          <w:tcPr>
            <w:tcW w:w="2200" w:type="dxa"/>
            <w:tcBorders>
              <w:top w:val="nil"/>
              <w:left w:val="nil"/>
              <w:bottom w:val="single" w:sz="4" w:space="0" w:color="ADD6EA"/>
              <w:right w:val="nil"/>
            </w:tcBorders>
            <w:shd w:val="clear" w:color="auto" w:fill="auto"/>
            <w:noWrap/>
            <w:vAlign w:val="bottom"/>
            <w:hideMark/>
          </w:tcPr>
          <w:p w14:paraId="621208FD"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36</w:t>
            </w:r>
          </w:p>
        </w:tc>
        <w:tc>
          <w:tcPr>
            <w:tcW w:w="2320" w:type="dxa"/>
            <w:tcBorders>
              <w:top w:val="nil"/>
              <w:left w:val="nil"/>
              <w:bottom w:val="single" w:sz="4" w:space="0" w:color="ADD6EA"/>
              <w:right w:val="nil"/>
            </w:tcBorders>
            <w:shd w:val="clear" w:color="auto" w:fill="auto"/>
            <w:noWrap/>
            <w:vAlign w:val="bottom"/>
            <w:hideMark/>
          </w:tcPr>
          <w:p w14:paraId="68EFADEC"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139</w:t>
            </w:r>
          </w:p>
        </w:tc>
      </w:tr>
      <w:tr w:rsidR="006E6B27" w14:paraId="35748A0B" w14:textId="77777777" w:rsidTr="00C64326">
        <w:trPr>
          <w:trHeight w:val="315"/>
        </w:trPr>
        <w:tc>
          <w:tcPr>
            <w:tcW w:w="4420" w:type="dxa"/>
            <w:tcBorders>
              <w:top w:val="nil"/>
              <w:left w:val="nil"/>
              <w:bottom w:val="single" w:sz="4" w:space="0" w:color="ADD6EA"/>
              <w:right w:val="nil"/>
            </w:tcBorders>
            <w:shd w:val="clear" w:color="auto" w:fill="auto"/>
            <w:noWrap/>
            <w:vAlign w:val="bottom"/>
            <w:hideMark/>
          </w:tcPr>
          <w:p w14:paraId="0E092575" w14:textId="77777777" w:rsidR="006E6B27" w:rsidRPr="00200AAE" w:rsidRDefault="006E6B27" w:rsidP="00C64326">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State circumstances</w:t>
            </w:r>
          </w:p>
        </w:tc>
        <w:tc>
          <w:tcPr>
            <w:tcW w:w="2200" w:type="dxa"/>
            <w:tcBorders>
              <w:top w:val="nil"/>
              <w:left w:val="nil"/>
              <w:bottom w:val="single" w:sz="4" w:space="0" w:color="ADD6EA"/>
              <w:right w:val="nil"/>
            </w:tcBorders>
            <w:shd w:val="clear" w:color="auto" w:fill="auto"/>
            <w:noWrap/>
            <w:vAlign w:val="bottom"/>
            <w:hideMark/>
          </w:tcPr>
          <w:p w14:paraId="0FEEAC3C"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-30</w:t>
            </w:r>
          </w:p>
        </w:tc>
        <w:tc>
          <w:tcPr>
            <w:tcW w:w="2320" w:type="dxa"/>
            <w:tcBorders>
              <w:top w:val="nil"/>
              <w:left w:val="nil"/>
              <w:bottom w:val="single" w:sz="4" w:space="0" w:color="ADD6EA"/>
              <w:right w:val="nil"/>
            </w:tcBorders>
            <w:shd w:val="clear" w:color="auto" w:fill="auto"/>
            <w:noWrap/>
            <w:vAlign w:val="bottom"/>
            <w:hideMark/>
          </w:tcPr>
          <w:p w14:paraId="52522C26"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-116</w:t>
            </w:r>
          </w:p>
        </w:tc>
      </w:tr>
      <w:tr w:rsidR="006E6B27" w14:paraId="3A455B37" w14:textId="77777777" w:rsidTr="00C64326">
        <w:trPr>
          <w:trHeight w:val="315"/>
        </w:trPr>
        <w:tc>
          <w:tcPr>
            <w:tcW w:w="4420" w:type="dxa"/>
            <w:tcBorders>
              <w:top w:val="nil"/>
              <w:left w:val="nil"/>
              <w:bottom w:val="single" w:sz="4" w:space="0" w:color="ADD6EA"/>
              <w:right w:val="nil"/>
            </w:tcBorders>
            <w:shd w:val="clear" w:color="auto" w:fill="auto"/>
            <w:noWrap/>
            <w:vAlign w:val="bottom"/>
            <w:hideMark/>
          </w:tcPr>
          <w:p w14:paraId="52E09279" w14:textId="77777777" w:rsidR="006E6B27" w:rsidRPr="00200AAE" w:rsidRDefault="006E6B27" w:rsidP="00C64326">
            <w:pPr>
              <w:tabs>
                <w:tab w:val="clear" w:pos="567"/>
              </w:tabs>
              <w:spacing w:before="0" w:line="240" w:lineRule="auto"/>
              <w:ind w:firstLineChars="100" w:firstLine="160"/>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Total</w:t>
            </w:r>
          </w:p>
        </w:tc>
        <w:tc>
          <w:tcPr>
            <w:tcW w:w="2200" w:type="dxa"/>
            <w:tcBorders>
              <w:top w:val="nil"/>
              <w:left w:val="nil"/>
              <w:bottom w:val="single" w:sz="4" w:space="0" w:color="ADD6EA"/>
              <w:right w:val="nil"/>
            </w:tcBorders>
            <w:shd w:val="clear" w:color="auto" w:fill="auto"/>
            <w:noWrap/>
            <w:vAlign w:val="bottom"/>
            <w:hideMark/>
          </w:tcPr>
          <w:p w14:paraId="0C601AEE"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56</w:t>
            </w:r>
          </w:p>
        </w:tc>
        <w:tc>
          <w:tcPr>
            <w:tcW w:w="2320" w:type="dxa"/>
            <w:tcBorders>
              <w:top w:val="nil"/>
              <w:left w:val="nil"/>
              <w:bottom w:val="single" w:sz="4" w:space="0" w:color="ADD6EA"/>
              <w:right w:val="nil"/>
            </w:tcBorders>
            <w:shd w:val="clear" w:color="auto" w:fill="auto"/>
            <w:noWrap/>
            <w:vAlign w:val="bottom"/>
            <w:hideMark/>
          </w:tcPr>
          <w:p w14:paraId="5DF5D04F"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216</w:t>
            </w:r>
          </w:p>
        </w:tc>
      </w:tr>
      <w:tr w:rsidR="006E6B27" w14:paraId="0DC104BA" w14:textId="77777777" w:rsidTr="00C64326">
        <w:trPr>
          <w:trHeight w:val="315"/>
        </w:trPr>
        <w:tc>
          <w:tcPr>
            <w:tcW w:w="4420" w:type="dxa"/>
            <w:tcBorders>
              <w:top w:val="nil"/>
              <w:left w:val="nil"/>
              <w:bottom w:val="single" w:sz="4" w:space="0" w:color="ADD6EA"/>
              <w:right w:val="nil"/>
            </w:tcBorders>
            <w:shd w:val="clear" w:color="auto" w:fill="auto"/>
            <w:noWrap/>
            <w:vAlign w:val="bottom"/>
            <w:hideMark/>
          </w:tcPr>
          <w:p w14:paraId="11C911C5" w14:textId="77777777" w:rsidR="006E6B27" w:rsidRPr="00200AAE" w:rsidRDefault="006E6B27" w:rsidP="00C64326">
            <w:pPr>
              <w:tabs>
                <w:tab w:val="clear" w:pos="567"/>
              </w:tabs>
              <w:spacing w:before="0" w:line="240" w:lineRule="auto"/>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Blended relativities and GST floor</w:t>
            </w:r>
          </w:p>
        </w:tc>
        <w:tc>
          <w:tcPr>
            <w:tcW w:w="2200" w:type="dxa"/>
            <w:tcBorders>
              <w:top w:val="nil"/>
              <w:left w:val="nil"/>
              <w:bottom w:val="single" w:sz="4" w:space="0" w:color="ADD6EA"/>
              <w:right w:val="nil"/>
            </w:tcBorders>
            <w:shd w:val="clear" w:color="auto" w:fill="auto"/>
            <w:noWrap/>
            <w:vAlign w:val="bottom"/>
            <w:hideMark/>
          </w:tcPr>
          <w:p w14:paraId="69BB5C4D"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-2</w:t>
            </w:r>
          </w:p>
        </w:tc>
        <w:tc>
          <w:tcPr>
            <w:tcW w:w="2320" w:type="dxa"/>
            <w:tcBorders>
              <w:top w:val="nil"/>
              <w:left w:val="nil"/>
              <w:bottom w:val="single" w:sz="4" w:space="0" w:color="ADD6EA"/>
              <w:right w:val="nil"/>
            </w:tcBorders>
            <w:shd w:val="clear" w:color="auto" w:fill="auto"/>
            <w:noWrap/>
            <w:vAlign w:val="bottom"/>
            <w:hideMark/>
          </w:tcPr>
          <w:p w14:paraId="53D0D67B" w14:textId="77777777" w:rsidR="006E6B27" w:rsidRPr="00200AAE" w:rsidRDefault="006E6B27" w:rsidP="00C64326">
            <w:pPr>
              <w:tabs>
                <w:tab w:val="clear" w:pos="567"/>
              </w:tabs>
              <w:spacing w:before="0" w:line="240" w:lineRule="auto"/>
              <w:jc w:val="right"/>
              <w:rPr>
                <w:rFonts w:ascii="Open Sans Light" w:eastAsia="Times New Roman" w:hAnsi="Open Sans Light" w:cs="Open Sans Light"/>
                <w:sz w:val="16"/>
                <w:szCs w:val="16"/>
                <w:lang w:eastAsia="en-AU"/>
              </w:rPr>
            </w:pPr>
            <w:r w:rsidRPr="00200AAE">
              <w:rPr>
                <w:rFonts w:ascii="Open Sans Light" w:eastAsia="Times New Roman" w:hAnsi="Open Sans Light" w:cs="Open Sans Light"/>
                <w:sz w:val="16"/>
                <w:szCs w:val="16"/>
                <w:lang w:eastAsia="en-AU"/>
              </w:rPr>
              <w:t>-8</w:t>
            </w:r>
          </w:p>
        </w:tc>
      </w:tr>
      <w:tr w:rsidR="006E6B27" w14:paraId="09365B3E" w14:textId="77777777" w:rsidTr="00C64326">
        <w:trPr>
          <w:trHeight w:val="315"/>
        </w:trPr>
        <w:tc>
          <w:tcPr>
            <w:tcW w:w="4420" w:type="dxa"/>
            <w:tcBorders>
              <w:top w:val="nil"/>
              <w:left w:val="nil"/>
              <w:bottom w:val="single" w:sz="4" w:space="0" w:color="ADD6EA"/>
              <w:right w:val="nil"/>
            </w:tcBorders>
            <w:shd w:val="clear" w:color="000000" w:fill="D6E7F0"/>
            <w:noWrap/>
            <w:vAlign w:val="bottom"/>
            <w:hideMark/>
          </w:tcPr>
          <w:p w14:paraId="40DF1775" w14:textId="77777777" w:rsidR="006E6B27" w:rsidRPr="00200AAE" w:rsidRDefault="006E6B27" w:rsidP="00C64326">
            <w:pPr>
              <w:tabs>
                <w:tab w:val="clear" w:pos="567"/>
              </w:tabs>
              <w:spacing w:before="0" w:line="240" w:lineRule="auto"/>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Total change</w:t>
            </w:r>
          </w:p>
        </w:tc>
        <w:tc>
          <w:tcPr>
            <w:tcW w:w="2200" w:type="dxa"/>
            <w:tcBorders>
              <w:top w:val="nil"/>
              <w:left w:val="nil"/>
              <w:bottom w:val="single" w:sz="4" w:space="0" w:color="ADD6EA"/>
              <w:right w:val="nil"/>
            </w:tcBorders>
            <w:shd w:val="clear" w:color="000000" w:fill="D6E7F0"/>
            <w:noWrap/>
            <w:vAlign w:val="bottom"/>
            <w:hideMark/>
          </w:tcPr>
          <w:p w14:paraId="4993ACB5" w14:textId="77777777" w:rsidR="006E6B27" w:rsidRPr="00200AAE" w:rsidRDefault="006E6B27" w:rsidP="00C6432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256</w:t>
            </w:r>
          </w:p>
        </w:tc>
        <w:tc>
          <w:tcPr>
            <w:tcW w:w="2320" w:type="dxa"/>
            <w:tcBorders>
              <w:top w:val="nil"/>
              <w:left w:val="nil"/>
              <w:bottom w:val="single" w:sz="4" w:space="0" w:color="ADD6EA"/>
              <w:right w:val="nil"/>
            </w:tcBorders>
            <w:shd w:val="clear" w:color="000000" w:fill="D6E7F0"/>
            <w:noWrap/>
            <w:vAlign w:val="bottom"/>
            <w:hideMark/>
          </w:tcPr>
          <w:p w14:paraId="4155875A" w14:textId="77777777" w:rsidR="006E6B27" w:rsidRPr="00200AAE" w:rsidRDefault="006E6B27" w:rsidP="00C64326">
            <w:pPr>
              <w:tabs>
                <w:tab w:val="clear" w:pos="567"/>
              </w:tabs>
              <w:spacing w:before="0" w:line="240" w:lineRule="auto"/>
              <w:jc w:val="right"/>
              <w:rPr>
                <w:rFonts w:ascii="Open Sans Semibold" w:eastAsia="Times New Roman" w:hAnsi="Open Sans Semibold" w:cs="Open Sans Semibold"/>
                <w:color w:val="000000"/>
                <w:sz w:val="16"/>
                <w:szCs w:val="16"/>
                <w:lang w:eastAsia="en-AU"/>
              </w:rPr>
            </w:pPr>
            <w:r w:rsidRPr="00200AAE">
              <w:rPr>
                <w:rFonts w:ascii="Open Sans Semibold" w:eastAsia="Times New Roman" w:hAnsi="Open Sans Semibold" w:cs="Open Sans Semibold"/>
                <w:color w:val="000000"/>
                <w:sz w:val="16"/>
                <w:szCs w:val="16"/>
                <w:lang w:eastAsia="en-AU"/>
              </w:rPr>
              <w:t>995</w:t>
            </w:r>
          </w:p>
        </w:tc>
      </w:tr>
    </w:tbl>
    <w:p w14:paraId="760518EC" w14:textId="77777777" w:rsidR="006E6B27" w:rsidRPr="00754E2C" w:rsidRDefault="006E6B27" w:rsidP="00C1319A">
      <w:pPr>
        <w:pStyle w:val="Tablefootnote"/>
      </w:pPr>
      <w:r w:rsidRPr="00754E2C">
        <w:t xml:space="preserve">Note: </w:t>
      </w:r>
      <w:r w:rsidRPr="00754E2C">
        <w:tab/>
        <w:t>Table may not add due to rounding.</w:t>
      </w:r>
    </w:p>
    <w:p w14:paraId="3C9A0C32" w14:textId="77777777" w:rsidR="006E6B27" w:rsidRDefault="006E6B27" w:rsidP="00C1319A">
      <w:pPr>
        <w:pStyle w:val="Tablefootnote"/>
        <w:rPr>
          <w:rFonts w:ascii="Work Sans SemiBold" w:hAnsi="Work Sans SemiBold" w:cs="Cambria Math"/>
          <w:bCs/>
          <w:color w:val="000000"/>
          <w:szCs w:val="21"/>
          <w:shd w:val="clear" w:color="auto" w:fill="FFFFFF"/>
          <w14:shadow w14:blurRad="50800" w14:dist="50800" w14:dir="5400000" w14:sx="0" w14:sy="0" w14:kx="0" w14:ky="0" w14:algn="ctr">
            <w14:srgbClr w14:val="000000">
              <w14:alpha w14:val="1000"/>
            </w14:srgbClr>
          </w14:shadow>
        </w:rPr>
      </w:pPr>
      <w:r w:rsidRPr="00754E2C">
        <w:t>Source: Commission calculation.</w:t>
      </w:r>
      <w:r>
        <w:br w:type="page"/>
      </w:r>
    </w:p>
    <w:p w14:paraId="3B7C93E2" w14:textId="77777777" w:rsidR="00F75C91" w:rsidRPr="00754E2C" w:rsidRDefault="00F75C91" w:rsidP="00F75C91">
      <w:pPr>
        <w:pStyle w:val="Tableheading"/>
      </w:pPr>
      <w:r w:rsidRPr="00754E2C">
        <w:lastRenderedPageBreak/>
        <w:t>Figure 3-8</w:t>
      </w:r>
      <w:r w:rsidRPr="00754E2C">
        <w:tab/>
        <w:t xml:space="preserve">Northern Territory: main changes in assessed GST needs, 2024 </w:t>
      </w:r>
      <w:proofErr w:type="gramStart"/>
      <w:r w:rsidRPr="00754E2C">
        <w:t>Update</w:t>
      </w:r>
      <w:proofErr w:type="gramEnd"/>
    </w:p>
    <w:tbl>
      <w:tblPr>
        <w:tblW w:w="8960" w:type="dxa"/>
        <w:tblLook w:val="04A0" w:firstRow="1" w:lastRow="0" w:firstColumn="1" w:lastColumn="0" w:noHBand="0" w:noVBand="1"/>
      </w:tblPr>
      <w:tblGrid>
        <w:gridCol w:w="2940"/>
        <w:gridCol w:w="760"/>
        <w:gridCol w:w="760"/>
        <w:gridCol w:w="4500"/>
      </w:tblGrid>
      <w:tr w:rsidR="00E4767D" w:rsidRPr="00E4767D" w14:paraId="362D67D3" w14:textId="77777777" w:rsidTr="00E4767D">
        <w:trPr>
          <w:trHeight w:val="375"/>
        </w:trPr>
        <w:tc>
          <w:tcPr>
            <w:tcW w:w="2940" w:type="dxa"/>
            <w:tcBorders>
              <w:top w:val="nil"/>
              <w:left w:val="nil"/>
              <w:bottom w:val="nil"/>
              <w:right w:val="nil"/>
            </w:tcBorders>
            <w:shd w:val="clear" w:color="000000" w:fill="006991"/>
            <w:noWrap/>
            <w:vAlign w:val="bottom"/>
            <w:hideMark/>
          </w:tcPr>
          <w:p w14:paraId="0EF817CD"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color w:val="FFFFFF"/>
                <w:szCs w:val="20"/>
                <w:lang w:eastAsia="en-AU"/>
              </w:rPr>
            </w:pPr>
            <w:r w:rsidRPr="00E4767D">
              <w:rPr>
                <w:rFonts w:ascii="Open Sans Semibold" w:eastAsia="Times New Roman" w:hAnsi="Open Sans Semibold" w:cs="Open Sans Semibold"/>
                <w:color w:val="FFFFFF"/>
                <w:szCs w:val="20"/>
                <w:lang w:eastAsia="en-AU"/>
              </w:rPr>
              <w:t>Changes in circumstances</w:t>
            </w:r>
          </w:p>
        </w:tc>
        <w:tc>
          <w:tcPr>
            <w:tcW w:w="760" w:type="dxa"/>
            <w:tcBorders>
              <w:top w:val="nil"/>
              <w:left w:val="nil"/>
              <w:bottom w:val="nil"/>
              <w:right w:val="nil"/>
            </w:tcBorders>
            <w:shd w:val="clear" w:color="000000" w:fill="006991"/>
            <w:noWrap/>
            <w:vAlign w:val="bottom"/>
            <w:hideMark/>
          </w:tcPr>
          <w:p w14:paraId="5EB5D93B"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color w:val="FFFFFF"/>
                <w:szCs w:val="20"/>
                <w:lang w:eastAsia="en-AU"/>
              </w:rPr>
            </w:pPr>
            <w:r w:rsidRPr="00E4767D">
              <w:rPr>
                <w:rFonts w:ascii="Open Sans Semibold" w:eastAsia="Times New Roman" w:hAnsi="Open Sans Semibold" w:cs="Open Sans Semibold"/>
                <w:color w:val="FFFFFF"/>
                <w:szCs w:val="20"/>
                <w:lang w:eastAsia="en-AU"/>
              </w:rPr>
              <w:t> </w:t>
            </w:r>
          </w:p>
        </w:tc>
        <w:tc>
          <w:tcPr>
            <w:tcW w:w="760" w:type="dxa"/>
            <w:tcBorders>
              <w:top w:val="nil"/>
              <w:left w:val="nil"/>
              <w:bottom w:val="nil"/>
              <w:right w:val="nil"/>
            </w:tcBorders>
            <w:shd w:val="clear" w:color="000000" w:fill="006991"/>
            <w:noWrap/>
            <w:vAlign w:val="bottom"/>
            <w:hideMark/>
          </w:tcPr>
          <w:p w14:paraId="015B8A66"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color w:val="FFFFFF"/>
                <w:szCs w:val="20"/>
                <w:lang w:eastAsia="en-AU"/>
              </w:rPr>
            </w:pPr>
            <w:r w:rsidRPr="00E4767D">
              <w:rPr>
                <w:rFonts w:ascii="Open Sans Semibold" w:eastAsia="Times New Roman" w:hAnsi="Open Sans Semibold" w:cs="Open Sans Semibold"/>
                <w:color w:val="FFFFFF"/>
                <w:szCs w:val="20"/>
                <w:lang w:eastAsia="en-AU"/>
              </w:rPr>
              <w:t> </w:t>
            </w:r>
          </w:p>
        </w:tc>
        <w:tc>
          <w:tcPr>
            <w:tcW w:w="4500" w:type="dxa"/>
            <w:tcBorders>
              <w:top w:val="nil"/>
              <w:left w:val="nil"/>
              <w:bottom w:val="nil"/>
              <w:right w:val="nil"/>
            </w:tcBorders>
            <w:shd w:val="clear" w:color="000000" w:fill="006991"/>
            <w:noWrap/>
            <w:vAlign w:val="bottom"/>
            <w:hideMark/>
          </w:tcPr>
          <w:p w14:paraId="2FD915FD"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color w:val="FFFFFF"/>
                <w:szCs w:val="20"/>
                <w:lang w:eastAsia="en-AU"/>
              </w:rPr>
            </w:pPr>
            <w:r w:rsidRPr="00E4767D">
              <w:rPr>
                <w:rFonts w:ascii="Open Sans Semibold" w:eastAsia="Times New Roman" w:hAnsi="Open Sans Semibold" w:cs="Open Sans Semibold"/>
                <w:color w:val="FFFFFF"/>
                <w:szCs w:val="20"/>
                <w:lang w:eastAsia="en-AU"/>
              </w:rPr>
              <w:t> </w:t>
            </w:r>
          </w:p>
        </w:tc>
      </w:tr>
      <w:tr w:rsidR="00E4767D" w:rsidRPr="00E4767D" w14:paraId="181499B9" w14:textId="77777777" w:rsidTr="00E4767D">
        <w:trPr>
          <w:trHeight w:val="315"/>
        </w:trPr>
        <w:tc>
          <w:tcPr>
            <w:tcW w:w="2940" w:type="dxa"/>
            <w:tcBorders>
              <w:top w:val="single" w:sz="4" w:space="0" w:color="ADD6EA"/>
              <w:left w:val="nil"/>
              <w:bottom w:val="single" w:sz="4" w:space="0" w:color="ADD6EA"/>
              <w:right w:val="nil"/>
            </w:tcBorders>
            <w:shd w:val="clear" w:color="000000" w:fill="B6D5E4"/>
            <w:noWrap/>
            <w:vAlign w:val="bottom"/>
            <w:hideMark/>
          </w:tcPr>
          <w:p w14:paraId="06F4D1A0"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000000" w:fill="B6D5E4"/>
            <w:noWrap/>
            <w:vAlign w:val="bottom"/>
            <w:hideMark/>
          </w:tcPr>
          <w:p w14:paraId="791A9953" w14:textId="77777777" w:rsidR="00E4767D" w:rsidRPr="00E4767D" w:rsidRDefault="00E4767D" w:rsidP="00E4767D">
            <w:pPr>
              <w:tabs>
                <w:tab w:val="clear" w:pos="567"/>
              </w:tabs>
              <w:spacing w:before="0" w:line="240" w:lineRule="auto"/>
              <w:jc w:val="center"/>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Change</w:t>
            </w:r>
          </w:p>
        </w:tc>
        <w:tc>
          <w:tcPr>
            <w:tcW w:w="4500" w:type="dxa"/>
            <w:tcBorders>
              <w:top w:val="single" w:sz="4" w:space="0" w:color="ADD6EA"/>
              <w:left w:val="nil"/>
              <w:bottom w:val="single" w:sz="4" w:space="0" w:color="ADD6EA"/>
              <w:right w:val="nil"/>
            </w:tcBorders>
            <w:shd w:val="clear" w:color="000000" w:fill="B6D5E4"/>
            <w:noWrap/>
            <w:vAlign w:val="bottom"/>
            <w:hideMark/>
          </w:tcPr>
          <w:p w14:paraId="0C78F9D2"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Explanation</w:t>
            </w:r>
          </w:p>
        </w:tc>
      </w:tr>
      <w:tr w:rsidR="00E4767D" w:rsidRPr="00E4767D" w14:paraId="42302941" w14:textId="77777777" w:rsidTr="00E4767D">
        <w:trPr>
          <w:trHeight w:val="259"/>
        </w:trPr>
        <w:tc>
          <w:tcPr>
            <w:tcW w:w="2940" w:type="dxa"/>
            <w:tcBorders>
              <w:top w:val="nil"/>
              <w:left w:val="nil"/>
              <w:bottom w:val="single" w:sz="4" w:space="0" w:color="ADD6EA"/>
              <w:right w:val="nil"/>
            </w:tcBorders>
            <w:shd w:val="clear" w:color="000000" w:fill="D6E7F0"/>
            <w:noWrap/>
            <w:vAlign w:val="bottom"/>
            <w:hideMark/>
          </w:tcPr>
          <w:p w14:paraId="695A1D08"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000000" w:fill="D6E7F0"/>
            <w:noWrap/>
            <w:vAlign w:val="bottom"/>
            <w:hideMark/>
          </w:tcPr>
          <w:p w14:paraId="4118990B" w14:textId="77777777" w:rsidR="00E4767D" w:rsidRPr="00E4767D" w:rsidRDefault="00E4767D" w:rsidP="00E4767D">
            <w:pPr>
              <w:tabs>
                <w:tab w:val="clear" w:pos="567"/>
              </w:tabs>
              <w:spacing w:before="0" w:line="240" w:lineRule="auto"/>
              <w:jc w:val="center"/>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000000" w:fill="D6E7F0"/>
            <w:noWrap/>
            <w:vAlign w:val="bottom"/>
            <w:hideMark/>
          </w:tcPr>
          <w:p w14:paraId="67B40C5E" w14:textId="77777777" w:rsidR="00E4767D" w:rsidRPr="00E4767D" w:rsidRDefault="00E4767D" w:rsidP="00E4767D">
            <w:pPr>
              <w:tabs>
                <w:tab w:val="clear" w:pos="567"/>
              </w:tabs>
              <w:spacing w:before="0" w:line="240" w:lineRule="auto"/>
              <w:jc w:val="center"/>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000000" w:fill="D6E7F0"/>
            <w:noWrap/>
            <w:vAlign w:val="bottom"/>
            <w:hideMark/>
          </w:tcPr>
          <w:p w14:paraId="014B5608"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 </w:t>
            </w:r>
          </w:p>
        </w:tc>
      </w:tr>
      <w:tr w:rsidR="00E4767D" w:rsidRPr="00E4767D" w14:paraId="75D487AC" w14:textId="77777777" w:rsidTr="008114E0">
        <w:trPr>
          <w:trHeight w:val="900"/>
        </w:trPr>
        <w:tc>
          <w:tcPr>
            <w:tcW w:w="2940" w:type="dxa"/>
            <w:tcBorders>
              <w:top w:val="nil"/>
              <w:left w:val="nil"/>
              <w:bottom w:val="single" w:sz="4" w:space="0" w:color="ADD6EA"/>
              <w:right w:val="nil"/>
            </w:tcBorders>
            <w:shd w:val="clear" w:color="auto" w:fill="auto"/>
            <w:hideMark/>
          </w:tcPr>
          <w:p w14:paraId="4CAB6CDE" w14:textId="77777777"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Mining production</w:t>
            </w:r>
          </w:p>
        </w:tc>
        <w:tc>
          <w:tcPr>
            <w:tcW w:w="760" w:type="dxa"/>
            <w:tcBorders>
              <w:top w:val="nil"/>
              <w:left w:val="nil"/>
              <w:bottom w:val="single" w:sz="4" w:space="0" w:color="ADD6EA"/>
              <w:right w:val="nil"/>
            </w:tcBorders>
            <w:shd w:val="clear" w:color="auto" w:fill="ADD6EA"/>
            <w:noWrap/>
            <w:hideMark/>
          </w:tcPr>
          <w:p w14:paraId="677C662D"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93</w:t>
            </w:r>
          </w:p>
        </w:tc>
        <w:tc>
          <w:tcPr>
            <w:tcW w:w="760" w:type="dxa"/>
            <w:tcBorders>
              <w:top w:val="nil"/>
              <w:left w:val="nil"/>
              <w:bottom w:val="single" w:sz="4" w:space="0" w:color="ADD6EA"/>
              <w:right w:val="nil"/>
            </w:tcBorders>
            <w:shd w:val="clear" w:color="auto" w:fill="ADD6EA"/>
            <w:noWrap/>
            <w:hideMark/>
          </w:tcPr>
          <w:p w14:paraId="2A68AAE9"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362</w:t>
            </w:r>
          </w:p>
        </w:tc>
        <w:tc>
          <w:tcPr>
            <w:tcW w:w="4500" w:type="dxa"/>
            <w:tcBorders>
              <w:top w:val="nil"/>
              <w:left w:val="nil"/>
              <w:bottom w:val="single" w:sz="8" w:space="0" w:color="ADD6EA"/>
              <w:right w:val="nil"/>
            </w:tcBorders>
            <w:shd w:val="clear" w:color="auto" w:fill="auto"/>
            <w:vAlign w:val="center"/>
            <w:hideMark/>
          </w:tcPr>
          <w:p w14:paraId="0C7168F7" w14:textId="5C1C4C00"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A large increase in coal prices and average coal royalty rates between 2019</w:t>
            </w:r>
            <w:r w:rsidR="00734A2B">
              <w:rPr>
                <w:rFonts w:ascii="Open Sans Light" w:eastAsia="Times New Roman" w:hAnsi="Open Sans Light" w:cs="Open Sans Light"/>
                <w:szCs w:val="20"/>
                <w:lang w:eastAsia="en-AU"/>
              </w:rPr>
              <w:t>–</w:t>
            </w:r>
            <w:r w:rsidRPr="00E4767D">
              <w:rPr>
                <w:rFonts w:ascii="Open Sans Light" w:eastAsia="Times New Roman" w:hAnsi="Open Sans Light" w:cs="Open Sans Light"/>
                <w:szCs w:val="20"/>
                <w:lang w:eastAsia="en-AU"/>
              </w:rPr>
              <w:t>20 and 2022</w:t>
            </w:r>
            <w:r w:rsidR="00734A2B">
              <w:rPr>
                <w:rFonts w:ascii="Open Sans Light" w:eastAsia="Times New Roman" w:hAnsi="Open Sans Light" w:cs="Open Sans Light"/>
                <w:szCs w:val="20"/>
                <w:lang w:eastAsia="en-AU"/>
              </w:rPr>
              <w:t>–</w:t>
            </w:r>
            <w:r w:rsidRPr="00E4767D">
              <w:rPr>
                <w:rFonts w:ascii="Open Sans Light" w:eastAsia="Times New Roman" w:hAnsi="Open Sans Light" w:cs="Open Sans Light"/>
                <w:szCs w:val="20"/>
                <w:lang w:eastAsia="en-AU"/>
              </w:rPr>
              <w:t>23 increased the revenue</w:t>
            </w:r>
            <w:r w:rsidR="00BD3FE5">
              <w:rPr>
                <w:rFonts w:ascii="Open Sans Light" w:eastAsia="Times New Roman" w:hAnsi="Open Sans Light" w:cs="Open Sans Light"/>
                <w:szCs w:val="20"/>
                <w:lang w:eastAsia="en-AU"/>
              </w:rPr>
              <w:t xml:space="preserve"> </w:t>
            </w:r>
            <w:r w:rsidRPr="00E4767D">
              <w:rPr>
                <w:rFonts w:ascii="Open Sans Light" w:eastAsia="Times New Roman" w:hAnsi="Open Sans Light" w:cs="Open Sans Light"/>
                <w:szCs w:val="20"/>
                <w:lang w:eastAsia="en-AU"/>
              </w:rPr>
              <w:t>raising capacity of coal producing states. This reduced the Northern Territory’s relative mining revenue capacity.</w:t>
            </w:r>
          </w:p>
        </w:tc>
      </w:tr>
      <w:tr w:rsidR="00E4767D" w:rsidRPr="00E4767D" w14:paraId="523CE7BE" w14:textId="77777777" w:rsidTr="00B27C6C">
        <w:trPr>
          <w:trHeight w:val="1943"/>
        </w:trPr>
        <w:tc>
          <w:tcPr>
            <w:tcW w:w="2940" w:type="dxa"/>
            <w:tcBorders>
              <w:top w:val="nil"/>
              <w:left w:val="nil"/>
              <w:bottom w:val="single" w:sz="4" w:space="0" w:color="ADD6EA"/>
              <w:right w:val="nil"/>
            </w:tcBorders>
            <w:shd w:val="clear" w:color="auto" w:fill="auto"/>
            <w:hideMark/>
          </w:tcPr>
          <w:p w14:paraId="7565B74F" w14:textId="77777777"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Capital improvements</w:t>
            </w:r>
          </w:p>
        </w:tc>
        <w:tc>
          <w:tcPr>
            <w:tcW w:w="760" w:type="dxa"/>
            <w:tcBorders>
              <w:top w:val="nil"/>
              <w:left w:val="nil"/>
              <w:bottom w:val="single" w:sz="4" w:space="0" w:color="ADD6EA"/>
              <w:right w:val="nil"/>
            </w:tcBorders>
            <w:shd w:val="clear" w:color="auto" w:fill="EBBFA0"/>
            <w:noWrap/>
            <w:hideMark/>
          </w:tcPr>
          <w:p w14:paraId="5A364C35"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-64</w:t>
            </w:r>
          </w:p>
        </w:tc>
        <w:tc>
          <w:tcPr>
            <w:tcW w:w="760" w:type="dxa"/>
            <w:tcBorders>
              <w:top w:val="nil"/>
              <w:left w:val="nil"/>
              <w:bottom w:val="single" w:sz="4" w:space="0" w:color="ADD6EA"/>
              <w:right w:val="nil"/>
            </w:tcBorders>
            <w:shd w:val="clear" w:color="auto" w:fill="EBBFA0"/>
            <w:noWrap/>
            <w:hideMark/>
          </w:tcPr>
          <w:p w14:paraId="7016667E"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-249</w:t>
            </w:r>
          </w:p>
        </w:tc>
        <w:tc>
          <w:tcPr>
            <w:tcW w:w="4500" w:type="dxa"/>
            <w:tcBorders>
              <w:top w:val="nil"/>
              <w:left w:val="nil"/>
              <w:bottom w:val="single" w:sz="8" w:space="0" w:color="ADD6EA"/>
              <w:right w:val="nil"/>
            </w:tcBorders>
            <w:shd w:val="clear" w:color="auto" w:fill="auto"/>
            <w:vAlign w:val="center"/>
            <w:hideMark/>
          </w:tcPr>
          <w:p w14:paraId="2666D66D" w14:textId="621A3939"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Relatively slow growth in national investment in health and rural roads, for which the Northern Territory has above-average needs, reduced its</w:t>
            </w:r>
            <w:r w:rsidR="00EB70CA">
              <w:rPr>
                <w:rFonts w:ascii="Open Sans Light" w:eastAsia="Times New Roman" w:hAnsi="Open Sans Light" w:cs="Open Sans Light"/>
                <w:szCs w:val="20"/>
                <w:lang w:eastAsia="en-AU"/>
              </w:rPr>
              <w:t xml:space="preserve"> assessed</w:t>
            </w:r>
            <w:r w:rsidRPr="00E4767D">
              <w:rPr>
                <w:rFonts w:ascii="Open Sans Light" w:eastAsia="Times New Roman" w:hAnsi="Open Sans Light" w:cs="Open Sans Light"/>
                <w:szCs w:val="20"/>
                <w:lang w:eastAsia="en-AU"/>
              </w:rPr>
              <w:t xml:space="preserve"> GST needs. Strong growth in national urban transport investment, for which the Northern Territory has a below-average requirement, also reduced its assessed GST needs.</w:t>
            </w:r>
          </w:p>
        </w:tc>
      </w:tr>
      <w:tr w:rsidR="00E4767D" w:rsidRPr="00E4767D" w14:paraId="11E628CE" w14:textId="77777777" w:rsidTr="008114E0">
        <w:trPr>
          <w:trHeight w:val="698"/>
        </w:trPr>
        <w:tc>
          <w:tcPr>
            <w:tcW w:w="2940" w:type="dxa"/>
            <w:tcBorders>
              <w:top w:val="nil"/>
              <w:left w:val="nil"/>
              <w:bottom w:val="single" w:sz="4" w:space="0" w:color="ADD6EA"/>
              <w:right w:val="nil"/>
            </w:tcBorders>
            <w:shd w:val="clear" w:color="auto" w:fill="auto"/>
            <w:hideMark/>
          </w:tcPr>
          <w:p w14:paraId="05933D31" w14:textId="77777777"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Wage costs</w:t>
            </w:r>
          </w:p>
        </w:tc>
        <w:tc>
          <w:tcPr>
            <w:tcW w:w="760" w:type="dxa"/>
            <w:tcBorders>
              <w:top w:val="nil"/>
              <w:left w:val="nil"/>
              <w:bottom w:val="single" w:sz="4" w:space="0" w:color="ADD6EA"/>
              <w:right w:val="nil"/>
            </w:tcBorders>
            <w:shd w:val="clear" w:color="auto" w:fill="ADD6EA"/>
            <w:noWrap/>
            <w:hideMark/>
          </w:tcPr>
          <w:p w14:paraId="7C9F3A1E"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45</w:t>
            </w:r>
          </w:p>
        </w:tc>
        <w:tc>
          <w:tcPr>
            <w:tcW w:w="760" w:type="dxa"/>
            <w:tcBorders>
              <w:top w:val="nil"/>
              <w:left w:val="nil"/>
              <w:bottom w:val="single" w:sz="4" w:space="0" w:color="ADD6EA"/>
              <w:right w:val="nil"/>
            </w:tcBorders>
            <w:shd w:val="clear" w:color="auto" w:fill="ADD6EA"/>
            <w:noWrap/>
            <w:hideMark/>
          </w:tcPr>
          <w:p w14:paraId="03858F62"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177</w:t>
            </w:r>
          </w:p>
        </w:tc>
        <w:tc>
          <w:tcPr>
            <w:tcW w:w="4500" w:type="dxa"/>
            <w:tcBorders>
              <w:top w:val="nil"/>
              <w:left w:val="nil"/>
              <w:bottom w:val="single" w:sz="8" w:space="0" w:color="ADD6EA"/>
              <w:right w:val="nil"/>
            </w:tcBorders>
            <w:shd w:val="clear" w:color="auto" w:fill="auto"/>
            <w:vAlign w:val="center"/>
            <w:hideMark/>
          </w:tcPr>
          <w:p w14:paraId="35DA4718" w14:textId="77777777"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Above-average growth in the Northern Territory’s assessed wage costs increased its assessed service delivery costs.</w:t>
            </w:r>
          </w:p>
        </w:tc>
      </w:tr>
      <w:tr w:rsidR="00E4767D" w:rsidRPr="00E4767D" w14:paraId="54439175" w14:textId="77777777" w:rsidTr="008114E0">
        <w:trPr>
          <w:trHeight w:val="1137"/>
        </w:trPr>
        <w:tc>
          <w:tcPr>
            <w:tcW w:w="2940" w:type="dxa"/>
            <w:tcBorders>
              <w:top w:val="nil"/>
              <w:left w:val="nil"/>
              <w:bottom w:val="single" w:sz="4" w:space="0" w:color="ADD6EA"/>
              <w:right w:val="nil"/>
            </w:tcBorders>
            <w:shd w:val="clear" w:color="auto" w:fill="auto"/>
            <w:hideMark/>
          </w:tcPr>
          <w:p w14:paraId="45B82C72" w14:textId="77777777"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Indigenous status</w:t>
            </w:r>
          </w:p>
        </w:tc>
        <w:tc>
          <w:tcPr>
            <w:tcW w:w="760" w:type="dxa"/>
            <w:tcBorders>
              <w:top w:val="nil"/>
              <w:left w:val="nil"/>
              <w:bottom w:val="single" w:sz="4" w:space="0" w:color="ADD6EA"/>
              <w:right w:val="nil"/>
            </w:tcBorders>
            <w:shd w:val="clear" w:color="auto" w:fill="EBBFA0"/>
            <w:noWrap/>
            <w:hideMark/>
          </w:tcPr>
          <w:p w14:paraId="458DE170"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-31</w:t>
            </w:r>
          </w:p>
        </w:tc>
        <w:tc>
          <w:tcPr>
            <w:tcW w:w="760" w:type="dxa"/>
            <w:tcBorders>
              <w:top w:val="nil"/>
              <w:left w:val="nil"/>
              <w:bottom w:val="single" w:sz="4" w:space="0" w:color="ADD6EA"/>
              <w:right w:val="nil"/>
            </w:tcBorders>
            <w:shd w:val="clear" w:color="auto" w:fill="EBBFA0"/>
            <w:noWrap/>
            <w:hideMark/>
          </w:tcPr>
          <w:p w14:paraId="6F0E5F39"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-120</w:t>
            </w:r>
          </w:p>
        </w:tc>
        <w:tc>
          <w:tcPr>
            <w:tcW w:w="4500" w:type="dxa"/>
            <w:tcBorders>
              <w:top w:val="nil"/>
              <w:left w:val="nil"/>
              <w:bottom w:val="single" w:sz="8" w:space="0" w:color="ADD6EA"/>
              <w:right w:val="nil"/>
            </w:tcBorders>
            <w:shd w:val="clear" w:color="auto" w:fill="auto"/>
            <w:vAlign w:val="center"/>
            <w:hideMark/>
          </w:tcPr>
          <w:p w14:paraId="1568103C" w14:textId="77777777"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National spending per person on school and health services grew faster for non-Indigenous people than for First Nations people, reducing the Northern Territory’s assessed GST needs.</w:t>
            </w:r>
          </w:p>
        </w:tc>
      </w:tr>
      <w:tr w:rsidR="00E4767D" w:rsidRPr="00E4767D" w14:paraId="2CA67E9A" w14:textId="77777777" w:rsidTr="008114E0">
        <w:trPr>
          <w:trHeight w:val="1580"/>
        </w:trPr>
        <w:tc>
          <w:tcPr>
            <w:tcW w:w="2940" w:type="dxa"/>
            <w:tcBorders>
              <w:top w:val="nil"/>
              <w:left w:val="nil"/>
              <w:bottom w:val="single" w:sz="4" w:space="0" w:color="ADD6EA"/>
              <w:right w:val="nil"/>
            </w:tcBorders>
            <w:shd w:val="clear" w:color="auto" w:fill="auto"/>
            <w:hideMark/>
          </w:tcPr>
          <w:p w14:paraId="3F30102B" w14:textId="77777777"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Administrative scale</w:t>
            </w:r>
          </w:p>
        </w:tc>
        <w:tc>
          <w:tcPr>
            <w:tcW w:w="760" w:type="dxa"/>
            <w:tcBorders>
              <w:top w:val="nil"/>
              <w:left w:val="nil"/>
              <w:bottom w:val="single" w:sz="4" w:space="0" w:color="ADD6EA"/>
              <w:right w:val="nil"/>
            </w:tcBorders>
            <w:shd w:val="clear" w:color="auto" w:fill="EBBFA0"/>
            <w:noWrap/>
            <w:hideMark/>
          </w:tcPr>
          <w:p w14:paraId="31E91338"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-30</w:t>
            </w:r>
          </w:p>
        </w:tc>
        <w:tc>
          <w:tcPr>
            <w:tcW w:w="760" w:type="dxa"/>
            <w:tcBorders>
              <w:top w:val="nil"/>
              <w:left w:val="nil"/>
              <w:bottom w:val="single" w:sz="4" w:space="0" w:color="ADD6EA"/>
              <w:right w:val="nil"/>
            </w:tcBorders>
            <w:shd w:val="clear" w:color="auto" w:fill="EBBFA0"/>
            <w:noWrap/>
            <w:hideMark/>
          </w:tcPr>
          <w:p w14:paraId="55931DC4"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-118</w:t>
            </w:r>
          </w:p>
        </w:tc>
        <w:tc>
          <w:tcPr>
            <w:tcW w:w="4500" w:type="dxa"/>
            <w:tcBorders>
              <w:top w:val="nil"/>
              <w:left w:val="nil"/>
              <w:bottom w:val="single" w:sz="8" w:space="0" w:color="ADD6EA"/>
              <w:right w:val="nil"/>
            </w:tcBorders>
            <w:shd w:val="clear" w:color="auto" w:fill="auto"/>
            <w:vAlign w:val="center"/>
            <w:hideMark/>
          </w:tcPr>
          <w:p w14:paraId="07E9BA8E" w14:textId="487E3767"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Assessed administrative scale expenses grew relatively slowly between 2019</w:t>
            </w:r>
            <w:r w:rsidR="007675AC">
              <w:rPr>
                <w:rFonts w:ascii="Open Sans Light" w:eastAsia="Times New Roman" w:hAnsi="Open Sans Light" w:cs="Open Sans Light"/>
                <w:szCs w:val="20"/>
                <w:lang w:eastAsia="en-AU"/>
              </w:rPr>
              <w:t>–</w:t>
            </w:r>
            <w:r w:rsidRPr="00E4767D">
              <w:rPr>
                <w:rFonts w:ascii="Open Sans Light" w:eastAsia="Times New Roman" w:hAnsi="Open Sans Light" w:cs="Open Sans Light"/>
                <w:szCs w:val="20"/>
                <w:lang w:eastAsia="en-AU"/>
              </w:rPr>
              <w:t>20 and 2022</w:t>
            </w:r>
            <w:r w:rsidR="007675AC">
              <w:rPr>
                <w:rFonts w:ascii="Open Sans Light" w:eastAsia="Times New Roman" w:hAnsi="Open Sans Light" w:cs="Open Sans Light"/>
                <w:szCs w:val="20"/>
                <w:lang w:eastAsia="en-AU"/>
              </w:rPr>
              <w:t>–</w:t>
            </w:r>
            <w:r w:rsidR="007675AC">
              <w:rPr>
                <w:rFonts w:ascii="Arial" w:eastAsia="Times New Roman" w:hAnsi="Arial" w:cs="Arial" w:hint="cs"/>
                <w:szCs w:val="20"/>
                <w:rtl/>
                <w:lang w:eastAsia="en-AU"/>
              </w:rPr>
              <w:t>‍</w:t>
            </w:r>
            <w:r w:rsidRPr="00E4767D">
              <w:rPr>
                <w:rFonts w:ascii="Open Sans Light" w:eastAsia="Times New Roman" w:hAnsi="Open Sans Light" w:cs="Open Sans Light"/>
                <w:szCs w:val="20"/>
                <w:lang w:eastAsia="en-AU"/>
              </w:rPr>
              <w:t>23, reducing their relative size. This reduced the</w:t>
            </w:r>
            <w:r w:rsidR="007675AC">
              <w:rPr>
                <w:rFonts w:ascii="Open Sans Light" w:eastAsia="Times New Roman" w:hAnsi="Open Sans Light" w:cs="Open Sans Light"/>
                <w:szCs w:val="20"/>
                <w:lang w:eastAsia="en-AU"/>
              </w:rPr>
              <w:t xml:space="preserve"> assessed</w:t>
            </w:r>
            <w:r w:rsidRPr="00E4767D">
              <w:rPr>
                <w:rFonts w:ascii="Open Sans Light" w:eastAsia="Times New Roman" w:hAnsi="Open Sans Light" w:cs="Open Sans Light"/>
                <w:szCs w:val="20"/>
                <w:lang w:eastAsia="en-AU"/>
              </w:rPr>
              <w:t xml:space="preserve"> GST needs of states with high relative administrative scale expenses, including the Northern Territory.</w:t>
            </w:r>
          </w:p>
        </w:tc>
      </w:tr>
      <w:tr w:rsidR="00E4767D" w:rsidRPr="00E4767D" w14:paraId="6410F68E" w14:textId="77777777" w:rsidTr="00E4767D">
        <w:trPr>
          <w:trHeight w:val="375"/>
        </w:trPr>
        <w:tc>
          <w:tcPr>
            <w:tcW w:w="2940" w:type="dxa"/>
            <w:tcBorders>
              <w:top w:val="nil"/>
              <w:left w:val="nil"/>
              <w:bottom w:val="single" w:sz="4" w:space="0" w:color="ADD6EA"/>
              <w:right w:val="nil"/>
            </w:tcBorders>
            <w:shd w:val="clear" w:color="000000" w:fill="006991"/>
            <w:noWrap/>
            <w:vAlign w:val="bottom"/>
            <w:hideMark/>
          </w:tcPr>
          <w:p w14:paraId="5949D86E"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color w:val="FFFFFF"/>
                <w:szCs w:val="20"/>
                <w:lang w:eastAsia="en-AU"/>
              </w:rPr>
            </w:pPr>
            <w:r w:rsidRPr="00E4767D">
              <w:rPr>
                <w:rFonts w:ascii="Open Sans Semibold" w:eastAsia="Times New Roman" w:hAnsi="Open Sans Semibold" w:cs="Open Sans Semibold"/>
                <w:color w:val="FFFFFF"/>
                <w:szCs w:val="20"/>
                <w:lang w:eastAsia="en-AU"/>
              </w:rPr>
              <w:t>Revisions</w:t>
            </w:r>
          </w:p>
        </w:tc>
        <w:tc>
          <w:tcPr>
            <w:tcW w:w="760" w:type="dxa"/>
            <w:tcBorders>
              <w:top w:val="nil"/>
              <w:left w:val="nil"/>
              <w:bottom w:val="single" w:sz="4" w:space="0" w:color="ADD6EA"/>
              <w:right w:val="nil"/>
            </w:tcBorders>
            <w:shd w:val="clear" w:color="000000" w:fill="006991"/>
            <w:noWrap/>
            <w:vAlign w:val="bottom"/>
            <w:hideMark/>
          </w:tcPr>
          <w:p w14:paraId="0100D49F"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color w:val="FFFFFF"/>
                <w:szCs w:val="20"/>
                <w:lang w:eastAsia="en-AU"/>
              </w:rPr>
            </w:pPr>
            <w:r w:rsidRPr="00E4767D">
              <w:rPr>
                <w:rFonts w:ascii="Open Sans Semibold" w:eastAsia="Times New Roman" w:hAnsi="Open Sans Semibold" w:cs="Open Sans Semibold"/>
                <w:color w:val="FFFFFF"/>
                <w:szCs w:val="20"/>
                <w:lang w:eastAsia="en-AU"/>
              </w:rPr>
              <w:t> </w:t>
            </w:r>
          </w:p>
        </w:tc>
        <w:tc>
          <w:tcPr>
            <w:tcW w:w="760" w:type="dxa"/>
            <w:tcBorders>
              <w:top w:val="nil"/>
              <w:left w:val="nil"/>
              <w:bottom w:val="single" w:sz="4" w:space="0" w:color="ADD6EA"/>
              <w:right w:val="nil"/>
            </w:tcBorders>
            <w:shd w:val="clear" w:color="000000" w:fill="006991"/>
            <w:noWrap/>
            <w:vAlign w:val="bottom"/>
            <w:hideMark/>
          </w:tcPr>
          <w:p w14:paraId="17E99761"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color w:val="FFFFFF"/>
                <w:szCs w:val="20"/>
                <w:lang w:eastAsia="en-AU"/>
              </w:rPr>
            </w:pPr>
            <w:r w:rsidRPr="00E4767D">
              <w:rPr>
                <w:rFonts w:ascii="Open Sans Semibold" w:eastAsia="Times New Roman" w:hAnsi="Open Sans Semibold" w:cs="Open Sans Semibold"/>
                <w:color w:val="FFFFFF"/>
                <w:szCs w:val="20"/>
                <w:lang w:eastAsia="en-AU"/>
              </w:rPr>
              <w:t> </w:t>
            </w:r>
          </w:p>
        </w:tc>
        <w:tc>
          <w:tcPr>
            <w:tcW w:w="4500" w:type="dxa"/>
            <w:tcBorders>
              <w:top w:val="nil"/>
              <w:left w:val="nil"/>
              <w:bottom w:val="single" w:sz="4" w:space="0" w:color="ADD6EA"/>
              <w:right w:val="nil"/>
            </w:tcBorders>
            <w:shd w:val="clear" w:color="000000" w:fill="006991"/>
            <w:noWrap/>
            <w:vAlign w:val="bottom"/>
            <w:hideMark/>
          </w:tcPr>
          <w:p w14:paraId="77611FE1"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color w:val="FFFFFF"/>
                <w:szCs w:val="20"/>
                <w:lang w:eastAsia="en-AU"/>
              </w:rPr>
            </w:pPr>
            <w:r w:rsidRPr="00E4767D">
              <w:rPr>
                <w:rFonts w:ascii="Open Sans Semibold" w:eastAsia="Times New Roman" w:hAnsi="Open Sans Semibold" w:cs="Open Sans Semibold"/>
                <w:color w:val="FFFFFF"/>
                <w:szCs w:val="20"/>
                <w:lang w:eastAsia="en-AU"/>
              </w:rPr>
              <w:t> </w:t>
            </w:r>
          </w:p>
        </w:tc>
      </w:tr>
      <w:tr w:rsidR="00E4767D" w:rsidRPr="00E4767D" w14:paraId="56FF2569" w14:textId="77777777" w:rsidTr="00E4767D">
        <w:trPr>
          <w:trHeight w:val="315"/>
        </w:trPr>
        <w:tc>
          <w:tcPr>
            <w:tcW w:w="2940" w:type="dxa"/>
            <w:tcBorders>
              <w:top w:val="nil"/>
              <w:left w:val="nil"/>
              <w:bottom w:val="single" w:sz="4" w:space="0" w:color="ADD6EA"/>
              <w:right w:val="nil"/>
            </w:tcBorders>
            <w:shd w:val="clear" w:color="000000" w:fill="B6D5E4"/>
            <w:noWrap/>
            <w:vAlign w:val="bottom"/>
            <w:hideMark/>
          </w:tcPr>
          <w:p w14:paraId="79CF98E6"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Driver</w:t>
            </w:r>
          </w:p>
        </w:tc>
        <w:tc>
          <w:tcPr>
            <w:tcW w:w="1520" w:type="dxa"/>
            <w:gridSpan w:val="2"/>
            <w:tcBorders>
              <w:top w:val="single" w:sz="4" w:space="0" w:color="ADD6EA"/>
              <w:left w:val="nil"/>
              <w:bottom w:val="single" w:sz="4" w:space="0" w:color="ADD6EA"/>
              <w:right w:val="nil"/>
            </w:tcBorders>
            <w:shd w:val="clear" w:color="000000" w:fill="B6D5E4"/>
            <w:noWrap/>
            <w:vAlign w:val="bottom"/>
            <w:hideMark/>
          </w:tcPr>
          <w:p w14:paraId="2C299E4D" w14:textId="77777777" w:rsidR="00E4767D" w:rsidRPr="00E4767D" w:rsidRDefault="00E4767D" w:rsidP="00E4767D">
            <w:pPr>
              <w:tabs>
                <w:tab w:val="clear" w:pos="567"/>
              </w:tabs>
              <w:spacing w:before="0" w:line="240" w:lineRule="auto"/>
              <w:jc w:val="center"/>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Change</w:t>
            </w:r>
          </w:p>
        </w:tc>
        <w:tc>
          <w:tcPr>
            <w:tcW w:w="4500" w:type="dxa"/>
            <w:tcBorders>
              <w:top w:val="nil"/>
              <w:left w:val="nil"/>
              <w:bottom w:val="single" w:sz="4" w:space="0" w:color="ADD6EA"/>
              <w:right w:val="nil"/>
            </w:tcBorders>
            <w:shd w:val="clear" w:color="000000" w:fill="B6D5E4"/>
            <w:noWrap/>
            <w:vAlign w:val="bottom"/>
            <w:hideMark/>
          </w:tcPr>
          <w:p w14:paraId="53AAB56E"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Explanation</w:t>
            </w:r>
          </w:p>
        </w:tc>
      </w:tr>
      <w:tr w:rsidR="00E4767D" w:rsidRPr="00E4767D" w14:paraId="6E80736A" w14:textId="77777777" w:rsidTr="00E4767D">
        <w:trPr>
          <w:trHeight w:val="259"/>
        </w:trPr>
        <w:tc>
          <w:tcPr>
            <w:tcW w:w="2940" w:type="dxa"/>
            <w:tcBorders>
              <w:top w:val="nil"/>
              <w:left w:val="nil"/>
              <w:bottom w:val="single" w:sz="4" w:space="0" w:color="ADD6EA"/>
              <w:right w:val="nil"/>
            </w:tcBorders>
            <w:shd w:val="clear" w:color="000000" w:fill="D6E7F0"/>
            <w:noWrap/>
            <w:vAlign w:val="bottom"/>
            <w:hideMark/>
          </w:tcPr>
          <w:p w14:paraId="154B0EEE"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 </w:t>
            </w:r>
          </w:p>
        </w:tc>
        <w:tc>
          <w:tcPr>
            <w:tcW w:w="760" w:type="dxa"/>
            <w:tcBorders>
              <w:top w:val="nil"/>
              <w:left w:val="nil"/>
              <w:bottom w:val="single" w:sz="4" w:space="0" w:color="ADD6EA"/>
              <w:right w:val="nil"/>
            </w:tcBorders>
            <w:shd w:val="clear" w:color="000000" w:fill="D6E7F0"/>
            <w:noWrap/>
            <w:vAlign w:val="bottom"/>
            <w:hideMark/>
          </w:tcPr>
          <w:p w14:paraId="7B887582" w14:textId="77777777" w:rsidR="00E4767D" w:rsidRPr="00E4767D" w:rsidRDefault="00E4767D" w:rsidP="00E4767D">
            <w:pPr>
              <w:tabs>
                <w:tab w:val="clear" w:pos="567"/>
              </w:tabs>
              <w:spacing w:before="0" w:line="240" w:lineRule="auto"/>
              <w:jc w:val="center"/>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$m</w:t>
            </w:r>
          </w:p>
        </w:tc>
        <w:tc>
          <w:tcPr>
            <w:tcW w:w="760" w:type="dxa"/>
            <w:tcBorders>
              <w:top w:val="nil"/>
              <w:left w:val="nil"/>
              <w:bottom w:val="single" w:sz="4" w:space="0" w:color="ADD6EA"/>
              <w:right w:val="nil"/>
            </w:tcBorders>
            <w:shd w:val="clear" w:color="000000" w:fill="D6E7F0"/>
            <w:noWrap/>
            <w:vAlign w:val="bottom"/>
            <w:hideMark/>
          </w:tcPr>
          <w:p w14:paraId="3D10ED25" w14:textId="77777777" w:rsidR="00E4767D" w:rsidRPr="00E4767D" w:rsidRDefault="00E4767D" w:rsidP="00E4767D">
            <w:pPr>
              <w:tabs>
                <w:tab w:val="clear" w:pos="567"/>
              </w:tabs>
              <w:spacing w:before="0" w:line="240" w:lineRule="auto"/>
              <w:jc w:val="center"/>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$pc</w:t>
            </w:r>
          </w:p>
        </w:tc>
        <w:tc>
          <w:tcPr>
            <w:tcW w:w="4500" w:type="dxa"/>
            <w:tcBorders>
              <w:top w:val="nil"/>
              <w:left w:val="nil"/>
              <w:bottom w:val="single" w:sz="4" w:space="0" w:color="ADD6EA"/>
              <w:right w:val="nil"/>
            </w:tcBorders>
            <w:shd w:val="clear" w:color="000000" w:fill="D6E7F0"/>
            <w:noWrap/>
            <w:vAlign w:val="bottom"/>
            <w:hideMark/>
          </w:tcPr>
          <w:p w14:paraId="4D667417" w14:textId="77777777" w:rsidR="00E4767D" w:rsidRPr="00E4767D" w:rsidRDefault="00E4767D" w:rsidP="00E4767D">
            <w:pPr>
              <w:tabs>
                <w:tab w:val="clear" w:pos="567"/>
              </w:tabs>
              <w:spacing w:before="0" w:line="240" w:lineRule="auto"/>
              <w:rPr>
                <w:rFonts w:ascii="Open Sans Semibold" w:eastAsia="Times New Roman" w:hAnsi="Open Sans Semibold" w:cs="Open Sans Semibold"/>
                <w:szCs w:val="20"/>
                <w:lang w:eastAsia="en-AU"/>
              </w:rPr>
            </w:pPr>
            <w:r w:rsidRPr="00E4767D">
              <w:rPr>
                <w:rFonts w:ascii="Open Sans Semibold" w:eastAsia="Times New Roman" w:hAnsi="Open Sans Semibold" w:cs="Open Sans Semibold"/>
                <w:szCs w:val="20"/>
                <w:lang w:eastAsia="en-AU"/>
              </w:rPr>
              <w:t> </w:t>
            </w:r>
          </w:p>
        </w:tc>
      </w:tr>
      <w:tr w:rsidR="00E4767D" w:rsidRPr="00E4767D" w14:paraId="1D1E187A" w14:textId="77777777" w:rsidTr="008114E0">
        <w:trPr>
          <w:trHeight w:val="1612"/>
        </w:trPr>
        <w:tc>
          <w:tcPr>
            <w:tcW w:w="2940" w:type="dxa"/>
            <w:tcBorders>
              <w:top w:val="nil"/>
              <w:left w:val="nil"/>
              <w:bottom w:val="single" w:sz="4" w:space="0" w:color="ADD6EA"/>
              <w:right w:val="nil"/>
            </w:tcBorders>
            <w:shd w:val="clear" w:color="auto" w:fill="auto"/>
            <w:hideMark/>
          </w:tcPr>
          <w:p w14:paraId="50D89A46" w14:textId="173B113C" w:rsidR="00E4767D" w:rsidRPr="00E4767D" w:rsidRDefault="00D27CE8" w:rsidP="00E4767D">
            <w:pPr>
              <w:tabs>
                <w:tab w:val="clear" w:pos="567"/>
              </w:tabs>
              <w:spacing w:before="0" w:line="240" w:lineRule="auto"/>
              <w:rPr>
                <w:rFonts w:ascii="Open Sans Light" w:eastAsia="Times New Roman" w:hAnsi="Open Sans Light" w:cs="Open Sans Light"/>
                <w:szCs w:val="20"/>
                <w:lang w:eastAsia="en-AU"/>
              </w:rPr>
            </w:pPr>
            <w:r>
              <w:rPr>
                <w:rFonts w:ascii="Open Sans Light" w:eastAsia="Times New Roman" w:hAnsi="Open Sans Light" w:cs="Open Sans Light"/>
                <w:szCs w:val="20"/>
                <w:lang w:eastAsia="en-AU"/>
              </w:rPr>
              <w:t>Census – new socio-demographic composition data</w:t>
            </w:r>
          </w:p>
        </w:tc>
        <w:tc>
          <w:tcPr>
            <w:tcW w:w="760" w:type="dxa"/>
            <w:tcBorders>
              <w:top w:val="nil"/>
              <w:left w:val="nil"/>
              <w:bottom w:val="single" w:sz="4" w:space="0" w:color="ADD6EA"/>
              <w:right w:val="nil"/>
            </w:tcBorders>
            <w:shd w:val="clear" w:color="auto" w:fill="ADD6EA"/>
            <w:noWrap/>
            <w:hideMark/>
          </w:tcPr>
          <w:p w14:paraId="20A35782"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71</w:t>
            </w:r>
          </w:p>
        </w:tc>
        <w:tc>
          <w:tcPr>
            <w:tcW w:w="760" w:type="dxa"/>
            <w:tcBorders>
              <w:top w:val="nil"/>
              <w:left w:val="nil"/>
              <w:bottom w:val="single" w:sz="4" w:space="0" w:color="ADD6EA"/>
              <w:right w:val="nil"/>
            </w:tcBorders>
            <w:shd w:val="clear" w:color="auto" w:fill="ADD6EA"/>
            <w:noWrap/>
            <w:hideMark/>
          </w:tcPr>
          <w:p w14:paraId="3560D52B"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276</w:t>
            </w:r>
          </w:p>
        </w:tc>
        <w:tc>
          <w:tcPr>
            <w:tcW w:w="4500" w:type="dxa"/>
            <w:tcBorders>
              <w:top w:val="nil"/>
              <w:left w:val="nil"/>
              <w:bottom w:val="single" w:sz="8" w:space="0" w:color="ADD6EA"/>
              <w:right w:val="nil"/>
            </w:tcBorders>
            <w:shd w:val="clear" w:color="auto" w:fill="auto"/>
            <w:vAlign w:val="center"/>
            <w:hideMark/>
          </w:tcPr>
          <w:p w14:paraId="5EDE9C46" w14:textId="53668044"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New 2021 Census data showed the Northern Territory’s non</w:t>
            </w:r>
            <w:r w:rsidRPr="00E4767D">
              <w:rPr>
                <w:rFonts w:ascii="Open Sans Light" w:eastAsia="Times New Roman" w:hAnsi="Open Sans Light" w:cs="Open Sans Light"/>
                <w:szCs w:val="20"/>
                <w:lang w:eastAsia="en-AU"/>
              </w:rPr>
              <w:noBreakHyphen/>
              <w:t>Indigenous population to be relatively more disadvantaged and its population more dispersed than in the 2016 Census. These changes increased</w:t>
            </w:r>
            <w:r w:rsidR="001A1563">
              <w:rPr>
                <w:rFonts w:ascii="Open Sans Light" w:eastAsia="Times New Roman" w:hAnsi="Open Sans Light" w:cs="Open Sans Light"/>
                <w:szCs w:val="20"/>
                <w:lang w:eastAsia="en-AU"/>
              </w:rPr>
              <w:t xml:space="preserve"> </w:t>
            </w:r>
            <w:r w:rsidR="00A96AAE">
              <w:rPr>
                <w:rFonts w:ascii="Open Sans Light" w:eastAsia="Times New Roman" w:hAnsi="Open Sans Light" w:cs="Open Sans Light"/>
                <w:szCs w:val="20"/>
                <w:lang w:eastAsia="en-AU"/>
              </w:rPr>
              <w:t xml:space="preserve">the </w:t>
            </w:r>
            <w:r w:rsidR="001A1563">
              <w:rPr>
                <w:rFonts w:ascii="Open Sans Light" w:eastAsia="Times New Roman" w:hAnsi="Open Sans Light" w:cs="Open Sans Light"/>
                <w:szCs w:val="20"/>
                <w:lang w:eastAsia="en-AU"/>
              </w:rPr>
              <w:t>Northern Terri</w:t>
            </w:r>
            <w:r w:rsidR="008B3820">
              <w:rPr>
                <w:rFonts w:ascii="Open Sans Light" w:eastAsia="Times New Roman" w:hAnsi="Open Sans Light" w:cs="Open Sans Light"/>
                <w:szCs w:val="20"/>
                <w:lang w:eastAsia="en-AU"/>
              </w:rPr>
              <w:t>tory’s</w:t>
            </w:r>
            <w:r w:rsidRPr="00E4767D">
              <w:rPr>
                <w:rFonts w:ascii="Open Sans Light" w:eastAsia="Times New Roman" w:hAnsi="Open Sans Light" w:cs="Open Sans Light"/>
                <w:szCs w:val="20"/>
                <w:lang w:eastAsia="en-AU"/>
              </w:rPr>
              <w:t xml:space="preserve"> assessed</w:t>
            </w:r>
            <w:r w:rsidR="008B3820">
              <w:rPr>
                <w:rFonts w:ascii="Open Sans Light" w:eastAsia="Times New Roman" w:hAnsi="Open Sans Light" w:cs="Open Sans Light"/>
                <w:szCs w:val="20"/>
                <w:lang w:eastAsia="en-AU"/>
              </w:rPr>
              <w:t xml:space="preserve"> GST</w:t>
            </w:r>
            <w:r w:rsidRPr="00E4767D">
              <w:rPr>
                <w:rFonts w:ascii="Open Sans Light" w:eastAsia="Times New Roman" w:hAnsi="Open Sans Light" w:cs="Open Sans Light"/>
                <w:szCs w:val="20"/>
                <w:lang w:eastAsia="en-AU"/>
              </w:rPr>
              <w:t xml:space="preserve"> needs, especially for health and housing.</w:t>
            </w:r>
          </w:p>
        </w:tc>
      </w:tr>
      <w:tr w:rsidR="00E4767D" w:rsidRPr="00E4767D" w14:paraId="237D9E8F" w14:textId="77777777" w:rsidTr="008114E0">
        <w:trPr>
          <w:trHeight w:val="1340"/>
        </w:trPr>
        <w:tc>
          <w:tcPr>
            <w:tcW w:w="2940" w:type="dxa"/>
            <w:tcBorders>
              <w:top w:val="nil"/>
              <w:left w:val="nil"/>
              <w:bottom w:val="single" w:sz="4" w:space="0" w:color="ADD6EA"/>
              <w:right w:val="nil"/>
            </w:tcBorders>
            <w:shd w:val="clear" w:color="auto" w:fill="auto"/>
            <w:hideMark/>
          </w:tcPr>
          <w:p w14:paraId="269DBB24" w14:textId="77777777"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Capital improvements</w:t>
            </w:r>
          </w:p>
        </w:tc>
        <w:tc>
          <w:tcPr>
            <w:tcW w:w="760" w:type="dxa"/>
            <w:tcBorders>
              <w:top w:val="nil"/>
              <w:left w:val="nil"/>
              <w:bottom w:val="single" w:sz="4" w:space="0" w:color="ADD6EA"/>
              <w:right w:val="nil"/>
            </w:tcBorders>
            <w:shd w:val="clear" w:color="auto" w:fill="ADD6EA"/>
            <w:noWrap/>
            <w:hideMark/>
          </w:tcPr>
          <w:p w14:paraId="0C211E1C"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37</w:t>
            </w:r>
          </w:p>
        </w:tc>
        <w:tc>
          <w:tcPr>
            <w:tcW w:w="760" w:type="dxa"/>
            <w:tcBorders>
              <w:top w:val="nil"/>
              <w:left w:val="nil"/>
              <w:bottom w:val="single" w:sz="4" w:space="0" w:color="ADD6EA"/>
              <w:right w:val="nil"/>
            </w:tcBorders>
            <w:shd w:val="clear" w:color="auto" w:fill="ADD6EA"/>
            <w:noWrap/>
            <w:hideMark/>
          </w:tcPr>
          <w:p w14:paraId="6D8CDD54" w14:textId="77777777" w:rsidR="00E4767D" w:rsidRPr="00E4767D" w:rsidRDefault="00E4767D" w:rsidP="00E4767D">
            <w:pPr>
              <w:tabs>
                <w:tab w:val="clear" w:pos="567"/>
              </w:tabs>
              <w:spacing w:before="0" w:line="240" w:lineRule="auto"/>
              <w:jc w:val="center"/>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143</w:t>
            </w:r>
          </w:p>
        </w:tc>
        <w:tc>
          <w:tcPr>
            <w:tcW w:w="4500" w:type="dxa"/>
            <w:tcBorders>
              <w:top w:val="nil"/>
              <w:left w:val="nil"/>
              <w:bottom w:val="single" w:sz="8" w:space="0" w:color="ADD6EA"/>
              <w:right w:val="nil"/>
            </w:tcBorders>
            <w:shd w:val="clear" w:color="auto" w:fill="auto"/>
            <w:vAlign w:val="center"/>
            <w:hideMark/>
          </w:tcPr>
          <w:p w14:paraId="5013D274" w14:textId="1861AED1" w:rsidR="00E4767D" w:rsidRPr="00E4767D" w:rsidRDefault="00E4767D" w:rsidP="00E4767D">
            <w:pPr>
              <w:tabs>
                <w:tab w:val="clear" w:pos="567"/>
              </w:tabs>
              <w:spacing w:before="0" w:line="240" w:lineRule="auto"/>
              <w:rPr>
                <w:rFonts w:ascii="Open Sans Light" w:eastAsia="Times New Roman" w:hAnsi="Open Sans Light" w:cs="Open Sans Light"/>
                <w:szCs w:val="20"/>
                <w:lang w:eastAsia="en-AU"/>
              </w:rPr>
            </w:pPr>
            <w:r w:rsidRPr="00E4767D">
              <w:rPr>
                <w:rFonts w:ascii="Open Sans Light" w:eastAsia="Times New Roman" w:hAnsi="Open Sans Light" w:cs="Open Sans Light"/>
                <w:szCs w:val="20"/>
                <w:lang w:eastAsia="en-AU"/>
              </w:rPr>
              <w:t xml:space="preserve">Downward revisions to investment in urban transport (below-average needs) and upward revisions to health, </w:t>
            </w:r>
            <w:proofErr w:type="gramStart"/>
            <w:r w:rsidRPr="00E4767D">
              <w:rPr>
                <w:rFonts w:ascii="Open Sans Light" w:eastAsia="Times New Roman" w:hAnsi="Open Sans Light" w:cs="Open Sans Light"/>
                <w:szCs w:val="20"/>
                <w:lang w:eastAsia="en-AU"/>
              </w:rPr>
              <w:t>justice</w:t>
            </w:r>
            <w:proofErr w:type="gramEnd"/>
            <w:r w:rsidRPr="00E4767D">
              <w:rPr>
                <w:rFonts w:ascii="Open Sans Light" w:eastAsia="Times New Roman" w:hAnsi="Open Sans Light" w:cs="Open Sans Light"/>
                <w:szCs w:val="20"/>
                <w:lang w:eastAsia="en-AU"/>
              </w:rPr>
              <w:t xml:space="preserve"> and rural roads capital expenditure (above-average needs) increased assessed investment</w:t>
            </w:r>
            <w:r w:rsidR="00F6112A">
              <w:rPr>
                <w:rFonts w:ascii="Open Sans Light" w:eastAsia="Times New Roman" w:hAnsi="Open Sans Light" w:cs="Open Sans Light"/>
                <w:szCs w:val="20"/>
                <w:lang w:eastAsia="en-AU"/>
              </w:rPr>
              <w:t xml:space="preserve"> needs</w:t>
            </w:r>
            <w:r w:rsidRPr="00E4767D">
              <w:rPr>
                <w:rFonts w:ascii="Open Sans Light" w:eastAsia="Times New Roman" w:hAnsi="Open Sans Light" w:cs="Open Sans Light"/>
                <w:szCs w:val="20"/>
                <w:lang w:eastAsia="en-AU"/>
              </w:rPr>
              <w:t>.</w:t>
            </w:r>
          </w:p>
        </w:tc>
      </w:tr>
    </w:tbl>
    <w:p w14:paraId="5049AEBB" w14:textId="5434620B" w:rsidR="00F75C91" w:rsidRPr="0074308E" w:rsidRDefault="00F75C91" w:rsidP="0074308E">
      <w:pPr>
        <w:pStyle w:val="Tablefootnote"/>
      </w:pPr>
      <w:r w:rsidRPr="00754E2C">
        <w:t>Source: Commission calculation.</w:t>
      </w:r>
      <w:r>
        <w:br w:type="page"/>
      </w:r>
    </w:p>
    <w:p w14:paraId="2264C03C" w14:textId="16FC6F77" w:rsidR="001A4E47" w:rsidRPr="00994C2F" w:rsidRDefault="001A4E47" w:rsidP="00033CBE">
      <w:pPr>
        <w:pStyle w:val="Heading1"/>
        <w:numPr>
          <w:ilvl w:val="0"/>
          <w:numId w:val="0"/>
        </w:numPr>
      </w:pPr>
      <w:bookmarkStart w:id="236" w:name="Attachment_A"/>
      <w:bookmarkStart w:id="237" w:name="_Toc159676108"/>
      <w:r w:rsidRPr="00994C2F">
        <w:lastRenderedPageBreak/>
        <w:t>Attachment A</w:t>
      </w:r>
      <w:bookmarkEnd w:id="236"/>
      <w:r w:rsidRPr="00994C2F">
        <w:t>: GST distribution since 2000</w:t>
      </w:r>
      <w:r w:rsidR="00FB401A">
        <w:t>–</w:t>
      </w:r>
      <w:r w:rsidR="00091E48">
        <w:rPr>
          <w:rFonts w:ascii="Times New Roman" w:hAnsi="Times New Roman" w:cs="Times New Roman" w:hint="cs"/>
          <w:rtl/>
        </w:rPr>
        <w:t>‍</w:t>
      </w:r>
      <w:r w:rsidRPr="00994C2F">
        <w:t>01</w:t>
      </w:r>
      <w:bookmarkEnd w:id="237"/>
    </w:p>
    <w:p w14:paraId="0E2F87E8" w14:textId="77777777" w:rsidR="001A4E47" w:rsidRPr="00994C2F" w:rsidRDefault="001A4E47" w:rsidP="001A4E47">
      <w:r w:rsidRPr="00994C2F">
        <w:t>This attachment provides an overview of the longer-term trends in how states’ GST shares compare with each other over time. A state’s GST share is primarily driven by its relative fiscal capacity, with a lower relative fiscal capacity resulting in a greater (per capita) share of GST revenue. The 2018 legislated arrangements have also affected GST shares.</w:t>
      </w:r>
      <w:r w:rsidRPr="002C5C70">
        <w:rPr>
          <w:vertAlign w:val="superscript"/>
        </w:rPr>
        <w:footnoteReference w:id="10"/>
      </w:r>
    </w:p>
    <w:p w14:paraId="507D750B" w14:textId="4F4C3C16" w:rsidR="001A4E47" w:rsidRPr="0095123E" w:rsidRDefault="00F27AE1" w:rsidP="001A4E47">
      <w:r>
        <w:fldChar w:fldCharType="begin"/>
      </w:r>
      <w:r>
        <w:instrText xml:space="preserve"> REF Figure_A_1 \h </w:instrText>
      </w:r>
      <w:r>
        <w:fldChar w:fldCharType="separate"/>
      </w:r>
      <w:r w:rsidR="00047120" w:rsidRPr="00994C2F">
        <w:t xml:space="preserve">Figure A-1 </w:t>
      </w:r>
      <w:r>
        <w:fldChar w:fldCharType="end"/>
      </w:r>
      <w:r w:rsidR="001A4E47" w:rsidRPr="00994C2F">
        <w:t xml:space="preserve">and </w:t>
      </w:r>
      <w:r w:rsidR="00F45B28">
        <w:fldChar w:fldCharType="begin"/>
      </w:r>
      <w:r w:rsidR="00F45B28">
        <w:instrText xml:space="preserve"> REF Figure_A_2 \h </w:instrText>
      </w:r>
      <w:r w:rsidR="00F45B28">
        <w:fldChar w:fldCharType="separate"/>
      </w:r>
      <w:r w:rsidR="00047120" w:rsidRPr="00994C2F">
        <w:t xml:space="preserve">Figure A-2 </w:t>
      </w:r>
      <w:r w:rsidR="00F45B28">
        <w:fldChar w:fldCharType="end"/>
      </w:r>
      <w:r w:rsidR="001A4E47" w:rsidRPr="00994C2F">
        <w:t xml:space="preserve">show how each state’s proportion of the </w:t>
      </w:r>
      <w:r w:rsidR="001A4E47" w:rsidRPr="0095123E">
        <w:t xml:space="preserve">GST pool </w:t>
      </w:r>
      <w:r w:rsidR="006000D1" w:rsidRPr="0095123E">
        <w:t xml:space="preserve">compares </w:t>
      </w:r>
      <w:r w:rsidR="001A4E47" w:rsidRPr="0095123E">
        <w:t xml:space="preserve">to its respective population shares over time. </w:t>
      </w:r>
    </w:p>
    <w:p w14:paraId="780015D0" w14:textId="33189654" w:rsidR="001A4E47" w:rsidRPr="0095123E" w:rsidRDefault="004E09E0" w:rsidP="002C4633">
      <w:pPr>
        <w:pStyle w:val="BulletPoints"/>
      </w:pPr>
      <w:r w:rsidRPr="0095123E">
        <w:fldChar w:fldCharType="begin"/>
      </w:r>
      <w:r w:rsidRPr="0095123E">
        <w:instrText xml:space="preserve"> REF Figure_A_1 \h </w:instrText>
      </w:r>
      <w:r w:rsidR="0095123E">
        <w:instrText xml:space="preserve"> \* MERGEFORMAT </w:instrText>
      </w:r>
      <w:r w:rsidRPr="0095123E">
        <w:fldChar w:fldCharType="separate"/>
      </w:r>
      <w:r w:rsidR="00047120" w:rsidRPr="00994C2F">
        <w:t xml:space="preserve">Figure A-1 </w:t>
      </w:r>
      <w:r w:rsidRPr="0095123E">
        <w:fldChar w:fldCharType="end"/>
      </w:r>
      <w:r w:rsidR="001A4E47" w:rsidRPr="0095123E">
        <w:t>shows when a state receives a larger proportion of the GST pool than if funds were allocated according to population shares. This occurs when a state is assessed as hav</w:t>
      </w:r>
      <w:r w:rsidR="00C46AA3" w:rsidRPr="0095123E">
        <w:t>ing</w:t>
      </w:r>
      <w:r w:rsidR="001A4E47" w:rsidRPr="0095123E">
        <w:t xml:space="preserve"> a relatively low fiscal capacity, and therefore receives more than an equal per capita allocation, </w:t>
      </w:r>
      <w:proofErr w:type="gramStart"/>
      <w:r w:rsidR="001A4E47" w:rsidRPr="0095123E">
        <w:t>i.e.</w:t>
      </w:r>
      <w:proofErr w:type="gramEnd"/>
      <w:r w:rsidR="001A4E47" w:rsidRPr="0095123E">
        <w:t xml:space="preserve"> a GST relativity of above one.</w:t>
      </w:r>
    </w:p>
    <w:p w14:paraId="3651BF34" w14:textId="3E8F381D" w:rsidR="001A4E47" w:rsidRPr="00994C2F" w:rsidRDefault="00F86FB7" w:rsidP="002C4633">
      <w:pPr>
        <w:pStyle w:val="BulletPoints"/>
      </w:pPr>
      <w:r>
        <w:fldChar w:fldCharType="begin"/>
      </w:r>
      <w:r>
        <w:instrText xml:space="preserve"> REF Figure_A_2 \h </w:instrText>
      </w:r>
      <w:r>
        <w:fldChar w:fldCharType="separate"/>
      </w:r>
      <w:r w:rsidR="00047120" w:rsidRPr="00994C2F">
        <w:t xml:space="preserve">Figure A-2 </w:t>
      </w:r>
      <w:r>
        <w:fldChar w:fldCharType="end"/>
      </w:r>
      <w:r w:rsidR="001A4E47" w:rsidRPr="00994C2F">
        <w:t xml:space="preserve">shows when a state receives a smaller proportion of the GST pool relative to its population share. This occurs when a state is assessed as having a relatively high fiscal capacity, and therefore receives less than an equal per capita allocation, </w:t>
      </w:r>
      <w:proofErr w:type="gramStart"/>
      <w:r w:rsidR="001A4E47" w:rsidRPr="00994C2F">
        <w:t>i.e.</w:t>
      </w:r>
      <w:proofErr w:type="gramEnd"/>
      <w:r w:rsidR="001A4E47" w:rsidRPr="00994C2F">
        <w:t xml:space="preserve"> a GST relativity of below one.</w:t>
      </w:r>
    </w:p>
    <w:p w14:paraId="7921046E" w14:textId="61BFDD8C" w:rsidR="001A4E47" w:rsidRDefault="001A4E47" w:rsidP="001A4E47">
      <w:r w:rsidRPr="00994C2F">
        <w:t>For example, in 2000</w:t>
      </w:r>
      <w:r w:rsidR="00091E48">
        <w:t>–</w:t>
      </w:r>
      <w:r w:rsidRPr="00994C2F">
        <w:t>01, the Northe</w:t>
      </w:r>
      <w:r w:rsidR="00637F32">
        <w:t>r</w:t>
      </w:r>
      <w:r w:rsidRPr="00994C2F">
        <w:t xml:space="preserve">n Territory’s share of the GST pool exceeded its population share by roughly 3.8% and Victoria’s GST share was approximately 4% less than its population share. </w:t>
      </w:r>
    </w:p>
    <w:p w14:paraId="4C56EDC5" w14:textId="04AE6273" w:rsidR="008E6000" w:rsidRPr="00994C2F" w:rsidRDefault="008E6000" w:rsidP="008E6000">
      <w:pPr>
        <w:pStyle w:val="Tableheading"/>
        <w:ind w:left="1418" w:hanging="1418"/>
      </w:pPr>
      <w:bookmarkStart w:id="238" w:name="Figure_A_1"/>
      <w:r w:rsidRPr="00994C2F">
        <w:t xml:space="preserve">Figure A-1 </w:t>
      </w:r>
      <w:bookmarkEnd w:id="238"/>
      <w:r w:rsidRPr="00994C2F">
        <w:tab/>
        <w:t xml:space="preserve">Proportion of the GST pool </w:t>
      </w:r>
      <w:proofErr w:type="gramStart"/>
      <w:r w:rsidRPr="00994C2F">
        <w:t>in excess of</w:t>
      </w:r>
      <w:proofErr w:type="gramEnd"/>
      <w:r w:rsidRPr="00994C2F">
        <w:t xml:space="preserve"> a state’s population share,</w:t>
      </w:r>
      <w:r w:rsidR="002B7E03">
        <w:br/>
      </w:r>
      <w:r w:rsidRPr="00994C2F">
        <w:t>2000</w:t>
      </w:r>
      <w:r w:rsidR="00091E48">
        <w:t>–</w:t>
      </w:r>
      <w:r w:rsidRPr="00994C2F">
        <w:t>01 to 2024</w:t>
      </w:r>
      <w:r w:rsidR="00091E48">
        <w:t>–</w:t>
      </w:r>
      <w:r w:rsidRPr="00994C2F">
        <w:t>25 (excludes no worse off payments)</w:t>
      </w:r>
    </w:p>
    <w:p w14:paraId="3DEC87FE" w14:textId="0E50A9A5" w:rsidR="008E6000" w:rsidRDefault="0022181C" w:rsidP="00B36355">
      <w:pPr>
        <w:tabs>
          <w:tab w:val="clear" w:pos="567"/>
        </w:tabs>
        <w:spacing w:before="0" w:after="160" w:line="259" w:lineRule="auto"/>
      </w:pPr>
      <w:r w:rsidRPr="0022181C">
        <w:rPr>
          <w:noProof/>
        </w:rPr>
        <w:drawing>
          <wp:inline distT="0" distB="0" distL="0" distR="0" wp14:anchorId="2833905D" wp14:editId="3BC58B5D">
            <wp:extent cx="5657850" cy="3581400"/>
            <wp:effectExtent l="0" t="0" r="0" b="0"/>
            <wp:docPr id="1153712089" name="Picture 1153712089" descr="An area chart describing selected states' shares of the GST pool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12089" name="Picture 2" descr="An area chart describing selected states' shares of the GST pool over tim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57850" cy="3581400"/>
                    </a:xfrm>
                    <a:prstGeom prst="rect">
                      <a:avLst/>
                    </a:prstGeom>
                    <a:noFill/>
                    <a:ln>
                      <a:noFill/>
                    </a:ln>
                  </pic:spPr>
                </pic:pic>
              </a:graphicData>
            </a:graphic>
          </wp:inline>
        </w:drawing>
      </w:r>
    </w:p>
    <w:p w14:paraId="3629E48E" w14:textId="77777777" w:rsidR="008E6000" w:rsidRPr="00994C2F" w:rsidRDefault="008E6000" w:rsidP="008E6000">
      <w:pPr>
        <w:pStyle w:val="Tablefootnote"/>
        <w:ind w:left="709" w:hanging="596"/>
      </w:pPr>
      <w:r w:rsidRPr="00994C2F">
        <w:t>Source: Commission calculation. Note that this refers to GST distribution, which has been different from assessed relativities since the legislated GST arrangements came into effect. It does not include no worse off payments.</w:t>
      </w:r>
    </w:p>
    <w:p w14:paraId="5836E0B2" w14:textId="77777777" w:rsidR="008E6000" w:rsidRPr="00994C2F" w:rsidRDefault="008E6000" w:rsidP="001A4E47"/>
    <w:p w14:paraId="18861D48" w14:textId="1D75B215" w:rsidR="001A4E47" w:rsidRDefault="001A4E47">
      <w:pPr>
        <w:tabs>
          <w:tab w:val="clear" w:pos="567"/>
        </w:tabs>
        <w:spacing w:before="0" w:line="240" w:lineRule="auto"/>
        <w:rPr>
          <w:rFonts w:ascii="Open Sans Light" w:eastAsia="Times New Roman" w:hAnsi="Open Sans Light" w:cs="Times New Roman"/>
          <w:szCs w:val="20"/>
        </w:rPr>
      </w:pPr>
      <w:r>
        <w:rPr>
          <w:rFonts w:ascii="Open Sans Light" w:eastAsia="Times New Roman" w:hAnsi="Open Sans Light" w:cs="Times New Roman"/>
          <w:szCs w:val="20"/>
        </w:rPr>
        <w:br w:type="page"/>
      </w:r>
    </w:p>
    <w:p w14:paraId="77FEEA66" w14:textId="2077AE38" w:rsidR="006A2371" w:rsidRPr="00994C2F" w:rsidRDefault="006A2371" w:rsidP="006A2371">
      <w:pPr>
        <w:pStyle w:val="Tableheading"/>
        <w:ind w:left="1418" w:hanging="1418"/>
      </w:pPr>
      <w:bookmarkStart w:id="239" w:name="Figure_A_2"/>
      <w:r w:rsidRPr="00994C2F">
        <w:lastRenderedPageBreak/>
        <w:t xml:space="preserve">Figure A-2 </w:t>
      </w:r>
      <w:bookmarkEnd w:id="239"/>
      <w:r w:rsidRPr="00994C2F">
        <w:tab/>
        <w:t>Proportion of the GST pool less than a state’s population share,</w:t>
      </w:r>
      <w:r w:rsidR="00803BD7">
        <w:br/>
      </w:r>
      <w:r w:rsidRPr="00994C2F">
        <w:t>2000</w:t>
      </w:r>
      <w:r w:rsidR="003F1190">
        <w:t>–</w:t>
      </w:r>
      <w:r w:rsidRPr="00994C2F">
        <w:t>01 to 2024</w:t>
      </w:r>
      <w:r w:rsidR="003F1190">
        <w:t>–</w:t>
      </w:r>
      <w:r w:rsidRPr="00994C2F">
        <w:t>25 (excludes no worse off payments)</w:t>
      </w:r>
    </w:p>
    <w:p w14:paraId="097347F7" w14:textId="45BBF262" w:rsidR="006A2371" w:rsidRDefault="009D26B6" w:rsidP="00B36355">
      <w:pPr>
        <w:tabs>
          <w:tab w:val="clear" w:pos="567"/>
        </w:tabs>
        <w:spacing w:before="0" w:after="160" w:line="259" w:lineRule="auto"/>
      </w:pPr>
      <w:r w:rsidRPr="009D26B6">
        <w:rPr>
          <w:noProof/>
        </w:rPr>
        <w:drawing>
          <wp:inline distT="0" distB="0" distL="0" distR="0" wp14:anchorId="69A14961" wp14:editId="0D953598">
            <wp:extent cx="5657850" cy="3571875"/>
            <wp:effectExtent l="0" t="0" r="0" b="9525"/>
            <wp:docPr id="1036333250" name="Picture 1036333250" descr="An area chart describing selected states' shares of the GST pool less their population shares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333250" name="Picture 3" descr="An area chart describing selected states' shares of the GST pool less their population shares over tim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7850" cy="3571875"/>
                    </a:xfrm>
                    <a:prstGeom prst="rect">
                      <a:avLst/>
                    </a:prstGeom>
                    <a:noFill/>
                    <a:ln>
                      <a:noFill/>
                    </a:ln>
                  </pic:spPr>
                </pic:pic>
              </a:graphicData>
            </a:graphic>
          </wp:inline>
        </w:drawing>
      </w:r>
    </w:p>
    <w:p w14:paraId="269C7A6A" w14:textId="77777777" w:rsidR="006A2371" w:rsidRPr="00994C2F" w:rsidRDefault="006A2371" w:rsidP="006A2371">
      <w:pPr>
        <w:pStyle w:val="Tablefootnote"/>
        <w:ind w:left="709" w:hanging="596"/>
      </w:pPr>
      <w:r w:rsidRPr="00994C2F">
        <w:t>Source: Commission calculation. Note that this refers to GST distribution, which has been different from assessed relativities since the legislated GST arrangements came into effect. It does not include no worse off payments.</w:t>
      </w:r>
    </w:p>
    <w:p w14:paraId="330A32E8" w14:textId="1E5388BF" w:rsidR="00DE5FFF" w:rsidRPr="00663629" w:rsidRDefault="00DE5FFF" w:rsidP="00CB62AF">
      <w:pPr>
        <w:pStyle w:val="Heading2"/>
      </w:pPr>
      <w:r w:rsidRPr="00663629">
        <w:t>States with above-average</w:t>
      </w:r>
      <w:r w:rsidR="007E68AA">
        <w:t xml:space="preserve"> </w:t>
      </w:r>
      <w:r w:rsidRPr="00663629">
        <w:t>GST needs</w:t>
      </w:r>
    </w:p>
    <w:p w14:paraId="294FC6D9" w14:textId="132C98B8" w:rsidR="00DE5FFF" w:rsidRPr="00663629" w:rsidRDefault="00DE5FFF" w:rsidP="00DE5FFF">
      <w:r w:rsidRPr="00663629">
        <w:t>In 2024</w:t>
      </w:r>
      <w:r w:rsidR="007E68AA">
        <w:t>–</w:t>
      </w:r>
      <w:r w:rsidRPr="00663629">
        <w:t>25, 4 states have above-average</w:t>
      </w:r>
      <w:r w:rsidR="007E68AA">
        <w:t xml:space="preserve"> </w:t>
      </w:r>
      <w:r w:rsidRPr="00663629">
        <w:t xml:space="preserve">GST needs (a GST relativity above one): South Australia, Tasmania, the </w:t>
      </w:r>
      <w:proofErr w:type="gramStart"/>
      <w:r w:rsidRPr="00663629">
        <w:t>ACT</w:t>
      </w:r>
      <w:proofErr w:type="gramEnd"/>
      <w:r w:rsidRPr="00663629">
        <w:t xml:space="preserve"> and the Northern Territory. These states have consistently had above-average</w:t>
      </w:r>
      <w:r w:rsidR="00CB29FD">
        <w:t xml:space="preserve"> </w:t>
      </w:r>
      <w:r w:rsidRPr="00663629">
        <w:t>GST needs since the introduction of the GST in 2000 (</w:t>
      </w:r>
      <w:r w:rsidR="006D4DE5">
        <w:fldChar w:fldCharType="begin"/>
      </w:r>
      <w:r w:rsidR="006D4DE5">
        <w:instrText xml:space="preserve"> REF Figure_A_1 \h </w:instrText>
      </w:r>
      <w:r w:rsidR="006D4DE5">
        <w:fldChar w:fldCharType="separate"/>
      </w:r>
      <w:r w:rsidR="00047120" w:rsidRPr="00994C2F">
        <w:t xml:space="preserve">Figure A-1 </w:t>
      </w:r>
      <w:r w:rsidR="006D4DE5">
        <w:fldChar w:fldCharType="end"/>
      </w:r>
      <w:r w:rsidRPr="00663629">
        <w:t xml:space="preserve">and </w:t>
      </w:r>
      <w:r w:rsidR="00F86FB7">
        <w:fldChar w:fldCharType="begin"/>
      </w:r>
      <w:r w:rsidR="00F86FB7">
        <w:instrText xml:space="preserve"> REF Table_A_1 \h </w:instrText>
      </w:r>
      <w:r w:rsidR="00F86FB7">
        <w:fldChar w:fldCharType="separate"/>
      </w:r>
      <w:r w:rsidR="00047120" w:rsidRPr="00663629">
        <w:t>Table A</w:t>
      </w:r>
      <w:r w:rsidR="00047120">
        <w:noBreakHyphen/>
      </w:r>
      <w:r w:rsidR="00047120">
        <w:rPr>
          <w:noProof/>
        </w:rPr>
        <w:t>1</w:t>
      </w:r>
      <w:r w:rsidR="00F86FB7">
        <w:fldChar w:fldCharType="end"/>
      </w:r>
      <w:r w:rsidRPr="00663629">
        <w:t>).</w:t>
      </w:r>
    </w:p>
    <w:p w14:paraId="748C4121" w14:textId="765505EE" w:rsidR="00DE5FFF" w:rsidRPr="00663629" w:rsidRDefault="00DE5FFF" w:rsidP="00721AA7">
      <w:pPr>
        <w:pStyle w:val="BulletPoints"/>
      </w:pPr>
      <w:r w:rsidRPr="00663629">
        <w:t xml:space="preserve">The Northern Territory has had a GST relativity of between 4.25816 and 5.66061. </w:t>
      </w:r>
      <w:proofErr w:type="spellStart"/>
      <w:r w:rsidRPr="00663629">
        <w:t>Its</w:t>
      </w:r>
      <w:proofErr w:type="spellEnd"/>
      <w:r w:rsidRPr="00663629">
        <w:t xml:space="preserve"> very high GST needs have been driven largely by the high costs of service delivery to disadvantaged and dispersed populations, particularly First Nations populations. As a result, the Northern Territory consistently receives a much higher GST share relative to its population than other states.</w:t>
      </w:r>
    </w:p>
    <w:p w14:paraId="43AB8813" w14:textId="77777777" w:rsidR="00DE5FFF" w:rsidRPr="00663629" w:rsidRDefault="00DE5FFF" w:rsidP="00721AA7">
      <w:pPr>
        <w:pStyle w:val="BulletPoints"/>
      </w:pPr>
      <w:r w:rsidRPr="00663629">
        <w:t xml:space="preserve">Tasmania has had a GST relativity of between 1.58088 and 1.96067. This has been driven largely by below-average revenue raising capacity, particularly for property and mining. It also has high expenditure needs relating to many people living in regional areas. </w:t>
      </w:r>
    </w:p>
    <w:p w14:paraId="269008C3" w14:textId="15A0EBE6" w:rsidR="00DE5FFF" w:rsidRPr="00663629" w:rsidRDefault="00DE5FFF" w:rsidP="00721AA7">
      <w:pPr>
        <w:pStyle w:val="BulletPoints"/>
      </w:pPr>
      <w:r w:rsidRPr="00663629">
        <w:t>South Australia has had a GST relativity of between 1.19971 and 1.47727. This has been driven largely by its below-average revenue raising capacity, particularly for mining and property sales. It also has an above-average proportion of socio</w:t>
      </w:r>
      <w:r w:rsidR="00902E54">
        <w:noBreakHyphen/>
      </w:r>
      <w:proofErr w:type="gramStart"/>
      <w:r w:rsidRPr="00663629">
        <w:t>economically disadvantaged</w:t>
      </w:r>
      <w:proofErr w:type="gramEnd"/>
      <w:r w:rsidRPr="00663629">
        <w:t xml:space="preserve"> people.</w:t>
      </w:r>
    </w:p>
    <w:p w14:paraId="7EACDBBB" w14:textId="77777777" w:rsidR="00DE5FFF" w:rsidRPr="00663629" w:rsidRDefault="00DE5FFF" w:rsidP="00721AA7">
      <w:pPr>
        <w:pStyle w:val="BulletPoints"/>
      </w:pPr>
      <w:r w:rsidRPr="00663629">
        <w:t xml:space="preserve">The ACT has had a GST relativity of between 1.09250 and 1.27051. This has been driven largely by its below-average revenue raising capacity, particularly for mining and land tax. </w:t>
      </w:r>
    </w:p>
    <w:p w14:paraId="1F362C75" w14:textId="77777777" w:rsidR="007A7FF9" w:rsidRDefault="007A7FF9">
      <w:pPr>
        <w:tabs>
          <w:tab w:val="clear" w:pos="567"/>
        </w:tabs>
        <w:spacing w:before="0" w:line="240" w:lineRule="auto"/>
        <w:rPr>
          <w:rFonts w:ascii="Open Sans Semibold" w:eastAsiaTheme="majorEastAsia" w:hAnsi="Open Sans Semibold" w:cs="Open Sans"/>
          <w:bCs/>
          <w:color w:val="006991"/>
          <w:sz w:val="26"/>
          <w:szCs w:val="36"/>
        </w:rPr>
      </w:pPr>
      <w:r>
        <w:br w:type="page"/>
      </w:r>
    </w:p>
    <w:p w14:paraId="66B58D20" w14:textId="36D17C43" w:rsidR="00DE5FFF" w:rsidRPr="00663629" w:rsidRDefault="00DE5FFF" w:rsidP="00721AA7">
      <w:pPr>
        <w:pStyle w:val="Heading2"/>
      </w:pPr>
      <w:r w:rsidRPr="00663629">
        <w:lastRenderedPageBreak/>
        <w:t>States with below-average</w:t>
      </w:r>
      <w:r w:rsidR="008B2B4B">
        <w:t xml:space="preserve"> </w:t>
      </w:r>
      <w:r w:rsidRPr="00663629">
        <w:t>GST needs</w:t>
      </w:r>
    </w:p>
    <w:p w14:paraId="5DF3EF3F" w14:textId="1D98F979" w:rsidR="00DE5FFF" w:rsidRPr="00663629" w:rsidRDefault="00DE5FFF" w:rsidP="00DE5FFF">
      <w:r w:rsidRPr="00663629">
        <w:t>In 2024</w:t>
      </w:r>
      <w:r w:rsidR="007E56FE">
        <w:t>–</w:t>
      </w:r>
      <w:r w:rsidRPr="00663629">
        <w:t>25, 4 states have below-average</w:t>
      </w:r>
      <w:r w:rsidR="008B2B4B">
        <w:t xml:space="preserve"> </w:t>
      </w:r>
      <w:r w:rsidRPr="00663629">
        <w:t xml:space="preserve">GST needs (a GST relativity below one). </w:t>
      </w:r>
    </w:p>
    <w:p w14:paraId="722E2FEE" w14:textId="12FA65B9" w:rsidR="00DE5FFF" w:rsidRPr="00663629" w:rsidRDefault="00DE5FFF" w:rsidP="00DE5FFF">
      <w:r w:rsidRPr="00663629">
        <w:t>Two of these states (New South Wales and Victoria) have consistently had below-average</w:t>
      </w:r>
      <w:r w:rsidR="00F52602">
        <w:t xml:space="preserve"> </w:t>
      </w:r>
      <w:r w:rsidRPr="00663629">
        <w:t>GST needs over this period (</w:t>
      </w:r>
      <w:r w:rsidR="00915CAD">
        <w:fldChar w:fldCharType="begin"/>
      </w:r>
      <w:r w:rsidR="00915CAD">
        <w:instrText xml:space="preserve"> REF Figure_A_2 \h </w:instrText>
      </w:r>
      <w:r w:rsidR="00915CAD">
        <w:fldChar w:fldCharType="separate"/>
      </w:r>
      <w:r w:rsidR="00047120" w:rsidRPr="00994C2F">
        <w:t xml:space="preserve">Figure A-2 </w:t>
      </w:r>
      <w:r w:rsidR="00915CAD">
        <w:fldChar w:fldCharType="end"/>
      </w:r>
      <w:r w:rsidRPr="00663629">
        <w:t xml:space="preserve">and </w:t>
      </w:r>
      <w:r w:rsidR="00915CAD">
        <w:fldChar w:fldCharType="begin"/>
      </w:r>
      <w:r w:rsidR="00915CAD">
        <w:instrText xml:space="preserve"> REF Table_A_1 \h </w:instrText>
      </w:r>
      <w:r w:rsidR="00915CAD">
        <w:fldChar w:fldCharType="separate"/>
      </w:r>
      <w:r w:rsidR="00047120" w:rsidRPr="00663629">
        <w:t>Table A</w:t>
      </w:r>
      <w:r w:rsidR="00047120">
        <w:noBreakHyphen/>
      </w:r>
      <w:r w:rsidR="00047120">
        <w:rPr>
          <w:noProof/>
        </w:rPr>
        <w:t>1</w:t>
      </w:r>
      <w:r w:rsidR="00915CAD">
        <w:fldChar w:fldCharType="end"/>
      </w:r>
      <w:r w:rsidRPr="00663629">
        <w:t>).</w:t>
      </w:r>
    </w:p>
    <w:p w14:paraId="70F1BAD0" w14:textId="5521B7E3" w:rsidR="00DE5FFF" w:rsidRPr="00663629" w:rsidRDefault="00DE5FFF" w:rsidP="00721AA7">
      <w:pPr>
        <w:pStyle w:val="BulletPoints"/>
      </w:pPr>
      <w:r w:rsidRPr="00663629">
        <w:t xml:space="preserve">New South Wales has had a GST relativity of between 0.83468 and 0.97500. Its below-average GST relativity has been driven largely by its above-average capacity to raise revenue from property and payrolls. Below-average expenses (such as a relatively small proportion of the population living in regional or remote areas) have also contributed. In the </w:t>
      </w:r>
      <w:r w:rsidR="00937D54" w:rsidRPr="00663629">
        <w:t>mid-</w:t>
      </w:r>
      <w:r w:rsidRPr="00663629">
        <w:t>2000s a property market boom reduced New</w:t>
      </w:r>
      <w:r w:rsidR="007A7206">
        <w:t> </w:t>
      </w:r>
      <w:r w:rsidRPr="00663629">
        <w:t>South</w:t>
      </w:r>
      <w:r w:rsidR="007A7206">
        <w:t> </w:t>
      </w:r>
      <w:proofErr w:type="spellStart"/>
      <w:r w:rsidRPr="00663629">
        <w:t>Wales’</w:t>
      </w:r>
      <w:proofErr w:type="spellEnd"/>
      <w:r w:rsidRPr="00663629">
        <w:t xml:space="preserve"> GST needs further over this period. </w:t>
      </w:r>
    </w:p>
    <w:p w14:paraId="0498B96C" w14:textId="1CAEB5A5" w:rsidR="00DE5FFF" w:rsidRPr="00663629" w:rsidRDefault="00DE5FFF" w:rsidP="00721AA7">
      <w:pPr>
        <w:pStyle w:val="BulletPoints"/>
      </w:pPr>
      <w:r w:rsidRPr="00663629">
        <w:t>Victoria has had a GST relativity of between 0.83641 and 0.98670. Its below-average GST relativity has been driven largely by its compact size and the socio</w:t>
      </w:r>
      <w:r w:rsidR="000D40CB">
        <w:noBreakHyphen/>
      </w:r>
      <w:r w:rsidRPr="00663629">
        <w:t>demographic composition of its population. The strong property market in Victoria in the mid-2000s reduced its</w:t>
      </w:r>
      <w:r w:rsidR="000D40CB">
        <w:t xml:space="preserve"> </w:t>
      </w:r>
      <w:r w:rsidRPr="00663629">
        <w:t>GST needs. In 2024</w:t>
      </w:r>
      <w:r w:rsidR="000D40CB">
        <w:t>–</w:t>
      </w:r>
      <w:r w:rsidRPr="00663629">
        <w:t>25, its assessed relativity would be above one for the first time. This largely reflects the high revenue raising capacity from mining royalties in other states.</w:t>
      </w:r>
    </w:p>
    <w:p w14:paraId="720E2173" w14:textId="6AC31C72" w:rsidR="00DE5FFF" w:rsidRPr="00663629" w:rsidRDefault="00DE5FFF" w:rsidP="00DE5FFF">
      <w:r w:rsidRPr="00663629">
        <w:t>Queensland and Western Australia have had a GST relativity above one in some years and below one in others (</w:t>
      </w:r>
      <w:r w:rsidR="007F4E48">
        <w:fldChar w:fldCharType="begin"/>
      </w:r>
      <w:r w:rsidR="007F4E48">
        <w:instrText xml:space="preserve"> REF Figure_A_1 \h </w:instrText>
      </w:r>
      <w:r w:rsidR="007F4E48">
        <w:fldChar w:fldCharType="separate"/>
      </w:r>
      <w:r w:rsidR="00047120" w:rsidRPr="00994C2F">
        <w:t xml:space="preserve">Figure A-1 </w:t>
      </w:r>
      <w:r w:rsidR="007F4E48">
        <w:fldChar w:fldCharType="end"/>
      </w:r>
      <w:r w:rsidRPr="00663629">
        <w:t xml:space="preserve">and </w:t>
      </w:r>
      <w:r w:rsidR="00F335B8">
        <w:fldChar w:fldCharType="begin"/>
      </w:r>
      <w:r w:rsidR="00F335B8">
        <w:instrText xml:space="preserve"> REF Figure_A_2 \h </w:instrText>
      </w:r>
      <w:r w:rsidR="00F335B8">
        <w:fldChar w:fldCharType="separate"/>
      </w:r>
      <w:r w:rsidR="00047120" w:rsidRPr="00994C2F">
        <w:t xml:space="preserve">Figure A-2 </w:t>
      </w:r>
      <w:r w:rsidR="00F335B8">
        <w:fldChar w:fldCharType="end"/>
      </w:r>
      <w:r w:rsidRPr="00663629">
        <w:t xml:space="preserve">and </w:t>
      </w:r>
      <w:r w:rsidR="00915CAD">
        <w:fldChar w:fldCharType="begin"/>
      </w:r>
      <w:r w:rsidR="00915CAD">
        <w:instrText xml:space="preserve"> REF Table_A_1 \h </w:instrText>
      </w:r>
      <w:r w:rsidR="00915CAD">
        <w:fldChar w:fldCharType="separate"/>
      </w:r>
      <w:r w:rsidR="00047120" w:rsidRPr="00663629">
        <w:t>Table A</w:t>
      </w:r>
      <w:r w:rsidR="00047120">
        <w:noBreakHyphen/>
      </w:r>
      <w:r w:rsidR="00047120">
        <w:rPr>
          <w:noProof/>
        </w:rPr>
        <w:t>1</w:t>
      </w:r>
      <w:r w:rsidR="00915CAD">
        <w:fldChar w:fldCharType="end"/>
      </w:r>
      <w:r w:rsidRPr="00663629">
        <w:t>).</w:t>
      </w:r>
    </w:p>
    <w:p w14:paraId="232621FB" w14:textId="757B3801" w:rsidR="00DE5FFF" w:rsidRPr="00663629" w:rsidRDefault="00DE5FFF" w:rsidP="00721AA7">
      <w:pPr>
        <w:pStyle w:val="BulletPoints"/>
      </w:pPr>
      <w:r w:rsidRPr="00663629">
        <w:t>While Queensland's GST relativity has ranged from 0.91322 to 1.18769 it has mostly remained above one. Slower property market growth than other states has reduced its revenue</w:t>
      </w:r>
      <w:r w:rsidR="00BD3FE5">
        <w:t xml:space="preserve"> </w:t>
      </w:r>
      <w:r w:rsidRPr="00663629">
        <w:t>raising capacity relative to other states. It also has higher</w:t>
      </w:r>
      <w:r w:rsidR="000A661F">
        <w:t>-</w:t>
      </w:r>
      <w:r w:rsidRPr="00663629">
        <w:t>than</w:t>
      </w:r>
      <w:r w:rsidR="000A661F">
        <w:t>-</w:t>
      </w:r>
      <w:r w:rsidRPr="00663629">
        <w:t>average costs of delivering services due to a more dispersed population. From 2008</w:t>
      </w:r>
      <w:r w:rsidR="00BA486A">
        <w:t>–</w:t>
      </w:r>
      <w:r w:rsidRPr="00663629">
        <w:t>09, it had a GST relativity below one for 5 years. This was largely related to its increased revenue raising capacity from mining royalties. Queensland’s GST needs have been volatile relative to other states, partly reflective of the volatility in the mining sector, property sales and occurrence of natural disasters. For 2024</w:t>
      </w:r>
      <w:r w:rsidR="00306AC6">
        <w:t>–</w:t>
      </w:r>
      <w:r w:rsidRPr="00663629">
        <w:t xml:space="preserve">25, it has a GST relativity below one, largely driven by high assessed revenues from coal royalties. </w:t>
      </w:r>
    </w:p>
    <w:p w14:paraId="08F24E90" w14:textId="13207FFE" w:rsidR="00DE5FFF" w:rsidRPr="00663629" w:rsidRDefault="00DE5FFF" w:rsidP="00721AA7">
      <w:pPr>
        <w:pStyle w:val="BulletPoints"/>
      </w:pPr>
      <w:r w:rsidRPr="00663629">
        <w:t>Western Australia’s GST relativity has ranged from 0.29999 to 1.03811. It has mostly been below one. This has been driven largely by higher</w:t>
      </w:r>
      <w:r w:rsidR="00AA6944" w:rsidRPr="00663629">
        <w:t>-</w:t>
      </w:r>
      <w:r w:rsidRPr="00663629">
        <w:t>than</w:t>
      </w:r>
      <w:r w:rsidR="00AA6944" w:rsidRPr="00663629">
        <w:t>-</w:t>
      </w:r>
      <w:r w:rsidRPr="00663629">
        <w:t xml:space="preserve">average capacity to raise mining royalties and </w:t>
      </w:r>
      <w:r w:rsidR="00C7484E">
        <w:t xml:space="preserve">the </w:t>
      </w:r>
      <w:r w:rsidRPr="00663629">
        <w:t xml:space="preserve">strength </w:t>
      </w:r>
      <w:r w:rsidR="00623702">
        <w:t>of</w:t>
      </w:r>
      <w:r w:rsidRPr="00663629">
        <w:t xml:space="preserve"> its payroll tax base. In general, changes in Western Australia’s GST needs closely follow changes in iron ore royalties, which can be volatile but have generally increased over the past 2 decades. Beginning in 2004</w:t>
      </w:r>
      <w:r w:rsidR="00C07831">
        <w:t>–</w:t>
      </w:r>
      <w:r w:rsidRPr="00663629">
        <w:t xml:space="preserve">05 and lasting for 3 years, it had a GST relativity above one. This was linked with the iron ore cycle, </w:t>
      </w:r>
      <w:proofErr w:type="gramStart"/>
      <w:r w:rsidRPr="00663629">
        <w:t>and also</w:t>
      </w:r>
      <w:proofErr w:type="gramEnd"/>
      <w:r w:rsidRPr="00663629">
        <w:t xml:space="preserve"> reflected the ongoing high expenditure needs relating to socio-demographic composition, such as a dispersed population and an above-average proportion of First Nations people. </w:t>
      </w:r>
    </w:p>
    <w:p w14:paraId="4B18EEA0" w14:textId="77777777" w:rsidR="007A7FF9" w:rsidRDefault="007A7FF9">
      <w:pPr>
        <w:tabs>
          <w:tab w:val="clear" w:pos="567"/>
        </w:tabs>
        <w:spacing w:before="0" w:line="240" w:lineRule="auto"/>
        <w:rPr>
          <w:rFonts w:ascii="Open Sans Semibold" w:eastAsiaTheme="majorEastAsia" w:hAnsi="Open Sans Semibold" w:cs="Open Sans"/>
          <w:bCs/>
          <w:color w:val="006991"/>
          <w:sz w:val="26"/>
          <w:szCs w:val="36"/>
        </w:rPr>
      </w:pPr>
      <w:r>
        <w:br w:type="page"/>
      </w:r>
    </w:p>
    <w:p w14:paraId="65738A55" w14:textId="7BC974E5" w:rsidR="00DE5FFF" w:rsidRPr="00663629" w:rsidRDefault="00DE5FFF" w:rsidP="00721AA7">
      <w:pPr>
        <w:pStyle w:val="Heading2"/>
      </w:pPr>
      <w:r w:rsidRPr="00663629">
        <w:lastRenderedPageBreak/>
        <w:t>GST relativities since 2000</w:t>
      </w:r>
      <w:r w:rsidR="00AA27C5">
        <w:t>–</w:t>
      </w:r>
      <w:r w:rsidRPr="00663629">
        <w:t>01</w:t>
      </w:r>
    </w:p>
    <w:p w14:paraId="1C8ECD1A" w14:textId="5ABA8649" w:rsidR="00DE5FFF" w:rsidRPr="00663629" w:rsidRDefault="00230662" w:rsidP="00DE5FFF">
      <w:r>
        <w:fldChar w:fldCharType="begin"/>
      </w:r>
      <w:r>
        <w:instrText xml:space="preserve"> REF Table_A_1 \h </w:instrText>
      </w:r>
      <w:r>
        <w:fldChar w:fldCharType="separate"/>
      </w:r>
      <w:r w:rsidR="00047120" w:rsidRPr="00663629">
        <w:t>Table A</w:t>
      </w:r>
      <w:r w:rsidR="00047120">
        <w:noBreakHyphen/>
      </w:r>
      <w:r w:rsidR="00047120">
        <w:rPr>
          <w:noProof/>
        </w:rPr>
        <w:t>1</w:t>
      </w:r>
      <w:r w:rsidR="00047120" w:rsidRPr="00663629">
        <w:t xml:space="preserve"> </w:t>
      </w:r>
      <w:r>
        <w:fldChar w:fldCharType="end"/>
      </w:r>
      <w:r w:rsidR="00DE5FFF" w:rsidRPr="00663629">
        <w:t>lists GST relativities since 2000</w:t>
      </w:r>
      <w:r w:rsidR="00AA27C5">
        <w:t>–</w:t>
      </w:r>
      <w:r w:rsidR="00DE5FFF" w:rsidRPr="00663629">
        <w:t xml:space="preserve">01. The relativities for the last 3 years </w:t>
      </w:r>
      <w:r w:rsidR="00F66E6A">
        <w:t>include</w:t>
      </w:r>
      <w:r w:rsidR="00DE5FFF" w:rsidRPr="00663629">
        <w:t xml:space="preserve"> the effect of introducing a GST relativity floor.</w:t>
      </w:r>
    </w:p>
    <w:p w14:paraId="39430519" w14:textId="2D98BAA4" w:rsidR="00075E28" w:rsidRPr="00663629" w:rsidRDefault="00075E28" w:rsidP="00075E28">
      <w:pPr>
        <w:pStyle w:val="Tableheading"/>
      </w:pPr>
      <w:bookmarkStart w:id="240" w:name="Table_A_1"/>
      <w:r w:rsidRPr="00663629">
        <w:t>Table A</w:t>
      </w:r>
      <w:r w:rsidR="00FE7980">
        <w:noBreakHyphen/>
      </w:r>
      <w:r>
        <w:fldChar w:fldCharType="begin"/>
      </w:r>
      <w:r>
        <w:instrText>SEQ Table \* ARABIC \s 2</w:instrText>
      </w:r>
      <w:r>
        <w:fldChar w:fldCharType="separate"/>
      </w:r>
      <w:r w:rsidR="00047120">
        <w:rPr>
          <w:noProof/>
        </w:rPr>
        <w:t>1</w:t>
      </w:r>
      <w:r>
        <w:fldChar w:fldCharType="end"/>
      </w:r>
      <w:r w:rsidRPr="00663629">
        <w:t xml:space="preserve"> </w:t>
      </w:r>
      <w:bookmarkEnd w:id="240"/>
      <w:r w:rsidRPr="00663629">
        <w:tab/>
        <w:t>GST relativities, 2000</w:t>
      </w:r>
      <w:r w:rsidR="00AA27C5">
        <w:t>–</w:t>
      </w:r>
      <w:r w:rsidRPr="00663629">
        <w:t>01 to 2024</w:t>
      </w:r>
      <w:r w:rsidR="00AA27C5">
        <w:t>–</w:t>
      </w:r>
      <w:r w:rsidRPr="00663629">
        <w:t>25</w:t>
      </w:r>
    </w:p>
    <w:tbl>
      <w:tblPr>
        <w:tblW w:w="8940" w:type="dxa"/>
        <w:tblLook w:val="04A0" w:firstRow="1" w:lastRow="0" w:firstColumn="1" w:lastColumn="0" w:noHBand="0" w:noVBand="1"/>
      </w:tblPr>
      <w:tblGrid>
        <w:gridCol w:w="1412"/>
        <w:gridCol w:w="808"/>
        <w:gridCol w:w="960"/>
        <w:gridCol w:w="960"/>
        <w:gridCol w:w="960"/>
        <w:gridCol w:w="960"/>
        <w:gridCol w:w="960"/>
        <w:gridCol w:w="960"/>
        <w:gridCol w:w="960"/>
      </w:tblGrid>
      <w:tr w:rsidR="0029478E" w:rsidRPr="003F319A" w14:paraId="7F75533C" w14:textId="77777777" w:rsidTr="00724146">
        <w:trPr>
          <w:trHeight w:val="330"/>
        </w:trPr>
        <w:tc>
          <w:tcPr>
            <w:tcW w:w="1418" w:type="dxa"/>
            <w:tcBorders>
              <w:top w:val="nil"/>
              <w:left w:val="nil"/>
              <w:bottom w:val="single" w:sz="4" w:space="0" w:color="ADD6EA"/>
              <w:right w:val="nil"/>
            </w:tcBorders>
            <w:shd w:val="clear" w:color="000000" w:fill="006991"/>
            <w:vAlign w:val="center"/>
            <w:hideMark/>
          </w:tcPr>
          <w:p w14:paraId="58975045" w14:textId="3131D3D8" w:rsidR="00075E28" w:rsidRPr="003F319A" w:rsidRDefault="003F319A">
            <w:pPr>
              <w:tabs>
                <w:tab w:val="clear" w:pos="567"/>
              </w:tabs>
              <w:spacing w:before="0" w:line="240" w:lineRule="auto"/>
              <w:rPr>
                <w:rFonts w:ascii="Open Sans Semibold" w:eastAsia="Times New Roman" w:hAnsi="Open Sans Semibold" w:cs="Open Sans Semibold"/>
                <w:color w:val="FFFFFF"/>
                <w:sz w:val="16"/>
                <w:szCs w:val="16"/>
                <w:lang w:eastAsia="en-AU"/>
              </w:rPr>
            </w:pPr>
            <w:r w:rsidRPr="003F319A">
              <w:rPr>
                <w:rFonts w:ascii="Open Sans Semibold" w:eastAsia="Times New Roman" w:hAnsi="Open Sans Semibold" w:cs="Open Sans Semibold"/>
                <w:color w:val="FFFFFF"/>
                <w:sz w:val="16"/>
                <w:szCs w:val="16"/>
                <w:lang w:eastAsia="en-AU"/>
              </w:rPr>
              <w:t>Financial</w:t>
            </w:r>
            <w:r w:rsidR="00724146">
              <w:rPr>
                <w:rFonts w:ascii="Open Sans Semibold" w:eastAsia="Times New Roman" w:hAnsi="Open Sans Semibold" w:cs="Open Sans Semibold"/>
                <w:color w:val="FFFFFF"/>
                <w:sz w:val="16"/>
                <w:szCs w:val="16"/>
                <w:lang w:eastAsia="en-AU"/>
              </w:rPr>
              <w:t xml:space="preserve"> </w:t>
            </w:r>
            <w:r w:rsidRPr="003F319A">
              <w:rPr>
                <w:rFonts w:ascii="Open Sans Semibold" w:eastAsia="Times New Roman" w:hAnsi="Open Sans Semibold" w:cs="Open Sans Semibold"/>
                <w:color w:val="FFFFFF"/>
                <w:sz w:val="16"/>
                <w:szCs w:val="16"/>
                <w:lang w:eastAsia="en-AU"/>
              </w:rPr>
              <w:t>Year</w:t>
            </w:r>
          </w:p>
        </w:tc>
        <w:tc>
          <w:tcPr>
            <w:tcW w:w="802" w:type="dxa"/>
            <w:tcBorders>
              <w:top w:val="nil"/>
              <w:left w:val="nil"/>
              <w:bottom w:val="single" w:sz="4" w:space="0" w:color="ADD6EA"/>
              <w:right w:val="nil"/>
            </w:tcBorders>
            <w:shd w:val="clear" w:color="000000" w:fill="006991"/>
            <w:vAlign w:val="center"/>
            <w:hideMark/>
          </w:tcPr>
          <w:p w14:paraId="3FEF4A6C" w14:textId="77777777" w:rsidR="00075E28" w:rsidRPr="003F319A" w:rsidRDefault="00075E28" w:rsidP="003F319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F319A">
              <w:rPr>
                <w:rFonts w:ascii="Open Sans Semibold" w:eastAsia="Times New Roman" w:hAnsi="Open Sans Semibold" w:cs="Open Sans Semibold"/>
                <w:color w:val="FFFFFF"/>
                <w:sz w:val="16"/>
                <w:szCs w:val="16"/>
                <w:lang w:eastAsia="en-AU"/>
              </w:rPr>
              <w:t>NSW</w:t>
            </w:r>
          </w:p>
        </w:tc>
        <w:tc>
          <w:tcPr>
            <w:tcW w:w="960" w:type="dxa"/>
            <w:tcBorders>
              <w:top w:val="nil"/>
              <w:left w:val="nil"/>
              <w:bottom w:val="single" w:sz="4" w:space="0" w:color="ADD6EA"/>
              <w:right w:val="nil"/>
            </w:tcBorders>
            <w:shd w:val="clear" w:color="000000" w:fill="006991"/>
            <w:vAlign w:val="center"/>
            <w:hideMark/>
          </w:tcPr>
          <w:p w14:paraId="5A06E587" w14:textId="77777777" w:rsidR="00075E28" w:rsidRPr="003F319A" w:rsidRDefault="00075E28" w:rsidP="003F319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F319A">
              <w:rPr>
                <w:rFonts w:ascii="Open Sans Semibold" w:eastAsia="Times New Roman" w:hAnsi="Open Sans Semibold" w:cs="Open Sans Semibold"/>
                <w:color w:val="FFFFFF"/>
                <w:sz w:val="16"/>
                <w:szCs w:val="16"/>
                <w:lang w:eastAsia="en-AU"/>
              </w:rPr>
              <w:t>Vic</w:t>
            </w:r>
          </w:p>
        </w:tc>
        <w:tc>
          <w:tcPr>
            <w:tcW w:w="960" w:type="dxa"/>
            <w:tcBorders>
              <w:top w:val="nil"/>
              <w:left w:val="nil"/>
              <w:bottom w:val="single" w:sz="4" w:space="0" w:color="ADD6EA"/>
              <w:right w:val="nil"/>
            </w:tcBorders>
            <w:shd w:val="clear" w:color="000000" w:fill="006991"/>
            <w:vAlign w:val="center"/>
            <w:hideMark/>
          </w:tcPr>
          <w:p w14:paraId="55A05325" w14:textId="77777777" w:rsidR="00075E28" w:rsidRPr="003F319A" w:rsidRDefault="00075E28" w:rsidP="003F319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F319A">
              <w:rPr>
                <w:rFonts w:ascii="Open Sans Semibold" w:eastAsia="Times New Roman" w:hAnsi="Open Sans Semibold" w:cs="Open Sans Semibold"/>
                <w:color w:val="FFFFFF"/>
                <w:sz w:val="16"/>
                <w:szCs w:val="16"/>
                <w:lang w:eastAsia="en-AU"/>
              </w:rPr>
              <w:t>Qld</w:t>
            </w:r>
          </w:p>
        </w:tc>
        <w:tc>
          <w:tcPr>
            <w:tcW w:w="960" w:type="dxa"/>
            <w:tcBorders>
              <w:top w:val="nil"/>
              <w:left w:val="nil"/>
              <w:bottom w:val="single" w:sz="4" w:space="0" w:color="ADD6EA"/>
              <w:right w:val="nil"/>
            </w:tcBorders>
            <w:shd w:val="clear" w:color="000000" w:fill="006991"/>
            <w:vAlign w:val="center"/>
            <w:hideMark/>
          </w:tcPr>
          <w:p w14:paraId="02A289E3" w14:textId="77777777" w:rsidR="00075E28" w:rsidRPr="003F319A" w:rsidRDefault="00075E28" w:rsidP="003F319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F319A">
              <w:rPr>
                <w:rFonts w:ascii="Open Sans Semibold" w:eastAsia="Times New Roman" w:hAnsi="Open Sans Semibold" w:cs="Open Sans Semibold"/>
                <w:color w:val="FFFFFF"/>
                <w:sz w:val="16"/>
                <w:szCs w:val="16"/>
                <w:lang w:eastAsia="en-AU"/>
              </w:rPr>
              <w:t>WA</w:t>
            </w:r>
          </w:p>
        </w:tc>
        <w:tc>
          <w:tcPr>
            <w:tcW w:w="960" w:type="dxa"/>
            <w:tcBorders>
              <w:top w:val="nil"/>
              <w:left w:val="nil"/>
              <w:bottom w:val="single" w:sz="4" w:space="0" w:color="ADD6EA"/>
              <w:right w:val="nil"/>
            </w:tcBorders>
            <w:shd w:val="clear" w:color="000000" w:fill="006991"/>
            <w:vAlign w:val="center"/>
            <w:hideMark/>
          </w:tcPr>
          <w:p w14:paraId="30907BF8" w14:textId="77777777" w:rsidR="00075E28" w:rsidRPr="003F319A" w:rsidRDefault="00075E28" w:rsidP="003F319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F319A">
              <w:rPr>
                <w:rFonts w:ascii="Open Sans Semibold" w:eastAsia="Times New Roman" w:hAnsi="Open Sans Semibold" w:cs="Open Sans Semibold"/>
                <w:color w:val="FFFFFF"/>
                <w:sz w:val="16"/>
                <w:szCs w:val="16"/>
                <w:lang w:eastAsia="en-AU"/>
              </w:rPr>
              <w:t>SA</w:t>
            </w:r>
          </w:p>
        </w:tc>
        <w:tc>
          <w:tcPr>
            <w:tcW w:w="960" w:type="dxa"/>
            <w:tcBorders>
              <w:top w:val="nil"/>
              <w:left w:val="nil"/>
              <w:bottom w:val="single" w:sz="4" w:space="0" w:color="ADD6EA"/>
              <w:right w:val="nil"/>
            </w:tcBorders>
            <w:shd w:val="clear" w:color="000000" w:fill="006991"/>
            <w:vAlign w:val="center"/>
            <w:hideMark/>
          </w:tcPr>
          <w:p w14:paraId="31F09CE8" w14:textId="77777777" w:rsidR="00075E28" w:rsidRPr="003F319A" w:rsidRDefault="00075E28" w:rsidP="003F319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F319A">
              <w:rPr>
                <w:rFonts w:ascii="Open Sans Semibold" w:eastAsia="Times New Roman" w:hAnsi="Open Sans Semibold" w:cs="Open Sans Semibold"/>
                <w:color w:val="FFFFFF"/>
                <w:sz w:val="16"/>
                <w:szCs w:val="16"/>
                <w:lang w:eastAsia="en-AU"/>
              </w:rPr>
              <w:t>Tas</w:t>
            </w:r>
          </w:p>
        </w:tc>
        <w:tc>
          <w:tcPr>
            <w:tcW w:w="960" w:type="dxa"/>
            <w:tcBorders>
              <w:top w:val="nil"/>
              <w:left w:val="nil"/>
              <w:bottom w:val="single" w:sz="4" w:space="0" w:color="ADD6EA"/>
              <w:right w:val="nil"/>
            </w:tcBorders>
            <w:shd w:val="clear" w:color="000000" w:fill="006991"/>
            <w:vAlign w:val="center"/>
            <w:hideMark/>
          </w:tcPr>
          <w:p w14:paraId="76C04985" w14:textId="77777777" w:rsidR="00075E28" w:rsidRPr="003F319A" w:rsidRDefault="00075E28" w:rsidP="003F319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F319A">
              <w:rPr>
                <w:rFonts w:ascii="Open Sans Semibold" w:eastAsia="Times New Roman" w:hAnsi="Open Sans Semibold" w:cs="Open Sans Semibold"/>
                <w:color w:val="FFFFFF"/>
                <w:sz w:val="16"/>
                <w:szCs w:val="16"/>
                <w:lang w:eastAsia="en-AU"/>
              </w:rPr>
              <w:t>ACT</w:t>
            </w:r>
          </w:p>
        </w:tc>
        <w:tc>
          <w:tcPr>
            <w:tcW w:w="960" w:type="dxa"/>
            <w:tcBorders>
              <w:top w:val="nil"/>
              <w:left w:val="nil"/>
              <w:bottom w:val="single" w:sz="4" w:space="0" w:color="ADD6EA"/>
              <w:right w:val="nil"/>
            </w:tcBorders>
            <w:shd w:val="clear" w:color="000000" w:fill="006991"/>
            <w:vAlign w:val="center"/>
            <w:hideMark/>
          </w:tcPr>
          <w:p w14:paraId="49D159F8" w14:textId="77777777" w:rsidR="00075E28" w:rsidRPr="003F319A" w:rsidRDefault="00075E28" w:rsidP="003F319A">
            <w:pPr>
              <w:tabs>
                <w:tab w:val="clear" w:pos="567"/>
              </w:tabs>
              <w:spacing w:before="0" w:line="240" w:lineRule="auto"/>
              <w:jc w:val="right"/>
              <w:rPr>
                <w:rFonts w:ascii="Open Sans Semibold" w:eastAsia="Times New Roman" w:hAnsi="Open Sans Semibold" w:cs="Open Sans Semibold"/>
                <w:color w:val="FFFFFF"/>
                <w:sz w:val="16"/>
                <w:szCs w:val="16"/>
                <w:lang w:eastAsia="en-AU"/>
              </w:rPr>
            </w:pPr>
            <w:r w:rsidRPr="003F319A">
              <w:rPr>
                <w:rFonts w:ascii="Open Sans Semibold" w:eastAsia="Times New Roman" w:hAnsi="Open Sans Semibold" w:cs="Open Sans Semibold"/>
                <w:color w:val="FFFFFF"/>
                <w:sz w:val="16"/>
                <w:szCs w:val="16"/>
                <w:lang w:eastAsia="en-AU"/>
              </w:rPr>
              <w:t>NT</w:t>
            </w:r>
          </w:p>
        </w:tc>
      </w:tr>
      <w:tr w:rsidR="00075E28" w:rsidRPr="003F319A" w14:paraId="3B9300FE" w14:textId="77777777" w:rsidTr="00724146">
        <w:trPr>
          <w:trHeight w:val="315"/>
        </w:trPr>
        <w:tc>
          <w:tcPr>
            <w:tcW w:w="1418" w:type="dxa"/>
            <w:tcBorders>
              <w:top w:val="nil"/>
              <w:left w:val="nil"/>
              <w:bottom w:val="nil"/>
              <w:right w:val="nil"/>
            </w:tcBorders>
            <w:shd w:val="clear" w:color="auto" w:fill="auto"/>
            <w:vAlign w:val="center"/>
            <w:hideMark/>
          </w:tcPr>
          <w:p w14:paraId="53072453" w14:textId="2DA1A5EF"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2000</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01</w:t>
            </w:r>
          </w:p>
        </w:tc>
        <w:tc>
          <w:tcPr>
            <w:tcW w:w="802" w:type="dxa"/>
            <w:tcBorders>
              <w:top w:val="nil"/>
              <w:left w:val="nil"/>
              <w:bottom w:val="nil"/>
              <w:right w:val="nil"/>
            </w:tcBorders>
            <w:shd w:val="clear" w:color="auto" w:fill="auto"/>
            <w:noWrap/>
            <w:vAlign w:val="center"/>
            <w:hideMark/>
          </w:tcPr>
          <w:p w14:paraId="540963F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0.88914</w:t>
            </w:r>
          </w:p>
        </w:tc>
        <w:tc>
          <w:tcPr>
            <w:tcW w:w="960" w:type="dxa"/>
            <w:tcBorders>
              <w:top w:val="nil"/>
              <w:left w:val="nil"/>
              <w:bottom w:val="nil"/>
              <w:right w:val="nil"/>
            </w:tcBorders>
            <w:shd w:val="clear" w:color="auto" w:fill="auto"/>
            <w:noWrap/>
            <w:vAlign w:val="center"/>
            <w:hideMark/>
          </w:tcPr>
          <w:p w14:paraId="074DA09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0.84510</w:t>
            </w:r>
          </w:p>
        </w:tc>
        <w:tc>
          <w:tcPr>
            <w:tcW w:w="960" w:type="dxa"/>
            <w:tcBorders>
              <w:top w:val="nil"/>
              <w:left w:val="nil"/>
              <w:bottom w:val="nil"/>
              <w:right w:val="nil"/>
            </w:tcBorders>
            <w:shd w:val="clear" w:color="auto" w:fill="auto"/>
            <w:noWrap/>
            <w:vAlign w:val="center"/>
            <w:hideMark/>
          </w:tcPr>
          <w:p w14:paraId="4816F68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1.02507</w:t>
            </w:r>
          </w:p>
        </w:tc>
        <w:tc>
          <w:tcPr>
            <w:tcW w:w="960" w:type="dxa"/>
            <w:tcBorders>
              <w:top w:val="nil"/>
              <w:left w:val="nil"/>
              <w:bottom w:val="nil"/>
              <w:right w:val="nil"/>
            </w:tcBorders>
            <w:shd w:val="clear" w:color="auto" w:fill="auto"/>
            <w:noWrap/>
            <w:vAlign w:val="center"/>
            <w:hideMark/>
          </w:tcPr>
          <w:p w14:paraId="33FD91C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0.98692</w:t>
            </w:r>
          </w:p>
        </w:tc>
        <w:tc>
          <w:tcPr>
            <w:tcW w:w="960" w:type="dxa"/>
            <w:tcBorders>
              <w:top w:val="nil"/>
              <w:left w:val="nil"/>
              <w:bottom w:val="nil"/>
              <w:right w:val="nil"/>
            </w:tcBorders>
            <w:shd w:val="clear" w:color="auto" w:fill="auto"/>
            <w:noWrap/>
            <w:vAlign w:val="center"/>
            <w:hideMark/>
          </w:tcPr>
          <w:p w14:paraId="21CE8A9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1.20433</w:t>
            </w:r>
          </w:p>
        </w:tc>
        <w:tc>
          <w:tcPr>
            <w:tcW w:w="960" w:type="dxa"/>
            <w:tcBorders>
              <w:top w:val="nil"/>
              <w:left w:val="nil"/>
              <w:bottom w:val="nil"/>
              <w:right w:val="nil"/>
            </w:tcBorders>
            <w:shd w:val="clear" w:color="auto" w:fill="auto"/>
            <w:noWrap/>
            <w:vAlign w:val="center"/>
            <w:hideMark/>
          </w:tcPr>
          <w:p w14:paraId="0BA769A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1.61016</w:t>
            </w:r>
          </w:p>
        </w:tc>
        <w:tc>
          <w:tcPr>
            <w:tcW w:w="960" w:type="dxa"/>
            <w:tcBorders>
              <w:top w:val="nil"/>
              <w:left w:val="nil"/>
              <w:bottom w:val="nil"/>
              <w:right w:val="nil"/>
            </w:tcBorders>
            <w:shd w:val="clear" w:color="auto" w:fill="auto"/>
            <w:noWrap/>
            <w:vAlign w:val="center"/>
            <w:hideMark/>
          </w:tcPr>
          <w:p w14:paraId="308DA268"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1.17050</w:t>
            </w:r>
          </w:p>
        </w:tc>
        <w:tc>
          <w:tcPr>
            <w:tcW w:w="960" w:type="dxa"/>
            <w:tcBorders>
              <w:top w:val="nil"/>
              <w:left w:val="nil"/>
              <w:bottom w:val="nil"/>
              <w:right w:val="nil"/>
            </w:tcBorders>
            <w:shd w:val="clear" w:color="auto" w:fill="auto"/>
            <w:noWrap/>
            <w:vAlign w:val="center"/>
            <w:hideMark/>
          </w:tcPr>
          <w:p w14:paraId="449C4F17"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4.79406</w:t>
            </w:r>
          </w:p>
        </w:tc>
      </w:tr>
      <w:tr w:rsidR="00075E28" w:rsidRPr="003F319A" w14:paraId="44AAC4A4"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1199EFBC" w14:textId="76024ADC"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2001</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02</w:t>
            </w:r>
          </w:p>
        </w:tc>
        <w:tc>
          <w:tcPr>
            <w:tcW w:w="802" w:type="dxa"/>
            <w:tcBorders>
              <w:top w:val="single" w:sz="4" w:space="0" w:color="ADD6EA"/>
              <w:left w:val="nil"/>
              <w:bottom w:val="nil"/>
              <w:right w:val="nil"/>
            </w:tcBorders>
            <w:shd w:val="clear" w:color="auto" w:fill="auto"/>
            <w:noWrap/>
            <w:vAlign w:val="center"/>
            <w:hideMark/>
          </w:tcPr>
          <w:p w14:paraId="598EC282"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0.90228</w:t>
            </w:r>
          </w:p>
        </w:tc>
        <w:tc>
          <w:tcPr>
            <w:tcW w:w="960" w:type="dxa"/>
            <w:tcBorders>
              <w:top w:val="single" w:sz="4" w:space="0" w:color="ADD6EA"/>
              <w:left w:val="nil"/>
              <w:bottom w:val="nil"/>
              <w:right w:val="nil"/>
            </w:tcBorders>
            <w:shd w:val="clear" w:color="auto" w:fill="auto"/>
            <w:noWrap/>
            <w:vAlign w:val="center"/>
            <w:hideMark/>
          </w:tcPr>
          <w:p w14:paraId="54C8CC7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0.85168</w:t>
            </w:r>
          </w:p>
        </w:tc>
        <w:tc>
          <w:tcPr>
            <w:tcW w:w="960" w:type="dxa"/>
            <w:tcBorders>
              <w:top w:val="single" w:sz="4" w:space="0" w:color="ADD6EA"/>
              <w:left w:val="nil"/>
              <w:bottom w:val="nil"/>
              <w:right w:val="nil"/>
            </w:tcBorders>
            <w:shd w:val="clear" w:color="auto" w:fill="auto"/>
            <w:noWrap/>
            <w:vAlign w:val="center"/>
            <w:hideMark/>
          </w:tcPr>
          <w:p w14:paraId="3657F560"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1.00625</w:t>
            </w:r>
          </w:p>
        </w:tc>
        <w:tc>
          <w:tcPr>
            <w:tcW w:w="960" w:type="dxa"/>
            <w:tcBorders>
              <w:top w:val="single" w:sz="4" w:space="0" w:color="ADD6EA"/>
              <w:left w:val="nil"/>
              <w:bottom w:val="nil"/>
              <w:right w:val="nil"/>
            </w:tcBorders>
            <w:shd w:val="clear" w:color="auto" w:fill="auto"/>
            <w:noWrap/>
            <w:vAlign w:val="center"/>
            <w:hideMark/>
          </w:tcPr>
          <w:p w14:paraId="676D340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0.97571</w:t>
            </w:r>
          </w:p>
        </w:tc>
        <w:tc>
          <w:tcPr>
            <w:tcW w:w="960" w:type="dxa"/>
            <w:tcBorders>
              <w:top w:val="single" w:sz="4" w:space="0" w:color="ADD6EA"/>
              <w:left w:val="nil"/>
              <w:bottom w:val="nil"/>
              <w:right w:val="nil"/>
            </w:tcBorders>
            <w:shd w:val="clear" w:color="auto" w:fill="auto"/>
            <w:noWrap/>
            <w:vAlign w:val="center"/>
            <w:hideMark/>
          </w:tcPr>
          <w:p w14:paraId="637297D5"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1.19971</w:t>
            </w:r>
          </w:p>
        </w:tc>
        <w:tc>
          <w:tcPr>
            <w:tcW w:w="960" w:type="dxa"/>
            <w:tcBorders>
              <w:top w:val="single" w:sz="4" w:space="0" w:color="ADD6EA"/>
              <w:left w:val="nil"/>
              <w:bottom w:val="nil"/>
              <w:right w:val="nil"/>
            </w:tcBorders>
            <w:shd w:val="clear" w:color="auto" w:fill="auto"/>
            <w:noWrap/>
            <w:vAlign w:val="center"/>
            <w:hideMark/>
          </w:tcPr>
          <w:p w14:paraId="3E37C0A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1.60490</w:t>
            </w:r>
          </w:p>
        </w:tc>
        <w:tc>
          <w:tcPr>
            <w:tcW w:w="960" w:type="dxa"/>
            <w:tcBorders>
              <w:top w:val="single" w:sz="4" w:space="0" w:color="ADD6EA"/>
              <w:left w:val="nil"/>
              <w:bottom w:val="nil"/>
              <w:right w:val="nil"/>
            </w:tcBorders>
            <w:shd w:val="clear" w:color="auto" w:fill="auto"/>
            <w:noWrap/>
            <w:vAlign w:val="center"/>
            <w:hideMark/>
          </w:tcPr>
          <w:p w14:paraId="7BE6FE04"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1.21100</w:t>
            </w:r>
          </w:p>
        </w:tc>
        <w:tc>
          <w:tcPr>
            <w:tcW w:w="960" w:type="dxa"/>
            <w:tcBorders>
              <w:top w:val="single" w:sz="4" w:space="0" w:color="ADD6EA"/>
              <w:left w:val="nil"/>
              <w:bottom w:val="nil"/>
              <w:right w:val="nil"/>
            </w:tcBorders>
            <w:shd w:val="clear" w:color="auto" w:fill="auto"/>
            <w:noWrap/>
            <w:vAlign w:val="center"/>
            <w:hideMark/>
          </w:tcPr>
          <w:p w14:paraId="67ABCB7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4.61547</w:t>
            </w:r>
          </w:p>
        </w:tc>
      </w:tr>
      <w:tr w:rsidR="00075E28" w:rsidRPr="003F319A" w14:paraId="1E386495"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6646AAEE" w14:textId="5B285933"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2002</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03</w:t>
            </w:r>
          </w:p>
        </w:tc>
        <w:tc>
          <w:tcPr>
            <w:tcW w:w="802" w:type="dxa"/>
            <w:tcBorders>
              <w:top w:val="single" w:sz="4" w:space="0" w:color="ADD6EA"/>
              <w:left w:val="nil"/>
              <w:bottom w:val="nil"/>
              <w:right w:val="nil"/>
            </w:tcBorders>
            <w:shd w:val="clear" w:color="auto" w:fill="auto"/>
            <w:noWrap/>
            <w:vAlign w:val="center"/>
            <w:hideMark/>
          </w:tcPr>
          <w:p w14:paraId="4018671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0.88419</w:t>
            </w:r>
          </w:p>
        </w:tc>
        <w:tc>
          <w:tcPr>
            <w:tcW w:w="960" w:type="dxa"/>
            <w:tcBorders>
              <w:top w:val="single" w:sz="4" w:space="0" w:color="ADD6EA"/>
              <w:left w:val="nil"/>
              <w:bottom w:val="nil"/>
              <w:right w:val="nil"/>
            </w:tcBorders>
            <w:shd w:val="clear" w:color="auto" w:fill="auto"/>
            <w:noWrap/>
            <w:vAlign w:val="center"/>
            <w:hideMark/>
          </w:tcPr>
          <w:p w14:paraId="0338D10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0.84227</w:t>
            </w:r>
          </w:p>
        </w:tc>
        <w:tc>
          <w:tcPr>
            <w:tcW w:w="960" w:type="dxa"/>
            <w:tcBorders>
              <w:top w:val="single" w:sz="4" w:space="0" w:color="ADD6EA"/>
              <w:left w:val="nil"/>
              <w:bottom w:val="nil"/>
              <w:right w:val="nil"/>
            </w:tcBorders>
            <w:shd w:val="clear" w:color="auto" w:fill="auto"/>
            <w:noWrap/>
            <w:vAlign w:val="center"/>
            <w:hideMark/>
          </w:tcPr>
          <w:p w14:paraId="35B6C47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1.01673</w:t>
            </w:r>
          </w:p>
        </w:tc>
        <w:tc>
          <w:tcPr>
            <w:tcW w:w="960" w:type="dxa"/>
            <w:tcBorders>
              <w:top w:val="single" w:sz="4" w:space="0" w:color="ADD6EA"/>
              <w:left w:val="nil"/>
              <w:bottom w:val="nil"/>
              <w:right w:val="nil"/>
            </w:tcBorders>
            <w:shd w:val="clear" w:color="auto" w:fill="auto"/>
            <w:noWrap/>
            <w:vAlign w:val="center"/>
            <w:hideMark/>
          </w:tcPr>
          <w:p w14:paraId="3F9AFBE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0.97612</w:t>
            </w:r>
          </w:p>
        </w:tc>
        <w:tc>
          <w:tcPr>
            <w:tcW w:w="960" w:type="dxa"/>
            <w:tcBorders>
              <w:top w:val="single" w:sz="4" w:space="0" w:color="ADD6EA"/>
              <w:left w:val="nil"/>
              <w:bottom w:val="nil"/>
              <w:right w:val="nil"/>
            </w:tcBorders>
            <w:shd w:val="clear" w:color="auto" w:fill="auto"/>
            <w:noWrap/>
            <w:vAlign w:val="center"/>
            <w:hideMark/>
          </w:tcPr>
          <w:p w14:paraId="37BF412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1.21719</w:t>
            </w:r>
          </w:p>
        </w:tc>
        <w:tc>
          <w:tcPr>
            <w:tcW w:w="960" w:type="dxa"/>
            <w:tcBorders>
              <w:top w:val="single" w:sz="4" w:space="0" w:color="ADD6EA"/>
              <w:left w:val="nil"/>
              <w:bottom w:val="nil"/>
              <w:right w:val="nil"/>
            </w:tcBorders>
            <w:shd w:val="clear" w:color="auto" w:fill="auto"/>
            <w:noWrap/>
            <w:vAlign w:val="center"/>
            <w:hideMark/>
          </w:tcPr>
          <w:p w14:paraId="3F34879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1.68200</w:t>
            </w:r>
          </w:p>
        </w:tc>
        <w:tc>
          <w:tcPr>
            <w:tcW w:w="960" w:type="dxa"/>
            <w:tcBorders>
              <w:top w:val="single" w:sz="4" w:space="0" w:color="ADD6EA"/>
              <w:left w:val="nil"/>
              <w:bottom w:val="nil"/>
              <w:right w:val="nil"/>
            </w:tcBorders>
            <w:shd w:val="clear" w:color="auto" w:fill="auto"/>
            <w:noWrap/>
            <w:vAlign w:val="center"/>
            <w:hideMark/>
          </w:tcPr>
          <w:p w14:paraId="5D4335D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1.22552</w:t>
            </w:r>
          </w:p>
        </w:tc>
        <w:tc>
          <w:tcPr>
            <w:tcW w:w="960" w:type="dxa"/>
            <w:tcBorders>
              <w:top w:val="single" w:sz="4" w:space="0" w:color="ADD6EA"/>
              <w:left w:val="nil"/>
              <w:bottom w:val="nil"/>
              <w:right w:val="nil"/>
            </w:tcBorders>
            <w:shd w:val="clear" w:color="auto" w:fill="auto"/>
            <w:noWrap/>
            <w:vAlign w:val="center"/>
            <w:hideMark/>
          </w:tcPr>
          <w:p w14:paraId="7675BF4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4.91642</w:t>
            </w:r>
          </w:p>
        </w:tc>
      </w:tr>
      <w:tr w:rsidR="00075E28" w:rsidRPr="003F319A" w14:paraId="2EA38F86"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747774C7" w14:textId="418F18B5"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2003</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04</w:t>
            </w:r>
          </w:p>
        </w:tc>
        <w:tc>
          <w:tcPr>
            <w:tcW w:w="802" w:type="dxa"/>
            <w:tcBorders>
              <w:top w:val="single" w:sz="4" w:space="0" w:color="ADD6EA"/>
              <w:left w:val="nil"/>
              <w:bottom w:val="nil"/>
              <w:right w:val="nil"/>
            </w:tcBorders>
            <w:shd w:val="clear" w:color="auto" w:fill="auto"/>
            <w:noWrap/>
            <w:vAlign w:val="center"/>
            <w:hideMark/>
          </w:tcPr>
          <w:p w14:paraId="25C7EF87"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0.86533</w:t>
            </w:r>
          </w:p>
        </w:tc>
        <w:tc>
          <w:tcPr>
            <w:tcW w:w="960" w:type="dxa"/>
            <w:tcBorders>
              <w:top w:val="single" w:sz="4" w:space="0" w:color="ADD6EA"/>
              <w:left w:val="nil"/>
              <w:bottom w:val="nil"/>
              <w:right w:val="nil"/>
            </w:tcBorders>
            <w:shd w:val="clear" w:color="auto" w:fill="auto"/>
            <w:noWrap/>
            <w:vAlign w:val="center"/>
            <w:hideMark/>
          </w:tcPr>
          <w:p w14:paraId="023CE3F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0.84243</w:t>
            </w:r>
          </w:p>
        </w:tc>
        <w:tc>
          <w:tcPr>
            <w:tcW w:w="960" w:type="dxa"/>
            <w:tcBorders>
              <w:top w:val="single" w:sz="4" w:space="0" w:color="ADD6EA"/>
              <w:left w:val="nil"/>
              <w:bottom w:val="nil"/>
              <w:right w:val="nil"/>
            </w:tcBorders>
            <w:shd w:val="clear" w:color="auto" w:fill="auto"/>
            <w:noWrap/>
            <w:vAlign w:val="center"/>
            <w:hideMark/>
          </w:tcPr>
          <w:p w14:paraId="7503217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1.02495</w:t>
            </w:r>
          </w:p>
        </w:tc>
        <w:tc>
          <w:tcPr>
            <w:tcW w:w="960" w:type="dxa"/>
            <w:tcBorders>
              <w:top w:val="single" w:sz="4" w:space="0" w:color="ADD6EA"/>
              <w:left w:val="nil"/>
              <w:bottom w:val="nil"/>
              <w:right w:val="nil"/>
            </w:tcBorders>
            <w:shd w:val="clear" w:color="auto" w:fill="auto"/>
            <w:noWrap/>
            <w:vAlign w:val="center"/>
            <w:hideMark/>
          </w:tcPr>
          <w:p w14:paraId="1428F50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0.96455</w:t>
            </w:r>
          </w:p>
        </w:tc>
        <w:tc>
          <w:tcPr>
            <w:tcW w:w="960" w:type="dxa"/>
            <w:tcBorders>
              <w:top w:val="single" w:sz="4" w:space="0" w:color="ADD6EA"/>
              <w:left w:val="nil"/>
              <w:bottom w:val="nil"/>
              <w:right w:val="nil"/>
            </w:tcBorders>
            <w:shd w:val="clear" w:color="auto" w:fill="auto"/>
            <w:noWrap/>
            <w:vAlign w:val="center"/>
            <w:hideMark/>
          </w:tcPr>
          <w:p w14:paraId="024C1F7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1.23997</w:t>
            </w:r>
          </w:p>
        </w:tc>
        <w:tc>
          <w:tcPr>
            <w:tcW w:w="960" w:type="dxa"/>
            <w:tcBorders>
              <w:top w:val="single" w:sz="4" w:space="0" w:color="ADD6EA"/>
              <w:left w:val="nil"/>
              <w:bottom w:val="nil"/>
              <w:right w:val="nil"/>
            </w:tcBorders>
            <w:shd w:val="clear" w:color="auto" w:fill="auto"/>
            <w:noWrap/>
            <w:vAlign w:val="center"/>
            <w:hideMark/>
          </w:tcPr>
          <w:p w14:paraId="3D60455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1.75292</w:t>
            </w:r>
          </w:p>
        </w:tc>
        <w:tc>
          <w:tcPr>
            <w:tcW w:w="960" w:type="dxa"/>
            <w:tcBorders>
              <w:top w:val="single" w:sz="4" w:space="0" w:color="ADD6EA"/>
              <w:left w:val="nil"/>
              <w:bottom w:val="nil"/>
              <w:right w:val="nil"/>
            </w:tcBorders>
            <w:shd w:val="clear" w:color="auto" w:fill="auto"/>
            <w:noWrap/>
            <w:vAlign w:val="center"/>
            <w:hideMark/>
          </w:tcPr>
          <w:p w14:paraId="314FFE8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1.23351</w:t>
            </w:r>
          </w:p>
        </w:tc>
        <w:tc>
          <w:tcPr>
            <w:tcW w:w="960" w:type="dxa"/>
            <w:tcBorders>
              <w:top w:val="single" w:sz="4" w:space="0" w:color="ADD6EA"/>
              <w:left w:val="nil"/>
              <w:bottom w:val="nil"/>
              <w:right w:val="nil"/>
            </w:tcBorders>
            <w:shd w:val="clear" w:color="auto" w:fill="auto"/>
            <w:noWrap/>
            <w:vAlign w:val="center"/>
            <w:hideMark/>
          </w:tcPr>
          <w:p w14:paraId="64E48A8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5.13490</w:t>
            </w:r>
          </w:p>
        </w:tc>
      </w:tr>
      <w:tr w:rsidR="00075E28" w:rsidRPr="003F319A" w14:paraId="3BC67951"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53C5D4C8" w14:textId="6B805F1B"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2004</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05</w:t>
            </w:r>
          </w:p>
        </w:tc>
        <w:tc>
          <w:tcPr>
            <w:tcW w:w="802" w:type="dxa"/>
            <w:tcBorders>
              <w:top w:val="single" w:sz="4" w:space="0" w:color="ADD6EA"/>
              <w:left w:val="nil"/>
              <w:bottom w:val="nil"/>
              <w:right w:val="nil"/>
            </w:tcBorders>
            <w:shd w:val="clear" w:color="auto" w:fill="auto"/>
            <w:noWrap/>
            <w:vAlign w:val="center"/>
            <w:hideMark/>
          </w:tcPr>
          <w:p w14:paraId="6780D2F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0.83468</w:t>
            </w:r>
          </w:p>
        </w:tc>
        <w:tc>
          <w:tcPr>
            <w:tcW w:w="960" w:type="dxa"/>
            <w:tcBorders>
              <w:top w:val="single" w:sz="4" w:space="0" w:color="ADD6EA"/>
              <w:left w:val="nil"/>
              <w:bottom w:val="nil"/>
              <w:right w:val="nil"/>
            </w:tcBorders>
            <w:shd w:val="clear" w:color="auto" w:fill="auto"/>
            <w:noWrap/>
            <w:vAlign w:val="center"/>
            <w:hideMark/>
          </w:tcPr>
          <w:p w14:paraId="542A7DE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0.83641</w:t>
            </w:r>
          </w:p>
        </w:tc>
        <w:tc>
          <w:tcPr>
            <w:tcW w:w="960" w:type="dxa"/>
            <w:tcBorders>
              <w:top w:val="single" w:sz="4" w:space="0" w:color="ADD6EA"/>
              <w:left w:val="nil"/>
              <w:bottom w:val="nil"/>
              <w:right w:val="nil"/>
            </w:tcBorders>
            <w:shd w:val="clear" w:color="auto" w:fill="auto"/>
            <w:noWrap/>
            <w:vAlign w:val="center"/>
            <w:hideMark/>
          </w:tcPr>
          <w:p w14:paraId="7D2C48B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1.06994</w:t>
            </w:r>
          </w:p>
        </w:tc>
        <w:tc>
          <w:tcPr>
            <w:tcW w:w="960" w:type="dxa"/>
            <w:tcBorders>
              <w:top w:val="single" w:sz="4" w:space="0" w:color="ADD6EA"/>
              <w:left w:val="nil"/>
              <w:bottom w:val="nil"/>
              <w:right w:val="nil"/>
            </w:tcBorders>
            <w:shd w:val="clear" w:color="auto" w:fill="auto"/>
            <w:noWrap/>
            <w:vAlign w:val="center"/>
            <w:hideMark/>
          </w:tcPr>
          <w:p w14:paraId="26EEEA8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1.03811</w:t>
            </w:r>
          </w:p>
        </w:tc>
        <w:tc>
          <w:tcPr>
            <w:tcW w:w="960" w:type="dxa"/>
            <w:tcBorders>
              <w:top w:val="single" w:sz="4" w:space="0" w:color="ADD6EA"/>
              <w:left w:val="nil"/>
              <w:bottom w:val="nil"/>
              <w:right w:val="nil"/>
            </w:tcBorders>
            <w:shd w:val="clear" w:color="auto" w:fill="auto"/>
            <w:noWrap/>
            <w:vAlign w:val="center"/>
            <w:hideMark/>
          </w:tcPr>
          <w:p w14:paraId="36A8FB1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1.23041</w:t>
            </w:r>
          </w:p>
        </w:tc>
        <w:tc>
          <w:tcPr>
            <w:tcW w:w="960" w:type="dxa"/>
            <w:tcBorders>
              <w:top w:val="single" w:sz="4" w:space="0" w:color="ADD6EA"/>
              <w:left w:val="nil"/>
              <w:bottom w:val="nil"/>
              <w:right w:val="nil"/>
            </w:tcBorders>
            <w:shd w:val="clear" w:color="auto" w:fill="auto"/>
            <w:noWrap/>
            <w:vAlign w:val="center"/>
            <w:hideMark/>
          </w:tcPr>
          <w:p w14:paraId="0BB663D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1.71466</w:t>
            </w:r>
          </w:p>
        </w:tc>
        <w:tc>
          <w:tcPr>
            <w:tcW w:w="960" w:type="dxa"/>
            <w:tcBorders>
              <w:top w:val="single" w:sz="4" w:space="0" w:color="ADD6EA"/>
              <w:left w:val="nil"/>
              <w:bottom w:val="nil"/>
              <w:right w:val="nil"/>
            </w:tcBorders>
            <w:shd w:val="clear" w:color="auto" w:fill="auto"/>
            <w:noWrap/>
            <w:vAlign w:val="center"/>
            <w:hideMark/>
          </w:tcPr>
          <w:p w14:paraId="6F214D47"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1.21407</w:t>
            </w:r>
          </w:p>
        </w:tc>
        <w:tc>
          <w:tcPr>
            <w:tcW w:w="960" w:type="dxa"/>
            <w:tcBorders>
              <w:top w:val="single" w:sz="4" w:space="0" w:color="ADD6EA"/>
              <w:left w:val="nil"/>
              <w:bottom w:val="nil"/>
              <w:right w:val="nil"/>
            </w:tcBorders>
            <w:shd w:val="clear" w:color="auto" w:fill="auto"/>
            <w:noWrap/>
            <w:vAlign w:val="center"/>
            <w:hideMark/>
          </w:tcPr>
          <w:p w14:paraId="6B9E87A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5.00304</w:t>
            </w:r>
          </w:p>
        </w:tc>
      </w:tr>
      <w:tr w:rsidR="00075E28" w:rsidRPr="003F319A" w14:paraId="3C243846"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4828F111" w14:textId="06955C2F"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2005</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06</w:t>
            </w:r>
          </w:p>
        </w:tc>
        <w:tc>
          <w:tcPr>
            <w:tcW w:w="802" w:type="dxa"/>
            <w:tcBorders>
              <w:top w:val="single" w:sz="4" w:space="0" w:color="ADD6EA"/>
              <w:left w:val="nil"/>
              <w:bottom w:val="nil"/>
              <w:right w:val="nil"/>
            </w:tcBorders>
            <w:shd w:val="clear" w:color="auto" w:fill="auto"/>
            <w:noWrap/>
            <w:vAlign w:val="center"/>
            <w:hideMark/>
          </w:tcPr>
          <w:p w14:paraId="65B4EE7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0.83571</w:t>
            </w:r>
          </w:p>
        </w:tc>
        <w:tc>
          <w:tcPr>
            <w:tcW w:w="960" w:type="dxa"/>
            <w:tcBorders>
              <w:top w:val="single" w:sz="4" w:space="0" w:color="ADD6EA"/>
              <w:left w:val="nil"/>
              <w:bottom w:val="nil"/>
              <w:right w:val="nil"/>
            </w:tcBorders>
            <w:shd w:val="clear" w:color="auto" w:fill="auto"/>
            <w:noWrap/>
            <w:vAlign w:val="center"/>
            <w:hideMark/>
          </w:tcPr>
          <w:p w14:paraId="692C5A0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0.84900</w:t>
            </w:r>
          </w:p>
        </w:tc>
        <w:tc>
          <w:tcPr>
            <w:tcW w:w="960" w:type="dxa"/>
            <w:tcBorders>
              <w:top w:val="single" w:sz="4" w:space="0" w:color="ADD6EA"/>
              <w:left w:val="nil"/>
              <w:bottom w:val="nil"/>
              <w:right w:val="nil"/>
            </w:tcBorders>
            <w:shd w:val="clear" w:color="auto" w:fill="auto"/>
            <w:noWrap/>
            <w:vAlign w:val="center"/>
            <w:hideMark/>
          </w:tcPr>
          <w:p w14:paraId="658613A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1.05700</w:t>
            </w:r>
          </w:p>
        </w:tc>
        <w:tc>
          <w:tcPr>
            <w:tcW w:w="960" w:type="dxa"/>
            <w:tcBorders>
              <w:top w:val="single" w:sz="4" w:space="0" w:color="ADD6EA"/>
              <w:left w:val="nil"/>
              <w:bottom w:val="nil"/>
              <w:right w:val="nil"/>
            </w:tcBorders>
            <w:shd w:val="clear" w:color="auto" w:fill="auto"/>
            <w:noWrap/>
            <w:vAlign w:val="center"/>
            <w:hideMark/>
          </w:tcPr>
          <w:p w14:paraId="63ADFE4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1.03303</w:t>
            </w:r>
          </w:p>
        </w:tc>
        <w:tc>
          <w:tcPr>
            <w:tcW w:w="960" w:type="dxa"/>
            <w:tcBorders>
              <w:top w:val="single" w:sz="4" w:space="0" w:color="ADD6EA"/>
              <w:left w:val="nil"/>
              <w:bottom w:val="nil"/>
              <w:right w:val="nil"/>
            </w:tcBorders>
            <w:shd w:val="clear" w:color="auto" w:fill="auto"/>
            <w:noWrap/>
            <w:vAlign w:val="center"/>
            <w:hideMark/>
          </w:tcPr>
          <w:p w14:paraId="2501FF75"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1.22712</w:t>
            </w:r>
          </w:p>
        </w:tc>
        <w:tc>
          <w:tcPr>
            <w:tcW w:w="960" w:type="dxa"/>
            <w:tcBorders>
              <w:top w:val="single" w:sz="4" w:space="0" w:color="ADD6EA"/>
              <w:left w:val="nil"/>
              <w:bottom w:val="nil"/>
              <w:right w:val="nil"/>
            </w:tcBorders>
            <w:shd w:val="clear" w:color="auto" w:fill="auto"/>
            <w:noWrap/>
            <w:vAlign w:val="center"/>
            <w:hideMark/>
          </w:tcPr>
          <w:p w14:paraId="58B1EE6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1.70370</w:t>
            </w:r>
          </w:p>
        </w:tc>
        <w:tc>
          <w:tcPr>
            <w:tcW w:w="960" w:type="dxa"/>
            <w:tcBorders>
              <w:top w:val="single" w:sz="4" w:space="0" w:color="ADD6EA"/>
              <w:left w:val="nil"/>
              <w:bottom w:val="nil"/>
              <w:right w:val="nil"/>
            </w:tcBorders>
            <w:shd w:val="clear" w:color="auto" w:fill="auto"/>
            <w:noWrap/>
            <w:vAlign w:val="center"/>
            <w:hideMark/>
          </w:tcPr>
          <w:p w14:paraId="3D143A37"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1.22837</w:t>
            </w:r>
          </w:p>
        </w:tc>
        <w:tc>
          <w:tcPr>
            <w:tcW w:w="960" w:type="dxa"/>
            <w:tcBorders>
              <w:top w:val="single" w:sz="4" w:space="0" w:color="ADD6EA"/>
              <w:left w:val="nil"/>
              <w:bottom w:val="nil"/>
              <w:right w:val="nil"/>
            </w:tcBorders>
            <w:shd w:val="clear" w:color="auto" w:fill="auto"/>
            <w:noWrap/>
            <w:vAlign w:val="center"/>
            <w:hideMark/>
          </w:tcPr>
          <w:p w14:paraId="4C0A246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5.00537</w:t>
            </w:r>
          </w:p>
        </w:tc>
      </w:tr>
      <w:tr w:rsidR="00075E28" w:rsidRPr="003F319A" w14:paraId="3D29359A"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548FA4A1" w14:textId="731ADBBF"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2006</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07</w:t>
            </w:r>
          </w:p>
        </w:tc>
        <w:tc>
          <w:tcPr>
            <w:tcW w:w="802" w:type="dxa"/>
            <w:tcBorders>
              <w:top w:val="single" w:sz="4" w:space="0" w:color="ADD6EA"/>
              <w:left w:val="nil"/>
              <w:bottom w:val="nil"/>
              <w:right w:val="nil"/>
            </w:tcBorders>
            <w:shd w:val="clear" w:color="auto" w:fill="auto"/>
            <w:noWrap/>
            <w:vAlign w:val="center"/>
            <w:hideMark/>
          </w:tcPr>
          <w:p w14:paraId="25AB8E1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0.84193</w:t>
            </w:r>
          </w:p>
        </w:tc>
        <w:tc>
          <w:tcPr>
            <w:tcW w:w="960" w:type="dxa"/>
            <w:tcBorders>
              <w:top w:val="single" w:sz="4" w:space="0" w:color="ADD6EA"/>
              <w:left w:val="nil"/>
              <w:bottom w:val="nil"/>
              <w:right w:val="nil"/>
            </w:tcBorders>
            <w:shd w:val="clear" w:color="auto" w:fill="auto"/>
            <w:noWrap/>
            <w:vAlign w:val="center"/>
            <w:hideMark/>
          </w:tcPr>
          <w:p w14:paraId="41775E9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0.87451</w:t>
            </w:r>
          </w:p>
        </w:tc>
        <w:tc>
          <w:tcPr>
            <w:tcW w:w="960" w:type="dxa"/>
            <w:tcBorders>
              <w:top w:val="single" w:sz="4" w:space="0" w:color="ADD6EA"/>
              <w:left w:val="nil"/>
              <w:bottom w:val="nil"/>
              <w:right w:val="nil"/>
            </w:tcBorders>
            <w:shd w:val="clear" w:color="auto" w:fill="auto"/>
            <w:noWrap/>
            <w:vAlign w:val="center"/>
            <w:hideMark/>
          </w:tcPr>
          <w:p w14:paraId="1B741328"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1.03271</w:t>
            </w:r>
          </w:p>
        </w:tc>
        <w:tc>
          <w:tcPr>
            <w:tcW w:w="960" w:type="dxa"/>
            <w:tcBorders>
              <w:top w:val="single" w:sz="4" w:space="0" w:color="ADD6EA"/>
              <w:left w:val="nil"/>
              <w:bottom w:val="nil"/>
              <w:right w:val="nil"/>
            </w:tcBorders>
            <w:shd w:val="clear" w:color="auto" w:fill="auto"/>
            <w:noWrap/>
            <w:vAlign w:val="center"/>
            <w:hideMark/>
          </w:tcPr>
          <w:p w14:paraId="4F0FB2A2"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1.00778</w:t>
            </w:r>
          </w:p>
        </w:tc>
        <w:tc>
          <w:tcPr>
            <w:tcW w:w="960" w:type="dxa"/>
            <w:tcBorders>
              <w:top w:val="single" w:sz="4" w:space="0" w:color="ADD6EA"/>
              <w:left w:val="nil"/>
              <w:bottom w:val="nil"/>
              <w:right w:val="nil"/>
            </w:tcBorders>
            <w:shd w:val="clear" w:color="auto" w:fill="auto"/>
            <w:noWrap/>
            <w:vAlign w:val="center"/>
            <w:hideMark/>
          </w:tcPr>
          <w:p w14:paraId="2844C72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1.20839</w:t>
            </w:r>
          </w:p>
        </w:tc>
        <w:tc>
          <w:tcPr>
            <w:tcW w:w="960" w:type="dxa"/>
            <w:tcBorders>
              <w:top w:val="single" w:sz="4" w:space="0" w:color="ADD6EA"/>
              <w:left w:val="nil"/>
              <w:bottom w:val="nil"/>
              <w:right w:val="nil"/>
            </w:tcBorders>
            <w:shd w:val="clear" w:color="auto" w:fill="auto"/>
            <w:noWrap/>
            <w:vAlign w:val="center"/>
            <w:hideMark/>
          </w:tcPr>
          <w:p w14:paraId="7199A00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1.69599</w:t>
            </w:r>
          </w:p>
        </w:tc>
        <w:tc>
          <w:tcPr>
            <w:tcW w:w="960" w:type="dxa"/>
            <w:tcBorders>
              <w:top w:val="single" w:sz="4" w:space="0" w:color="ADD6EA"/>
              <w:left w:val="nil"/>
              <w:bottom w:val="nil"/>
              <w:right w:val="nil"/>
            </w:tcBorders>
            <w:shd w:val="clear" w:color="auto" w:fill="auto"/>
            <w:noWrap/>
            <w:vAlign w:val="center"/>
            <w:hideMark/>
          </w:tcPr>
          <w:p w14:paraId="2D9DEDF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1.22918</w:t>
            </w:r>
          </w:p>
        </w:tc>
        <w:tc>
          <w:tcPr>
            <w:tcW w:w="960" w:type="dxa"/>
            <w:tcBorders>
              <w:top w:val="single" w:sz="4" w:space="0" w:color="ADD6EA"/>
              <w:left w:val="nil"/>
              <w:bottom w:val="nil"/>
              <w:right w:val="nil"/>
            </w:tcBorders>
            <w:shd w:val="clear" w:color="auto" w:fill="auto"/>
            <w:noWrap/>
            <w:vAlign w:val="center"/>
            <w:hideMark/>
          </w:tcPr>
          <w:p w14:paraId="1EBFBFA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5.06502</w:t>
            </w:r>
          </w:p>
        </w:tc>
      </w:tr>
      <w:tr w:rsidR="00075E28" w:rsidRPr="003F319A" w14:paraId="5CC225E4"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70FA220B" w14:textId="3DCC9D9C"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2007</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08</w:t>
            </w:r>
          </w:p>
        </w:tc>
        <w:tc>
          <w:tcPr>
            <w:tcW w:w="802" w:type="dxa"/>
            <w:tcBorders>
              <w:top w:val="single" w:sz="4" w:space="0" w:color="ADD6EA"/>
              <w:left w:val="nil"/>
              <w:bottom w:val="nil"/>
              <w:right w:val="nil"/>
            </w:tcBorders>
            <w:shd w:val="clear" w:color="auto" w:fill="auto"/>
            <w:noWrap/>
            <w:vAlign w:val="center"/>
            <w:hideMark/>
          </w:tcPr>
          <w:p w14:paraId="46F8FCA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0.86380</w:t>
            </w:r>
          </w:p>
        </w:tc>
        <w:tc>
          <w:tcPr>
            <w:tcW w:w="960" w:type="dxa"/>
            <w:tcBorders>
              <w:top w:val="single" w:sz="4" w:space="0" w:color="ADD6EA"/>
              <w:left w:val="nil"/>
              <w:bottom w:val="nil"/>
              <w:right w:val="nil"/>
            </w:tcBorders>
            <w:shd w:val="clear" w:color="auto" w:fill="auto"/>
            <w:noWrap/>
            <w:vAlign w:val="center"/>
            <w:hideMark/>
          </w:tcPr>
          <w:p w14:paraId="59025C47"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0.88206</w:t>
            </w:r>
          </w:p>
        </w:tc>
        <w:tc>
          <w:tcPr>
            <w:tcW w:w="960" w:type="dxa"/>
            <w:tcBorders>
              <w:top w:val="single" w:sz="4" w:space="0" w:color="ADD6EA"/>
              <w:left w:val="nil"/>
              <w:bottom w:val="nil"/>
              <w:right w:val="nil"/>
            </w:tcBorders>
            <w:shd w:val="clear" w:color="auto" w:fill="auto"/>
            <w:noWrap/>
            <w:vAlign w:val="center"/>
            <w:hideMark/>
          </w:tcPr>
          <w:p w14:paraId="4A9AEB0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1.01143</w:t>
            </w:r>
          </w:p>
        </w:tc>
        <w:tc>
          <w:tcPr>
            <w:tcW w:w="960" w:type="dxa"/>
            <w:tcBorders>
              <w:top w:val="single" w:sz="4" w:space="0" w:color="ADD6EA"/>
              <w:left w:val="nil"/>
              <w:bottom w:val="nil"/>
              <w:right w:val="nil"/>
            </w:tcBorders>
            <w:shd w:val="clear" w:color="auto" w:fill="auto"/>
            <w:noWrap/>
            <w:vAlign w:val="center"/>
            <w:hideMark/>
          </w:tcPr>
          <w:p w14:paraId="34385B1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0.93616</w:t>
            </w:r>
          </w:p>
        </w:tc>
        <w:tc>
          <w:tcPr>
            <w:tcW w:w="960" w:type="dxa"/>
            <w:tcBorders>
              <w:top w:val="single" w:sz="4" w:space="0" w:color="ADD6EA"/>
              <w:left w:val="nil"/>
              <w:bottom w:val="nil"/>
              <w:right w:val="nil"/>
            </w:tcBorders>
            <w:shd w:val="clear" w:color="auto" w:fill="auto"/>
            <w:noWrap/>
            <w:vAlign w:val="center"/>
            <w:hideMark/>
          </w:tcPr>
          <w:p w14:paraId="710A72F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1.23141</w:t>
            </w:r>
          </w:p>
        </w:tc>
        <w:tc>
          <w:tcPr>
            <w:tcW w:w="960" w:type="dxa"/>
            <w:tcBorders>
              <w:top w:val="single" w:sz="4" w:space="0" w:color="ADD6EA"/>
              <w:left w:val="nil"/>
              <w:bottom w:val="nil"/>
              <w:right w:val="nil"/>
            </w:tcBorders>
            <w:shd w:val="clear" w:color="auto" w:fill="auto"/>
            <w:noWrap/>
            <w:vAlign w:val="center"/>
            <w:hideMark/>
          </w:tcPr>
          <w:p w14:paraId="38EA4F9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1.68662</w:t>
            </w:r>
          </w:p>
        </w:tc>
        <w:tc>
          <w:tcPr>
            <w:tcW w:w="960" w:type="dxa"/>
            <w:tcBorders>
              <w:top w:val="single" w:sz="4" w:space="0" w:color="ADD6EA"/>
              <w:left w:val="nil"/>
              <w:bottom w:val="nil"/>
              <w:right w:val="nil"/>
            </w:tcBorders>
            <w:shd w:val="clear" w:color="auto" w:fill="auto"/>
            <w:noWrap/>
            <w:vAlign w:val="center"/>
            <w:hideMark/>
          </w:tcPr>
          <w:p w14:paraId="0FFD360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1.24724</w:t>
            </w:r>
          </w:p>
        </w:tc>
        <w:tc>
          <w:tcPr>
            <w:tcW w:w="960" w:type="dxa"/>
            <w:tcBorders>
              <w:top w:val="single" w:sz="4" w:space="0" w:color="ADD6EA"/>
              <w:left w:val="nil"/>
              <w:bottom w:val="nil"/>
              <w:right w:val="nil"/>
            </w:tcBorders>
            <w:shd w:val="clear" w:color="auto" w:fill="auto"/>
            <w:noWrap/>
            <w:vAlign w:val="center"/>
            <w:hideMark/>
          </w:tcPr>
          <w:p w14:paraId="000F0F14"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5.09597</w:t>
            </w:r>
          </w:p>
        </w:tc>
      </w:tr>
      <w:tr w:rsidR="00075E28" w:rsidRPr="003F319A" w14:paraId="0D5A30FD"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1F347B71" w14:textId="0D930B80"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2008</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09</w:t>
            </w:r>
          </w:p>
        </w:tc>
        <w:tc>
          <w:tcPr>
            <w:tcW w:w="802" w:type="dxa"/>
            <w:tcBorders>
              <w:top w:val="single" w:sz="4" w:space="0" w:color="ADD6EA"/>
              <w:left w:val="nil"/>
              <w:bottom w:val="nil"/>
              <w:right w:val="nil"/>
            </w:tcBorders>
            <w:shd w:val="clear" w:color="auto" w:fill="auto"/>
            <w:noWrap/>
            <w:vAlign w:val="center"/>
            <w:hideMark/>
          </w:tcPr>
          <w:p w14:paraId="3B70567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0.88743</w:t>
            </w:r>
          </w:p>
        </w:tc>
        <w:tc>
          <w:tcPr>
            <w:tcW w:w="960" w:type="dxa"/>
            <w:tcBorders>
              <w:top w:val="single" w:sz="4" w:space="0" w:color="ADD6EA"/>
              <w:left w:val="nil"/>
              <w:bottom w:val="nil"/>
              <w:right w:val="nil"/>
            </w:tcBorders>
            <w:shd w:val="clear" w:color="auto" w:fill="auto"/>
            <w:noWrap/>
            <w:vAlign w:val="center"/>
            <w:hideMark/>
          </w:tcPr>
          <w:p w14:paraId="5FB2312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0.91347</w:t>
            </w:r>
          </w:p>
        </w:tc>
        <w:tc>
          <w:tcPr>
            <w:tcW w:w="960" w:type="dxa"/>
            <w:tcBorders>
              <w:top w:val="single" w:sz="4" w:space="0" w:color="ADD6EA"/>
              <w:left w:val="nil"/>
              <w:bottom w:val="nil"/>
              <w:right w:val="nil"/>
            </w:tcBorders>
            <w:shd w:val="clear" w:color="auto" w:fill="auto"/>
            <w:noWrap/>
            <w:vAlign w:val="center"/>
            <w:hideMark/>
          </w:tcPr>
          <w:p w14:paraId="521587A7"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0.96196</w:t>
            </w:r>
          </w:p>
        </w:tc>
        <w:tc>
          <w:tcPr>
            <w:tcW w:w="960" w:type="dxa"/>
            <w:tcBorders>
              <w:top w:val="single" w:sz="4" w:space="0" w:color="ADD6EA"/>
              <w:left w:val="nil"/>
              <w:bottom w:val="nil"/>
              <w:right w:val="nil"/>
            </w:tcBorders>
            <w:shd w:val="clear" w:color="auto" w:fill="auto"/>
            <w:noWrap/>
            <w:vAlign w:val="center"/>
            <w:hideMark/>
          </w:tcPr>
          <w:p w14:paraId="1F01F89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0.85797</w:t>
            </w:r>
          </w:p>
        </w:tc>
        <w:tc>
          <w:tcPr>
            <w:tcW w:w="960" w:type="dxa"/>
            <w:tcBorders>
              <w:top w:val="single" w:sz="4" w:space="0" w:color="ADD6EA"/>
              <w:left w:val="nil"/>
              <w:bottom w:val="nil"/>
              <w:right w:val="nil"/>
            </w:tcBorders>
            <w:shd w:val="clear" w:color="auto" w:fill="auto"/>
            <w:noWrap/>
            <w:vAlign w:val="center"/>
            <w:hideMark/>
          </w:tcPr>
          <w:p w14:paraId="29ABB545"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1.23192</w:t>
            </w:r>
          </w:p>
        </w:tc>
        <w:tc>
          <w:tcPr>
            <w:tcW w:w="960" w:type="dxa"/>
            <w:tcBorders>
              <w:top w:val="single" w:sz="4" w:space="0" w:color="ADD6EA"/>
              <w:left w:val="nil"/>
              <w:bottom w:val="nil"/>
              <w:right w:val="nil"/>
            </w:tcBorders>
            <w:shd w:val="clear" w:color="auto" w:fill="auto"/>
            <w:noWrap/>
            <w:vAlign w:val="center"/>
            <w:hideMark/>
          </w:tcPr>
          <w:p w14:paraId="3B55D2D0"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1.66348</w:t>
            </w:r>
          </w:p>
        </w:tc>
        <w:tc>
          <w:tcPr>
            <w:tcW w:w="960" w:type="dxa"/>
            <w:tcBorders>
              <w:top w:val="single" w:sz="4" w:space="0" w:color="ADD6EA"/>
              <w:left w:val="nil"/>
              <w:bottom w:val="nil"/>
              <w:right w:val="nil"/>
            </w:tcBorders>
            <w:shd w:val="clear" w:color="auto" w:fill="auto"/>
            <w:noWrap/>
            <w:vAlign w:val="center"/>
            <w:hideMark/>
          </w:tcPr>
          <w:p w14:paraId="6685389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1.25603</w:t>
            </w:r>
          </w:p>
        </w:tc>
        <w:tc>
          <w:tcPr>
            <w:tcW w:w="960" w:type="dxa"/>
            <w:tcBorders>
              <w:top w:val="single" w:sz="4" w:space="0" w:color="ADD6EA"/>
              <w:left w:val="nil"/>
              <w:bottom w:val="nil"/>
              <w:right w:val="nil"/>
            </w:tcBorders>
            <w:shd w:val="clear" w:color="auto" w:fill="auto"/>
            <w:noWrap/>
            <w:vAlign w:val="center"/>
            <w:hideMark/>
          </w:tcPr>
          <w:p w14:paraId="1FDA1B68"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5.25758</w:t>
            </w:r>
          </w:p>
        </w:tc>
      </w:tr>
      <w:tr w:rsidR="00075E28" w:rsidRPr="003F319A" w14:paraId="7C4AF022"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581602F8" w14:textId="212F40EC"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2009</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10</w:t>
            </w:r>
          </w:p>
        </w:tc>
        <w:tc>
          <w:tcPr>
            <w:tcW w:w="802" w:type="dxa"/>
            <w:tcBorders>
              <w:top w:val="single" w:sz="4" w:space="0" w:color="ADD6EA"/>
              <w:left w:val="nil"/>
              <w:bottom w:val="nil"/>
              <w:right w:val="nil"/>
            </w:tcBorders>
            <w:shd w:val="clear" w:color="auto" w:fill="auto"/>
            <w:noWrap/>
            <w:vAlign w:val="center"/>
            <w:hideMark/>
          </w:tcPr>
          <w:p w14:paraId="5F7CD29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0.93186</w:t>
            </w:r>
          </w:p>
        </w:tc>
        <w:tc>
          <w:tcPr>
            <w:tcW w:w="960" w:type="dxa"/>
            <w:tcBorders>
              <w:top w:val="single" w:sz="4" w:space="0" w:color="ADD6EA"/>
              <w:left w:val="nil"/>
              <w:bottom w:val="nil"/>
              <w:right w:val="nil"/>
            </w:tcBorders>
            <w:shd w:val="clear" w:color="auto" w:fill="auto"/>
            <w:noWrap/>
            <w:vAlign w:val="center"/>
            <w:hideMark/>
          </w:tcPr>
          <w:p w14:paraId="52A8A7C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0.91875</w:t>
            </w:r>
          </w:p>
        </w:tc>
        <w:tc>
          <w:tcPr>
            <w:tcW w:w="960" w:type="dxa"/>
            <w:tcBorders>
              <w:top w:val="single" w:sz="4" w:space="0" w:color="ADD6EA"/>
              <w:left w:val="nil"/>
              <w:bottom w:val="nil"/>
              <w:right w:val="nil"/>
            </w:tcBorders>
            <w:shd w:val="clear" w:color="auto" w:fill="auto"/>
            <w:noWrap/>
            <w:vAlign w:val="center"/>
            <w:hideMark/>
          </w:tcPr>
          <w:p w14:paraId="2B3A4A5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0.91556</w:t>
            </w:r>
          </w:p>
        </w:tc>
        <w:tc>
          <w:tcPr>
            <w:tcW w:w="960" w:type="dxa"/>
            <w:tcBorders>
              <w:top w:val="single" w:sz="4" w:space="0" w:color="ADD6EA"/>
              <w:left w:val="nil"/>
              <w:bottom w:val="nil"/>
              <w:right w:val="nil"/>
            </w:tcBorders>
            <w:shd w:val="clear" w:color="auto" w:fill="auto"/>
            <w:noWrap/>
            <w:vAlign w:val="center"/>
            <w:hideMark/>
          </w:tcPr>
          <w:p w14:paraId="7643213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0.78485</w:t>
            </w:r>
          </w:p>
        </w:tc>
        <w:tc>
          <w:tcPr>
            <w:tcW w:w="960" w:type="dxa"/>
            <w:tcBorders>
              <w:top w:val="single" w:sz="4" w:space="0" w:color="ADD6EA"/>
              <w:left w:val="nil"/>
              <w:bottom w:val="nil"/>
              <w:right w:val="nil"/>
            </w:tcBorders>
            <w:shd w:val="clear" w:color="auto" w:fill="auto"/>
            <w:noWrap/>
            <w:vAlign w:val="center"/>
            <w:hideMark/>
          </w:tcPr>
          <w:p w14:paraId="085EB9A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1.24724</w:t>
            </w:r>
          </w:p>
        </w:tc>
        <w:tc>
          <w:tcPr>
            <w:tcW w:w="960" w:type="dxa"/>
            <w:tcBorders>
              <w:top w:val="single" w:sz="4" w:space="0" w:color="ADD6EA"/>
              <w:left w:val="nil"/>
              <w:bottom w:val="nil"/>
              <w:right w:val="nil"/>
            </w:tcBorders>
            <w:shd w:val="clear" w:color="auto" w:fill="auto"/>
            <w:noWrap/>
            <w:vAlign w:val="center"/>
            <w:hideMark/>
          </w:tcPr>
          <w:p w14:paraId="35057185"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1.62040</w:t>
            </w:r>
          </w:p>
        </w:tc>
        <w:tc>
          <w:tcPr>
            <w:tcW w:w="960" w:type="dxa"/>
            <w:tcBorders>
              <w:top w:val="single" w:sz="4" w:space="0" w:color="ADD6EA"/>
              <w:left w:val="nil"/>
              <w:bottom w:val="nil"/>
              <w:right w:val="nil"/>
            </w:tcBorders>
            <w:shd w:val="clear" w:color="auto" w:fill="auto"/>
            <w:noWrap/>
            <w:vAlign w:val="center"/>
            <w:hideMark/>
          </w:tcPr>
          <w:p w14:paraId="2CE0CF1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1.27051</w:t>
            </w:r>
          </w:p>
        </w:tc>
        <w:tc>
          <w:tcPr>
            <w:tcW w:w="960" w:type="dxa"/>
            <w:tcBorders>
              <w:top w:val="single" w:sz="4" w:space="0" w:color="ADD6EA"/>
              <w:left w:val="nil"/>
              <w:bottom w:val="nil"/>
              <w:right w:val="nil"/>
            </w:tcBorders>
            <w:shd w:val="clear" w:color="auto" w:fill="auto"/>
            <w:noWrap/>
            <w:vAlign w:val="center"/>
            <w:hideMark/>
          </w:tcPr>
          <w:p w14:paraId="47755BA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5.25073</w:t>
            </w:r>
          </w:p>
        </w:tc>
      </w:tr>
      <w:tr w:rsidR="00075E28" w:rsidRPr="003F319A" w14:paraId="36D880F0"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61EB44F5" w14:textId="4F16CE87"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2010</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11</w:t>
            </w:r>
          </w:p>
        </w:tc>
        <w:tc>
          <w:tcPr>
            <w:tcW w:w="802" w:type="dxa"/>
            <w:tcBorders>
              <w:top w:val="single" w:sz="4" w:space="0" w:color="ADD6EA"/>
              <w:left w:val="nil"/>
              <w:bottom w:val="nil"/>
              <w:right w:val="nil"/>
            </w:tcBorders>
            <w:shd w:val="clear" w:color="auto" w:fill="auto"/>
            <w:noWrap/>
            <w:vAlign w:val="center"/>
            <w:hideMark/>
          </w:tcPr>
          <w:p w14:paraId="19C1478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0.95205</w:t>
            </w:r>
          </w:p>
        </w:tc>
        <w:tc>
          <w:tcPr>
            <w:tcW w:w="960" w:type="dxa"/>
            <w:tcBorders>
              <w:top w:val="single" w:sz="4" w:space="0" w:color="ADD6EA"/>
              <w:left w:val="nil"/>
              <w:bottom w:val="nil"/>
              <w:right w:val="nil"/>
            </w:tcBorders>
            <w:shd w:val="clear" w:color="auto" w:fill="auto"/>
            <w:noWrap/>
            <w:vAlign w:val="center"/>
            <w:hideMark/>
          </w:tcPr>
          <w:p w14:paraId="26E25F7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0.93995</w:t>
            </w:r>
          </w:p>
        </w:tc>
        <w:tc>
          <w:tcPr>
            <w:tcW w:w="960" w:type="dxa"/>
            <w:tcBorders>
              <w:top w:val="single" w:sz="4" w:space="0" w:color="ADD6EA"/>
              <w:left w:val="nil"/>
              <w:bottom w:val="nil"/>
              <w:right w:val="nil"/>
            </w:tcBorders>
            <w:shd w:val="clear" w:color="auto" w:fill="auto"/>
            <w:noWrap/>
            <w:vAlign w:val="center"/>
            <w:hideMark/>
          </w:tcPr>
          <w:p w14:paraId="5575F688"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0.91322</w:t>
            </w:r>
          </w:p>
        </w:tc>
        <w:tc>
          <w:tcPr>
            <w:tcW w:w="960" w:type="dxa"/>
            <w:tcBorders>
              <w:top w:val="single" w:sz="4" w:space="0" w:color="ADD6EA"/>
              <w:left w:val="nil"/>
              <w:bottom w:val="nil"/>
              <w:right w:val="nil"/>
            </w:tcBorders>
            <w:shd w:val="clear" w:color="auto" w:fill="auto"/>
            <w:noWrap/>
            <w:vAlign w:val="center"/>
            <w:hideMark/>
          </w:tcPr>
          <w:p w14:paraId="297F9B1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0.68298</w:t>
            </w:r>
          </w:p>
        </w:tc>
        <w:tc>
          <w:tcPr>
            <w:tcW w:w="960" w:type="dxa"/>
            <w:tcBorders>
              <w:top w:val="single" w:sz="4" w:space="0" w:color="ADD6EA"/>
              <w:left w:val="nil"/>
              <w:bottom w:val="nil"/>
              <w:right w:val="nil"/>
            </w:tcBorders>
            <w:shd w:val="clear" w:color="auto" w:fill="auto"/>
            <w:noWrap/>
            <w:vAlign w:val="center"/>
            <w:hideMark/>
          </w:tcPr>
          <w:p w14:paraId="1F6EB454"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1.28497</w:t>
            </w:r>
          </w:p>
        </w:tc>
        <w:tc>
          <w:tcPr>
            <w:tcW w:w="960" w:type="dxa"/>
            <w:tcBorders>
              <w:top w:val="single" w:sz="4" w:space="0" w:color="ADD6EA"/>
              <w:left w:val="nil"/>
              <w:bottom w:val="nil"/>
              <w:right w:val="nil"/>
            </w:tcBorders>
            <w:shd w:val="clear" w:color="auto" w:fill="auto"/>
            <w:noWrap/>
            <w:vAlign w:val="center"/>
            <w:hideMark/>
          </w:tcPr>
          <w:p w14:paraId="7508B99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1.62091</w:t>
            </w:r>
          </w:p>
        </w:tc>
        <w:tc>
          <w:tcPr>
            <w:tcW w:w="960" w:type="dxa"/>
            <w:tcBorders>
              <w:top w:val="single" w:sz="4" w:space="0" w:color="ADD6EA"/>
              <w:left w:val="nil"/>
              <w:bottom w:val="nil"/>
              <w:right w:val="nil"/>
            </w:tcBorders>
            <w:shd w:val="clear" w:color="auto" w:fill="auto"/>
            <w:noWrap/>
            <w:vAlign w:val="center"/>
            <w:hideMark/>
          </w:tcPr>
          <w:p w14:paraId="6AC546E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1.15295</w:t>
            </w:r>
          </w:p>
        </w:tc>
        <w:tc>
          <w:tcPr>
            <w:tcW w:w="960" w:type="dxa"/>
            <w:tcBorders>
              <w:top w:val="single" w:sz="4" w:space="0" w:color="ADD6EA"/>
              <w:left w:val="nil"/>
              <w:bottom w:val="nil"/>
              <w:right w:val="nil"/>
            </w:tcBorders>
            <w:shd w:val="clear" w:color="auto" w:fill="auto"/>
            <w:noWrap/>
            <w:vAlign w:val="center"/>
            <w:hideMark/>
          </w:tcPr>
          <w:p w14:paraId="2D3DCC6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5.07383</w:t>
            </w:r>
          </w:p>
        </w:tc>
      </w:tr>
      <w:tr w:rsidR="00075E28" w:rsidRPr="003F319A" w14:paraId="37389DF1"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2AD73D06" w14:textId="0347CDD3"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2011</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12</w:t>
            </w:r>
          </w:p>
        </w:tc>
        <w:tc>
          <w:tcPr>
            <w:tcW w:w="802" w:type="dxa"/>
            <w:tcBorders>
              <w:top w:val="single" w:sz="4" w:space="0" w:color="ADD6EA"/>
              <w:left w:val="nil"/>
              <w:bottom w:val="nil"/>
              <w:right w:val="nil"/>
            </w:tcBorders>
            <w:shd w:val="clear" w:color="auto" w:fill="auto"/>
            <w:noWrap/>
            <w:vAlign w:val="center"/>
            <w:hideMark/>
          </w:tcPr>
          <w:p w14:paraId="1E4CCDB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0.95776</w:t>
            </w:r>
          </w:p>
        </w:tc>
        <w:tc>
          <w:tcPr>
            <w:tcW w:w="960" w:type="dxa"/>
            <w:tcBorders>
              <w:top w:val="single" w:sz="4" w:space="0" w:color="ADD6EA"/>
              <w:left w:val="nil"/>
              <w:bottom w:val="nil"/>
              <w:right w:val="nil"/>
            </w:tcBorders>
            <w:shd w:val="clear" w:color="auto" w:fill="auto"/>
            <w:noWrap/>
            <w:vAlign w:val="center"/>
            <w:hideMark/>
          </w:tcPr>
          <w:p w14:paraId="037DE59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0.90476</w:t>
            </w:r>
          </w:p>
        </w:tc>
        <w:tc>
          <w:tcPr>
            <w:tcW w:w="960" w:type="dxa"/>
            <w:tcBorders>
              <w:top w:val="single" w:sz="4" w:space="0" w:color="ADD6EA"/>
              <w:left w:val="nil"/>
              <w:bottom w:val="nil"/>
              <w:right w:val="nil"/>
            </w:tcBorders>
            <w:shd w:val="clear" w:color="auto" w:fill="auto"/>
            <w:noWrap/>
            <w:vAlign w:val="center"/>
            <w:hideMark/>
          </w:tcPr>
          <w:p w14:paraId="0FDCA29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0.92861</w:t>
            </w:r>
          </w:p>
        </w:tc>
        <w:tc>
          <w:tcPr>
            <w:tcW w:w="960" w:type="dxa"/>
            <w:tcBorders>
              <w:top w:val="single" w:sz="4" w:space="0" w:color="ADD6EA"/>
              <w:left w:val="nil"/>
              <w:bottom w:val="nil"/>
              <w:right w:val="nil"/>
            </w:tcBorders>
            <w:shd w:val="clear" w:color="auto" w:fill="auto"/>
            <w:noWrap/>
            <w:vAlign w:val="center"/>
            <w:hideMark/>
          </w:tcPr>
          <w:p w14:paraId="1E56A6E5"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0.71729</w:t>
            </w:r>
          </w:p>
        </w:tc>
        <w:tc>
          <w:tcPr>
            <w:tcW w:w="960" w:type="dxa"/>
            <w:tcBorders>
              <w:top w:val="single" w:sz="4" w:space="0" w:color="ADD6EA"/>
              <w:left w:val="nil"/>
              <w:bottom w:val="nil"/>
              <w:right w:val="nil"/>
            </w:tcBorders>
            <w:shd w:val="clear" w:color="auto" w:fill="auto"/>
            <w:noWrap/>
            <w:vAlign w:val="center"/>
            <w:hideMark/>
          </w:tcPr>
          <w:p w14:paraId="7D4D547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1.27070</w:t>
            </w:r>
          </w:p>
        </w:tc>
        <w:tc>
          <w:tcPr>
            <w:tcW w:w="960" w:type="dxa"/>
            <w:tcBorders>
              <w:top w:val="single" w:sz="4" w:space="0" w:color="ADD6EA"/>
              <w:left w:val="nil"/>
              <w:bottom w:val="nil"/>
              <w:right w:val="nil"/>
            </w:tcBorders>
            <w:shd w:val="clear" w:color="auto" w:fill="auto"/>
            <w:noWrap/>
            <w:vAlign w:val="center"/>
            <w:hideMark/>
          </w:tcPr>
          <w:p w14:paraId="1AAE38B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1.59942</w:t>
            </w:r>
          </w:p>
        </w:tc>
        <w:tc>
          <w:tcPr>
            <w:tcW w:w="960" w:type="dxa"/>
            <w:tcBorders>
              <w:top w:val="single" w:sz="4" w:space="0" w:color="ADD6EA"/>
              <w:left w:val="nil"/>
              <w:bottom w:val="nil"/>
              <w:right w:val="nil"/>
            </w:tcBorders>
            <w:shd w:val="clear" w:color="auto" w:fill="auto"/>
            <w:noWrap/>
            <w:vAlign w:val="center"/>
            <w:hideMark/>
          </w:tcPr>
          <w:p w14:paraId="28C1A1A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1.11647</w:t>
            </w:r>
          </w:p>
        </w:tc>
        <w:tc>
          <w:tcPr>
            <w:tcW w:w="960" w:type="dxa"/>
            <w:tcBorders>
              <w:top w:val="single" w:sz="4" w:space="0" w:color="ADD6EA"/>
              <w:left w:val="nil"/>
              <w:bottom w:val="nil"/>
              <w:right w:val="nil"/>
            </w:tcBorders>
            <w:shd w:val="clear" w:color="auto" w:fill="auto"/>
            <w:noWrap/>
            <w:vAlign w:val="center"/>
            <w:hideMark/>
          </w:tcPr>
          <w:p w14:paraId="2763B58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5.35708</w:t>
            </w:r>
          </w:p>
        </w:tc>
      </w:tr>
      <w:tr w:rsidR="00075E28" w:rsidRPr="003F319A" w14:paraId="6849D8EE"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120FF77A" w14:textId="17C87A63"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2012</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13</w:t>
            </w:r>
          </w:p>
        </w:tc>
        <w:tc>
          <w:tcPr>
            <w:tcW w:w="802" w:type="dxa"/>
            <w:tcBorders>
              <w:top w:val="single" w:sz="4" w:space="0" w:color="ADD6EA"/>
              <w:left w:val="nil"/>
              <w:bottom w:val="nil"/>
              <w:right w:val="nil"/>
            </w:tcBorders>
            <w:shd w:val="clear" w:color="auto" w:fill="auto"/>
            <w:noWrap/>
            <w:vAlign w:val="center"/>
            <w:hideMark/>
          </w:tcPr>
          <w:p w14:paraId="0995BD65"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0.95312</w:t>
            </w:r>
          </w:p>
        </w:tc>
        <w:tc>
          <w:tcPr>
            <w:tcW w:w="960" w:type="dxa"/>
            <w:tcBorders>
              <w:top w:val="single" w:sz="4" w:space="0" w:color="ADD6EA"/>
              <w:left w:val="nil"/>
              <w:bottom w:val="nil"/>
              <w:right w:val="nil"/>
            </w:tcBorders>
            <w:shd w:val="clear" w:color="auto" w:fill="auto"/>
            <w:noWrap/>
            <w:vAlign w:val="center"/>
            <w:hideMark/>
          </w:tcPr>
          <w:p w14:paraId="508F766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0.92106</w:t>
            </w:r>
          </w:p>
        </w:tc>
        <w:tc>
          <w:tcPr>
            <w:tcW w:w="960" w:type="dxa"/>
            <w:tcBorders>
              <w:top w:val="single" w:sz="4" w:space="0" w:color="ADD6EA"/>
              <w:left w:val="nil"/>
              <w:bottom w:val="nil"/>
              <w:right w:val="nil"/>
            </w:tcBorders>
            <w:shd w:val="clear" w:color="auto" w:fill="auto"/>
            <w:noWrap/>
            <w:vAlign w:val="center"/>
            <w:hideMark/>
          </w:tcPr>
          <w:p w14:paraId="2ABE156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0.98477</w:t>
            </w:r>
          </w:p>
        </w:tc>
        <w:tc>
          <w:tcPr>
            <w:tcW w:w="960" w:type="dxa"/>
            <w:tcBorders>
              <w:top w:val="single" w:sz="4" w:space="0" w:color="ADD6EA"/>
              <w:left w:val="nil"/>
              <w:bottom w:val="nil"/>
              <w:right w:val="nil"/>
            </w:tcBorders>
            <w:shd w:val="clear" w:color="auto" w:fill="auto"/>
            <w:noWrap/>
            <w:vAlign w:val="center"/>
            <w:hideMark/>
          </w:tcPr>
          <w:p w14:paraId="5948BF6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0.55105</w:t>
            </w:r>
          </w:p>
        </w:tc>
        <w:tc>
          <w:tcPr>
            <w:tcW w:w="960" w:type="dxa"/>
            <w:tcBorders>
              <w:top w:val="single" w:sz="4" w:space="0" w:color="ADD6EA"/>
              <w:left w:val="nil"/>
              <w:bottom w:val="nil"/>
              <w:right w:val="nil"/>
            </w:tcBorders>
            <w:shd w:val="clear" w:color="auto" w:fill="auto"/>
            <w:noWrap/>
            <w:vAlign w:val="center"/>
            <w:hideMark/>
          </w:tcPr>
          <w:p w14:paraId="56E4A7B7"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1.28472</w:t>
            </w:r>
          </w:p>
        </w:tc>
        <w:tc>
          <w:tcPr>
            <w:tcW w:w="960" w:type="dxa"/>
            <w:tcBorders>
              <w:top w:val="single" w:sz="4" w:space="0" w:color="ADD6EA"/>
              <w:left w:val="nil"/>
              <w:bottom w:val="nil"/>
              <w:right w:val="nil"/>
            </w:tcBorders>
            <w:shd w:val="clear" w:color="auto" w:fill="auto"/>
            <w:noWrap/>
            <w:vAlign w:val="center"/>
            <w:hideMark/>
          </w:tcPr>
          <w:p w14:paraId="1D02FFA2"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1.58088</w:t>
            </w:r>
          </w:p>
        </w:tc>
        <w:tc>
          <w:tcPr>
            <w:tcW w:w="960" w:type="dxa"/>
            <w:tcBorders>
              <w:top w:val="single" w:sz="4" w:space="0" w:color="ADD6EA"/>
              <w:left w:val="nil"/>
              <w:bottom w:val="nil"/>
              <w:right w:val="nil"/>
            </w:tcBorders>
            <w:shd w:val="clear" w:color="auto" w:fill="auto"/>
            <w:noWrap/>
            <w:vAlign w:val="center"/>
            <w:hideMark/>
          </w:tcPr>
          <w:p w14:paraId="1715AFC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1.19757</w:t>
            </w:r>
          </w:p>
        </w:tc>
        <w:tc>
          <w:tcPr>
            <w:tcW w:w="960" w:type="dxa"/>
            <w:tcBorders>
              <w:top w:val="single" w:sz="4" w:space="0" w:color="ADD6EA"/>
              <w:left w:val="nil"/>
              <w:bottom w:val="nil"/>
              <w:right w:val="nil"/>
            </w:tcBorders>
            <w:shd w:val="clear" w:color="auto" w:fill="auto"/>
            <w:noWrap/>
            <w:vAlign w:val="center"/>
            <w:hideMark/>
          </w:tcPr>
          <w:p w14:paraId="36049160"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5.52818</w:t>
            </w:r>
          </w:p>
        </w:tc>
      </w:tr>
      <w:tr w:rsidR="00075E28" w:rsidRPr="003F319A" w14:paraId="42C45298"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7414001E" w14:textId="430A6064"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2013</w:t>
            </w:r>
            <w:r w:rsidR="00724146">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14</w:t>
            </w:r>
          </w:p>
        </w:tc>
        <w:tc>
          <w:tcPr>
            <w:tcW w:w="802" w:type="dxa"/>
            <w:tcBorders>
              <w:top w:val="single" w:sz="4" w:space="0" w:color="ADD6EA"/>
              <w:left w:val="nil"/>
              <w:bottom w:val="nil"/>
              <w:right w:val="nil"/>
            </w:tcBorders>
            <w:shd w:val="clear" w:color="auto" w:fill="auto"/>
            <w:noWrap/>
            <w:vAlign w:val="center"/>
            <w:hideMark/>
          </w:tcPr>
          <w:p w14:paraId="3E55810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0.96576</w:t>
            </w:r>
          </w:p>
        </w:tc>
        <w:tc>
          <w:tcPr>
            <w:tcW w:w="960" w:type="dxa"/>
            <w:tcBorders>
              <w:top w:val="single" w:sz="4" w:space="0" w:color="ADD6EA"/>
              <w:left w:val="nil"/>
              <w:bottom w:val="nil"/>
              <w:right w:val="nil"/>
            </w:tcBorders>
            <w:shd w:val="clear" w:color="auto" w:fill="auto"/>
            <w:noWrap/>
            <w:vAlign w:val="center"/>
            <w:hideMark/>
          </w:tcPr>
          <w:p w14:paraId="714496D4"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0.90398</w:t>
            </w:r>
          </w:p>
        </w:tc>
        <w:tc>
          <w:tcPr>
            <w:tcW w:w="960" w:type="dxa"/>
            <w:tcBorders>
              <w:top w:val="single" w:sz="4" w:space="0" w:color="ADD6EA"/>
              <w:left w:val="nil"/>
              <w:bottom w:val="nil"/>
              <w:right w:val="nil"/>
            </w:tcBorders>
            <w:shd w:val="clear" w:color="auto" w:fill="auto"/>
            <w:noWrap/>
            <w:vAlign w:val="center"/>
            <w:hideMark/>
          </w:tcPr>
          <w:p w14:paraId="6F5B2B50"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1.05624</w:t>
            </w:r>
          </w:p>
        </w:tc>
        <w:tc>
          <w:tcPr>
            <w:tcW w:w="960" w:type="dxa"/>
            <w:tcBorders>
              <w:top w:val="single" w:sz="4" w:space="0" w:color="ADD6EA"/>
              <w:left w:val="nil"/>
              <w:bottom w:val="nil"/>
              <w:right w:val="nil"/>
            </w:tcBorders>
            <w:shd w:val="clear" w:color="auto" w:fill="auto"/>
            <w:noWrap/>
            <w:vAlign w:val="center"/>
            <w:hideMark/>
          </w:tcPr>
          <w:p w14:paraId="1799964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0.44581</w:t>
            </w:r>
          </w:p>
        </w:tc>
        <w:tc>
          <w:tcPr>
            <w:tcW w:w="960" w:type="dxa"/>
            <w:tcBorders>
              <w:top w:val="single" w:sz="4" w:space="0" w:color="ADD6EA"/>
              <w:left w:val="nil"/>
              <w:bottom w:val="nil"/>
              <w:right w:val="nil"/>
            </w:tcBorders>
            <w:shd w:val="clear" w:color="auto" w:fill="auto"/>
            <w:noWrap/>
            <w:vAlign w:val="center"/>
            <w:hideMark/>
          </w:tcPr>
          <w:p w14:paraId="7A26B8C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1.26167</w:t>
            </w:r>
          </w:p>
        </w:tc>
        <w:tc>
          <w:tcPr>
            <w:tcW w:w="960" w:type="dxa"/>
            <w:tcBorders>
              <w:top w:val="single" w:sz="4" w:space="0" w:color="ADD6EA"/>
              <w:left w:val="nil"/>
              <w:bottom w:val="nil"/>
              <w:right w:val="nil"/>
            </w:tcBorders>
            <w:shd w:val="clear" w:color="auto" w:fill="auto"/>
            <w:noWrap/>
            <w:vAlign w:val="center"/>
            <w:hideMark/>
          </w:tcPr>
          <w:p w14:paraId="3A8C3AE2"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1.61454</w:t>
            </w:r>
          </w:p>
        </w:tc>
        <w:tc>
          <w:tcPr>
            <w:tcW w:w="960" w:type="dxa"/>
            <w:tcBorders>
              <w:top w:val="single" w:sz="4" w:space="0" w:color="ADD6EA"/>
              <w:left w:val="nil"/>
              <w:bottom w:val="nil"/>
              <w:right w:val="nil"/>
            </w:tcBorders>
            <w:shd w:val="clear" w:color="auto" w:fill="auto"/>
            <w:noWrap/>
            <w:vAlign w:val="center"/>
            <w:hideMark/>
          </w:tcPr>
          <w:p w14:paraId="30BBC2C0"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1.22083</w:t>
            </w:r>
          </w:p>
        </w:tc>
        <w:tc>
          <w:tcPr>
            <w:tcW w:w="960" w:type="dxa"/>
            <w:tcBorders>
              <w:top w:val="single" w:sz="4" w:space="0" w:color="ADD6EA"/>
              <w:left w:val="nil"/>
              <w:bottom w:val="nil"/>
              <w:right w:val="nil"/>
            </w:tcBorders>
            <w:shd w:val="clear" w:color="auto" w:fill="auto"/>
            <w:noWrap/>
            <w:vAlign w:val="center"/>
            <w:hideMark/>
          </w:tcPr>
          <w:p w14:paraId="2E2B00A4"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5.31414</w:t>
            </w:r>
          </w:p>
        </w:tc>
      </w:tr>
      <w:tr w:rsidR="00075E28" w:rsidRPr="003F319A" w14:paraId="65311C28"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00A161D9" w14:textId="7C499103"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2014</w:t>
            </w:r>
            <w:r w:rsidR="00FA3A63">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15</w:t>
            </w:r>
          </w:p>
        </w:tc>
        <w:tc>
          <w:tcPr>
            <w:tcW w:w="802" w:type="dxa"/>
            <w:tcBorders>
              <w:top w:val="single" w:sz="4" w:space="0" w:color="ADD6EA"/>
              <w:left w:val="nil"/>
              <w:bottom w:val="nil"/>
              <w:right w:val="nil"/>
            </w:tcBorders>
            <w:shd w:val="clear" w:color="auto" w:fill="auto"/>
            <w:noWrap/>
            <w:vAlign w:val="center"/>
            <w:hideMark/>
          </w:tcPr>
          <w:p w14:paraId="4A336007"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0.97500</w:t>
            </w:r>
          </w:p>
        </w:tc>
        <w:tc>
          <w:tcPr>
            <w:tcW w:w="960" w:type="dxa"/>
            <w:tcBorders>
              <w:top w:val="single" w:sz="4" w:space="0" w:color="ADD6EA"/>
              <w:left w:val="nil"/>
              <w:bottom w:val="nil"/>
              <w:right w:val="nil"/>
            </w:tcBorders>
            <w:shd w:val="clear" w:color="auto" w:fill="auto"/>
            <w:noWrap/>
            <w:vAlign w:val="center"/>
            <w:hideMark/>
          </w:tcPr>
          <w:p w14:paraId="2FF7CE1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0.88282</w:t>
            </w:r>
          </w:p>
        </w:tc>
        <w:tc>
          <w:tcPr>
            <w:tcW w:w="960" w:type="dxa"/>
            <w:tcBorders>
              <w:top w:val="single" w:sz="4" w:space="0" w:color="ADD6EA"/>
              <w:left w:val="nil"/>
              <w:bottom w:val="nil"/>
              <w:right w:val="nil"/>
            </w:tcBorders>
            <w:shd w:val="clear" w:color="auto" w:fill="auto"/>
            <w:noWrap/>
            <w:vAlign w:val="center"/>
            <w:hideMark/>
          </w:tcPr>
          <w:p w14:paraId="50AA8D6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1.07876</w:t>
            </w:r>
          </w:p>
        </w:tc>
        <w:tc>
          <w:tcPr>
            <w:tcW w:w="960" w:type="dxa"/>
            <w:tcBorders>
              <w:top w:val="single" w:sz="4" w:space="0" w:color="ADD6EA"/>
              <w:left w:val="nil"/>
              <w:bottom w:val="nil"/>
              <w:right w:val="nil"/>
            </w:tcBorders>
            <w:shd w:val="clear" w:color="auto" w:fill="auto"/>
            <w:noWrap/>
            <w:vAlign w:val="center"/>
            <w:hideMark/>
          </w:tcPr>
          <w:p w14:paraId="3A0010C5"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0.37627</w:t>
            </w:r>
          </w:p>
        </w:tc>
        <w:tc>
          <w:tcPr>
            <w:tcW w:w="960" w:type="dxa"/>
            <w:tcBorders>
              <w:top w:val="single" w:sz="4" w:space="0" w:color="ADD6EA"/>
              <w:left w:val="nil"/>
              <w:bottom w:val="nil"/>
              <w:right w:val="nil"/>
            </w:tcBorders>
            <w:shd w:val="clear" w:color="auto" w:fill="auto"/>
            <w:noWrap/>
            <w:vAlign w:val="center"/>
            <w:hideMark/>
          </w:tcPr>
          <w:p w14:paraId="2F9039A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1.28803</w:t>
            </w:r>
          </w:p>
        </w:tc>
        <w:tc>
          <w:tcPr>
            <w:tcW w:w="960" w:type="dxa"/>
            <w:tcBorders>
              <w:top w:val="single" w:sz="4" w:space="0" w:color="ADD6EA"/>
              <w:left w:val="nil"/>
              <w:bottom w:val="nil"/>
              <w:right w:val="nil"/>
            </w:tcBorders>
            <w:shd w:val="clear" w:color="auto" w:fill="auto"/>
            <w:noWrap/>
            <w:vAlign w:val="center"/>
            <w:hideMark/>
          </w:tcPr>
          <w:p w14:paraId="4B0148B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1.63485</w:t>
            </w:r>
          </w:p>
        </w:tc>
        <w:tc>
          <w:tcPr>
            <w:tcW w:w="960" w:type="dxa"/>
            <w:tcBorders>
              <w:top w:val="single" w:sz="4" w:space="0" w:color="ADD6EA"/>
              <w:left w:val="nil"/>
              <w:bottom w:val="nil"/>
              <w:right w:val="nil"/>
            </w:tcBorders>
            <w:shd w:val="clear" w:color="auto" w:fill="auto"/>
            <w:noWrap/>
            <w:vAlign w:val="center"/>
            <w:hideMark/>
          </w:tcPr>
          <w:p w14:paraId="0B50388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1.23600</w:t>
            </w:r>
          </w:p>
        </w:tc>
        <w:tc>
          <w:tcPr>
            <w:tcW w:w="960" w:type="dxa"/>
            <w:tcBorders>
              <w:top w:val="single" w:sz="4" w:space="0" w:color="ADD6EA"/>
              <w:left w:val="nil"/>
              <w:bottom w:val="nil"/>
              <w:right w:val="nil"/>
            </w:tcBorders>
            <w:shd w:val="clear" w:color="auto" w:fill="auto"/>
            <w:noWrap/>
            <w:vAlign w:val="center"/>
            <w:hideMark/>
          </w:tcPr>
          <w:p w14:paraId="1F96546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5.66061</w:t>
            </w:r>
          </w:p>
        </w:tc>
      </w:tr>
      <w:tr w:rsidR="00075E28" w:rsidRPr="003F319A" w14:paraId="027ADCC9"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28120678" w14:textId="04BF9945"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2015</w:t>
            </w:r>
            <w:r w:rsidR="00FA3A63">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16</w:t>
            </w:r>
          </w:p>
        </w:tc>
        <w:tc>
          <w:tcPr>
            <w:tcW w:w="802" w:type="dxa"/>
            <w:tcBorders>
              <w:top w:val="single" w:sz="4" w:space="0" w:color="ADD6EA"/>
              <w:left w:val="nil"/>
              <w:bottom w:val="nil"/>
              <w:right w:val="nil"/>
            </w:tcBorders>
            <w:shd w:val="clear" w:color="auto" w:fill="auto"/>
            <w:noWrap/>
            <w:vAlign w:val="center"/>
            <w:hideMark/>
          </w:tcPr>
          <w:p w14:paraId="568EFE90"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0.94737</w:t>
            </w:r>
          </w:p>
        </w:tc>
        <w:tc>
          <w:tcPr>
            <w:tcW w:w="960" w:type="dxa"/>
            <w:tcBorders>
              <w:top w:val="single" w:sz="4" w:space="0" w:color="ADD6EA"/>
              <w:left w:val="nil"/>
              <w:bottom w:val="nil"/>
              <w:right w:val="nil"/>
            </w:tcBorders>
            <w:shd w:val="clear" w:color="auto" w:fill="auto"/>
            <w:noWrap/>
            <w:vAlign w:val="center"/>
            <w:hideMark/>
          </w:tcPr>
          <w:p w14:paraId="46C8B367"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0.89254</w:t>
            </w:r>
          </w:p>
        </w:tc>
        <w:tc>
          <w:tcPr>
            <w:tcW w:w="960" w:type="dxa"/>
            <w:tcBorders>
              <w:top w:val="single" w:sz="4" w:space="0" w:color="ADD6EA"/>
              <w:left w:val="nil"/>
              <w:bottom w:val="nil"/>
              <w:right w:val="nil"/>
            </w:tcBorders>
            <w:shd w:val="clear" w:color="auto" w:fill="auto"/>
            <w:noWrap/>
            <w:vAlign w:val="center"/>
            <w:hideMark/>
          </w:tcPr>
          <w:p w14:paraId="1C974F2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1.12753</w:t>
            </w:r>
          </w:p>
        </w:tc>
        <w:tc>
          <w:tcPr>
            <w:tcW w:w="960" w:type="dxa"/>
            <w:tcBorders>
              <w:top w:val="single" w:sz="4" w:space="0" w:color="ADD6EA"/>
              <w:left w:val="nil"/>
              <w:bottom w:val="nil"/>
              <w:right w:val="nil"/>
            </w:tcBorders>
            <w:shd w:val="clear" w:color="auto" w:fill="auto"/>
            <w:noWrap/>
            <w:vAlign w:val="center"/>
            <w:hideMark/>
          </w:tcPr>
          <w:p w14:paraId="73C3A79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0.29999</w:t>
            </w:r>
          </w:p>
        </w:tc>
        <w:tc>
          <w:tcPr>
            <w:tcW w:w="960" w:type="dxa"/>
            <w:tcBorders>
              <w:top w:val="single" w:sz="4" w:space="0" w:color="ADD6EA"/>
              <w:left w:val="nil"/>
              <w:bottom w:val="nil"/>
              <w:right w:val="nil"/>
            </w:tcBorders>
            <w:shd w:val="clear" w:color="auto" w:fill="auto"/>
            <w:noWrap/>
            <w:vAlign w:val="center"/>
            <w:hideMark/>
          </w:tcPr>
          <w:p w14:paraId="3401165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1.35883</w:t>
            </w:r>
          </w:p>
        </w:tc>
        <w:tc>
          <w:tcPr>
            <w:tcW w:w="960" w:type="dxa"/>
            <w:tcBorders>
              <w:top w:val="single" w:sz="4" w:space="0" w:color="ADD6EA"/>
              <w:left w:val="nil"/>
              <w:bottom w:val="nil"/>
              <w:right w:val="nil"/>
            </w:tcBorders>
            <w:shd w:val="clear" w:color="auto" w:fill="auto"/>
            <w:noWrap/>
            <w:vAlign w:val="center"/>
            <w:hideMark/>
          </w:tcPr>
          <w:p w14:paraId="28C2AA00"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1.81906</w:t>
            </w:r>
          </w:p>
        </w:tc>
        <w:tc>
          <w:tcPr>
            <w:tcW w:w="960" w:type="dxa"/>
            <w:tcBorders>
              <w:top w:val="single" w:sz="4" w:space="0" w:color="ADD6EA"/>
              <w:left w:val="nil"/>
              <w:bottom w:val="nil"/>
              <w:right w:val="nil"/>
            </w:tcBorders>
            <w:shd w:val="clear" w:color="auto" w:fill="auto"/>
            <w:noWrap/>
            <w:vAlign w:val="center"/>
            <w:hideMark/>
          </w:tcPr>
          <w:p w14:paraId="4F0083C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1.10012</w:t>
            </w:r>
          </w:p>
        </w:tc>
        <w:tc>
          <w:tcPr>
            <w:tcW w:w="960" w:type="dxa"/>
            <w:tcBorders>
              <w:top w:val="single" w:sz="4" w:space="0" w:color="ADD6EA"/>
              <w:left w:val="nil"/>
              <w:bottom w:val="nil"/>
              <w:right w:val="nil"/>
            </w:tcBorders>
            <w:shd w:val="clear" w:color="auto" w:fill="auto"/>
            <w:noWrap/>
            <w:vAlign w:val="center"/>
            <w:hideMark/>
          </w:tcPr>
          <w:p w14:paraId="61CCA24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5.57053</w:t>
            </w:r>
          </w:p>
        </w:tc>
      </w:tr>
      <w:tr w:rsidR="00075E28" w:rsidRPr="003F319A" w14:paraId="7AB585CA"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3E74ADB6" w14:textId="34158105"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2016</w:t>
            </w:r>
            <w:r w:rsidR="00FA3A63">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17</w:t>
            </w:r>
          </w:p>
        </w:tc>
        <w:tc>
          <w:tcPr>
            <w:tcW w:w="802" w:type="dxa"/>
            <w:tcBorders>
              <w:top w:val="single" w:sz="4" w:space="0" w:color="ADD6EA"/>
              <w:left w:val="nil"/>
              <w:bottom w:val="nil"/>
              <w:right w:val="nil"/>
            </w:tcBorders>
            <w:shd w:val="clear" w:color="auto" w:fill="auto"/>
            <w:noWrap/>
            <w:vAlign w:val="center"/>
            <w:hideMark/>
          </w:tcPr>
          <w:p w14:paraId="1D38FCC8"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0.90464</w:t>
            </w:r>
          </w:p>
        </w:tc>
        <w:tc>
          <w:tcPr>
            <w:tcW w:w="960" w:type="dxa"/>
            <w:tcBorders>
              <w:top w:val="single" w:sz="4" w:space="0" w:color="ADD6EA"/>
              <w:left w:val="nil"/>
              <w:bottom w:val="nil"/>
              <w:right w:val="nil"/>
            </w:tcBorders>
            <w:shd w:val="clear" w:color="auto" w:fill="auto"/>
            <w:noWrap/>
            <w:vAlign w:val="center"/>
            <w:hideMark/>
          </w:tcPr>
          <w:p w14:paraId="2E46511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0.90967</w:t>
            </w:r>
          </w:p>
        </w:tc>
        <w:tc>
          <w:tcPr>
            <w:tcW w:w="960" w:type="dxa"/>
            <w:tcBorders>
              <w:top w:val="single" w:sz="4" w:space="0" w:color="ADD6EA"/>
              <w:left w:val="nil"/>
              <w:bottom w:val="nil"/>
              <w:right w:val="nil"/>
            </w:tcBorders>
            <w:shd w:val="clear" w:color="auto" w:fill="auto"/>
            <w:noWrap/>
            <w:vAlign w:val="center"/>
            <w:hideMark/>
          </w:tcPr>
          <w:p w14:paraId="5AA176F5"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1.17109</w:t>
            </w:r>
          </w:p>
        </w:tc>
        <w:tc>
          <w:tcPr>
            <w:tcW w:w="960" w:type="dxa"/>
            <w:tcBorders>
              <w:top w:val="single" w:sz="4" w:space="0" w:color="ADD6EA"/>
              <w:left w:val="nil"/>
              <w:bottom w:val="nil"/>
              <w:right w:val="nil"/>
            </w:tcBorders>
            <w:shd w:val="clear" w:color="auto" w:fill="auto"/>
            <w:noWrap/>
            <w:vAlign w:val="center"/>
            <w:hideMark/>
          </w:tcPr>
          <w:p w14:paraId="7F5D7728"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0.30330</w:t>
            </w:r>
          </w:p>
        </w:tc>
        <w:tc>
          <w:tcPr>
            <w:tcW w:w="960" w:type="dxa"/>
            <w:tcBorders>
              <w:top w:val="single" w:sz="4" w:space="0" w:color="ADD6EA"/>
              <w:left w:val="nil"/>
              <w:bottom w:val="nil"/>
              <w:right w:val="nil"/>
            </w:tcBorders>
            <w:shd w:val="clear" w:color="auto" w:fill="auto"/>
            <w:noWrap/>
            <w:vAlign w:val="center"/>
            <w:hideMark/>
          </w:tcPr>
          <w:p w14:paraId="3FB137C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1.41695</w:t>
            </w:r>
          </w:p>
        </w:tc>
        <w:tc>
          <w:tcPr>
            <w:tcW w:w="960" w:type="dxa"/>
            <w:tcBorders>
              <w:top w:val="single" w:sz="4" w:space="0" w:color="ADD6EA"/>
              <w:left w:val="nil"/>
              <w:bottom w:val="nil"/>
              <w:right w:val="nil"/>
            </w:tcBorders>
            <w:shd w:val="clear" w:color="auto" w:fill="auto"/>
            <w:noWrap/>
            <w:vAlign w:val="center"/>
            <w:hideMark/>
          </w:tcPr>
          <w:p w14:paraId="0CB5F66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1.77693</w:t>
            </w:r>
          </w:p>
        </w:tc>
        <w:tc>
          <w:tcPr>
            <w:tcW w:w="960" w:type="dxa"/>
            <w:tcBorders>
              <w:top w:val="single" w:sz="4" w:space="0" w:color="ADD6EA"/>
              <w:left w:val="nil"/>
              <w:bottom w:val="nil"/>
              <w:right w:val="nil"/>
            </w:tcBorders>
            <w:shd w:val="clear" w:color="auto" w:fill="auto"/>
            <w:noWrap/>
            <w:vAlign w:val="center"/>
            <w:hideMark/>
          </w:tcPr>
          <w:p w14:paraId="3BBACC32"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1.15648</w:t>
            </w:r>
          </w:p>
        </w:tc>
        <w:tc>
          <w:tcPr>
            <w:tcW w:w="960" w:type="dxa"/>
            <w:tcBorders>
              <w:top w:val="single" w:sz="4" w:space="0" w:color="ADD6EA"/>
              <w:left w:val="nil"/>
              <w:bottom w:val="nil"/>
              <w:right w:val="nil"/>
            </w:tcBorders>
            <w:shd w:val="clear" w:color="auto" w:fill="auto"/>
            <w:noWrap/>
            <w:vAlign w:val="center"/>
            <w:hideMark/>
          </w:tcPr>
          <w:p w14:paraId="083880E5"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5.28450</w:t>
            </w:r>
          </w:p>
        </w:tc>
      </w:tr>
      <w:tr w:rsidR="00075E28" w:rsidRPr="003F319A" w14:paraId="64EC2303"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20DA83DB" w14:textId="7930AE16"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2017</w:t>
            </w:r>
            <w:r w:rsidR="00FA3A63">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18</w:t>
            </w:r>
          </w:p>
        </w:tc>
        <w:tc>
          <w:tcPr>
            <w:tcW w:w="802" w:type="dxa"/>
            <w:tcBorders>
              <w:top w:val="single" w:sz="4" w:space="0" w:color="ADD6EA"/>
              <w:left w:val="nil"/>
              <w:bottom w:val="nil"/>
              <w:right w:val="nil"/>
            </w:tcBorders>
            <w:shd w:val="clear" w:color="auto" w:fill="auto"/>
            <w:noWrap/>
            <w:vAlign w:val="center"/>
            <w:hideMark/>
          </w:tcPr>
          <w:p w14:paraId="7A012A9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0.87672</w:t>
            </w:r>
          </w:p>
        </w:tc>
        <w:tc>
          <w:tcPr>
            <w:tcW w:w="960" w:type="dxa"/>
            <w:tcBorders>
              <w:top w:val="single" w:sz="4" w:space="0" w:color="ADD6EA"/>
              <w:left w:val="nil"/>
              <w:bottom w:val="nil"/>
              <w:right w:val="nil"/>
            </w:tcBorders>
            <w:shd w:val="clear" w:color="auto" w:fill="auto"/>
            <w:noWrap/>
            <w:vAlign w:val="center"/>
            <w:hideMark/>
          </w:tcPr>
          <w:p w14:paraId="19CAFDD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0.93239</w:t>
            </w:r>
          </w:p>
        </w:tc>
        <w:tc>
          <w:tcPr>
            <w:tcW w:w="960" w:type="dxa"/>
            <w:tcBorders>
              <w:top w:val="single" w:sz="4" w:space="0" w:color="ADD6EA"/>
              <w:left w:val="nil"/>
              <w:bottom w:val="nil"/>
              <w:right w:val="nil"/>
            </w:tcBorders>
            <w:shd w:val="clear" w:color="auto" w:fill="auto"/>
            <w:noWrap/>
            <w:vAlign w:val="center"/>
            <w:hideMark/>
          </w:tcPr>
          <w:p w14:paraId="1B7973B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1.18769</w:t>
            </w:r>
          </w:p>
        </w:tc>
        <w:tc>
          <w:tcPr>
            <w:tcW w:w="960" w:type="dxa"/>
            <w:tcBorders>
              <w:top w:val="single" w:sz="4" w:space="0" w:color="ADD6EA"/>
              <w:left w:val="nil"/>
              <w:bottom w:val="nil"/>
              <w:right w:val="nil"/>
            </w:tcBorders>
            <w:shd w:val="clear" w:color="auto" w:fill="auto"/>
            <w:noWrap/>
            <w:vAlign w:val="center"/>
            <w:hideMark/>
          </w:tcPr>
          <w:p w14:paraId="1D59971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0.34434</w:t>
            </w:r>
          </w:p>
        </w:tc>
        <w:tc>
          <w:tcPr>
            <w:tcW w:w="960" w:type="dxa"/>
            <w:tcBorders>
              <w:top w:val="single" w:sz="4" w:space="0" w:color="ADD6EA"/>
              <w:left w:val="nil"/>
              <w:bottom w:val="nil"/>
              <w:right w:val="nil"/>
            </w:tcBorders>
            <w:shd w:val="clear" w:color="auto" w:fill="auto"/>
            <w:noWrap/>
            <w:vAlign w:val="center"/>
            <w:hideMark/>
          </w:tcPr>
          <w:p w14:paraId="110706A2"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1.43997</w:t>
            </w:r>
          </w:p>
        </w:tc>
        <w:tc>
          <w:tcPr>
            <w:tcW w:w="960" w:type="dxa"/>
            <w:tcBorders>
              <w:top w:val="single" w:sz="4" w:space="0" w:color="ADD6EA"/>
              <w:left w:val="nil"/>
              <w:bottom w:val="nil"/>
              <w:right w:val="nil"/>
            </w:tcBorders>
            <w:shd w:val="clear" w:color="auto" w:fill="auto"/>
            <w:noWrap/>
            <w:vAlign w:val="center"/>
            <w:hideMark/>
          </w:tcPr>
          <w:p w14:paraId="5596392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1.80477</w:t>
            </w:r>
          </w:p>
        </w:tc>
        <w:tc>
          <w:tcPr>
            <w:tcW w:w="960" w:type="dxa"/>
            <w:tcBorders>
              <w:top w:val="single" w:sz="4" w:space="0" w:color="ADD6EA"/>
              <w:left w:val="nil"/>
              <w:bottom w:val="nil"/>
              <w:right w:val="nil"/>
            </w:tcBorders>
            <w:shd w:val="clear" w:color="auto" w:fill="auto"/>
            <w:noWrap/>
            <w:vAlign w:val="center"/>
            <w:hideMark/>
          </w:tcPr>
          <w:p w14:paraId="7F1CB31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1.19496</w:t>
            </w:r>
          </w:p>
        </w:tc>
        <w:tc>
          <w:tcPr>
            <w:tcW w:w="960" w:type="dxa"/>
            <w:tcBorders>
              <w:top w:val="single" w:sz="4" w:space="0" w:color="ADD6EA"/>
              <w:left w:val="nil"/>
              <w:bottom w:val="nil"/>
              <w:right w:val="nil"/>
            </w:tcBorders>
            <w:shd w:val="clear" w:color="auto" w:fill="auto"/>
            <w:noWrap/>
            <w:vAlign w:val="center"/>
            <w:hideMark/>
          </w:tcPr>
          <w:p w14:paraId="0B0F4C3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4.66024</w:t>
            </w:r>
          </w:p>
        </w:tc>
      </w:tr>
      <w:tr w:rsidR="00075E28" w:rsidRPr="003F319A" w14:paraId="1D58573C"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5208110A" w14:textId="441933F2"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2018</w:t>
            </w:r>
            <w:r w:rsidR="00FA3A63">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19</w:t>
            </w:r>
          </w:p>
        </w:tc>
        <w:tc>
          <w:tcPr>
            <w:tcW w:w="802" w:type="dxa"/>
            <w:tcBorders>
              <w:top w:val="single" w:sz="4" w:space="0" w:color="ADD6EA"/>
              <w:left w:val="nil"/>
              <w:bottom w:val="nil"/>
              <w:right w:val="nil"/>
            </w:tcBorders>
            <w:shd w:val="clear" w:color="auto" w:fill="auto"/>
            <w:noWrap/>
            <w:vAlign w:val="center"/>
            <w:hideMark/>
          </w:tcPr>
          <w:p w14:paraId="1A829C8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0.85517</w:t>
            </w:r>
          </w:p>
        </w:tc>
        <w:tc>
          <w:tcPr>
            <w:tcW w:w="960" w:type="dxa"/>
            <w:tcBorders>
              <w:top w:val="single" w:sz="4" w:space="0" w:color="ADD6EA"/>
              <w:left w:val="nil"/>
              <w:bottom w:val="nil"/>
              <w:right w:val="nil"/>
            </w:tcBorders>
            <w:shd w:val="clear" w:color="auto" w:fill="auto"/>
            <w:noWrap/>
            <w:vAlign w:val="center"/>
            <w:hideMark/>
          </w:tcPr>
          <w:p w14:paraId="1FBABB9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0.98670</w:t>
            </w:r>
          </w:p>
        </w:tc>
        <w:tc>
          <w:tcPr>
            <w:tcW w:w="960" w:type="dxa"/>
            <w:tcBorders>
              <w:top w:val="single" w:sz="4" w:space="0" w:color="ADD6EA"/>
              <w:left w:val="nil"/>
              <w:bottom w:val="nil"/>
              <w:right w:val="nil"/>
            </w:tcBorders>
            <w:shd w:val="clear" w:color="auto" w:fill="auto"/>
            <w:noWrap/>
            <w:vAlign w:val="center"/>
            <w:hideMark/>
          </w:tcPr>
          <w:p w14:paraId="59BC12B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1.09584</w:t>
            </w:r>
          </w:p>
        </w:tc>
        <w:tc>
          <w:tcPr>
            <w:tcW w:w="960" w:type="dxa"/>
            <w:tcBorders>
              <w:top w:val="single" w:sz="4" w:space="0" w:color="ADD6EA"/>
              <w:left w:val="nil"/>
              <w:bottom w:val="nil"/>
              <w:right w:val="nil"/>
            </w:tcBorders>
            <w:shd w:val="clear" w:color="auto" w:fill="auto"/>
            <w:noWrap/>
            <w:vAlign w:val="center"/>
            <w:hideMark/>
          </w:tcPr>
          <w:p w14:paraId="1F277F94"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0.47287</w:t>
            </w:r>
          </w:p>
        </w:tc>
        <w:tc>
          <w:tcPr>
            <w:tcW w:w="960" w:type="dxa"/>
            <w:tcBorders>
              <w:top w:val="single" w:sz="4" w:space="0" w:color="ADD6EA"/>
              <w:left w:val="nil"/>
              <w:bottom w:val="nil"/>
              <w:right w:val="nil"/>
            </w:tcBorders>
            <w:shd w:val="clear" w:color="auto" w:fill="auto"/>
            <w:noWrap/>
            <w:vAlign w:val="center"/>
            <w:hideMark/>
          </w:tcPr>
          <w:p w14:paraId="49561CF8"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1.47727</w:t>
            </w:r>
          </w:p>
        </w:tc>
        <w:tc>
          <w:tcPr>
            <w:tcW w:w="960" w:type="dxa"/>
            <w:tcBorders>
              <w:top w:val="single" w:sz="4" w:space="0" w:color="ADD6EA"/>
              <w:left w:val="nil"/>
              <w:bottom w:val="nil"/>
              <w:right w:val="nil"/>
            </w:tcBorders>
            <w:shd w:val="clear" w:color="auto" w:fill="auto"/>
            <w:noWrap/>
            <w:vAlign w:val="center"/>
            <w:hideMark/>
          </w:tcPr>
          <w:p w14:paraId="07A2258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1.76706</w:t>
            </w:r>
          </w:p>
        </w:tc>
        <w:tc>
          <w:tcPr>
            <w:tcW w:w="960" w:type="dxa"/>
            <w:tcBorders>
              <w:top w:val="single" w:sz="4" w:space="0" w:color="ADD6EA"/>
              <w:left w:val="nil"/>
              <w:bottom w:val="nil"/>
              <w:right w:val="nil"/>
            </w:tcBorders>
            <w:shd w:val="clear" w:color="auto" w:fill="auto"/>
            <w:noWrap/>
            <w:vAlign w:val="center"/>
            <w:hideMark/>
          </w:tcPr>
          <w:p w14:paraId="72862778"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1.18070</w:t>
            </w:r>
          </w:p>
        </w:tc>
        <w:tc>
          <w:tcPr>
            <w:tcW w:w="960" w:type="dxa"/>
            <w:tcBorders>
              <w:top w:val="single" w:sz="4" w:space="0" w:color="ADD6EA"/>
              <w:left w:val="nil"/>
              <w:bottom w:val="nil"/>
              <w:right w:val="nil"/>
            </w:tcBorders>
            <w:shd w:val="clear" w:color="auto" w:fill="auto"/>
            <w:noWrap/>
            <w:vAlign w:val="center"/>
            <w:hideMark/>
          </w:tcPr>
          <w:p w14:paraId="1FA523B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4.25816</w:t>
            </w:r>
          </w:p>
        </w:tc>
      </w:tr>
      <w:tr w:rsidR="00075E28" w:rsidRPr="003F319A" w14:paraId="32903ED7"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61176945" w14:textId="63948ABE"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2019</w:t>
            </w:r>
            <w:r w:rsidR="00FA3A63">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20</w:t>
            </w:r>
          </w:p>
        </w:tc>
        <w:tc>
          <w:tcPr>
            <w:tcW w:w="802" w:type="dxa"/>
            <w:tcBorders>
              <w:top w:val="single" w:sz="4" w:space="0" w:color="ADD6EA"/>
              <w:left w:val="nil"/>
              <w:bottom w:val="nil"/>
              <w:right w:val="nil"/>
            </w:tcBorders>
            <w:shd w:val="clear" w:color="auto" w:fill="auto"/>
            <w:noWrap/>
            <w:vAlign w:val="center"/>
            <w:hideMark/>
          </w:tcPr>
          <w:p w14:paraId="5A2E590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0.87013</w:t>
            </w:r>
          </w:p>
        </w:tc>
        <w:tc>
          <w:tcPr>
            <w:tcW w:w="960" w:type="dxa"/>
            <w:tcBorders>
              <w:top w:val="single" w:sz="4" w:space="0" w:color="ADD6EA"/>
              <w:left w:val="nil"/>
              <w:bottom w:val="nil"/>
              <w:right w:val="nil"/>
            </w:tcBorders>
            <w:shd w:val="clear" w:color="auto" w:fill="auto"/>
            <w:noWrap/>
            <w:vAlign w:val="center"/>
            <w:hideMark/>
          </w:tcPr>
          <w:p w14:paraId="3F1B318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0.98273</w:t>
            </w:r>
          </w:p>
        </w:tc>
        <w:tc>
          <w:tcPr>
            <w:tcW w:w="960" w:type="dxa"/>
            <w:tcBorders>
              <w:top w:val="single" w:sz="4" w:space="0" w:color="ADD6EA"/>
              <w:left w:val="nil"/>
              <w:bottom w:val="nil"/>
              <w:right w:val="nil"/>
            </w:tcBorders>
            <w:shd w:val="clear" w:color="auto" w:fill="auto"/>
            <w:noWrap/>
            <w:vAlign w:val="center"/>
            <w:hideMark/>
          </w:tcPr>
          <w:p w14:paraId="1147A77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1.05370</w:t>
            </w:r>
          </w:p>
        </w:tc>
        <w:tc>
          <w:tcPr>
            <w:tcW w:w="960" w:type="dxa"/>
            <w:tcBorders>
              <w:top w:val="single" w:sz="4" w:space="0" w:color="ADD6EA"/>
              <w:left w:val="nil"/>
              <w:bottom w:val="nil"/>
              <w:right w:val="nil"/>
            </w:tcBorders>
            <w:shd w:val="clear" w:color="auto" w:fill="auto"/>
            <w:noWrap/>
            <w:vAlign w:val="center"/>
            <w:hideMark/>
          </w:tcPr>
          <w:p w14:paraId="04EF51A7"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0.51842</w:t>
            </w:r>
          </w:p>
        </w:tc>
        <w:tc>
          <w:tcPr>
            <w:tcW w:w="960" w:type="dxa"/>
            <w:tcBorders>
              <w:top w:val="single" w:sz="4" w:space="0" w:color="ADD6EA"/>
              <w:left w:val="nil"/>
              <w:bottom w:val="nil"/>
              <w:right w:val="nil"/>
            </w:tcBorders>
            <w:shd w:val="clear" w:color="auto" w:fill="auto"/>
            <w:noWrap/>
            <w:vAlign w:val="center"/>
            <w:hideMark/>
          </w:tcPr>
          <w:p w14:paraId="6C1C1E9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1.46552</w:t>
            </w:r>
          </w:p>
        </w:tc>
        <w:tc>
          <w:tcPr>
            <w:tcW w:w="960" w:type="dxa"/>
            <w:tcBorders>
              <w:top w:val="single" w:sz="4" w:space="0" w:color="ADD6EA"/>
              <w:left w:val="nil"/>
              <w:bottom w:val="nil"/>
              <w:right w:val="nil"/>
            </w:tcBorders>
            <w:shd w:val="clear" w:color="auto" w:fill="auto"/>
            <w:noWrap/>
            <w:vAlign w:val="center"/>
            <w:hideMark/>
          </w:tcPr>
          <w:p w14:paraId="0DCED6D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1.75576</w:t>
            </w:r>
          </w:p>
        </w:tc>
        <w:tc>
          <w:tcPr>
            <w:tcW w:w="960" w:type="dxa"/>
            <w:tcBorders>
              <w:top w:val="single" w:sz="4" w:space="0" w:color="ADD6EA"/>
              <w:left w:val="nil"/>
              <w:bottom w:val="nil"/>
              <w:right w:val="nil"/>
            </w:tcBorders>
            <w:shd w:val="clear" w:color="auto" w:fill="auto"/>
            <w:noWrap/>
            <w:vAlign w:val="center"/>
            <w:hideMark/>
          </w:tcPr>
          <w:p w14:paraId="5315726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1.23759</w:t>
            </w:r>
          </w:p>
        </w:tc>
        <w:tc>
          <w:tcPr>
            <w:tcW w:w="960" w:type="dxa"/>
            <w:tcBorders>
              <w:top w:val="single" w:sz="4" w:space="0" w:color="ADD6EA"/>
              <w:left w:val="nil"/>
              <w:bottom w:val="nil"/>
              <w:right w:val="nil"/>
            </w:tcBorders>
            <w:shd w:val="clear" w:color="auto" w:fill="auto"/>
            <w:noWrap/>
            <w:vAlign w:val="center"/>
            <w:hideMark/>
          </w:tcPr>
          <w:p w14:paraId="78D23034"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4.26735</w:t>
            </w:r>
          </w:p>
        </w:tc>
      </w:tr>
      <w:tr w:rsidR="00075E28" w:rsidRPr="003F319A" w14:paraId="12A755D6"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62C792FF" w14:textId="6F03C43C"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2020</w:t>
            </w:r>
            <w:r w:rsidR="00FA3A63">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21</w:t>
            </w:r>
          </w:p>
        </w:tc>
        <w:tc>
          <w:tcPr>
            <w:tcW w:w="802" w:type="dxa"/>
            <w:tcBorders>
              <w:top w:val="single" w:sz="4" w:space="0" w:color="ADD6EA"/>
              <w:left w:val="nil"/>
              <w:bottom w:val="nil"/>
              <w:right w:val="nil"/>
            </w:tcBorders>
            <w:shd w:val="clear" w:color="auto" w:fill="auto"/>
            <w:noWrap/>
            <w:vAlign w:val="center"/>
            <w:hideMark/>
          </w:tcPr>
          <w:p w14:paraId="1D5F3920"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0.91808</w:t>
            </w:r>
          </w:p>
        </w:tc>
        <w:tc>
          <w:tcPr>
            <w:tcW w:w="960" w:type="dxa"/>
            <w:tcBorders>
              <w:top w:val="single" w:sz="4" w:space="0" w:color="ADD6EA"/>
              <w:left w:val="nil"/>
              <w:bottom w:val="nil"/>
              <w:right w:val="nil"/>
            </w:tcBorders>
            <w:shd w:val="clear" w:color="auto" w:fill="auto"/>
            <w:noWrap/>
            <w:vAlign w:val="center"/>
            <w:hideMark/>
          </w:tcPr>
          <w:p w14:paraId="691F3718"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0.95992</w:t>
            </w:r>
          </w:p>
        </w:tc>
        <w:tc>
          <w:tcPr>
            <w:tcW w:w="960" w:type="dxa"/>
            <w:tcBorders>
              <w:top w:val="single" w:sz="4" w:space="0" w:color="ADD6EA"/>
              <w:left w:val="nil"/>
              <w:bottom w:val="nil"/>
              <w:right w:val="nil"/>
            </w:tcBorders>
            <w:shd w:val="clear" w:color="auto" w:fill="auto"/>
            <w:noWrap/>
            <w:vAlign w:val="center"/>
            <w:hideMark/>
          </w:tcPr>
          <w:p w14:paraId="6D9195F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1.04907</w:t>
            </w:r>
          </w:p>
        </w:tc>
        <w:tc>
          <w:tcPr>
            <w:tcW w:w="960" w:type="dxa"/>
            <w:tcBorders>
              <w:top w:val="single" w:sz="4" w:space="0" w:color="ADD6EA"/>
              <w:left w:val="nil"/>
              <w:bottom w:val="nil"/>
              <w:right w:val="nil"/>
            </w:tcBorders>
            <w:shd w:val="clear" w:color="auto" w:fill="auto"/>
            <w:noWrap/>
            <w:vAlign w:val="center"/>
            <w:hideMark/>
          </w:tcPr>
          <w:p w14:paraId="053232E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0.44970</w:t>
            </w:r>
          </w:p>
        </w:tc>
        <w:tc>
          <w:tcPr>
            <w:tcW w:w="960" w:type="dxa"/>
            <w:tcBorders>
              <w:top w:val="single" w:sz="4" w:space="0" w:color="ADD6EA"/>
              <w:left w:val="nil"/>
              <w:bottom w:val="nil"/>
              <w:right w:val="nil"/>
            </w:tcBorders>
            <w:shd w:val="clear" w:color="auto" w:fill="auto"/>
            <w:noWrap/>
            <w:vAlign w:val="center"/>
            <w:hideMark/>
          </w:tcPr>
          <w:p w14:paraId="71D8184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1.35765</w:t>
            </w:r>
          </w:p>
        </w:tc>
        <w:tc>
          <w:tcPr>
            <w:tcW w:w="960" w:type="dxa"/>
            <w:tcBorders>
              <w:top w:val="single" w:sz="4" w:space="0" w:color="ADD6EA"/>
              <w:left w:val="nil"/>
              <w:bottom w:val="nil"/>
              <w:right w:val="nil"/>
            </w:tcBorders>
            <w:shd w:val="clear" w:color="auto" w:fill="auto"/>
            <w:noWrap/>
            <w:vAlign w:val="center"/>
            <w:hideMark/>
          </w:tcPr>
          <w:p w14:paraId="0A28D48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1.89742</w:t>
            </w:r>
          </w:p>
        </w:tc>
        <w:tc>
          <w:tcPr>
            <w:tcW w:w="960" w:type="dxa"/>
            <w:tcBorders>
              <w:top w:val="single" w:sz="4" w:space="0" w:color="ADD6EA"/>
              <w:left w:val="nil"/>
              <w:bottom w:val="nil"/>
              <w:right w:val="nil"/>
            </w:tcBorders>
            <w:shd w:val="clear" w:color="auto" w:fill="auto"/>
            <w:noWrap/>
            <w:vAlign w:val="center"/>
            <w:hideMark/>
          </w:tcPr>
          <w:p w14:paraId="5B6F273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1.15112</w:t>
            </w:r>
          </w:p>
        </w:tc>
        <w:tc>
          <w:tcPr>
            <w:tcW w:w="960" w:type="dxa"/>
            <w:tcBorders>
              <w:top w:val="single" w:sz="4" w:space="0" w:color="ADD6EA"/>
              <w:left w:val="nil"/>
              <w:bottom w:val="nil"/>
              <w:right w:val="nil"/>
            </w:tcBorders>
            <w:shd w:val="clear" w:color="auto" w:fill="auto"/>
            <w:noWrap/>
            <w:vAlign w:val="center"/>
            <w:hideMark/>
          </w:tcPr>
          <w:p w14:paraId="5240952A"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4.76893</w:t>
            </w:r>
          </w:p>
        </w:tc>
      </w:tr>
      <w:tr w:rsidR="00075E28" w:rsidRPr="003F319A" w14:paraId="70BFC961"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3894A399" w14:textId="5FA9C6E3"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2021</w:t>
            </w:r>
            <w:r w:rsidR="00FA3A63">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22</w:t>
            </w:r>
          </w:p>
        </w:tc>
        <w:tc>
          <w:tcPr>
            <w:tcW w:w="802" w:type="dxa"/>
            <w:tcBorders>
              <w:top w:val="single" w:sz="4" w:space="0" w:color="ADD6EA"/>
              <w:left w:val="nil"/>
              <w:bottom w:val="nil"/>
              <w:right w:val="nil"/>
            </w:tcBorders>
            <w:shd w:val="clear" w:color="auto" w:fill="auto"/>
            <w:noWrap/>
            <w:vAlign w:val="center"/>
            <w:hideMark/>
          </w:tcPr>
          <w:p w14:paraId="3954E88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0.95617</w:t>
            </w:r>
          </w:p>
        </w:tc>
        <w:tc>
          <w:tcPr>
            <w:tcW w:w="960" w:type="dxa"/>
            <w:tcBorders>
              <w:top w:val="single" w:sz="4" w:space="0" w:color="ADD6EA"/>
              <w:left w:val="nil"/>
              <w:bottom w:val="nil"/>
              <w:right w:val="nil"/>
            </w:tcBorders>
            <w:shd w:val="clear" w:color="auto" w:fill="auto"/>
            <w:noWrap/>
            <w:vAlign w:val="center"/>
            <w:hideMark/>
          </w:tcPr>
          <w:p w14:paraId="0969ECA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0.92335</w:t>
            </w:r>
          </w:p>
        </w:tc>
        <w:tc>
          <w:tcPr>
            <w:tcW w:w="960" w:type="dxa"/>
            <w:tcBorders>
              <w:top w:val="single" w:sz="4" w:space="0" w:color="ADD6EA"/>
              <w:left w:val="nil"/>
              <w:bottom w:val="nil"/>
              <w:right w:val="nil"/>
            </w:tcBorders>
            <w:shd w:val="clear" w:color="auto" w:fill="auto"/>
            <w:noWrap/>
            <w:vAlign w:val="center"/>
            <w:hideMark/>
          </w:tcPr>
          <w:p w14:paraId="3FA9439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1.05918</w:t>
            </w:r>
          </w:p>
        </w:tc>
        <w:tc>
          <w:tcPr>
            <w:tcW w:w="960" w:type="dxa"/>
            <w:tcBorders>
              <w:top w:val="single" w:sz="4" w:space="0" w:color="ADD6EA"/>
              <w:left w:val="nil"/>
              <w:bottom w:val="nil"/>
              <w:right w:val="nil"/>
            </w:tcBorders>
            <w:shd w:val="clear" w:color="auto" w:fill="auto"/>
            <w:noWrap/>
            <w:vAlign w:val="center"/>
            <w:hideMark/>
          </w:tcPr>
          <w:p w14:paraId="5B931880"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0.41967</w:t>
            </w:r>
          </w:p>
        </w:tc>
        <w:tc>
          <w:tcPr>
            <w:tcW w:w="960" w:type="dxa"/>
            <w:tcBorders>
              <w:top w:val="single" w:sz="4" w:space="0" w:color="ADD6EA"/>
              <w:left w:val="nil"/>
              <w:bottom w:val="nil"/>
              <w:right w:val="nil"/>
            </w:tcBorders>
            <w:shd w:val="clear" w:color="auto" w:fill="auto"/>
            <w:noWrap/>
            <w:vAlign w:val="center"/>
            <w:hideMark/>
          </w:tcPr>
          <w:p w14:paraId="351FD120"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1.34719</w:t>
            </w:r>
          </w:p>
        </w:tc>
        <w:tc>
          <w:tcPr>
            <w:tcW w:w="960" w:type="dxa"/>
            <w:tcBorders>
              <w:top w:val="single" w:sz="4" w:space="0" w:color="ADD6EA"/>
              <w:left w:val="nil"/>
              <w:bottom w:val="nil"/>
              <w:right w:val="nil"/>
            </w:tcBorders>
            <w:shd w:val="clear" w:color="auto" w:fill="auto"/>
            <w:noWrap/>
            <w:vAlign w:val="center"/>
            <w:hideMark/>
          </w:tcPr>
          <w:p w14:paraId="20A67E50"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1.96067</w:t>
            </w:r>
          </w:p>
        </w:tc>
        <w:tc>
          <w:tcPr>
            <w:tcW w:w="960" w:type="dxa"/>
            <w:tcBorders>
              <w:top w:val="single" w:sz="4" w:space="0" w:color="ADD6EA"/>
              <w:left w:val="nil"/>
              <w:bottom w:val="nil"/>
              <w:right w:val="nil"/>
            </w:tcBorders>
            <w:shd w:val="clear" w:color="auto" w:fill="auto"/>
            <w:noWrap/>
            <w:vAlign w:val="center"/>
            <w:hideMark/>
          </w:tcPr>
          <w:p w14:paraId="2E4873B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1.16266</w:t>
            </w:r>
          </w:p>
        </w:tc>
        <w:tc>
          <w:tcPr>
            <w:tcW w:w="960" w:type="dxa"/>
            <w:tcBorders>
              <w:top w:val="single" w:sz="4" w:space="0" w:color="ADD6EA"/>
              <w:left w:val="nil"/>
              <w:bottom w:val="nil"/>
              <w:right w:val="nil"/>
            </w:tcBorders>
            <w:shd w:val="clear" w:color="auto" w:fill="auto"/>
            <w:noWrap/>
            <w:vAlign w:val="center"/>
            <w:hideMark/>
          </w:tcPr>
          <w:p w14:paraId="2C8B22B8"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4.79985</w:t>
            </w:r>
          </w:p>
        </w:tc>
      </w:tr>
      <w:tr w:rsidR="00075E28" w:rsidRPr="003F319A" w14:paraId="69BE356E" w14:textId="77777777" w:rsidTr="00724146">
        <w:trPr>
          <w:trHeight w:val="315"/>
        </w:trPr>
        <w:tc>
          <w:tcPr>
            <w:tcW w:w="1418" w:type="dxa"/>
            <w:tcBorders>
              <w:top w:val="single" w:sz="4" w:space="0" w:color="ADD6EA"/>
              <w:left w:val="nil"/>
              <w:bottom w:val="nil"/>
              <w:right w:val="nil"/>
            </w:tcBorders>
            <w:shd w:val="clear" w:color="auto" w:fill="auto"/>
            <w:vAlign w:val="center"/>
            <w:hideMark/>
          </w:tcPr>
          <w:p w14:paraId="089D7498" w14:textId="1E4595BC"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2022</w:t>
            </w:r>
            <w:r w:rsidR="00FA3A63">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23</w:t>
            </w:r>
          </w:p>
        </w:tc>
        <w:tc>
          <w:tcPr>
            <w:tcW w:w="802" w:type="dxa"/>
            <w:tcBorders>
              <w:top w:val="single" w:sz="4" w:space="0" w:color="ADD6EA"/>
              <w:left w:val="nil"/>
              <w:bottom w:val="nil"/>
              <w:right w:val="nil"/>
            </w:tcBorders>
            <w:shd w:val="clear" w:color="auto" w:fill="auto"/>
            <w:noWrap/>
            <w:vAlign w:val="center"/>
            <w:hideMark/>
          </w:tcPr>
          <w:p w14:paraId="1B8EA37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0.95065</w:t>
            </w:r>
          </w:p>
        </w:tc>
        <w:tc>
          <w:tcPr>
            <w:tcW w:w="960" w:type="dxa"/>
            <w:tcBorders>
              <w:top w:val="single" w:sz="4" w:space="0" w:color="ADD6EA"/>
              <w:left w:val="nil"/>
              <w:bottom w:val="nil"/>
              <w:right w:val="nil"/>
            </w:tcBorders>
            <w:shd w:val="clear" w:color="auto" w:fill="auto"/>
            <w:noWrap/>
            <w:vAlign w:val="center"/>
            <w:hideMark/>
          </w:tcPr>
          <w:p w14:paraId="4A22DC0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0.85861</w:t>
            </w:r>
          </w:p>
        </w:tc>
        <w:tc>
          <w:tcPr>
            <w:tcW w:w="960" w:type="dxa"/>
            <w:tcBorders>
              <w:top w:val="single" w:sz="4" w:space="0" w:color="ADD6EA"/>
              <w:left w:val="nil"/>
              <w:bottom w:val="nil"/>
              <w:right w:val="nil"/>
            </w:tcBorders>
            <w:shd w:val="clear" w:color="auto" w:fill="auto"/>
            <w:noWrap/>
            <w:vAlign w:val="center"/>
            <w:hideMark/>
          </w:tcPr>
          <w:p w14:paraId="366109A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1.03377</w:t>
            </w:r>
          </w:p>
        </w:tc>
        <w:tc>
          <w:tcPr>
            <w:tcW w:w="960" w:type="dxa"/>
            <w:tcBorders>
              <w:top w:val="single" w:sz="4" w:space="0" w:color="ADD6EA"/>
              <w:left w:val="nil"/>
              <w:bottom w:val="nil"/>
              <w:right w:val="nil"/>
            </w:tcBorders>
            <w:shd w:val="clear" w:color="auto" w:fill="auto"/>
            <w:noWrap/>
            <w:vAlign w:val="center"/>
            <w:hideMark/>
          </w:tcPr>
          <w:p w14:paraId="43BB720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0.70000</w:t>
            </w:r>
          </w:p>
        </w:tc>
        <w:tc>
          <w:tcPr>
            <w:tcW w:w="960" w:type="dxa"/>
            <w:tcBorders>
              <w:top w:val="single" w:sz="4" w:space="0" w:color="ADD6EA"/>
              <w:left w:val="nil"/>
              <w:bottom w:val="nil"/>
              <w:right w:val="nil"/>
            </w:tcBorders>
            <w:shd w:val="clear" w:color="auto" w:fill="auto"/>
            <w:noWrap/>
            <w:vAlign w:val="center"/>
            <w:hideMark/>
          </w:tcPr>
          <w:p w14:paraId="091353A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1.28411</w:t>
            </w:r>
          </w:p>
        </w:tc>
        <w:tc>
          <w:tcPr>
            <w:tcW w:w="960" w:type="dxa"/>
            <w:tcBorders>
              <w:top w:val="single" w:sz="4" w:space="0" w:color="ADD6EA"/>
              <w:left w:val="nil"/>
              <w:bottom w:val="nil"/>
              <w:right w:val="nil"/>
            </w:tcBorders>
            <w:shd w:val="clear" w:color="auto" w:fill="auto"/>
            <w:noWrap/>
            <w:vAlign w:val="center"/>
            <w:hideMark/>
          </w:tcPr>
          <w:p w14:paraId="457C51C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1.85360</w:t>
            </w:r>
          </w:p>
        </w:tc>
        <w:tc>
          <w:tcPr>
            <w:tcW w:w="960" w:type="dxa"/>
            <w:tcBorders>
              <w:top w:val="single" w:sz="4" w:space="0" w:color="ADD6EA"/>
              <w:left w:val="nil"/>
              <w:bottom w:val="nil"/>
              <w:right w:val="nil"/>
            </w:tcBorders>
            <w:shd w:val="clear" w:color="auto" w:fill="auto"/>
            <w:noWrap/>
            <w:vAlign w:val="center"/>
            <w:hideMark/>
          </w:tcPr>
          <w:p w14:paraId="4D5B318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1.09250</w:t>
            </w:r>
          </w:p>
        </w:tc>
        <w:tc>
          <w:tcPr>
            <w:tcW w:w="960" w:type="dxa"/>
            <w:tcBorders>
              <w:top w:val="single" w:sz="4" w:space="0" w:color="ADD6EA"/>
              <w:left w:val="nil"/>
              <w:bottom w:val="nil"/>
              <w:right w:val="nil"/>
            </w:tcBorders>
            <w:shd w:val="clear" w:color="auto" w:fill="auto"/>
            <w:noWrap/>
            <w:vAlign w:val="center"/>
            <w:hideMark/>
          </w:tcPr>
          <w:p w14:paraId="3E875B1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4.86988</w:t>
            </w:r>
          </w:p>
        </w:tc>
      </w:tr>
      <w:tr w:rsidR="00075E28" w:rsidRPr="003F319A" w14:paraId="22DFED40" w14:textId="77777777" w:rsidTr="00FA3A63">
        <w:trPr>
          <w:trHeight w:val="315"/>
        </w:trPr>
        <w:tc>
          <w:tcPr>
            <w:tcW w:w="1418" w:type="dxa"/>
            <w:tcBorders>
              <w:top w:val="single" w:sz="4" w:space="0" w:color="ADD6EA"/>
              <w:left w:val="nil"/>
              <w:bottom w:val="single" w:sz="4" w:space="0" w:color="ADD6EA"/>
              <w:right w:val="nil"/>
            </w:tcBorders>
            <w:shd w:val="clear" w:color="auto" w:fill="auto"/>
            <w:vAlign w:val="center"/>
            <w:hideMark/>
          </w:tcPr>
          <w:p w14:paraId="4114A004" w14:textId="59673619"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2023</w:t>
            </w:r>
            <w:r w:rsidR="00FA3A63">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24</w:t>
            </w:r>
          </w:p>
        </w:tc>
        <w:tc>
          <w:tcPr>
            <w:tcW w:w="802" w:type="dxa"/>
            <w:tcBorders>
              <w:top w:val="single" w:sz="4" w:space="0" w:color="ADD6EA"/>
              <w:left w:val="nil"/>
              <w:bottom w:val="single" w:sz="4" w:space="0" w:color="ADD6EA"/>
              <w:right w:val="nil"/>
            </w:tcBorders>
            <w:shd w:val="clear" w:color="auto" w:fill="auto"/>
            <w:noWrap/>
            <w:vAlign w:val="center"/>
            <w:hideMark/>
          </w:tcPr>
          <w:p w14:paraId="4F4B983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0.92350</w:t>
            </w:r>
          </w:p>
        </w:tc>
        <w:tc>
          <w:tcPr>
            <w:tcW w:w="960" w:type="dxa"/>
            <w:tcBorders>
              <w:top w:val="single" w:sz="4" w:space="0" w:color="ADD6EA"/>
              <w:left w:val="nil"/>
              <w:bottom w:val="single" w:sz="4" w:space="0" w:color="ADD6EA"/>
              <w:right w:val="nil"/>
            </w:tcBorders>
            <w:shd w:val="clear" w:color="auto" w:fill="auto"/>
            <w:noWrap/>
            <w:vAlign w:val="center"/>
            <w:hideMark/>
          </w:tcPr>
          <w:p w14:paraId="221C2D62"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0.85169</w:t>
            </w:r>
          </w:p>
        </w:tc>
        <w:tc>
          <w:tcPr>
            <w:tcW w:w="960" w:type="dxa"/>
            <w:tcBorders>
              <w:top w:val="single" w:sz="4" w:space="0" w:color="ADD6EA"/>
              <w:left w:val="nil"/>
              <w:bottom w:val="single" w:sz="4" w:space="0" w:color="ADD6EA"/>
              <w:right w:val="nil"/>
            </w:tcBorders>
            <w:shd w:val="clear" w:color="auto" w:fill="auto"/>
            <w:noWrap/>
            <w:vAlign w:val="center"/>
            <w:hideMark/>
          </w:tcPr>
          <w:p w14:paraId="2E05DE8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1.03118</w:t>
            </w:r>
          </w:p>
        </w:tc>
        <w:tc>
          <w:tcPr>
            <w:tcW w:w="960" w:type="dxa"/>
            <w:tcBorders>
              <w:top w:val="single" w:sz="4" w:space="0" w:color="ADD6EA"/>
              <w:left w:val="nil"/>
              <w:bottom w:val="single" w:sz="4" w:space="0" w:color="ADD6EA"/>
              <w:right w:val="nil"/>
            </w:tcBorders>
            <w:shd w:val="clear" w:color="auto" w:fill="auto"/>
            <w:noWrap/>
            <w:vAlign w:val="center"/>
            <w:hideMark/>
          </w:tcPr>
          <w:p w14:paraId="3237617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0.70000</w:t>
            </w:r>
          </w:p>
        </w:tc>
        <w:tc>
          <w:tcPr>
            <w:tcW w:w="960" w:type="dxa"/>
            <w:tcBorders>
              <w:top w:val="single" w:sz="4" w:space="0" w:color="ADD6EA"/>
              <w:left w:val="nil"/>
              <w:bottom w:val="single" w:sz="4" w:space="0" w:color="ADD6EA"/>
              <w:right w:val="nil"/>
            </w:tcBorders>
            <w:shd w:val="clear" w:color="auto" w:fill="auto"/>
            <w:noWrap/>
            <w:vAlign w:val="center"/>
            <w:hideMark/>
          </w:tcPr>
          <w:p w14:paraId="11A24249"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1.39463</w:t>
            </w:r>
          </w:p>
        </w:tc>
        <w:tc>
          <w:tcPr>
            <w:tcW w:w="960" w:type="dxa"/>
            <w:tcBorders>
              <w:top w:val="single" w:sz="4" w:space="0" w:color="ADD6EA"/>
              <w:left w:val="nil"/>
              <w:bottom w:val="single" w:sz="4" w:space="0" w:color="ADD6EA"/>
              <w:right w:val="nil"/>
            </w:tcBorders>
            <w:shd w:val="clear" w:color="auto" w:fill="auto"/>
            <w:noWrap/>
            <w:vAlign w:val="center"/>
            <w:hideMark/>
          </w:tcPr>
          <w:p w14:paraId="18D5A544"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1.79080</w:t>
            </w:r>
          </w:p>
        </w:tc>
        <w:tc>
          <w:tcPr>
            <w:tcW w:w="960" w:type="dxa"/>
            <w:tcBorders>
              <w:top w:val="single" w:sz="4" w:space="0" w:color="ADD6EA"/>
              <w:left w:val="nil"/>
              <w:bottom w:val="single" w:sz="4" w:space="0" w:color="ADD6EA"/>
              <w:right w:val="nil"/>
            </w:tcBorders>
            <w:shd w:val="clear" w:color="auto" w:fill="auto"/>
            <w:noWrap/>
            <w:vAlign w:val="center"/>
            <w:hideMark/>
          </w:tcPr>
          <w:p w14:paraId="5731E4C3"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1.19540</w:t>
            </w:r>
          </w:p>
        </w:tc>
        <w:tc>
          <w:tcPr>
            <w:tcW w:w="960" w:type="dxa"/>
            <w:tcBorders>
              <w:top w:val="single" w:sz="4" w:space="0" w:color="ADD6EA"/>
              <w:left w:val="nil"/>
              <w:bottom w:val="single" w:sz="4" w:space="0" w:color="ADD6EA"/>
              <w:right w:val="nil"/>
            </w:tcBorders>
            <w:shd w:val="clear" w:color="auto" w:fill="auto"/>
            <w:noWrap/>
            <w:vAlign w:val="center"/>
            <w:hideMark/>
          </w:tcPr>
          <w:p w14:paraId="3021FC7C"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4.98725</w:t>
            </w:r>
          </w:p>
        </w:tc>
      </w:tr>
      <w:tr w:rsidR="00075E28" w:rsidRPr="003F319A" w14:paraId="22ED63D4" w14:textId="77777777" w:rsidTr="00FA3A63">
        <w:trPr>
          <w:trHeight w:val="315"/>
        </w:trPr>
        <w:tc>
          <w:tcPr>
            <w:tcW w:w="1418" w:type="dxa"/>
            <w:tcBorders>
              <w:top w:val="single" w:sz="4" w:space="0" w:color="ADD6EA"/>
              <w:left w:val="nil"/>
              <w:bottom w:val="single" w:sz="4" w:space="0" w:color="ADD6EA"/>
              <w:right w:val="nil"/>
            </w:tcBorders>
            <w:shd w:val="clear" w:color="auto" w:fill="auto"/>
            <w:vAlign w:val="center"/>
            <w:hideMark/>
          </w:tcPr>
          <w:p w14:paraId="039D7FAE" w14:textId="1A0A1B3B" w:rsidR="00075E28" w:rsidRPr="003F319A" w:rsidRDefault="00075E28" w:rsidP="003F319A">
            <w:pPr>
              <w:tabs>
                <w:tab w:val="clear" w:pos="567"/>
              </w:tabs>
              <w:spacing w:before="0" w:line="240" w:lineRule="auto"/>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2024</w:t>
            </w:r>
            <w:r w:rsidR="00FA3A63">
              <w:rPr>
                <w:rFonts w:ascii="Open Sans" w:eastAsia="Times New Roman" w:hAnsi="Open Sans" w:hint="cs"/>
                <w:color w:val="000000"/>
                <w:sz w:val="16"/>
                <w:szCs w:val="16"/>
                <w:rtl/>
                <w:lang w:eastAsia="en-AU"/>
              </w:rPr>
              <w:t>–</w:t>
            </w:r>
            <w:r w:rsidRPr="003F319A">
              <w:rPr>
                <w:rFonts w:ascii="Open Sans" w:eastAsia="Times New Roman" w:hAnsi="Open Sans" w:cs="Open Sans"/>
                <w:color w:val="000000"/>
                <w:sz w:val="16"/>
                <w:szCs w:val="16"/>
                <w:lang w:eastAsia="en-AU"/>
              </w:rPr>
              <w:t>25</w:t>
            </w:r>
          </w:p>
        </w:tc>
        <w:tc>
          <w:tcPr>
            <w:tcW w:w="802" w:type="dxa"/>
            <w:tcBorders>
              <w:top w:val="single" w:sz="4" w:space="0" w:color="ADD6EA"/>
              <w:left w:val="nil"/>
              <w:bottom w:val="single" w:sz="4" w:space="0" w:color="ADD6EA"/>
              <w:right w:val="nil"/>
            </w:tcBorders>
            <w:shd w:val="clear" w:color="auto" w:fill="auto"/>
            <w:noWrap/>
            <w:vAlign w:val="center"/>
            <w:hideMark/>
          </w:tcPr>
          <w:p w14:paraId="4C37D801"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0.86736</w:t>
            </w:r>
          </w:p>
        </w:tc>
        <w:tc>
          <w:tcPr>
            <w:tcW w:w="960" w:type="dxa"/>
            <w:tcBorders>
              <w:top w:val="single" w:sz="4" w:space="0" w:color="ADD6EA"/>
              <w:left w:val="nil"/>
              <w:bottom w:val="single" w:sz="4" w:space="0" w:color="ADD6EA"/>
              <w:right w:val="nil"/>
            </w:tcBorders>
            <w:shd w:val="clear" w:color="auto" w:fill="auto"/>
            <w:noWrap/>
            <w:vAlign w:val="center"/>
            <w:hideMark/>
          </w:tcPr>
          <w:p w14:paraId="15667522"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0.96502</w:t>
            </w:r>
          </w:p>
        </w:tc>
        <w:tc>
          <w:tcPr>
            <w:tcW w:w="960" w:type="dxa"/>
            <w:tcBorders>
              <w:top w:val="single" w:sz="4" w:space="0" w:color="ADD6EA"/>
              <w:left w:val="nil"/>
              <w:bottom w:val="single" w:sz="4" w:space="0" w:color="ADD6EA"/>
              <w:right w:val="nil"/>
            </w:tcBorders>
            <w:shd w:val="clear" w:color="auto" w:fill="auto"/>
            <w:noWrap/>
            <w:vAlign w:val="center"/>
            <w:hideMark/>
          </w:tcPr>
          <w:p w14:paraId="16A859D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0.95232</w:t>
            </w:r>
          </w:p>
        </w:tc>
        <w:tc>
          <w:tcPr>
            <w:tcW w:w="960" w:type="dxa"/>
            <w:tcBorders>
              <w:top w:val="single" w:sz="4" w:space="0" w:color="ADD6EA"/>
              <w:left w:val="nil"/>
              <w:bottom w:val="single" w:sz="4" w:space="0" w:color="ADD6EA"/>
              <w:right w:val="nil"/>
            </w:tcBorders>
            <w:shd w:val="clear" w:color="auto" w:fill="auto"/>
            <w:noWrap/>
            <w:vAlign w:val="center"/>
            <w:hideMark/>
          </w:tcPr>
          <w:p w14:paraId="538C5C2F"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0.75000</w:t>
            </w:r>
          </w:p>
        </w:tc>
        <w:tc>
          <w:tcPr>
            <w:tcW w:w="960" w:type="dxa"/>
            <w:tcBorders>
              <w:top w:val="single" w:sz="4" w:space="0" w:color="ADD6EA"/>
              <w:left w:val="nil"/>
              <w:bottom w:val="single" w:sz="4" w:space="0" w:color="ADD6EA"/>
              <w:right w:val="nil"/>
            </w:tcBorders>
            <w:shd w:val="clear" w:color="auto" w:fill="auto"/>
            <w:noWrap/>
            <w:vAlign w:val="center"/>
            <w:hideMark/>
          </w:tcPr>
          <w:p w14:paraId="4AB95C4D"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1.40312</w:t>
            </w:r>
          </w:p>
        </w:tc>
        <w:tc>
          <w:tcPr>
            <w:tcW w:w="960" w:type="dxa"/>
            <w:tcBorders>
              <w:top w:val="single" w:sz="4" w:space="0" w:color="ADD6EA"/>
              <w:left w:val="nil"/>
              <w:bottom w:val="single" w:sz="4" w:space="0" w:color="ADD6EA"/>
              <w:right w:val="nil"/>
            </w:tcBorders>
            <w:shd w:val="clear" w:color="auto" w:fill="auto"/>
            <w:noWrap/>
            <w:vAlign w:val="center"/>
            <w:hideMark/>
          </w:tcPr>
          <w:p w14:paraId="4416DF06"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1.82832</w:t>
            </w:r>
          </w:p>
        </w:tc>
        <w:tc>
          <w:tcPr>
            <w:tcW w:w="960" w:type="dxa"/>
            <w:tcBorders>
              <w:top w:val="single" w:sz="4" w:space="0" w:color="ADD6EA"/>
              <w:left w:val="nil"/>
              <w:bottom w:val="single" w:sz="4" w:space="0" w:color="ADD6EA"/>
              <w:right w:val="nil"/>
            </w:tcBorders>
            <w:shd w:val="clear" w:color="auto" w:fill="auto"/>
            <w:noWrap/>
            <w:vAlign w:val="center"/>
            <w:hideMark/>
          </w:tcPr>
          <w:p w14:paraId="3C76B5FB"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1.20419</w:t>
            </w:r>
          </w:p>
        </w:tc>
        <w:tc>
          <w:tcPr>
            <w:tcW w:w="960" w:type="dxa"/>
            <w:tcBorders>
              <w:top w:val="single" w:sz="4" w:space="0" w:color="ADD6EA"/>
              <w:left w:val="nil"/>
              <w:bottom w:val="single" w:sz="4" w:space="0" w:color="ADD6EA"/>
              <w:right w:val="nil"/>
            </w:tcBorders>
            <w:shd w:val="clear" w:color="auto" w:fill="auto"/>
            <w:noWrap/>
            <w:vAlign w:val="center"/>
            <w:hideMark/>
          </w:tcPr>
          <w:p w14:paraId="31303EFE" w14:textId="77777777" w:rsidR="00075E28" w:rsidRPr="003F319A" w:rsidRDefault="00075E28" w:rsidP="003F319A">
            <w:pPr>
              <w:tabs>
                <w:tab w:val="clear" w:pos="567"/>
              </w:tabs>
              <w:spacing w:before="0" w:line="240" w:lineRule="auto"/>
              <w:jc w:val="right"/>
              <w:rPr>
                <w:rFonts w:ascii="Open Sans" w:eastAsia="Times New Roman" w:hAnsi="Open Sans" w:cs="Open Sans"/>
                <w:color w:val="000000"/>
                <w:sz w:val="16"/>
                <w:szCs w:val="16"/>
                <w:lang w:eastAsia="en-AU"/>
              </w:rPr>
            </w:pPr>
            <w:r w:rsidRPr="003F319A">
              <w:rPr>
                <w:rFonts w:ascii="Open Sans" w:eastAsia="Times New Roman" w:hAnsi="Open Sans" w:cs="Open Sans"/>
                <w:color w:val="000000"/>
                <w:sz w:val="16"/>
                <w:szCs w:val="16"/>
                <w:lang w:eastAsia="en-AU"/>
              </w:rPr>
              <w:t>5.06681</w:t>
            </w:r>
          </w:p>
        </w:tc>
      </w:tr>
    </w:tbl>
    <w:p w14:paraId="24E5AAA8" w14:textId="21FAD280" w:rsidR="00075E28" w:rsidRPr="00663629" w:rsidRDefault="00075E28" w:rsidP="00075E28">
      <w:pPr>
        <w:pStyle w:val="Tablefootnote"/>
      </w:pPr>
      <w:r w:rsidRPr="00663629">
        <w:t>Source: Commission calculation.</w:t>
      </w:r>
    </w:p>
    <w:p w14:paraId="19D0A91A" w14:textId="22DD7A96" w:rsidR="00075E28" w:rsidRPr="00663629" w:rsidRDefault="00075E28" w:rsidP="00075E28">
      <w:pPr>
        <w:pStyle w:val="Tablefootnote"/>
        <w:ind w:left="567" w:hanging="454"/>
      </w:pPr>
      <w:r w:rsidRPr="00663629">
        <w:t>Note: Prior to 2009</w:t>
      </w:r>
      <w:r w:rsidR="00AA27C5">
        <w:t>–</w:t>
      </w:r>
      <w:r w:rsidRPr="00663629">
        <w:t>10, the Commission was asked to provide relativities to distribute a pool of GST revenue and Health Care Grants. The relativities shown are those applicable for distributing a GST only pool.</w:t>
      </w:r>
    </w:p>
    <w:p w14:paraId="74F41B84" w14:textId="7E6BF28A" w:rsidR="00075E28" w:rsidRPr="00663629" w:rsidRDefault="00075E28" w:rsidP="00075E28">
      <w:pPr>
        <w:pStyle w:val="Tablefootnote"/>
        <w:ind w:left="567" w:hanging="454"/>
      </w:pPr>
      <w:r w:rsidRPr="00663629">
        <w:t xml:space="preserve">Note: The 2018 </w:t>
      </w:r>
      <w:r w:rsidR="005F73D9">
        <w:t>legislated</w:t>
      </w:r>
      <w:r w:rsidR="005F73D9" w:rsidRPr="00663629">
        <w:t xml:space="preserve"> </w:t>
      </w:r>
      <w:r w:rsidR="005F73D9">
        <w:t>a</w:t>
      </w:r>
      <w:r w:rsidRPr="00663629">
        <w:t>rrangements introduce blended relativities from 2021</w:t>
      </w:r>
      <w:r w:rsidR="003B454B">
        <w:t>–</w:t>
      </w:r>
      <w:r w:rsidRPr="00663629">
        <w:t>22. Since 2022</w:t>
      </w:r>
      <w:r w:rsidR="003B454B">
        <w:t>–</w:t>
      </w:r>
      <w:r w:rsidRPr="00663629">
        <w:t>23, the GST relativity floor has been funded from within the GST pool.</w:t>
      </w:r>
    </w:p>
    <w:p w14:paraId="24E38E46" w14:textId="77777777" w:rsidR="00B56559" w:rsidRDefault="00B56559">
      <w:pPr>
        <w:tabs>
          <w:tab w:val="clear" w:pos="567"/>
        </w:tabs>
        <w:spacing w:before="0" w:line="240" w:lineRule="auto"/>
      </w:pPr>
      <w:bookmarkStart w:id="241" w:name="_Hlk158808165"/>
      <w:r>
        <w:br w:type="page"/>
      </w:r>
    </w:p>
    <w:p w14:paraId="671EC180" w14:textId="462BE496" w:rsidR="00224B3C" w:rsidRPr="00663629" w:rsidRDefault="00224B3C" w:rsidP="00224B3C">
      <w:r w:rsidRPr="00663629">
        <w:lastRenderedPageBreak/>
        <w:t xml:space="preserve">Another way of visualising states’ GST relativities over time is provided in </w:t>
      </w:r>
      <w:r w:rsidR="002B43F7">
        <w:fldChar w:fldCharType="begin"/>
      </w:r>
      <w:r w:rsidR="002B43F7">
        <w:instrText xml:space="preserve"> REF Figure_A_3 \h </w:instrText>
      </w:r>
      <w:r w:rsidR="002B43F7">
        <w:fldChar w:fldCharType="separate"/>
      </w:r>
      <w:r w:rsidR="00047120" w:rsidRPr="00663629">
        <w:t>Figure A-3</w:t>
      </w:r>
      <w:r w:rsidR="002B43F7">
        <w:fldChar w:fldCharType="end"/>
      </w:r>
      <w:r w:rsidRPr="00663629">
        <w:t xml:space="preserve">. </w:t>
      </w:r>
      <w:proofErr w:type="gramStart"/>
      <w:r w:rsidRPr="00663629">
        <w:t>This highlights</w:t>
      </w:r>
      <w:proofErr w:type="gramEnd"/>
      <w:r w:rsidRPr="00663629">
        <w:t>:</w:t>
      </w:r>
    </w:p>
    <w:p w14:paraId="21F24470" w14:textId="7729A6AF" w:rsidR="00224B3C" w:rsidRPr="00663629" w:rsidRDefault="00224B3C" w:rsidP="00224B3C">
      <w:pPr>
        <w:pStyle w:val="BulletPoints"/>
      </w:pPr>
      <w:r w:rsidRPr="00663629">
        <w:t>the large and volatile GST needs of the Northern Territory (use right-side axis)</w:t>
      </w:r>
    </w:p>
    <w:p w14:paraId="6638369B" w14:textId="77777777" w:rsidR="00224B3C" w:rsidRPr="00663629" w:rsidRDefault="00224B3C" w:rsidP="00224B3C">
      <w:pPr>
        <w:pStyle w:val="BulletPoints"/>
      </w:pPr>
      <w:r w:rsidRPr="00663629">
        <w:t xml:space="preserve">the low and volatile GST needs of Western Australia, and the convergence of its GST relativity with other states following the 2018 legislated </w:t>
      </w:r>
      <w:proofErr w:type="gramStart"/>
      <w:r w:rsidRPr="00663629">
        <w:t>arrangements</w:t>
      </w:r>
      <w:proofErr w:type="gramEnd"/>
    </w:p>
    <w:p w14:paraId="1593C1CF" w14:textId="77777777" w:rsidR="00224B3C" w:rsidRPr="00663629" w:rsidRDefault="00224B3C" w:rsidP="00224B3C">
      <w:pPr>
        <w:pStyle w:val="BulletPoints"/>
      </w:pPr>
      <w:r w:rsidRPr="00663629">
        <w:t>the relative stability in the GST needs of the other states.</w:t>
      </w:r>
    </w:p>
    <w:p w14:paraId="284EAA3A" w14:textId="2FEBF6A9" w:rsidR="00C96A39" w:rsidRPr="00663629" w:rsidRDefault="00C96A39" w:rsidP="00C96A39">
      <w:pPr>
        <w:pStyle w:val="Tableheading"/>
        <w:rPr>
          <w:rFonts w:eastAsia="Work Sans"/>
        </w:rPr>
      </w:pPr>
      <w:bookmarkStart w:id="242" w:name="Figure_A_3"/>
      <w:bookmarkEnd w:id="241"/>
      <w:r w:rsidRPr="00663629">
        <w:t>Figure A-3</w:t>
      </w:r>
      <w:bookmarkEnd w:id="242"/>
      <w:r w:rsidRPr="00663629">
        <w:tab/>
        <w:t>GST relativities, 2000</w:t>
      </w:r>
      <w:r w:rsidR="00607DB6">
        <w:t>–</w:t>
      </w:r>
      <w:r w:rsidRPr="00663629">
        <w:t>01 to 2024</w:t>
      </w:r>
      <w:r w:rsidR="00607DB6">
        <w:t>–</w:t>
      </w:r>
      <w:r w:rsidRPr="00663629">
        <w:t xml:space="preserve">25 </w:t>
      </w:r>
    </w:p>
    <w:p w14:paraId="6CE538E7" w14:textId="1C66FFF4" w:rsidR="00C96A39" w:rsidRDefault="00D8670B" w:rsidP="00C96A39">
      <w:pPr>
        <w:tabs>
          <w:tab w:val="clear" w:pos="567"/>
        </w:tabs>
        <w:spacing w:before="0" w:after="160" w:line="259" w:lineRule="auto"/>
      </w:pPr>
      <w:r w:rsidRPr="00D8670B">
        <w:rPr>
          <w:noProof/>
        </w:rPr>
        <w:drawing>
          <wp:inline distT="0" distB="0" distL="0" distR="0" wp14:anchorId="6EF65484" wp14:editId="407BDFAE">
            <wp:extent cx="5624830" cy="3636645"/>
            <wp:effectExtent l="0" t="0" r="0" b="1905"/>
            <wp:docPr id="1748354055" name="Picture 1748354055" descr="A line chart of each state and territory's GST relativities from 2011–12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54055" name="Picture 6" descr="A line chart of each state and territory's GST relativities from 2011–12 to 2024–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24830" cy="3636645"/>
                    </a:xfrm>
                    <a:prstGeom prst="rect">
                      <a:avLst/>
                    </a:prstGeom>
                    <a:noFill/>
                    <a:ln>
                      <a:noFill/>
                    </a:ln>
                  </pic:spPr>
                </pic:pic>
              </a:graphicData>
            </a:graphic>
          </wp:inline>
        </w:drawing>
      </w:r>
    </w:p>
    <w:p w14:paraId="30C4DAD9" w14:textId="77777777" w:rsidR="00C96A39" w:rsidRPr="00663629" w:rsidRDefault="00C96A39" w:rsidP="00C96A39">
      <w:pPr>
        <w:pStyle w:val="CGCTablenote"/>
      </w:pPr>
      <w:r w:rsidRPr="00663629">
        <w:t xml:space="preserve">Note: Excludes no worse off payments. </w:t>
      </w:r>
    </w:p>
    <w:p w14:paraId="0D023241" w14:textId="0735B64C" w:rsidR="00694CA5" w:rsidRDefault="00C96A39" w:rsidP="00100C8B">
      <w:pPr>
        <w:pStyle w:val="CGCTablenote"/>
      </w:pPr>
      <w:r w:rsidRPr="00663629">
        <w:t>Source: Commission calculation.</w:t>
      </w:r>
      <w:r w:rsidR="00694CA5">
        <w:br w:type="page"/>
      </w:r>
    </w:p>
    <w:p w14:paraId="511A1692" w14:textId="77777777" w:rsidR="00861BB5" w:rsidRPr="00597D30" w:rsidRDefault="00861BB5" w:rsidP="00033CBE">
      <w:pPr>
        <w:pStyle w:val="Heading1"/>
        <w:numPr>
          <w:ilvl w:val="0"/>
          <w:numId w:val="0"/>
        </w:numPr>
      </w:pPr>
      <w:bookmarkStart w:id="243" w:name="Attachment_B"/>
      <w:bookmarkStart w:id="244" w:name="_Toc127804821"/>
      <w:bookmarkStart w:id="245" w:name="_Toc159676109"/>
      <w:r w:rsidRPr="00597D30">
        <w:lastRenderedPageBreak/>
        <w:t>Attachment B</w:t>
      </w:r>
      <w:bookmarkEnd w:id="243"/>
      <w:r w:rsidRPr="00597D30">
        <w:t>: Quality assurance</w:t>
      </w:r>
      <w:bookmarkEnd w:id="244"/>
      <w:bookmarkEnd w:id="245"/>
    </w:p>
    <w:p w14:paraId="70E0CD7B" w14:textId="77777777" w:rsidR="00861BB5" w:rsidRPr="00597D30" w:rsidRDefault="00861BB5" w:rsidP="00861BB5">
      <w:r w:rsidRPr="00597D30">
        <w:t>This attachment reports on the quality assurance procedures applied in this update. These procedures aim to ensure:</w:t>
      </w:r>
    </w:p>
    <w:p w14:paraId="7B37DDD8" w14:textId="77777777" w:rsidR="00861BB5" w:rsidRPr="00597D30" w:rsidRDefault="00861BB5" w:rsidP="00C53E95">
      <w:pPr>
        <w:pStyle w:val="BulletPoints"/>
      </w:pPr>
      <w:r w:rsidRPr="00597D30">
        <w:t xml:space="preserve">data used in the Commission’s assessments are fit for purpose and of the best possible </w:t>
      </w:r>
      <w:proofErr w:type="gramStart"/>
      <w:r w:rsidRPr="00597D30">
        <w:t>quality</w:t>
      </w:r>
      <w:proofErr w:type="gramEnd"/>
      <w:r w:rsidRPr="00597D30">
        <w:t xml:space="preserve"> </w:t>
      </w:r>
    </w:p>
    <w:p w14:paraId="2946928B" w14:textId="77777777" w:rsidR="00861BB5" w:rsidRPr="00597D30" w:rsidRDefault="00861BB5" w:rsidP="00C53E95">
      <w:pPr>
        <w:pStyle w:val="BulletPoints"/>
      </w:pPr>
      <w:r w:rsidRPr="00597D30">
        <w:t xml:space="preserve">analysis is </w:t>
      </w:r>
      <w:proofErr w:type="gramStart"/>
      <w:r w:rsidRPr="00597D30">
        <w:t>accurate</w:t>
      </w:r>
      <w:proofErr w:type="gramEnd"/>
    </w:p>
    <w:p w14:paraId="1370A7B4" w14:textId="77777777" w:rsidR="00861BB5" w:rsidRPr="00597D30" w:rsidRDefault="00861BB5" w:rsidP="00C53E95">
      <w:pPr>
        <w:pStyle w:val="BulletPoints"/>
      </w:pPr>
      <w:r w:rsidRPr="00597D30">
        <w:t xml:space="preserve">reporting of the Commission’s findings and reasoning is accurate and transparent. </w:t>
      </w:r>
    </w:p>
    <w:p w14:paraId="63DE699F" w14:textId="77777777" w:rsidR="00861BB5" w:rsidRPr="00597D30" w:rsidRDefault="00861BB5" w:rsidP="00C53E95">
      <w:pPr>
        <w:pStyle w:val="Heading2"/>
      </w:pPr>
      <w:bookmarkStart w:id="246" w:name="_Toc127802199"/>
      <w:bookmarkStart w:id="247" w:name="_Toc127804822"/>
      <w:r w:rsidRPr="00597D30">
        <w:t>Checking calculations</w:t>
      </w:r>
      <w:bookmarkEnd w:id="246"/>
      <w:bookmarkEnd w:id="247"/>
    </w:p>
    <w:p w14:paraId="6686F2AB" w14:textId="77777777" w:rsidR="00861BB5" w:rsidRPr="00597D30" w:rsidRDefault="00861BB5" w:rsidP="00861BB5">
      <w:r w:rsidRPr="00597D30">
        <w:t>The Commission completed a rigorous internal audit of all calculations. For each assessment, internal checks were performed and signed off by the assessment officer, another officer not involved in the original calculation, and the assessment director.</w:t>
      </w:r>
    </w:p>
    <w:p w14:paraId="62187844" w14:textId="77777777" w:rsidR="00861BB5" w:rsidRPr="00597D30" w:rsidRDefault="00861BB5" w:rsidP="00861BB5">
      <w:r w:rsidRPr="00597D30">
        <w:t xml:space="preserve">The Commission also engaged officers from the Commonwealth Treasury with the relevant technical expertise to check calculations. This was completed after internal checks. </w:t>
      </w:r>
    </w:p>
    <w:p w14:paraId="5FCAA2FD" w14:textId="77777777" w:rsidR="00861BB5" w:rsidRPr="00597D30" w:rsidRDefault="00861BB5" w:rsidP="00C53E95">
      <w:pPr>
        <w:pStyle w:val="Heading2"/>
      </w:pPr>
      <w:bookmarkStart w:id="248" w:name="_Toc127802200"/>
      <w:bookmarkStart w:id="249" w:name="_Toc127804823"/>
      <w:r w:rsidRPr="00597D30">
        <w:t xml:space="preserve">Reporting of methods, </w:t>
      </w:r>
      <w:proofErr w:type="gramStart"/>
      <w:r w:rsidRPr="00597D30">
        <w:t>decisions</w:t>
      </w:r>
      <w:proofErr w:type="gramEnd"/>
      <w:r w:rsidRPr="00597D30">
        <w:t xml:space="preserve"> and results</w:t>
      </w:r>
      <w:bookmarkEnd w:id="248"/>
      <w:bookmarkEnd w:id="249"/>
    </w:p>
    <w:p w14:paraId="7BDBBF63" w14:textId="77777777" w:rsidR="00861BB5" w:rsidRPr="00597D30" w:rsidRDefault="00861BB5" w:rsidP="00861BB5">
      <w:r w:rsidRPr="00597D30">
        <w:t>Transparency and accuracy in reporting assessment methods, decisions and results are important in ensuring high quality outputs.</w:t>
      </w:r>
    </w:p>
    <w:p w14:paraId="384A465B" w14:textId="77777777" w:rsidR="00861BB5" w:rsidRPr="00597D30" w:rsidRDefault="00861BB5" w:rsidP="00861BB5">
      <w:r w:rsidRPr="00597D30">
        <w:t>The Commission undertook a comprehensive program of proofreading and checking of tables and results to ensure they aligned with the original calculations.</w:t>
      </w:r>
    </w:p>
    <w:p w14:paraId="1479E19C" w14:textId="77777777" w:rsidR="00861BB5" w:rsidRPr="00597D30" w:rsidRDefault="00861BB5" w:rsidP="00861BB5">
      <w:r w:rsidRPr="00597D30">
        <w:t>The Commission has posted</w:t>
      </w:r>
      <w:r w:rsidRPr="009E4A52">
        <w:t xml:space="preserve"> </w:t>
      </w:r>
      <w:hyperlink r:id="rId43" w:history="1">
        <w:r w:rsidRPr="009E4A52">
          <w:rPr>
            <w:rStyle w:val="Hyperlink"/>
            <w:color w:val="auto"/>
            <w:u w:val="none"/>
          </w:rPr>
          <w:t>this update, consultation on new issues, and a range of supporting documents</w:t>
        </w:r>
      </w:hyperlink>
      <w:r w:rsidRPr="00597D30">
        <w:t xml:space="preserve"> on the Commission website (</w:t>
      </w:r>
      <w:hyperlink r:id="rId44">
        <w:r w:rsidRPr="00C53E95">
          <w:rPr>
            <w:rStyle w:val="Hyperlink"/>
            <w:u w:val="none"/>
          </w:rPr>
          <w:t>https://www.cgc.gov.au</w:t>
        </w:r>
      </w:hyperlink>
      <w:r w:rsidRPr="00597D30">
        <w:t>).</w:t>
      </w:r>
    </w:p>
    <w:p w14:paraId="22D0DB44" w14:textId="77777777" w:rsidR="00861BB5" w:rsidRPr="00597D30" w:rsidRDefault="00861BB5" w:rsidP="00861BB5"/>
    <w:p w14:paraId="4AAAA275" w14:textId="77777777" w:rsidR="00C96A39" w:rsidRPr="00C96A39" w:rsidRDefault="00C96A39" w:rsidP="00C96A39"/>
    <w:p w14:paraId="473DA160" w14:textId="77777777" w:rsidR="00AB56A8" w:rsidRDefault="00AB56A8">
      <w:pPr>
        <w:tabs>
          <w:tab w:val="clear" w:pos="567"/>
        </w:tabs>
        <w:spacing w:before="0" w:line="240" w:lineRule="auto"/>
        <w:rPr>
          <w:rFonts w:ascii="Open Sans Light" w:eastAsia="Times New Roman" w:hAnsi="Open Sans Light" w:cs="Times New Roman"/>
          <w:szCs w:val="20"/>
        </w:rPr>
      </w:pPr>
    </w:p>
    <w:sectPr w:rsidR="00AB56A8" w:rsidSect="00A433DF">
      <w:footerReference w:type="even" r:id="rId45"/>
      <w:footerReference w:type="default" r:id="rId46"/>
      <w:headerReference w:type="first" r:id="rId47"/>
      <w:pgSz w:w="11900" w:h="16840"/>
      <w:pgMar w:top="1134" w:right="1418" w:bottom="1021" w:left="1418" w:header="709" w:footer="28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654872" w14:textId="77777777" w:rsidR="00C85977" w:rsidRDefault="00C85977" w:rsidP="005C0550">
      <w:pPr>
        <w:spacing w:before="0" w:line="240" w:lineRule="auto"/>
      </w:pPr>
      <w:r>
        <w:separator/>
      </w:r>
    </w:p>
  </w:endnote>
  <w:endnote w:type="continuationSeparator" w:id="0">
    <w:p w14:paraId="72439F9F" w14:textId="77777777" w:rsidR="00C85977" w:rsidRDefault="00C85977" w:rsidP="005C0550">
      <w:pPr>
        <w:spacing w:before="0" w:line="240" w:lineRule="auto"/>
      </w:pPr>
      <w:r>
        <w:continuationSeparator/>
      </w:r>
    </w:p>
  </w:endnote>
  <w:endnote w:type="continuationNotice" w:id="1">
    <w:p w14:paraId="31B8C66A" w14:textId="77777777" w:rsidR="00C85977" w:rsidRDefault="00C8597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Calibri"/>
    <w:charset w:val="00"/>
    <w:family w:val="auto"/>
    <w:pitch w:val="variable"/>
    <w:sig w:usb0="A00000FF" w:usb1="5000E07B" w:usb2="00000000" w:usb3="00000000" w:csb0="00000193" w:csb1="00000000"/>
  </w:font>
  <w:font w:name="Yu Gothic Light">
    <w:altName w:val="游ゴシック Light"/>
    <w:panose1 w:val="020B0300000000000000"/>
    <w:charset w:val="80"/>
    <w:family w:val="swiss"/>
    <w:pitch w:val="variable"/>
    <w:sig w:usb0="E00002FF" w:usb1="2AC7FDFF" w:usb2="00000016" w:usb3="00000000" w:csb0="0002009F" w:csb1="00000000"/>
  </w:font>
  <w:font w:name="Open Sans">
    <w:altName w:val="Segoe UI"/>
    <w:panose1 w:val="020B0606030504020204"/>
    <w:charset w:val="00"/>
    <w:family w:val="swiss"/>
    <w:pitch w:val="variable"/>
    <w:sig w:usb0="E00002EF" w:usb1="4000205B" w:usb2="00000028" w:usb3="00000000" w:csb0="0000019F" w:csb1="00000000"/>
  </w:font>
  <w:font w:name="Open Sans Semibold">
    <w:altName w:val="Segoe UI"/>
    <w:panose1 w:val="020B07060308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Open Sans Light">
    <w:altName w:val="Segoe UI"/>
    <w:panose1 w:val="020B0306030504020204"/>
    <w:charset w:val="00"/>
    <w:family w:val="swiss"/>
    <w:pitch w:val="variable"/>
    <w:sig w:usb0="E00002EF" w:usb1="4000205B" w:usb2="00000028" w:usb3="00000000" w:csb0="0000019F" w:csb1="00000000"/>
  </w:font>
  <w:font w:name="Cambria Math">
    <w:panose1 w:val="02040503050406030204"/>
    <w:charset w:val="00"/>
    <w:family w:val="roman"/>
    <w:pitch w:val="variable"/>
    <w:sig w:usb0="E00006FF" w:usb1="420024FF" w:usb2="02000000" w:usb3="00000000" w:csb0="0000019F" w:csb1="00000000"/>
  </w:font>
  <w:font w:name="Work Sans SemiBold">
    <w:charset w:val="00"/>
    <w:family w:val="auto"/>
    <w:pitch w:val="variable"/>
    <w:sig w:usb0="A00000FF" w:usb1="5000E07B" w:usb2="00000000" w:usb3="00000000" w:csb0="00000193"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35555125"/>
      <w:docPartObj>
        <w:docPartGallery w:val="Page Numbers (Bottom of Page)"/>
        <w:docPartUnique/>
      </w:docPartObj>
    </w:sdtPr>
    <w:sdtContent>
      <w:p w14:paraId="74BA921F" w14:textId="6D01AF84" w:rsidR="008B3F9B" w:rsidRDefault="008B3F9B" w:rsidP="0022730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E6B37">
          <w:rPr>
            <w:rStyle w:val="PageNumber"/>
            <w:noProof/>
          </w:rPr>
          <w:t>2</w:t>
        </w:r>
        <w:r>
          <w:rPr>
            <w:rStyle w:val="PageNumber"/>
          </w:rPr>
          <w:fldChar w:fldCharType="end"/>
        </w:r>
      </w:p>
    </w:sdtContent>
  </w:sdt>
  <w:p w14:paraId="7003134E" w14:textId="77777777" w:rsidR="008B3F9B" w:rsidRDefault="008B3F9B" w:rsidP="008B3F9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83706869"/>
      <w:docPartObj>
        <w:docPartGallery w:val="Page Numbers (Bottom of Page)"/>
        <w:docPartUnique/>
      </w:docPartObj>
    </w:sdtPr>
    <w:sdtEndPr>
      <w:rPr>
        <w:noProof/>
        <w:sz w:val="14"/>
        <w:szCs w:val="14"/>
      </w:rPr>
    </w:sdtEndPr>
    <w:sdtContent>
      <w:p w14:paraId="468D13E2" w14:textId="4A646A38" w:rsidR="00F173EE" w:rsidRDefault="002C5FD2" w:rsidP="002C5FD2">
        <w:pPr>
          <w:pStyle w:val="Footer"/>
        </w:pPr>
        <w:r w:rsidRPr="00764D5F">
          <w:rPr>
            <w:rFonts w:ascii="Open Sans Semibold" w:eastAsia="Calibri" w:hAnsi="Open Sans Semibold" w:cs="Open Sans Semibold"/>
            <w:bCs/>
            <w:color w:val="006991"/>
            <w:sz w:val="14"/>
            <w:szCs w:val="14"/>
          </w:rPr>
          <w:t>Commonwealth Grants Commission</w:t>
        </w:r>
        <w:r w:rsidRPr="00771CC1">
          <w:t xml:space="preserve"> </w:t>
        </w:r>
        <w:r w:rsidRPr="00764D5F">
          <w:rPr>
            <w:rFonts w:ascii="Open Sans" w:hAnsi="Open Sans" w:cs="Open Sans"/>
            <w:color w:val="000000"/>
            <w:sz w:val="14"/>
            <w:szCs w:val="14"/>
          </w:rPr>
          <w:t>GST Revenue Sharing Relativities 202</w:t>
        </w:r>
        <w:r w:rsidR="0001342A">
          <w:rPr>
            <w:rFonts w:ascii="Open Sans" w:hAnsi="Open Sans" w:cs="Open Sans"/>
            <w:color w:val="000000"/>
            <w:sz w:val="14"/>
            <w:szCs w:val="14"/>
          </w:rPr>
          <w:t>4</w:t>
        </w:r>
        <w:r w:rsidRPr="00764D5F">
          <w:rPr>
            <w:rFonts w:ascii="Open Sans" w:hAnsi="Open Sans" w:cs="Open Sans"/>
            <w:color w:val="000000"/>
            <w:sz w:val="14"/>
            <w:szCs w:val="14"/>
          </w:rPr>
          <w:t xml:space="preserve"> Update</w:t>
        </w:r>
        <w:r w:rsidRPr="00764D5F">
          <w:rPr>
            <w:sz w:val="14"/>
            <w:szCs w:val="14"/>
          </w:rPr>
          <w:t xml:space="preserve"> </w:t>
        </w:r>
        <w:r w:rsidR="00690C4E" w:rsidRPr="00764D5F">
          <w:rPr>
            <w:sz w:val="14"/>
            <w:szCs w:val="14"/>
          </w:rPr>
          <w:tab/>
        </w:r>
        <w:r w:rsidR="00F173EE" w:rsidRPr="00764D5F">
          <w:rPr>
            <w:sz w:val="14"/>
            <w:szCs w:val="14"/>
          </w:rPr>
          <w:fldChar w:fldCharType="begin"/>
        </w:r>
        <w:r w:rsidR="00F173EE" w:rsidRPr="00764D5F">
          <w:rPr>
            <w:sz w:val="14"/>
            <w:szCs w:val="14"/>
          </w:rPr>
          <w:instrText xml:space="preserve"> PAGE   \* MERGEFORMAT </w:instrText>
        </w:r>
        <w:r w:rsidR="00F173EE" w:rsidRPr="00764D5F">
          <w:rPr>
            <w:sz w:val="14"/>
            <w:szCs w:val="14"/>
          </w:rPr>
          <w:fldChar w:fldCharType="separate"/>
        </w:r>
        <w:r w:rsidR="00F173EE" w:rsidRPr="00764D5F">
          <w:rPr>
            <w:noProof/>
            <w:sz w:val="14"/>
            <w:szCs w:val="14"/>
          </w:rPr>
          <w:t>2</w:t>
        </w:r>
        <w:r w:rsidR="00F173EE" w:rsidRPr="00764D5F">
          <w:rPr>
            <w:noProof/>
            <w:sz w:val="14"/>
            <w:szCs w:val="14"/>
          </w:rPr>
          <w:fldChar w:fldCharType="end"/>
        </w:r>
      </w:p>
    </w:sdtContent>
  </w:sdt>
  <w:p w14:paraId="7F855381" w14:textId="77AD1860" w:rsidR="008B3F9B" w:rsidRPr="005C2025" w:rsidRDefault="008B3F9B" w:rsidP="005443DD">
    <w:pPr>
      <w:pStyle w:val="CGCBodyCopy"/>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1CD491" w14:textId="77777777" w:rsidR="00C85977" w:rsidRDefault="00C85977" w:rsidP="005C0550">
      <w:pPr>
        <w:spacing w:before="0" w:line="240" w:lineRule="auto"/>
      </w:pPr>
      <w:r>
        <w:separator/>
      </w:r>
    </w:p>
  </w:footnote>
  <w:footnote w:type="continuationSeparator" w:id="0">
    <w:p w14:paraId="288C5DBB" w14:textId="77777777" w:rsidR="00C85977" w:rsidRDefault="00C85977" w:rsidP="005C0550">
      <w:pPr>
        <w:spacing w:before="0" w:line="240" w:lineRule="auto"/>
      </w:pPr>
      <w:r>
        <w:continuationSeparator/>
      </w:r>
    </w:p>
  </w:footnote>
  <w:footnote w:type="continuationNotice" w:id="1">
    <w:p w14:paraId="6243B963" w14:textId="77777777" w:rsidR="00C85977" w:rsidRDefault="00C85977">
      <w:pPr>
        <w:spacing w:before="0" w:line="240" w:lineRule="auto"/>
      </w:pPr>
    </w:p>
  </w:footnote>
  <w:footnote w:id="2">
    <w:p w14:paraId="73BD7FAA" w14:textId="060A4FB2" w:rsidR="009D088E" w:rsidRDefault="009D088E" w:rsidP="00E430B3">
      <w:pPr>
        <w:pStyle w:val="FootnoteText"/>
        <w:ind w:left="112" w:hanging="112"/>
      </w:pPr>
      <w:r w:rsidRPr="00B47700">
        <w:rPr>
          <w:rStyle w:val="FootnoteReference"/>
          <w:vertAlign w:val="superscript"/>
        </w:rPr>
        <w:footnoteRef/>
      </w:r>
      <w:r>
        <w:t xml:space="preserve"> </w:t>
      </w:r>
      <w:r w:rsidRPr="007F7A7E">
        <w:rPr>
          <w:sz w:val="14"/>
          <w:szCs w:val="14"/>
        </w:rPr>
        <w:t>Prime Minister</w:t>
      </w:r>
      <w:r w:rsidR="00B806CC">
        <w:rPr>
          <w:sz w:val="14"/>
          <w:szCs w:val="14"/>
        </w:rPr>
        <w:t xml:space="preserve">, </w:t>
      </w:r>
      <w:hyperlink r:id="rId1" w:history="1">
        <w:r w:rsidR="00B806CC">
          <w:rPr>
            <w:color w:val="0000FF"/>
            <w:sz w:val="14"/>
            <w:szCs w:val="14"/>
            <w:u w:val="single"/>
          </w:rPr>
          <w:t>Meeting of National Cabinet – the Federation working for Australia</w:t>
        </w:r>
      </w:hyperlink>
      <w:r w:rsidR="00F67C56">
        <w:rPr>
          <w:sz w:val="14"/>
          <w:szCs w:val="14"/>
        </w:rPr>
        <w:t xml:space="preserve"> </w:t>
      </w:r>
      <w:r w:rsidR="004A5B3D">
        <w:rPr>
          <w:sz w:val="14"/>
          <w:szCs w:val="14"/>
        </w:rPr>
        <w:t>[</w:t>
      </w:r>
      <w:r w:rsidR="000C4C31">
        <w:rPr>
          <w:sz w:val="14"/>
          <w:szCs w:val="14"/>
        </w:rPr>
        <w:t>M</w:t>
      </w:r>
      <w:r w:rsidRPr="007F7A7E">
        <w:rPr>
          <w:sz w:val="14"/>
          <w:szCs w:val="14"/>
        </w:rPr>
        <w:t>edia Release</w:t>
      </w:r>
      <w:r w:rsidR="004A5B3D">
        <w:rPr>
          <w:sz w:val="14"/>
          <w:szCs w:val="14"/>
        </w:rPr>
        <w:t>]</w:t>
      </w:r>
      <w:r w:rsidR="005D22B5">
        <w:rPr>
          <w:sz w:val="14"/>
          <w:szCs w:val="14"/>
        </w:rPr>
        <w:t>, Australian Government,</w:t>
      </w:r>
      <w:r w:rsidRPr="007F7A7E">
        <w:rPr>
          <w:sz w:val="14"/>
          <w:szCs w:val="14"/>
        </w:rPr>
        <w:t xml:space="preserve"> 6</w:t>
      </w:r>
      <w:r w:rsidR="005D5110">
        <w:rPr>
          <w:sz w:val="14"/>
          <w:szCs w:val="14"/>
        </w:rPr>
        <w:t> </w:t>
      </w:r>
      <w:r w:rsidRPr="007F7A7E">
        <w:rPr>
          <w:sz w:val="14"/>
          <w:szCs w:val="14"/>
        </w:rPr>
        <w:t xml:space="preserve">December 2023, </w:t>
      </w:r>
      <w:r w:rsidR="005D22B5">
        <w:rPr>
          <w:sz w:val="14"/>
          <w:szCs w:val="14"/>
        </w:rPr>
        <w:t xml:space="preserve">accessed </w:t>
      </w:r>
      <w:r w:rsidR="001134AB">
        <w:rPr>
          <w:sz w:val="14"/>
          <w:szCs w:val="14"/>
        </w:rPr>
        <w:t>12 January 2024.</w:t>
      </w:r>
    </w:p>
  </w:footnote>
  <w:footnote w:id="3">
    <w:p w14:paraId="076BCA55" w14:textId="29E25F58" w:rsidR="00FC112C" w:rsidRPr="00D63D2F" w:rsidRDefault="00FC112C" w:rsidP="00FC112C">
      <w:pPr>
        <w:pStyle w:val="FootnoteText"/>
        <w:ind w:left="142" w:hanging="142"/>
        <w:rPr>
          <w:rStyle w:val="FootnoteReference"/>
        </w:rPr>
      </w:pPr>
      <w:r w:rsidRPr="007E007F">
        <w:rPr>
          <w:rStyle w:val="FootnoteReference"/>
          <w:vertAlign w:val="superscript"/>
        </w:rPr>
        <w:footnoteRef/>
      </w:r>
      <w:r w:rsidRPr="007E007F">
        <w:rPr>
          <w:rStyle w:val="FootnoteReference"/>
          <w:vertAlign w:val="superscript"/>
        </w:rPr>
        <w:t xml:space="preserve"> </w:t>
      </w:r>
      <w:r>
        <w:rPr>
          <w:rStyle w:val="FootnoteReference"/>
          <w:sz w:val="14"/>
        </w:rPr>
        <w:t>The GST pool consists of revenue from the GST plus a top</w:t>
      </w:r>
      <w:r>
        <w:rPr>
          <w:rStyle w:val="FootnoteReference"/>
          <w:sz w:val="14"/>
        </w:rPr>
        <w:noBreakHyphen/>
        <w:t xml:space="preserve">up payment from the Commonwealth. </w:t>
      </w:r>
      <w:r w:rsidRPr="009158C2">
        <w:rPr>
          <w:rStyle w:val="FootnoteReference"/>
          <w:sz w:val="14"/>
        </w:rPr>
        <w:t xml:space="preserve">See </w:t>
      </w:r>
      <w:r w:rsidR="00760F91">
        <w:rPr>
          <w:rStyle w:val="FootnoteReference"/>
          <w:sz w:val="14"/>
        </w:rPr>
        <w:t>T</w:t>
      </w:r>
      <w:r w:rsidR="00760F91">
        <w:rPr>
          <w:sz w:val="14"/>
        </w:rPr>
        <w:t>reasury</w:t>
      </w:r>
      <w:r w:rsidR="007D7811">
        <w:rPr>
          <w:sz w:val="14"/>
        </w:rPr>
        <w:t>,</w:t>
      </w:r>
      <w:r>
        <w:rPr>
          <w:sz w:val="14"/>
        </w:rPr>
        <w:t xml:space="preserve"> </w:t>
      </w:r>
      <w:hyperlink r:id="rId2" w:history="1">
        <w:r w:rsidRPr="00DF3DF1">
          <w:rPr>
            <w:rStyle w:val="Hyperlink"/>
            <w:i/>
            <w:iCs/>
            <w:sz w:val="14"/>
            <w:szCs w:val="16"/>
          </w:rPr>
          <w:t>Mid-Year Economic and Fiscal Outlook 2023</w:t>
        </w:r>
        <w:r w:rsidR="00BB2212">
          <w:rPr>
            <w:rStyle w:val="Hyperlink"/>
            <w:i/>
            <w:iCs/>
            <w:sz w:val="14"/>
            <w:szCs w:val="16"/>
          </w:rPr>
          <w:t>–</w:t>
        </w:r>
        <w:r w:rsidRPr="00DF3DF1">
          <w:rPr>
            <w:rStyle w:val="Hyperlink"/>
            <w:i/>
            <w:iCs/>
            <w:sz w:val="14"/>
            <w:szCs w:val="16"/>
          </w:rPr>
          <w:t>24</w:t>
        </w:r>
      </w:hyperlink>
      <w:r>
        <w:rPr>
          <w:sz w:val="14"/>
        </w:rPr>
        <w:t xml:space="preserve">, </w:t>
      </w:r>
      <w:r w:rsidR="007D7811">
        <w:rPr>
          <w:sz w:val="14"/>
        </w:rPr>
        <w:t>Australian Government,</w:t>
      </w:r>
      <w:r w:rsidRPr="009158C2">
        <w:rPr>
          <w:sz w:val="14"/>
        </w:rPr>
        <w:t xml:space="preserve"> </w:t>
      </w:r>
      <w:r w:rsidRPr="009158C2">
        <w:rPr>
          <w:rStyle w:val="FootnoteReference"/>
          <w:sz w:val="14"/>
        </w:rPr>
        <w:t>2023, A</w:t>
      </w:r>
      <w:r w:rsidRPr="009158C2">
        <w:rPr>
          <w:sz w:val="14"/>
        </w:rPr>
        <w:t>ppendix C</w:t>
      </w:r>
      <w:r w:rsidRPr="009158C2">
        <w:rPr>
          <w:rStyle w:val="FootnoteReference"/>
          <w:sz w:val="14"/>
        </w:rPr>
        <w:t>, Table C.7.</w:t>
      </w:r>
    </w:p>
  </w:footnote>
  <w:footnote w:id="4">
    <w:p w14:paraId="4D3DC4DE" w14:textId="20A3F96F" w:rsidR="00FC112C" w:rsidRPr="0068086C" w:rsidRDefault="00FC112C" w:rsidP="00716BCA">
      <w:pPr>
        <w:pStyle w:val="FootnoteText"/>
        <w:ind w:left="98" w:hanging="98"/>
        <w:rPr>
          <w:sz w:val="14"/>
          <w:szCs w:val="14"/>
        </w:rPr>
      </w:pPr>
      <w:r w:rsidRPr="0068086C">
        <w:rPr>
          <w:rStyle w:val="FootnoteReference"/>
          <w:vertAlign w:val="superscript"/>
        </w:rPr>
        <w:footnoteRef/>
      </w:r>
      <w:r w:rsidRPr="0068086C">
        <w:rPr>
          <w:rStyle w:val="FootnoteReference"/>
          <w:vertAlign w:val="superscript"/>
        </w:rPr>
        <w:t xml:space="preserve"> </w:t>
      </w:r>
      <w:r w:rsidRPr="0068086C">
        <w:rPr>
          <w:sz w:val="14"/>
          <w:szCs w:val="14"/>
        </w:rPr>
        <w:t>Under the 2018 legislated arrangements no worse off payments were to be in place over the transition period from 2021</w:t>
      </w:r>
      <w:r w:rsidR="00BB2212">
        <w:rPr>
          <w:sz w:val="14"/>
          <w:szCs w:val="14"/>
        </w:rPr>
        <w:t>–</w:t>
      </w:r>
      <w:r w:rsidRPr="0068086C">
        <w:rPr>
          <w:sz w:val="14"/>
          <w:szCs w:val="14"/>
        </w:rPr>
        <w:t>22 to 2026</w:t>
      </w:r>
      <w:r w:rsidR="00BB2212">
        <w:rPr>
          <w:sz w:val="14"/>
          <w:szCs w:val="14"/>
        </w:rPr>
        <w:t>–</w:t>
      </w:r>
      <w:r w:rsidRPr="0068086C">
        <w:rPr>
          <w:sz w:val="14"/>
          <w:szCs w:val="14"/>
        </w:rPr>
        <w:t>27. On 6 December 2023 the Commonwealth and states agreed to extend the guarantee for 3 years to the end of 2029</w:t>
      </w:r>
      <w:r w:rsidR="00BB2212">
        <w:rPr>
          <w:sz w:val="14"/>
          <w:szCs w:val="14"/>
        </w:rPr>
        <w:t>–</w:t>
      </w:r>
      <w:r w:rsidRPr="0068086C">
        <w:rPr>
          <w:sz w:val="14"/>
          <w:szCs w:val="14"/>
        </w:rPr>
        <w:t xml:space="preserve">30.  </w:t>
      </w:r>
    </w:p>
  </w:footnote>
  <w:footnote w:id="5">
    <w:p w14:paraId="55B65602" w14:textId="6BA8A06F" w:rsidR="00FC112C" w:rsidRPr="005A0A7C" w:rsidRDefault="00FC112C" w:rsidP="00FC112C">
      <w:pPr>
        <w:pStyle w:val="FootnoteText"/>
        <w:rPr>
          <w:rStyle w:val="FootnoteReference"/>
        </w:rPr>
      </w:pPr>
      <w:r w:rsidRPr="00BC67E0">
        <w:rPr>
          <w:rStyle w:val="FootnoteReference"/>
          <w:vertAlign w:val="superscript"/>
        </w:rPr>
        <w:footnoteRef/>
      </w:r>
      <w:r w:rsidRPr="00BC67E0">
        <w:rPr>
          <w:rStyle w:val="FootnoteReference"/>
        </w:rPr>
        <w:t xml:space="preserve"> </w:t>
      </w:r>
      <w:r w:rsidRPr="7FCB7071">
        <w:rPr>
          <w:rStyle w:val="FootnoteReference"/>
          <w:sz w:val="14"/>
          <w:szCs w:val="14"/>
        </w:rPr>
        <w:t>The terms used in the paragraph are defined in the glossary</w:t>
      </w:r>
      <w:r w:rsidRPr="7FCB7071">
        <w:rPr>
          <w:sz w:val="14"/>
          <w:szCs w:val="14"/>
        </w:rPr>
        <w:t>, which is availabl</w:t>
      </w:r>
      <w:r w:rsidRPr="005A0A7C">
        <w:rPr>
          <w:sz w:val="14"/>
          <w:szCs w:val="14"/>
        </w:rPr>
        <w:t xml:space="preserve">e </w:t>
      </w:r>
      <w:hyperlink r:id="rId3" w:history="1">
        <w:r w:rsidRPr="003D74B1">
          <w:rPr>
            <w:rStyle w:val="Hyperlink"/>
            <w:sz w:val="14"/>
            <w:szCs w:val="14"/>
          </w:rPr>
          <w:t>online</w:t>
        </w:r>
      </w:hyperlink>
      <w:r w:rsidRPr="005A0A7C">
        <w:rPr>
          <w:sz w:val="14"/>
          <w:szCs w:val="14"/>
        </w:rPr>
        <w:t>.</w:t>
      </w:r>
    </w:p>
  </w:footnote>
  <w:footnote w:id="6">
    <w:p w14:paraId="2EFF39DD" w14:textId="77777777" w:rsidR="00094E8B" w:rsidRPr="007E6415" w:rsidRDefault="00094E8B" w:rsidP="00094E8B">
      <w:pPr>
        <w:pStyle w:val="FootnoteText"/>
        <w:rPr>
          <w:rStyle w:val="FootnoteReference"/>
        </w:rPr>
      </w:pPr>
      <w:r w:rsidRPr="00B6725B">
        <w:rPr>
          <w:rStyle w:val="FootnoteReference"/>
          <w:vertAlign w:val="superscript"/>
        </w:rPr>
        <w:footnoteRef/>
      </w:r>
      <w:r w:rsidRPr="007E6415">
        <w:rPr>
          <w:rStyle w:val="FootnoteReference"/>
        </w:rPr>
        <w:t xml:space="preserve"> </w:t>
      </w:r>
      <w:r>
        <w:rPr>
          <w:rStyle w:val="FootnoteReference"/>
          <w:sz w:val="14"/>
        </w:rPr>
        <w:t xml:space="preserve">See </w:t>
      </w:r>
      <w:hyperlink w:anchor="_Box_1-1:_Calculation" w:history="1">
        <w:r w:rsidRPr="00443D69">
          <w:rPr>
            <w:rStyle w:val="Hyperlink"/>
            <w:color w:val="auto"/>
            <w:sz w:val="14"/>
            <w:u w:val="none"/>
          </w:rPr>
          <w:t>Box 1-1</w:t>
        </w:r>
      </w:hyperlink>
      <w:r w:rsidRPr="00443D69">
        <w:rPr>
          <w:sz w:val="14"/>
        </w:rPr>
        <w:t xml:space="preserve"> </w:t>
      </w:r>
      <w:r>
        <w:rPr>
          <w:rStyle w:val="FootnoteReference"/>
          <w:sz w:val="14"/>
        </w:rPr>
        <w:t>for an explanation of how GST relativities are calculated.</w:t>
      </w:r>
    </w:p>
    <w:p w14:paraId="105B9F31" w14:textId="77777777" w:rsidR="00094E8B" w:rsidRDefault="00094E8B" w:rsidP="00094E8B">
      <w:pPr>
        <w:pStyle w:val="FootnoteText"/>
      </w:pPr>
    </w:p>
  </w:footnote>
  <w:footnote w:id="7">
    <w:p w14:paraId="6DB6D395" w14:textId="15857EE3" w:rsidR="00EB6B91" w:rsidRDefault="00EB6B91" w:rsidP="00EB6B91">
      <w:pPr>
        <w:pStyle w:val="FootnoteText"/>
        <w:ind w:left="142" w:hanging="142"/>
      </w:pPr>
      <w:r w:rsidRPr="0070248A">
        <w:rPr>
          <w:rStyle w:val="FootnoteReference"/>
          <w:vertAlign w:val="superscript"/>
        </w:rPr>
        <w:footnoteRef/>
      </w:r>
      <w:r>
        <w:t xml:space="preserve"> </w:t>
      </w:r>
      <w:r w:rsidRPr="00054691">
        <w:rPr>
          <w:sz w:val="14"/>
          <w:szCs w:val="14"/>
        </w:rPr>
        <w:t>In the 202</w:t>
      </w:r>
      <w:r>
        <w:rPr>
          <w:sz w:val="14"/>
          <w:szCs w:val="14"/>
        </w:rPr>
        <w:t>3</w:t>
      </w:r>
      <w:r w:rsidRPr="00054691">
        <w:rPr>
          <w:sz w:val="14"/>
          <w:szCs w:val="14"/>
        </w:rPr>
        <w:t xml:space="preserve"> Update the assessment years were 2019–</w:t>
      </w:r>
      <w:r w:rsidRPr="00054691">
        <w:rPr>
          <w:rFonts w:ascii="Arial" w:hAnsi="Arial" w:hint="eastAsia"/>
          <w:sz w:val="14"/>
          <w:szCs w:val="14"/>
          <w:rtl/>
        </w:rPr>
        <w:t>‍</w:t>
      </w:r>
      <w:r w:rsidRPr="00054691">
        <w:rPr>
          <w:sz w:val="14"/>
          <w:szCs w:val="14"/>
        </w:rPr>
        <w:t>20</w:t>
      </w:r>
      <w:r w:rsidR="00A62EC2">
        <w:rPr>
          <w:sz w:val="14"/>
          <w:szCs w:val="14"/>
        </w:rPr>
        <w:t>,</w:t>
      </w:r>
      <w:r w:rsidRPr="00054691">
        <w:rPr>
          <w:sz w:val="14"/>
          <w:szCs w:val="14"/>
        </w:rPr>
        <w:t xml:space="preserve"> 2020–</w:t>
      </w:r>
      <w:r w:rsidRPr="00054691">
        <w:rPr>
          <w:rFonts w:ascii="Arial" w:hAnsi="Arial" w:hint="eastAsia"/>
          <w:sz w:val="14"/>
          <w:szCs w:val="14"/>
          <w:rtl/>
        </w:rPr>
        <w:t>‍</w:t>
      </w:r>
      <w:r w:rsidRPr="00054691">
        <w:rPr>
          <w:sz w:val="14"/>
          <w:szCs w:val="14"/>
        </w:rPr>
        <w:t>21</w:t>
      </w:r>
      <w:r>
        <w:rPr>
          <w:sz w:val="14"/>
          <w:szCs w:val="14"/>
        </w:rPr>
        <w:t xml:space="preserve"> and 2021</w:t>
      </w:r>
      <w:r w:rsidR="00E45EB4">
        <w:rPr>
          <w:sz w:val="14"/>
          <w:szCs w:val="14"/>
        </w:rPr>
        <w:t>–</w:t>
      </w:r>
      <w:r>
        <w:rPr>
          <w:sz w:val="14"/>
          <w:szCs w:val="14"/>
        </w:rPr>
        <w:t>22</w:t>
      </w:r>
      <w:r w:rsidRPr="00054691">
        <w:rPr>
          <w:sz w:val="14"/>
          <w:szCs w:val="14"/>
        </w:rPr>
        <w:t>. In the 202</w:t>
      </w:r>
      <w:r>
        <w:rPr>
          <w:sz w:val="14"/>
          <w:szCs w:val="14"/>
        </w:rPr>
        <w:t>4</w:t>
      </w:r>
      <w:r w:rsidRPr="00054691">
        <w:rPr>
          <w:sz w:val="14"/>
          <w:szCs w:val="14"/>
        </w:rPr>
        <w:t xml:space="preserve"> Update the assessment years were 2020–</w:t>
      </w:r>
      <w:r w:rsidRPr="00054691">
        <w:rPr>
          <w:rFonts w:ascii="Arial" w:hAnsi="Arial" w:hint="eastAsia"/>
          <w:sz w:val="14"/>
          <w:szCs w:val="14"/>
          <w:rtl/>
        </w:rPr>
        <w:t>‍</w:t>
      </w:r>
      <w:r w:rsidRPr="00054691">
        <w:rPr>
          <w:sz w:val="14"/>
          <w:szCs w:val="14"/>
        </w:rPr>
        <w:t>21</w:t>
      </w:r>
      <w:r>
        <w:rPr>
          <w:sz w:val="14"/>
          <w:szCs w:val="14"/>
        </w:rPr>
        <w:t>,</w:t>
      </w:r>
      <w:r w:rsidRPr="00054691">
        <w:rPr>
          <w:sz w:val="14"/>
          <w:szCs w:val="14"/>
        </w:rPr>
        <w:t xml:space="preserve"> 2021–</w:t>
      </w:r>
      <w:r w:rsidRPr="00054691">
        <w:rPr>
          <w:rFonts w:ascii="Arial" w:hAnsi="Arial" w:hint="eastAsia"/>
          <w:sz w:val="14"/>
          <w:szCs w:val="14"/>
          <w:rtl/>
        </w:rPr>
        <w:t>‍</w:t>
      </w:r>
      <w:r w:rsidRPr="00054691">
        <w:rPr>
          <w:sz w:val="14"/>
          <w:szCs w:val="14"/>
        </w:rPr>
        <w:t>22</w:t>
      </w:r>
      <w:r>
        <w:rPr>
          <w:sz w:val="14"/>
          <w:szCs w:val="14"/>
        </w:rPr>
        <w:t xml:space="preserve"> and 2022</w:t>
      </w:r>
      <w:r w:rsidR="00E45EB4">
        <w:rPr>
          <w:sz w:val="14"/>
          <w:szCs w:val="14"/>
        </w:rPr>
        <w:t>–</w:t>
      </w:r>
      <w:r>
        <w:rPr>
          <w:sz w:val="14"/>
          <w:szCs w:val="14"/>
        </w:rPr>
        <w:t>23</w:t>
      </w:r>
      <w:r w:rsidRPr="00054691">
        <w:rPr>
          <w:sz w:val="14"/>
          <w:szCs w:val="14"/>
        </w:rPr>
        <w:t xml:space="preserve">. </w:t>
      </w:r>
    </w:p>
  </w:footnote>
  <w:footnote w:id="8">
    <w:p w14:paraId="19DFF87D" w14:textId="77777777" w:rsidR="00EB6B91" w:rsidRPr="00014CAB" w:rsidRDefault="00EB6B91" w:rsidP="00EB6B91">
      <w:pPr>
        <w:pStyle w:val="FootnoteText"/>
        <w:ind w:left="142" w:hanging="142"/>
        <w:rPr>
          <w:sz w:val="14"/>
          <w:szCs w:val="14"/>
        </w:rPr>
      </w:pPr>
      <w:r w:rsidRPr="00014CAB">
        <w:rPr>
          <w:rStyle w:val="FootnoteReference"/>
          <w:vertAlign w:val="superscript"/>
        </w:rPr>
        <w:footnoteRef/>
      </w:r>
      <w:r>
        <w:rPr>
          <w:rStyle w:val="cf01"/>
        </w:rPr>
        <w:t xml:space="preserve"> </w:t>
      </w:r>
      <w:r w:rsidRPr="00014CAB">
        <w:rPr>
          <w:rStyle w:val="FootnoteReference"/>
          <w:vertAlign w:val="superscript"/>
        </w:rPr>
        <w:t xml:space="preserve"> </w:t>
      </w:r>
      <w:r>
        <w:rPr>
          <w:sz w:val="14"/>
          <w:szCs w:val="14"/>
        </w:rPr>
        <w:t>Location-based d</w:t>
      </w:r>
      <w:r w:rsidRPr="00B651F8">
        <w:rPr>
          <w:sz w:val="14"/>
          <w:szCs w:val="14"/>
        </w:rPr>
        <w:t xml:space="preserve">ata on where </w:t>
      </w:r>
      <w:r>
        <w:rPr>
          <w:sz w:val="14"/>
          <w:szCs w:val="14"/>
        </w:rPr>
        <w:t>a person lives are used in several of the Commission’s calculations of the drivers of different state spending needs, for example residence in remoteness</w:t>
      </w:r>
      <w:r w:rsidRPr="00BF1CA0">
        <w:rPr>
          <w:sz w:val="14"/>
          <w:szCs w:val="14"/>
        </w:rPr>
        <w:t xml:space="preserve"> areas</w:t>
      </w:r>
      <w:r>
        <w:rPr>
          <w:sz w:val="14"/>
          <w:szCs w:val="14"/>
        </w:rPr>
        <w:t>,</w:t>
      </w:r>
      <w:r w:rsidRPr="00BF1CA0">
        <w:rPr>
          <w:sz w:val="14"/>
          <w:szCs w:val="14"/>
        </w:rPr>
        <w:t xml:space="preserve"> </w:t>
      </w:r>
      <w:r>
        <w:rPr>
          <w:sz w:val="14"/>
          <w:szCs w:val="14"/>
        </w:rPr>
        <w:t xml:space="preserve">significant </w:t>
      </w:r>
      <w:r w:rsidRPr="00F9287E">
        <w:rPr>
          <w:sz w:val="14"/>
          <w:szCs w:val="14"/>
        </w:rPr>
        <w:t>urban areas, small communities</w:t>
      </w:r>
      <w:r>
        <w:rPr>
          <w:sz w:val="14"/>
          <w:szCs w:val="14"/>
        </w:rPr>
        <w:t>,</w:t>
      </w:r>
      <w:r w:rsidRPr="00F9287E">
        <w:rPr>
          <w:sz w:val="14"/>
          <w:szCs w:val="14"/>
        </w:rPr>
        <w:t xml:space="preserve"> remote communities</w:t>
      </w:r>
      <w:r>
        <w:rPr>
          <w:sz w:val="14"/>
          <w:szCs w:val="14"/>
        </w:rPr>
        <w:t xml:space="preserve"> and/or discrete First Nations communities. Location-based data are also used in socio-economic indexes and population density calculations. </w:t>
      </w:r>
    </w:p>
  </w:footnote>
  <w:footnote w:id="9">
    <w:p w14:paraId="204C952E" w14:textId="038265A3" w:rsidR="0076492B" w:rsidRPr="00A514F4" w:rsidRDefault="0076492B" w:rsidP="002445D8">
      <w:pPr>
        <w:pStyle w:val="FootnoteText"/>
        <w:ind w:left="112" w:hanging="112"/>
        <w:rPr>
          <w:sz w:val="14"/>
          <w:szCs w:val="14"/>
        </w:rPr>
      </w:pPr>
      <w:r w:rsidRPr="0095123E">
        <w:rPr>
          <w:rStyle w:val="FootnoteReference"/>
          <w:sz w:val="14"/>
          <w:szCs w:val="14"/>
          <w:vertAlign w:val="superscript"/>
        </w:rPr>
        <w:footnoteRef/>
      </w:r>
      <w:r w:rsidRPr="0095123E">
        <w:rPr>
          <w:sz w:val="14"/>
          <w:szCs w:val="14"/>
        </w:rPr>
        <w:t xml:space="preserve"> </w:t>
      </w:r>
      <w:r w:rsidRPr="0095123E">
        <w:rPr>
          <w:rStyle w:val="ui-provider"/>
          <w:sz w:val="14"/>
          <w:szCs w:val="14"/>
        </w:rPr>
        <w:t xml:space="preserve">The 2024 </w:t>
      </w:r>
      <w:r w:rsidR="00766843" w:rsidRPr="0095123E">
        <w:rPr>
          <w:rStyle w:val="ui-provider"/>
          <w:sz w:val="14"/>
          <w:szCs w:val="14"/>
        </w:rPr>
        <w:t>Update</w:t>
      </w:r>
      <w:r w:rsidRPr="0095123E">
        <w:rPr>
          <w:rStyle w:val="ui-provider"/>
          <w:sz w:val="14"/>
          <w:szCs w:val="14"/>
        </w:rPr>
        <w:t xml:space="preserve"> Terms of </w:t>
      </w:r>
      <w:r w:rsidR="00766843" w:rsidRPr="0095123E">
        <w:rPr>
          <w:rStyle w:val="ui-provider"/>
          <w:sz w:val="14"/>
          <w:szCs w:val="14"/>
        </w:rPr>
        <w:t>R</w:t>
      </w:r>
      <w:r w:rsidRPr="0095123E">
        <w:rPr>
          <w:rStyle w:val="ui-provider"/>
          <w:sz w:val="14"/>
          <w:szCs w:val="14"/>
        </w:rPr>
        <w:t xml:space="preserve">eference also specified payments for </w:t>
      </w:r>
      <w:r w:rsidRPr="0095123E">
        <w:rPr>
          <w:rStyle w:val="ui-provider"/>
          <w:i/>
          <w:sz w:val="14"/>
          <w:szCs w:val="14"/>
        </w:rPr>
        <w:t>Energy Bill Relief Fund</w:t>
      </w:r>
      <w:r w:rsidRPr="0095123E">
        <w:rPr>
          <w:rStyle w:val="ui-provider"/>
          <w:sz w:val="14"/>
          <w:szCs w:val="14"/>
        </w:rPr>
        <w:t xml:space="preserve">, </w:t>
      </w:r>
      <w:r w:rsidRPr="0095123E">
        <w:rPr>
          <w:rStyle w:val="ui-provider"/>
          <w:i/>
          <w:sz w:val="14"/>
          <w:szCs w:val="14"/>
        </w:rPr>
        <w:t>sporting venue infrastructure for the Brisbane 2032 Olympic and Paralympic games</w:t>
      </w:r>
      <w:r w:rsidRPr="0095123E">
        <w:rPr>
          <w:rStyle w:val="ui-provider"/>
          <w:sz w:val="14"/>
          <w:szCs w:val="14"/>
        </w:rPr>
        <w:t xml:space="preserve"> (Queensland), and </w:t>
      </w:r>
      <w:r w:rsidRPr="0095123E">
        <w:rPr>
          <w:rStyle w:val="ui-provider"/>
          <w:i/>
          <w:sz w:val="14"/>
          <w:szCs w:val="14"/>
        </w:rPr>
        <w:t xml:space="preserve">On-Country Learning </w:t>
      </w:r>
      <w:r w:rsidRPr="0095123E">
        <w:rPr>
          <w:rStyle w:val="ui-provider"/>
          <w:sz w:val="14"/>
          <w:szCs w:val="14"/>
        </w:rPr>
        <w:t xml:space="preserve">(Northern Territory) should not impact the relativities. These payments have not </w:t>
      </w:r>
      <w:r w:rsidR="000402CD" w:rsidRPr="0095123E">
        <w:rPr>
          <w:rStyle w:val="ui-provider"/>
          <w:sz w:val="14"/>
          <w:szCs w:val="14"/>
        </w:rPr>
        <w:t xml:space="preserve">yet </w:t>
      </w:r>
      <w:r w:rsidRPr="0095123E">
        <w:rPr>
          <w:rStyle w:val="ui-provider"/>
          <w:sz w:val="14"/>
          <w:szCs w:val="14"/>
        </w:rPr>
        <w:t>entered the Commission's assessment period.</w:t>
      </w:r>
    </w:p>
  </w:footnote>
  <w:footnote w:id="10">
    <w:p w14:paraId="02B3E84D" w14:textId="77777777" w:rsidR="001A4E47" w:rsidRDefault="001A4E47" w:rsidP="00F20229">
      <w:pPr>
        <w:pStyle w:val="Footer1"/>
        <w:ind w:left="98" w:hanging="98"/>
      </w:pPr>
      <w:r w:rsidRPr="004B3CA7">
        <w:rPr>
          <w:vertAlign w:val="superscript"/>
        </w:rPr>
        <w:footnoteRef/>
      </w:r>
      <w:r>
        <w:t xml:space="preserve"> </w:t>
      </w:r>
      <w:r w:rsidRPr="004C7A5E">
        <w:t xml:space="preserve">For more information on the 2018 legislated arrangements see Commonwealth Grants Commission (CGC), </w:t>
      </w:r>
      <w:hyperlink r:id="rId4" w:tgtFrame="_blank" w:tooltip="https://www.cgc.gov.au/publications/occasional-paper-4-new-arrangements-distributing-gst" w:history="1">
        <w:r w:rsidRPr="00CE1C94">
          <w:rPr>
            <w:color w:val="004563" w:themeColor="accent1"/>
            <w:u w:val="single"/>
          </w:rPr>
          <w:t>Occasional Paper No.4: New arrangements for distributing GST</w:t>
        </w:r>
      </w:hyperlink>
      <w:r w:rsidRPr="004C7A5E">
        <w:t>, CGC, Australian Government,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7859C9" w14:textId="6BB8AA54" w:rsidR="00C25219" w:rsidRDefault="00AB73C2">
    <w:pPr>
      <w:pStyle w:val="Header"/>
    </w:pPr>
    <w:r>
      <w:rPr>
        <w:noProof/>
      </w:rPr>
      <w:drawing>
        <wp:anchor distT="0" distB="0" distL="114300" distR="114300" simplePos="0" relativeHeight="251658240" behindDoc="1" locked="0" layoutInCell="1" allowOverlap="1" wp14:anchorId="3D0DD578" wp14:editId="380C23B2">
          <wp:simplePos x="0" y="0"/>
          <wp:positionH relativeFrom="column">
            <wp:posOffset>-899795</wp:posOffset>
          </wp:positionH>
          <wp:positionV relativeFrom="paragraph">
            <wp:posOffset>-447040</wp:posOffset>
          </wp:positionV>
          <wp:extent cx="7562789" cy="10689589"/>
          <wp:effectExtent l="0" t="0" r="635" b="0"/>
          <wp:wrapNone/>
          <wp:docPr id="2030541745" name="Picture 2030541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
                    <a:extLst>
                      <a:ext uri="{28A0092B-C50C-407E-A947-70E740481C1C}">
                        <a14:useLocalDpi xmlns:a14="http://schemas.microsoft.com/office/drawing/2010/main" val="0"/>
                      </a:ext>
                    </a:extLst>
                  </a:blip>
                  <a:stretch>
                    <a:fillRect/>
                  </a:stretch>
                </pic:blipFill>
                <pic:spPr>
                  <a:xfrm>
                    <a:off x="0" y="0"/>
                    <a:ext cx="7562789" cy="10689589"/>
                  </a:xfrm>
                  <a:prstGeom prst="rect">
                    <a:avLst/>
                  </a:prstGeom>
                </pic:spPr>
              </pic:pic>
            </a:graphicData>
          </a:graphic>
          <wp14:sizeRelH relativeFrom="margin">
            <wp14:pctWidth>0</wp14:pctWidth>
          </wp14:sizeRelH>
          <wp14:sizeRelV relativeFrom="margin">
            <wp14:pctHeight>0</wp14:pctHeight>
          </wp14:sizeRelV>
        </wp:anchor>
      </w:drawing>
    </w:r>
    <w:r w:rsidR="003759A1">
      <w:rPr>
        <w:noProof/>
      </w:rPr>
      <w:drawing>
        <wp:anchor distT="0" distB="0" distL="114300" distR="114300" simplePos="0" relativeHeight="251658243" behindDoc="1" locked="0" layoutInCell="1" allowOverlap="1" wp14:anchorId="5E0448FF" wp14:editId="3893EFC1">
          <wp:simplePos x="0" y="0"/>
          <wp:positionH relativeFrom="column">
            <wp:posOffset>-923290</wp:posOffset>
          </wp:positionH>
          <wp:positionV relativeFrom="paragraph">
            <wp:posOffset>10351135</wp:posOffset>
          </wp:positionV>
          <wp:extent cx="7580630" cy="10691495"/>
          <wp:effectExtent l="0" t="0" r="1270" b="1905"/>
          <wp:wrapNone/>
          <wp:docPr id="895813652" name="Picture 89581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A345CD">
      <w:rPr>
        <w:noProof/>
      </w:rPr>
      <w:drawing>
        <wp:anchor distT="0" distB="0" distL="114300" distR="114300" simplePos="0" relativeHeight="251658242" behindDoc="1" locked="0" layoutInCell="1" allowOverlap="1" wp14:anchorId="2CFE1E5C" wp14:editId="795823A5">
          <wp:simplePos x="0" y="0"/>
          <wp:positionH relativeFrom="column">
            <wp:posOffset>-900430</wp:posOffset>
          </wp:positionH>
          <wp:positionV relativeFrom="paragraph">
            <wp:posOffset>10362565</wp:posOffset>
          </wp:positionV>
          <wp:extent cx="7580630" cy="10691495"/>
          <wp:effectExtent l="0" t="0" r="1270" b="1905"/>
          <wp:wrapNone/>
          <wp:docPr id="1979389118" name="Picture 1979389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
                    <a:extLst>
                      <a:ext uri="{28A0092B-C50C-407E-A947-70E740481C1C}">
                        <a14:useLocalDpi xmlns:a14="http://schemas.microsoft.com/office/drawing/2010/main" val="0"/>
                      </a:ext>
                    </a:extLst>
                  </a:blip>
                  <a:stretch>
                    <a:fillRect/>
                  </a:stretch>
                </pic:blipFill>
                <pic:spPr>
                  <a:xfrm>
                    <a:off x="0" y="0"/>
                    <a:ext cx="7580630" cy="10691495"/>
                  </a:xfrm>
                  <a:prstGeom prst="rect">
                    <a:avLst/>
                  </a:prstGeom>
                </pic:spPr>
              </pic:pic>
            </a:graphicData>
          </a:graphic>
          <wp14:sizeRelH relativeFrom="margin">
            <wp14:pctWidth>0</wp14:pctWidth>
          </wp14:sizeRelH>
          <wp14:sizeRelV relativeFrom="margin">
            <wp14:pctHeight>0</wp14:pctHeight>
          </wp14:sizeRelV>
        </wp:anchor>
      </w:drawing>
    </w:r>
    <w:r w:rsidR="00C25219" w:rsidRPr="00410188">
      <w:rPr>
        <w:rFonts w:cs="Open Sans Semibold"/>
        <w:bCs/>
        <w:noProof/>
        <w:sz w:val="40"/>
        <w:szCs w:val="40"/>
        <w:lang w:val="en-US"/>
      </w:rPr>
      <w:drawing>
        <wp:anchor distT="0" distB="0" distL="114300" distR="114300" simplePos="0" relativeHeight="251658241" behindDoc="1" locked="0" layoutInCell="1" allowOverlap="1" wp14:anchorId="355101D3" wp14:editId="6682A560">
          <wp:simplePos x="0" y="0"/>
          <wp:positionH relativeFrom="column">
            <wp:posOffset>-1037590</wp:posOffset>
          </wp:positionH>
          <wp:positionV relativeFrom="paragraph">
            <wp:posOffset>10328275</wp:posOffset>
          </wp:positionV>
          <wp:extent cx="7683500" cy="10836275"/>
          <wp:effectExtent l="38100" t="38100" r="63500" b="34925"/>
          <wp:wrapNone/>
          <wp:docPr id="1810364934" name="Picture 1810364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
                    <a:extLst>
                      <a:ext uri="{28A0092B-C50C-407E-A947-70E740481C1C}">
                        <a14:useLocalDpi xmlns:a14="http://schemas.microsoft.com/office/drawing/2010/main" val="0"/>
                      </a:ext>
                    </a:extLst>
                  </a:blip>
                  <a:stretch>
                    <a:fillRect/>
                  </a:stretch>
                </pic:blipFill>
                <pic:spPr>
                  <a:xfrm>
                    <a:off x="0" y="0"/>
                    <a:ext cx="7683500" cy="10836275"/>
                  </a:xfrm>
                  <a:prstGeom prst="rect">
                    <a:avLst/>
                  </a:prstGeom>
                  <a:noFill/>
                  <a:ln w="88900" cap="sq">
                    <a:noFill/>
                    <a:miter lim="800000"/>
                  </a:ln>
                  <a:effectLst>
                    <a:outerShdw blurRad="55000" dist="18000" dir="5400000" algn="tl" rotWithShape="0">
                      <a:srgbClr val="000000">
                        <a:alpha val="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A4AF78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3F1000"/>
    <w:multiLevelType w:val="hybridMultilevel"/>
    <w:tmpl w:val="5300A804"/>
    <w:lvl w:ilvl="0" w:tplc="8C50647C">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 w15:restartNumberingAfterBreak="0">
    <w:nsid w:val="062B4009"/>
    <w:multiLevelType w:val="hybridMultilevel"/>
    <w:tmpl w:val="01706582"/>
    <w:lvl w:ilvl="0" w:tplc="D6DAEC90">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3" w15:restartNumberingAfterBreak="0">
    <w:nsid w:val="070F0300"/>
    <w:multiLevelType w:val="hybridMultilevel"/>
    <w:tmpl w:val="1D629616"/>
    <w:lvl w:ilvl="0" w:tplc="27F89A3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9BD38F3"/>
    <w:multiLevelType w:val="hybridMultilevel"/>
    <w:tmpl w:val="276E16B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C2515A8"/>
    <w:multiLevelType w:val="hybridMultilevel"/>
    <w:tmpl w:val="5F62B970"/>
    <w:lvl w:ilvl="0" w:tplc="D64A91DE">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6" w15:restartNumberingAfterBreak="0">
    <w:nsid w:val="10C62387"/>
    <w:multiLevelType w:val="hybridMultilevel"/>
    <w:tmpl w:val="B29E068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9F801A5"/>
    <w:multiLevelType w:val="hybridMultilevel"/>
    <w:tmpl w:val="C9C07256"/>
    <w:lvl w:ilvl="0" w:tplc="FFFFFFFF">
      <w:start w:val="1"/>
      <w:numFmt w:val="lowerLetter"/>
      <w:lvlText w:val="(%1)"/>
      <w:lvlJc w:val="left"/>
      <w:pPr>
        <w:ind w:left="473" w:hanging="360"/>
      </w:pPr>
      <w:rPr>
        <w:rFonts w:hint="default"/>
      </w:rPr>
    </w:lvl>
    <w:lvl w:ilvl="1" w:tplc="FFFFFFFF" w:tentative="1">
      <w:start w:val="1"/>
      <w:numFmt w:val="lowerLetter"/>
      <w:lvlText w:val="%2."/>
      <w:lvlJc w:val="left"/>
      <w:pPr>
        <w:ind w:left="1193" w:hanging="360"/>
      </w:pPr>
    </w:lvl>
    <w:lvl w:ilvl="2" w:tplc="FFFFFFFF" w:tentative="1">
      <w:start w:val="1"/>
      <w:numFmt w:val="lowerRoman"/>
      <w:lvlText w:val="%3."/>
      <w:lvlJc w:val="right"/>
      <w:pPr>
        <w:ind w:left="1913" w:hanging="180"/>
      </w:pPr>
    </w:lvl>
    <w:lvl w:ilvl="3" w:tplc="FFFFFFFF" w:tentative="1">
      <w:start w:val="1"/>
      <w:numFmt w:val="decimal"/>
      <w:lvlText w:val="%4."/>
      <w:lvlJc w:val="left"/>
      <w:pPr>
        <w:ind w:left="2633" w:hanging="360"/>
      </w:pPr>
    </w:lvl>
    <w:lvl w:ilvl="4" w:tplc="FFFFFFFF" w:tentative="1">
      <w:start w:val="1"/>
      <w:numFmt w:val="lowerLetter"/>
      <w:lvlText w:val="%5."/>
      <w:lvlJc w:val="left"/>
      <w:pPr>
        <w:ind w:left="3353" w:hanging="360"/>
      </w:pPr>
    </w:lvl>
    <w:lvl w:ilvl="5" w:tplc="FFFFFFFF" w:tentative="1">
      <w:start w:val="1"/>
      <w:numFmt w:val="lowerRoman"/>
      <w:lvlText w:val="%6."/>
      <w:lvlJc w:val="right"/>
      <w:pPr>
        <w:ind w:left="4073" w:hanging="180"/>
      </w:pPr>
    </w:lvl>
    <w:lvl w:ilvl="6" w:tplc="FFFFFFFF" w:tentative="1">
      <w:start w:val="1"/>
      <w:numFmt w:val="decimal"/>
      <w:lvlText w:val="%7."/>
      <w:lvlJc w:val="left"/>
      <w:pPr>
        <w:ind w:left="4793" w:hanging="360"/>
      </w:pPr>
    </w:lvl>
    <w:lvl w:ilvl="7" w:tplc="FFFFFFFF" w:tentative="1">
      <w:start w:val="1"/>
      <w:numFmt w:val="lowerLetter"/>
      <w:lvlText w:val="%8."/>
      <w:lvlJc w:val="left"/>
      <w:pPr>
        <w:ind w:left="5513" w:hanging="360"/>
      </w:pPr>
    </w:lvl>
    <w:lvl w:ilvl="8" w:tplc="FFFFFFFF" w:tentative="1">
      <w:start w:val="1"/>
      <w:numFmt w:val="lowerRoman"/>
      <w:lvlText w:val="%9."/>
      <w:lvlJc w:val="right"/>
      <w:pPr>
        <w:ind w:left="6233" w:hanging="180"/>
      </w:pPr>
    </w:lvl>
  </w:abstractNum>
  <w:abstractNum w:abstractNumId="8" w15:restartNumberingAfterBreak="0">
    <w:nsid w:val="1F913CD9"/>
    <w:multiLevelType w:val="hybridMultilevel"/>
    <w:tmpl w:val="9E00DC52"/>
    <w:lvl w:ilvl="0" w:tplc="79B21658">
      <w:start w:val="1"/>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5E6C07"/>
    <w:multiLevelType w:val="hybridMultilevel"/>
    <w:tmpl w:val="8CD2E256"/>
    <w:lvl w:ilvl="0" w:tplc="8FC05704">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0" w15:restartNumberingAfterBreak="0">
    <w:nsid w:val="2E454EEB"/>
    <w:multiLevelType w:val="hybridMultilevel"/>
    <w:tmpl w:val="83D0573A"/>
    <w:lvl w:ilvl="0" w:tplc="56EAE908">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175223B"/>
    <w:multiLevelType w:val="hybridMultilevel"/>
    <w:tmpl w:val="03A88D0C"/>
    <w:lvl w:ilvl="0" w:tplc="7D7C638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19E3C57"/>
    <w:multiLevelType w:val="hybridMultilevel"/>
    <w:tmpl w:val="C9C07256"/>
    <w:lvl w:ilvl="0" w:tplc="C69018CC">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3" w15:restartNumberingAfterBreak="0">
    <w:nsid w:val="3219354B"/>
    <w:multiLevelType w:val="hybridMultilevel"/>
    <w:tmpl w:val="4008BF40"/>
    <w:lvl w:ilvl="0" w:tplc="43CC41F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4" w15:restartNumberingAfterBreak="0">
    <w:nsid w:val="39844E90"/>
    <w:multiLevelType w:val="hybridMultilevel"/>
    <w:tmpl w:val="4CEEA9DC"/>
    <w:lvl w:ilvl="0" w:tplc="8EE8E316">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5" w15:restartNumberingAfterBreak="0">
    <w:nsid w:val="3C75065F"/>
    <w:multiLevelType w:val="hybridMultilevel"/>
    <w:tmpl w:val="5B94C7DA"/>
    <w:lvl w:ilvl="0" w:tplc="EE20EDE8">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16" w15:restartNumberingAfterBreak="0">
    <w:nsid w:val="44511CFA"/>
    <w:multiLevelType w:val="hybridMultilevel"/>
    <w:tmpl w:val="BCC2C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DE64609"/>
    <w:multiLevelType w:val="hybridMultilevel"/>
    <w:tmpl w:val="B296C9B4"/>
    <w:lvl w:ilvl="0" w:tplc="F38C08D2">
      <w:start w:val="1"/>
      <w:numFmt w:val="bullet"/>
      <w:lvlText w:val=""/>
      <w:lvlJc w:val="left"/>
      <w:pPr>
        <w:ind w:left="1080" w:hanging="360"/>
      </w:pPr>
      <w:rPr>
        <w:rFonts w:ascii="Symbol" w:eastAsiaTheme="minorHAnsi" w:hAnsi="Symbol"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8" w15:restartNumberingAfterBreak="0">
    <w:nsid w:val="54AB7272"/>
    <w:multiLevelType w:val="multilevel"/>
    <w:tmpl w:val="D0ACF7F8"/>
    <w:lvl w:ilvl="0">
      <w:start w:val="1"/>
      <w:numFmt w:val="decimal"/>
      <w:pStyle w:val="Heading1"/>
      <w:suff w:val="space"/>
      <w:lvlText w:val="Chapter %1"/>
      <w:lvlJc w:val="left"/>
      <w:pPr>
        <w:ind w:left="0" w:firstLine="0"/>
      </w:pPr>
      <w:rPr>
        <w:rFonts w:hint="default"/>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19" w15:restartNumberingAfterBreak="0">
    <w:nsid w:val="5F2B3C74"/>
    <w:multiLevelType w:val="hybridMultilevel"/>
    <w:tmpl w:val="57282D2E"/>
    <w:lvl w:ilvl="0" w:tplc="42E812BE">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abstractNum w:abstractNumId="20" w15:restartNumberingAfterBreak="0">
    <w:nsid w:val="62C43905"/>
    <w:multiLevelType w:val="hybridMultilevel"/>
    <w:tmpl w:val="6EC85F92"/>
    <w:lvl w:ilvl="0" w:tplc="C784C88E">
      <w:numFmt w:val="bullet"/>
      <w:pStyle w:val="BulletPoints-Level2"/>
      <w:lvlText w:val="-"/>
      <w:lvlJc w:val="left"/>
      <w:pPr>
        <w:ind w:left="1287" w:hanging="360"/>
      </w:pPr>
      <w:rPr>
        <w:rFonts w:ascii="Work Sans" w:hAnsi="Work Sans" w:cstheme="minorBidi" w:hint="default"/>
        <w:color w:val="171717" w:themeColor="background2" w:themeShade="1A"/>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1" w15:restartNumberingAfterBreak="0">
    <w:nsid w:val="63FB7016"/>
    <w:multiLevelType w:val="hybridMultilevel"/>
    <w:tmpl w:val="A54011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CF1353C"/>
    <w:multiLevelType w:val="hybridMultilevel"/>
    <w:tmpl w:val="607E1E02"/>
    <w:lvl w:ilvl="0" w:tplc="FE6AC712">
      <w:start w:val="1"/>
      <w:numFmt w:val="decimal"/>
      <w:pStyle w:val="ListNumberedlvl1"/>
      <w:lvlText w:val="%1."/>
      <w:lvlJc w:val="left"/>
      <w:pPr>
        <w:ind w:left="720" w:hanging="360"/>
      </w:pPr>
      <w:rPr>
        <w:rFonts w:hint="default"/>
      </w:rPr>
    </w:lvl>
    <w:lvl w:ilvl="1" w:tplc="3A2880FA">
      <w:start w:val="1"/>
      <w:numFmt w:val="lowerLetter"/>
      <w:pStyle w:val="ListNumberedlvl2"/>
      <w:lvlText w:val="%2."/>
      <w:lvlJc w:val="left"/>
      <w:pPr>
        <w:ind w:left="1440" w:hanging="360"/>
      </w:pPr>
    </w:lvl>
    <w:lvl w:ilvl="2" w:tplc="37844A7E">
      <w:start w:val="1"/>
      <w:numFmt w:val="lowerRoman"/>
      <w:pStyle w:val="ListNumberedlvl3"/>
      <w:lvlText w:val="%3."/>
      <w:lvlJc w:val="right"/>
      <w:pPr>
        <w:ind w:left="2160" w:hanging="180"/>
      </w:pPr>
    </w:lvl>
    <w:lvl w:ilvl="3" w:tplc="87264702">
      <w:start w:val="1"/>
      <w:numFmt w:val="decimal"/>
      <w:pStyle w:val="ListNumberedlvl4"/>
      <w:lvlText w:val="%4."/>
      <w:lvlJc w:val="left"/>
      <w:pPr>
        <w:ind w:left="2880" w:hanging="360"/>
      </w:pPr>
    </w:lvl>
    <w:lvl w:ilvl="4" w:tplc="C7DE4C48">
      <w:start w:val="1"/>
      <w:numFmt w:val="lowerLetter"/>
      <w:pStyle w:val="ListNumberedlvl5"/>
      <w:lvlText w:val="%5."/>
      <w:lvlJc w:val="left"/>
      <w:pPr>
        <w:ind w:left="3600" w:hanging="360"/>
      </w:pPr>
    </w:lvl>
    <w:lvl w:ilvl="5" w:tplc="571AF820">
      <w:start w:val="1"/>
      <w:numFmt w:val="lowerRoman"/>
      <w:pStyle w:val="ListNumberedlvl6"/>
      <w:lvlText w:val="%6."/>
      <w:lvlJc w:val="right"/>
      <w:pPr>
        <w:ind w:left="4320" w:hanging="180"/>
      </w:pPr>
    </w:lvl>
    <w:lvl w:ilvl="6" w:tplc="E7568C1E">
      <w:start w:val="1"/>
      <w:numFmt w:val="decimal"/>
      <w:pStyle w:val="ListNumberedlvl7"/>
      <w:lvlText w:val="%7."/>
      <w:lvlJc w:val="left"/>
      <w:pPr>
        <w:ind w:left="5040" w:hanging="360"/>
      </w:pPr>
    </w:lvl>
    <w:lvl w:ilvl="7" w:tplc="CF44FDAA">
      <w:start w:val="1"/>
      <w:numFmt w:val="lowerLetter"/>
      <w:pStyle w:val="ListNumberedlvl8"/>
      <w:lvlText w:val="%8."/>
      <w:lvlJc w:val="left"/>
      <w:pPr>
        <w:ind w:left="5760" w:hanging="360"/>
      </w:pPr>
    </w:lvl>
    <w:lvl w:ilvl="8" w:tplc="B8BA5F62">
      <w:start w:val="1"/>
      <w:numFmt w:val="lowerRoman"/>
      <w:pStyle w:val="ListNumberedlvl9"/>
      <w:lvlText w:val="%9."/>
      <w:lvlJc w:val="right"/>
      <w:pPr>
        <w:ind w:left="6480" w:hanging="180"/>
      </w:pPr>
    </w:lvl>
  </w:abstractNum>
  <w:abstractNum w:abstractNumId="23" w15:restartNumberingAfterBreak="0">
    <w:nsid w:val="74D554F9"/>
    <w:multiLevelType w:val="hybridMultilevel"/>
    <w:tmpl w:val="E2F6BCEA"/>
    <w:lvl w:ilvl="0" w:tplc="65920C2E">
      <w:start w:val="1"/>
      <w:numFmt w:val="bullet"/>
      <w:pStyle w:val="BulletPoints"/>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59D52FA"/>
    <w:multiLevelType w:val="hybridMultilevel"/>
    <w:tmpl w:val="21AC1314"/>
    <w:lvl w:ilvl="0" w:tplc="1E0C014C">
      <w:start w:val="1"/>
      <w:numFmt w:val="decimal"/>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76380757"/>
    <w:multiLevelType w:val="hybridMultilevel"/>
    <w:tmpl w:val="AC26BBF0"/>
    <w:lvl w:ilvl="0" w:tplc="0380C5A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8FB0023"/>
    <w:multiLevelType w:val="hybridMultilevel"/>
    <w:tmpl w:val="4CB0569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7BA13371"/>
    <w:multiLevelType w:val="hybridMultilevel"/>
    <w:tmpl w:val="02083580"/>
    <w:lvl w:ilvl="0" w:tplc="AABC6FB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C93134"/>
    <w:multiLevelType w:val="hybridMultilevel"/>
    <w:tmpl w:val="1DCA584E"/>
    <w:lvl w:ilvl="0" w:tplc="E4E262C2">
      <w:start w:val="1"/>
      <w:numFmt w:val="lowerLetter"/>
      <w:lvlText w:val="(%1)"/>
      <w:lvlJc w:val="left"/>
      <w:pPr>
        <w:ind w:left="473" w:hanging="360"/>
      </w:pPr>
      <w:rPr>
        <w:rFonts w:hint="default"/>
      </w:rPr>
    </w:lvl>
    <w:lvl w:ilvl="1" w:tplc="0C090019" w:tentative="1">
      <w:start w:val="1"/>
      <w:numFmt w:val="lowerLetter"/>
      <w:lvlText w:val="%2."/>
      <w:lvlJc w:val="left"/>
      <w:pPr>
        <w:ind w:left="1193" w:hanging="360"/>
      </w:pPr>
    </w:lvl>
    <w:lvl w:ilvl="2" w:tplc="0C09001B" w:tentative="1">
      <w:start w:val="1"/>
      <w:numFmt w:val="lowerRoman"/>
      <w:lvlText w:val="%3."/>
      <w:lvlJc w:val="right"/>
      <w:pPr>
        <w:ind w:left="1913" w:hanging="180"/>
      </w:pPr>
    </w:lvl>
    <w:lvl w:ilvl="3" w:tplc="0C09000F" w:tentative="1">
      <w:start w:val="1"/>
      <w:numFmt w:val="decimal"/>
      <w:lvlText w:val="%4."/>
      <w:lvlJc w:val="left"/>
      <w:pPr>
        <w:ind w:left="2633" w:hanging="360"/>
      </w:pPr>
    </w:lvl>
    <w:lvl w:ilvl="4" w:tplc="0C090019" w:tentative="1">
      <w:start w:val="1"/>
      <w:numFmt w:val="lowerLetter"/>
      <w:lvlText w:val="%5."/>
      <w:lvlJc w:val="left"/>
      <w:pPr>
        <w:ind w:left="3353" w:hanging="360"/>
      </w:pPr>
    </w:lvl>
    <w:lvl w:ilvl="5" w:tplc="0C09001B" w:tentative="1">
      <w:start w:val="1"/>
      <w:numFmt w:val="lowerRoman"/>
      <w:lvlText w:val="%6."/>
      <w:lvlJc w:val="right"/>
      <w:pPr>
        <w:ind w:left="4073" w:hanging="180"/>
      </w:pPr>
    </w:lvl>
    <w:lvl w:ilvl="6" w:tplc="0C09000F" w:tentative="1">
      <w:start w:val="1"/>
      <w:numFmt w:val="decimal"/>
      <w:lvlText w:val="%7."/>
      <w:lvlJc w:val="left"/>
      <w:pPr>
        <w:ind w:left="4793" w:hanging="360"/>
      </w:pPr>
    </w:lvl>
    <w:lvl w:ilvl="7" w:tplc="0C090019" w:tentative="1">
      <w:start w:val="1"/>
      <w:numFmt w:val="lowerLetter"/>
      <w:lvlText w:val="%8."/>
      <w:lvlJc w:val="left"/>
      <w:pPr>
        <w:ind w:left="5513" w:hanging="360"/>
      </w:pPr>
    </w:lvl>
    <w:lvl w:ilvl="8" w:tplc="0C09001B" w:tentative="1">
      <w:start w:val="1"/>
      <w:numFmt w:val="lowerRoman"/>
      <w:lvlText w:val="%9."/>
      <w:lvlJc w:val="right"/>
      <w:pPr>
        <w:ind w:left="6233" w:hanging="180"/>
      </w:pPr>
    </w:lvl>
  </w:abstractNum>
  <w:num w:numId="1" w16cid:durableId="2078286755">
    <w:abstractNumId w:val="16"/>
  </w:num>
  <w:num w:numId="2" w16cid:durableId="447089939">
    <w:abstractNumId w:val="8"/>
  </w:num>
  <w:num w:numId="3" w16cid:durableId="170143125">
    <w:abstractNumId w:val="17"/>
  </w:num>
  <w:num w:numId="4" w16cid:durableId="1123304456">
    <w:abstractNumId w:val="11"/>
  </w:num>
  <w:num w:numId="5" w16cid:durableId="1370717944">
    <w:abstractNumId w:val="0"/>
  </w:num>
  <w:num w:numId="6" w16cid:durableId="1943224553">
    <w:abstractNumId w:val="21"/>
  </w:num>
  <w:num w:numId="7" w16cid:durableId="1095172959">
    <w:abstractNumId w:val="23"/>
  </w:num>
  <w:num w:numId="8" w16cid:durableId="1450737137">
    <w:abstractNumId w:val="20"/>
  </w:num>
  <w:num w:numId="9" w16cid:durableId="194731362">
    <w:abstractNumId w:val="27"/>
  </w:num>
  <w:num w:numId="10" w16cid:durableId="1319919810">
    <w:abstractNumId w:val="14"/>
  </w:num>
  <w:num w:numId="11" w16cid:durableId="1869634851">
    <w:abstractNumId w:val="1"/>
  </w:num>
  <w:num w:numId="12" w16cid:durableId="131484139">
    <w:abstractNumId w:val="25"/>
  </w:num>
  <w:num w:numId="13" w16cid:durableId="994409130">
    <w:abstractNumId w:val="3"/>
  </w:num>
  <w:num w:numId="14" w16cid:durableId="1510363698">
    <w:abstractNumId w:val="13"/>
  </w:num>
  <w:num w:numId="15" w16cid:durableId="1928995267">
    <w:abstractNumId w:val="12"/>
  </w:num>
  <w:num w:numId="16" w16cid:durableId="1421171959">
    <w:abstractNumId w:val="7"/>
  </w:num>
  <w:num w:numId="17" w16cid:durableId="1886141658">
    <w:abstractNumId w:val="23"/>
  </w:num>
  <w:num w:numId="18" w16cid:durableId="2026321204">
    <w:abstractNumId w:val="6"/>
  </w:num>
  <w:num w:numId="19" w16cid:durableId="1781801149">
    <w:abstractNumId w:val="10"/>
  </w:num>
  <w:num w:numId="20" w16cid:durableId="278948791">
    <w:abstractNumId w:val="19"/>
  </w:num>
  <w:num w:numId="21" w16cid:durableId="280890169">
    <w:abstractNumId w:val="9"/>
  </w:num>
  <w:num w:numId="22" w16cid:durableId="1481380690">
    <w:abstractNumId w:val="15"/>
  </w:num>
  <w:num w:numId="23" w16cid:durableId="1476990008">
    <w:abstractNumId w:val="5"/>
  </w:num>
  <w:num w:numId="24" w16cid:durableId="1773822905">
    <w:abstractNumId w:val="28"/>
  </w:num>
  <w:num w:numId="25" w16cid:durableId="766000014">
    <w:abstractNumId w:val="2"/>
  </w:num>
  <w:num w:numId="26" w16cid:durableId="2128621796">
    <w:abstractNumId w:val="18"/>
  </w:num>
  <w:num w:numId="27" w16cid:durableId="7296926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99251211">
    <w:abstractNumId w:val="4"/>
  </w:num>
  <w:num w:numId="29" w16cid:durableId="1730567704">
    <w:abstractNumId w:val="24"/>
  </w:num>
  <w:num w:numId="30" w16cid:durableId="52780304">
    <w:abstractNumId w:val="26"/>
  </w:num>
  <w:num w:numId="31" w16cid:durableId="1389063019">
    <w:abstractNumId w:val="22"/>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0550"/>
    <w:rsid w:val="00000043"/>
    <w:rsid w:val="0000035F"/>
    <w:rsid w:val="000004B2"/>
    <w:rsid w:val="00000BDE"/>
    <w:rsid w:val="00000C98"/>
    <w:rsid w:val="00000D12"/>
    <w:rsid w:val="00001228"/>
    <w:rsid w:val="000013B3"/>
    <w:rsid w:val="00001AA1"/>
    <w:rsid w:val="00001CB3"/>
    <w:rsid w:val="00001F9D"/>
    <w:rsid w:val="0000252E"/>
    <w:rsid w:val="000026AF"/>
    <w:rsid w:val="000027A1"/>
    <w:rsid w:val="0000299B"/>
    <w:rsid w:val="00002C6C"/>
    <w:rsid w:val="00003E69"/>
    <w:rsid w:val="00004680"/>
    <w:rsid w:val="00004D62"/>
    <w:rsid w:val="00006449"/>
    <w:rsid w:val="0000692B"/>
    <w:rsid w:val="0000723F"/>
    <w:rsid w:val="00007D10"/>
    <w:rsid w:val="0001000C"/>
    <w:rsid w:val="000104FC"/>
    <w:rsid w:val="00010655"/>
    <w:rsid w:val="000108C0"/>
    <w:rsid w:val="00010B1E"/>
    <w:rsid w:val="00011332"/>
    <w:rsid w:val="000114EA"/>
    <w:rsid w:val="0001180C"/>
    <w:rsid w:val="000120C0"/>
    <w:rsid w:val="00012175"/>
    <w:rsid w:val="0001258E"/>
    <w:rsid w:val="00012A4A"/>
    <w:rsid w:val="00013266"/>
    <w:rsid w:val="0001342A"/>
    <w:rsid w:val="000135FE"/>
    <w:rsid w:val="000137D6"/>
    <w:rsid w:val="00013CBF"/>
    <w:rsid w:val="00014569"/>
    <w:rsid w:val="0001499B"/>
    <w:rsid w:val="00014CAB"/>
    <w:rsid w:val="000150F9"/>
    <w:rsid w:val="0001521B"/>
    <w:rsid w:val="0001551F"/>
    <w:rsid w:val="00015B28"/>
    <w:rsid w:val="00015B5E"/>
    <w:rsid w:val="00015B8C"/>
    <w:rsid w:val="00016048"/>
    <w:rsid w:val="000167CF"/>
    <w:rsid w:val="00016ACF"/>
    <w:rsid w:val="00016C5C"/>
    <w:rsid w:val="00016DA4"/>
    <w:rsid w:val="0001749A"/>
    <w:rsid w:val="00017F86"/>
    <w:rsid w:val="00020425"/>
    <w:rsid w:val="00020609"/>
    <w:rsid w:val="0002062D"/>
    <w:rsid w:val="00020F35"/>
    <w:rsid w:val="00021233"/>
    <w:rsid w:val="00021282"/>
    <w:rsid w:val="00021966"/>
    <w:rsid w:val="00022096"/>
    <w:rsid w:val="0002236B"/>
    <w:rsid w:val="00022BBE"/>
    <w:rsid w:val="00022F48"/>
    <w:rsid w:val="00022F70"/>
    <w:rsid w:val="00022FDB"/>
    <w:rsid w:val="00023280"/>
    <w:rsid w:val="00023624"/>
    <w:rsid w:val="00023667"/>
    <w:rsid w:val="00023993"/>
    <w:rsid w:val="00024152"/>
    <w:rsid w:val="000250C8"/>
    <w:rsid w:val="000252E7"/>
    <w:rsid w:val="000254A3"/>
    <w:rsid w:val="0002591F"/>
    <w:rsid w:val="000263D9"/>
    <w:rsid w:val="00027424"/>
    <w:rsid w:val="0002762D"/>
    <w:rsid w:val="00027E92"/>
    <w:rsid w:val="00027FD0"/>
    <w:rsid w:val="00030012"/>
    <w:rsid w:val="0003036A"/>
    <w:rsid w:val="0003169E"/>
    <w:rsid w:val="000319F9"/>
    <w:rsid w:val="00031F17"/>
    <w:rsid w:val="0003212F"/>
    <w:rsid w:val="0003231F"/>
    <w:rsid w:val="000324CC"/>
    <w:rsid w:val="00032593"/>
    <w:rsid w:val="0003272A"/>
    <w:rsid w:val="00032807"/>
    <w:rsid w:val="00032945"/>
    <w:rsid w:val="00032A93"/>
    <w:rsid w:val="00032C7D"/>
    <w:rsid w:val="00032CBF"/>
    <w:rsid w:val="00033177"/>
    <w:rsid w:val="00033300"/>
    <w:rsid w:val="000333FD"/>
    <w:rsid w:val="00033536"/>
    <w:rsid w:val="00033CBE"/>
    <w:rsid w:val="00034741"/>
    <w:rsid w:val="000347EB"/>
    <w:rsid w:val="0003494F"/>
    <w:rsid w:val="00035462"/>
    <w:rsid w:val="0003575D"/>
    <w:rsid w:val="00035C61"/>
    <w:rsid w:val="000360A0"/>
    <w:rsid w:val="000366EE"/>
    <w:rsid w:val="0003671B"/>
    <w:rsid w:val="00036738"/>
    <w:rsid w:val="0003694D"/>
    <w:rsid w:val="0003699E"/>
    <w:rsid w:val="00036A5A"/>
    <w:rsid w:val="00036D10"/>
    <w:rsid w:val="00036DFE"/>
    <w:rsid w:val="00037221"/>
    <w:rsid w:val="00037398"/>
    <w:rsid w:val="000373A8"/>
    <w:rsid w:val="00037452"/>
    <w:rsid w:val="00037A5F"/>
    <w:rsid w:val="00037D37"/>
    <w:rsid w:val="00037F69"/>
    <w:rsid w:val="000400C3"/>
    <w:rsid w:val="000402CD"/>
    <w:rsid w:val="000408BB"/>
    <w:rsid w:val="00040AB0"/>
    <w:rsid w:val="000415A6"/>
    <w:rsid w:val="000421E8"/>
    <w:rsid w:val="00042B16"/>
    <w:rsid w:val="000433DC"/>
    <w:rsid w:val="00043660"/>
    <w:rsid w:val="000438C5"/>
    <w:rsid w:val="00043BFE"/>
    <w:rsid w:val="00043E02"/>
    <w:rsid w:val="00043EFD"/>
    <w:rsid w:val="0004453F"/>
    <w:rsid w:val="000447E2"/>
    <w:rsid w:val="00044FB0"/>
    <w:rsid w:val="00045165"/>
    <w:rsid w:val="00045911"/>
    <w:rsid w:val="00045A88"/>
    <w:rsid w:val="00046009"/>
    <w:rsid w:val="00046477"/>
    <w:rsid w:val="00046BCF"/>
    <w:rsid w:val="00046E8D"/>
    <w:rsid w:val="000470AC"/>
    <w:rsid w:val="00047120"/>
    <w:rsid w:val="00047167"/>
    <w:rsid w:val="000474B5"/>
    <w:rsid w:val="000477BF"/>
    <w:rsid w:val="00047D2A"/>
    <w:rsid w:val="000501F4"/>
    <w:rsid w:val="0005111A"/>
    <w:rsid w:val="0005137E"/>
    <w:rsid w:val="000519D2"/>
    <w:rsid w:val="00051D4F"/>
    <w:rsid w:val="00051E6D"/>
    <w:rsid w:val="0005213C"/>
    <w:rsid w:val="0005221F"/>
    <w:rsid w:val="0005268E"/>
    <w:rsid w:val="000536A5"/>
    <w:rsid w:val="000538E3"/>
    <w:rsid w:val="00053A2C"/>
    <w:rsid w:val="00053C1B"/>
    <w:rsid w:val="00053D82"/>
    <w:rsid w:val="000540ED"/>
    <w:rsid w:val="000543EA"/>
    <w:rsid w:val="00054BF2"/>
    <w:rsid w:val="00054FC7"/>
    <w:rsid w:val="00054FD0"/>
    <w:rsid w:val="000552D3"/>
    <w:rsid w:val="00055491"/>
    <w:rsid w:val="00055632"/>
    <w:rsid w:val="00055800"/>
    <w:rsid w:val="00055B08"/>
    <w:rsid w:val="00055D3D"/>
    <w:rsid w:val="00055D7F"/>
    <w:rsid w:val="00055E83"/>
    <w:rsid w:val="0005602E"/>
    <w:rsid w:val="00056176"/>
    <w:rsid w:val="00056990"/>
    <w:rsid w:val="00057030"/>
    <w:rsid w:val="00057618"/>
    <w:rsid w:val="00057B9B"/>
    <w:rsid w:val="00060585"/>
    <w:rsid w:val="00060D5A"/>
    <w:rsid w:val="00060FB9"/>
    <w:rsid w:val="0006110E"/>
    <w:rsid w:val="00061BE3"/>
    <w:rsid w:val="00062054"/>
    <w:rsid w:val="0006205A"/>
    <w:rsid w:val="0006231C"/>
    <w:rsid w:val="00062576"/>
    <w:rsid w:val="00062632"/>
    <w:rsid w:val="0006271F"/>
    <w:rsid w:val="000627C7"/>
    <w:rsid w:val="00063565"/>
    <w:rsid w:val="0006398C"/>
    <w:rsid w:val="00063B5B"/>
    <w:rsid w:val="00063DCF"/>
    <w:rsid w:val="00064B39"/>
    <w:rsid w:val="00064B69"/>
    <w:rsid w:val="00064D41"/>
    <w:rsid w:val="00064F06"/>
    <w:rsid w:val="000650CB"/>
    <w:rsid w:val="000651C4"/>
    <w:rsid w:val="000656FD"/>
    <w:rsid w:val="00065923"/>
    <w:rsid w:val="00066A18"/>
    <w:rsid w:val="00066B8F"/>
    <w:rsid w:val="00066D80"/>
    <w:rsid w:val="00066E51"/>
    <w:rsid w:val="000670CB"/>
    <w:rsid w:val="00067C88"/>
    <w:rsid w:val="00067E9A"/>
    <w:rsid w:val="00070155"/>
    <w:rsid w:val="000702ED"/>
    <w:rsid w:val="00070831"/>
    <w:rsid w:val="00070D33"/>
    <w:rsid w:val="0007132E"/>
    <w:rsid w:val="00071464"/>
    <w:rsid w:val="00071ADD"/>
    <w:rsid w:val="0007248A"/>
    <w:rsid w:val="000724CE"/>
    <w:rsid w:val="00072C8E"/>
    <w:rsid w:val="00072EB6"/>
    <w:rsid w:val="0007301F"/>
    <w:rsid w:val="00073130"/>
    <w:rsid w:val="0007316C"/>
    <w:rsid w:val="0007341E"/>
    <w:rsid w:val="0007412D"/>
    <w:rsid w:val="000743DE"/>
    <w:rsid w:val="0007458E"/>
    <w:rsid w:val="0007459A"/>
    <w:rsid w:val="00074675"/>
    <w:rsid w:val="00074962"/>
    <w:rsid w:val="00075E28"/>
    <w:rsid w:val="000760B1"/>
    <w:rsid w:val="00077D7E"/>
    <w:rsid w:val="00080012"/>
    <w:rsid w:val="000802E5"/>
    <w:rsid w:val="00080B7B"/>
    <w:rsid w:val="00080C9E"/>
    <w:rsid w:val="00080FAE"/>
    <w:rsid w:val="00080FE6"/>
    <w:rsid w:val="00081083"/>
    <w:rsid w:val="00081807"/>
    <w:rsid w:val="00081835"/>
    <w:rsid w:val="00082429"/>
    <w:rsid w:val="00082C51"/>
    <w:rsid w:val="000836B3"/>
    <w:rsid w:val="00083A87"/>
    <w:rsid w:val="00083CB7"/>
    <w:rsid w:val="000840BA"/>
    <w:rsid w:val="000840EF"/>
    <w:rsid w:val="00084259"/>
    <w:rsid w:val="0008427D"/>
    <w:rsid w:val="000847F6"/>
    <w:rsid w:val="000849E9"/>
    <w:rsid w:val="00085225"/>
    <w:rsid w:val="000859CC"/>
    <w:rsid w:val="00085B92"/>
    <w:rsid w:val="00085C3E"/>
    <w:rsid w:val="00085DC6"/>
    <w:rsid w:val="00086481"/>
    <w:rsid w:val="00086550"/>
    <w:rsid w:val="00086865"/>
    <w:rsid w:val="000869CF"/>
    <w:rsid w:val="00086EFA"/>
    <w:rsid w:val="0008715E"/>
    <w:rsid w:val="000872FC"/>
    <w:rsid w:val="00087377"/>
    <w:rsid w:val="00087668"/>
    <w:rsid w:val="000900BE"/>
    <w:rsid w:val="000900E4"/>
    <w:rsid w:val="00090729"/>
    <w:rsid w:val="000908E6"/>
    <w:rsid w:val="00090A91"/>
    <w:rsid w:val="00090EDF"/>
    <w:rsid w:val="00090FF5"/>
    <w:rsid w:val="00091124"/>
    <w:rsid w:val="000912DC"/>
    <w:rsid w:val="00091E48"/>
    <w:rsid w:val="00092016"/>
    <w:rsid w:val="000925A1"/>
    <w:rsid w:val="00092B0E"/>
    <w:rsid w:val="000930B8"/>
    <w:rsid w:val="000937FA"/>
    <w:rsid w:val="000949FF"/>
    <w:rsid w:val="00094E8B"/>
    <w:rsid w:val="00094F84"/>
    <w:rsid w:val="0009543A"/>
    <w:rsid w:val="000955F6"/>
    <w:rsid w:val="000958D3"/>
    <w:rsid w:val="00095930"/>
    <w:rsid w:val="000959C9"/>
    <w:rsid w:val="00095D57"/>
    <w:rsid w:val="0009618A"/>
    <w:rsid w:val="0009659F"/>
    <w:rsid w:val="00096665"/>
    <w:rsid w:val="00096E09"/>
    <w:rsid w:val="00096EEB"/>
    <w:rsid w:val="00097117"/>
    <w:rsid w:val="0009735C"/>
    <w:rsid w:val="00097808"/>
    <w:rsid w:val="0009789C"/>
    <w:rsid w:val="00097F68"/>
    <w:rsid w:val="00097FF8"/>
    <w:rsid w:val="000A0B5B"/>
    <w:rsid w:val="000A1183"/>
    <w:rsid w:val="000A1371"/>
    <w:rsid w:val="000A20ED"/>
    <w:rsid w:val="000A2D5C"/>
    <w:rsid w:val="000A32EC"/>
    <w:rsid w:val="000A3857"/>
    <w:rsid w:val="000A38D4"/>
    <w:rsid w:val="000A3A16"/>
    <w:rsid w:val="000A3BE7"/>
    <w:rsid w:val="000A40E2"/>
    <w:rsid w:val="000A40F1"/>
    <w:rsid w:val="000A4322"/>
    <w:rsid w:val="000A4F1D"/>
    <w:rsid w:val="000A4FEC"/>
    <w:rsid w:val="000A5394"/>
    <w:rsid w:val="000A5E8F"/>
    <w:rsid w:val="000A5EF2"/>
    <w:rsid w:val="000A5FFB"/>
    <w:rsid w:val="000A661F"/>
    <w:rsid w:val="000A7166"/>
    <w:rsid w:val="000A7474"/>
    <w:rsid w:val="000A76E5"/>
    <w:rsid w:val="000A7AC5"/>
    <w:rsid w:val="000A7B22"/>
    <w:rsid w:val="000A7B91"/>
    <w:rsid w:val="000A7ED2"/>
    <w:rsid w:val="000B00EB"/>
    <w:rsid w:val="000B0DBC"/>
    <w:rsid w:val="000B0F3A"/>
    <w:rsid w:val="000B0F52"/>
    <w:rsid w:val="000B0FF6"/>
    <w:rsid w:val="000B1470"/>
    <w:rsid w:val="000B159D"/>
    <w:rsid w:val="000B1AB4"/>
    <w:rsid w:val="000B1C97"/>
    <w:rsid w:val="000B21C8"/>
    <w:rsid w:val="000B234A"/>
    <w:rsid w:val="000B23CE"/>
    <w:rsid w:val="000B25F2"/>
    <w:rsid w:val="000B279A"/>
    <w:rsid w:val="000B282A"/>
    <w:rsid w:val="000B284C"/>
    <w:rsid w:val="000B28AD"/>
    <w:rsid w:val="000B2C98"/>
    <w:rsid w:val="000B2EB3"/>
    <w:rsid w:val="000B35F2"/>
    <w:rsid w:val="000B3AF9"/>
    <w:rsid w:val="000B4D9D"/>
    <w:rsid w:val="000B5211"/>
    <w:rsid w:val="000B538E"/>
    <w:rsid w:val="000B53E0"/>
    <w:rsid w:val="000B5B2B"/>
    <w:rsid w:val="000B5BE5"/>
    <w:rsid w:val="000B6150"/>
    <w:rsid w:val="000B71BF"/>
    <w:rsid w:val="000B75CE"/>
    <w:rsid w:val="000B7624"/>
    <w:rsid w:val="000B79E5"/>
    <w:rsid w:val="000B7E21"/>
    <w:rsid w:val="000B7E82"/>
    <w:rsid w:val="000C0310"/>
    <w:rsid w:val="000C09CB"/>
    <w:rsid w:val="000C139C"/>
    <w:rsid w:val="000C18EC"/>
    <w:rsid w:val="000C1B30"/>
    <w:rsid w:val="000C1F75"/>
    <w:rsid w:val="000C202C"/>
    <w:rsid w:val="000C250C"/>
    <w:rsid w:val="000C2707"/>
    <w:rsid w:val="000C32DE"/>
    <w:rsid w:val="000C3D57"/>
    <w:rsid w:val="000C3E2C"/>
    <w:rsid w:val="000C4933"/>
    <w:rsid w:val="000C4C31"/>
    <w:rsid w:val="000C5504"/>
    <w:rsid w:val="000C56CC"/>
    <w:rsid w:val="000C5950"/>
    <w:rsid w:val="000C5FEF"/>
    <w:rsid w:val="000C61E1"/>
    <w:rsid w:val="000C63B8"/>
    <w:rsid w:val="000C6C3E"/>
    <w:rsid w:val="000C6D7A"/>
    <w:rsid w:val="000C6EB7"/>
    <w:rsid w:val="000C74BB"/>
    <w:rsid w:val="000C75B4"/>
    <w:rsid w:val="000D0290"/>
    <w:rsid w:val="000D0465"/>
    <w:rsid w:val="000D06E3"/>
    <w:rsid w:val="000D0BC0"/>
    <w:rsid w:val="000D1138"/>
    <w:rsid w:val="000D15F5"/>
    <w:rsid w:val="000D1B67"/>
    <w:rsid w:val="000D20DA"/>
    <w:rsid w:val="000D291B"/>
    <w:rsid w:val="000D2D13"/>
    <w:rsid w:val="000D2E3F"/>
    <w:rsid w:val="000D3D68"/>
    <w:rsid w:val="000D3E7F"/>
    <w:rsid w:val="000D40CB"/>
    <w:rsid w:val="000D4AEB"/>
    <w:rsid w:val="000D4EA5"/>
    <w:rsid w:val="000D5105"/>
    <w:rsid w:val="000D54F6"/>
    <w:rsid w:val="000D568B"/>
    <w:rsid w:val="000D580B"/>
    <w:rsid w:val="000D5A59"/>
    <w:rsid w:val="000D5D21"/>
    <w:rsid w:val="000D68B2"/>
    <w:rsid w:val="000D6C21"/>
    <w:rsid w:val="000D71BF"/>
    <w:rsid w:val="000D7685"/>
    <w:rsid w:val="000D77CD"/>
    <w:rsid w:val="000E0128"/>
    <w:rsid w:val="000E032A"/>
    <w:rsid w:val="000E0695"/>
    <w:rsid w:val="000E0BBC"/>
    <w:rsid w:val="000E1288"/>
    <w:rsid w:val="000E12B1"/>
    <w:rsid w:val="000E13EB"/>
    <w:rsid w:val="000E18E7"/>
    <w:rsid w:val="000E1BF9"/>
    <w:rsid w:val="000E1FFB"/>
    <w:rsid w:val="000E20B2"/>
    <w:rsid w:val="000E21F5"/>
    <w:rsid w:val="000E230D"/>
    <w:rsid w:val="000E2624"/>
    <w:rsid w:val="000E30CB"/>
    <w:rsid w:val="000E3215"/>
    <w:rsid w:val="000E3277"/>
    <w:rsid w:val="000E387D"/>
    <w:rsid w:val="000E392F"/>
    <w:rsid w:val="000E54E3"/>
    <w:rsid w:val="000E5544"/>
    <w:rsid w:val="000E578E"/>
    <w:rsid w:val="000E58A7"/>
    <w:rsid w:val="000E5AAE"/>
    <w:rsid w:val="000E60BA"/>
    <w:rsid w:val="000E6C7B"/>
    <w:rsid w:val="000E6F94"/>
    <w:rsid w:val="000E71B4"/>
    <w:rsid w:val="000E74D5"/>
    <w:rsid w:val="000E77D9"/>
    <w:rsid w:val="000F012F"/>
    <w:rsid w:val="000F0887"/>
    <w:rsid w:val="000F0FA7"/>
    <w:rsid w:val="000F11D3"/>
    <w:rsid w:val="000F1B2D"/>
    <w:rsid w:val="000F1CCE"/>
    <w:rsid w:val="000F1CFB"/>
    <w:rsid w:val="000F2788"/>
    <w:rsid w:val="000F2B7F"/>
    <w:rsid w:val="000F3152"/>
    <w:rsid w:val="000F37BD"/>
    <w:rsid w:val="000F3A5E"/>
    <w:rsid w:val="000F3C29"/>
    <w:rsid w:val="000F460A"/>
    <w:rsid w:val="000F5384"/>
    <w:rsid w:val="000F56E6"/>
    <w:rsid w:val="000F5809"/>
    <w:rsid w:val="000F582E"/>
    <w:rsid w:val="000F5E87"/>
    <w:rsid w:val="000F6500"/>
    <w:rsid w:val="000F6B84"/>
    <w:rsid w:val="000F711A"/>
    <w:rsid w:val="000F735F"/>
    <w:rsid w:val="000F73AA"/>
    <w:rsid w:val="000F763F"/>
    <w:rsid w:val="000F7959"/>
    <w:rsid w:val="000F796B"/>
    <w:rsid w:val="000F7A8A"/>
    <w:rsid w:val="000F7D90"/>
    <w:rsid w:val="000F7F82"/>
    <w:rsid w:val="000F7F8A"/>
    <w:rsid w:val="00100012"/>
    <w:rsid w:val="0010006E"/>
    <w:rsid w:val="00100218"/>
    <w:rsid w:val="001002D1"/>
    <w:rsid w:val="00100570"/>
    <w:rsid w:val="00100842"/>
    <w:rsid w:val="00100B62"/>
    <w:rsid w:val="00100C8B"/>
    <w:rsid w:val="00101523"/>
    <w:rsid w:val="00101CBD"/>
    <w:rsid w:val="00101E1B"/>
    <w:rsid w:val="0010282E"/>
    <w:rsid w:val="001029AD"/>
    <w:rsid w:val="00102B66"/>
    <w:rsid w:val="00102EB3"/>
    <w:rsid w:val="00102F51"/>
    <w:rsid w:val="00103002"/>
    <w:rsid w:val="00103391"/>
    <w:rsid w:val="001038F1"/>
    <w:rsid w:val="0010466E"/>
    <w:rsid w:val="00104C50"/>
    <w:rsid w:val="001050A1"/>
    <w:rsid w:val="00105B3A"/>
    <w:rsid w:val="00105F78"/>
    <w:rsid w:val="0010634C"/>
    <w:rsid w:val="001066E9"/>
    <w:rsid w:val="0010699D"/>
    <w:rsid w:val="00106D48"/>
    <w:rsid w:val="00107A2D"/>
    <w:rsid w:val="00107AC0"/>
    <w:rsid w:val="00107C3C"/>
    <w:rsid w:val="00110222"/>
    <w:rsid w:val="00110587"/>
    <w:rsid w:val="00110762"/>
    <w:rsid w:val="00110AFF"/>
    <w:rsid w:val="00110E40"/>
    <w:rsid w:val="00111097"/>
    <w:rsid w:val="00111159"/>
    <w:rsid w:val="0011178B"/>
    <w:rsid w:val="00111E5F"/>
    <w:rsid w:val="00111F50"/>
    <w:rsid w:val="00111FE3"/>
    <w:rsid w:val="00112108"/>
    <w:rsid w:val="001124CB"/>
    <w:rsid w:val="00112AC8"/>
    <w:rsid w:val="001134AB"/>
    <w:rsid w:val="00113768"/>
    <w:rsid w:val="0011377F"/>
    <w:rsid w:val="001138FF"/>
    <w:rsid w:val="001139F0"/>
    <w:rsid w:val="00114228"/>
    <w:rsid w:val="00114319"/>
    <w:rsid w:val="001145DA"/>
    <w:rsid w:val="001146D5"/>
    <w:rsid w:val="001148C8"/>
    <w:rsid w:val="00114BA2"/>
    <w:rsid w:val="00115013"/>
    <w:rsid w:val="00115146"/>
    <w:rsid w:val="001153C6"/>
    <w:rsid w:val="00115459"/>
    <w:rsid w:val="00115CD0"/>
    <w:rsid w:val="00115D1B"/>
    <w:rsid w:val="0011730E"/>
    <w:rsid w:val="00117896"/>
    <w:rsid w:val="001179D5"/>
    <w:rsid w:val="00117A76"/>
    <w:rsid w:val="001205CA"/>
    <w:rsid w:val="00120A58"/>
    <w:rsid w:val="00120DA7"/>
    <w:rsid w:val="001213B7"/>
    <w:rsid w:val="00121425"/>
    <w:rsid w:val="001228D2"/>
    <w:rsid w:val="00122C39"/>
    <w:rsid w:val="00123121"/>
    <w:rsid w:val="001236B0"/>
    <w:rsid w:val="00123A9F"/>
    <w:rsid w:val="00123F1A"/>
    <w:rsid w:val="00124CBC"/>
    <w:rsid w:val="00125076"/>
    <w:rsid w:val="00125251"/>
    <w:rsid w:val="00125AC0"/>
    <w:rsid w:val="00125F61"/>
    <w:rsid w:val="001265F6"/>
    <w:rsid w:val="0012667D"/>
    <w:rsid w:val="0012717F"/>
    <w:rsid w:val="0012729C"/>
    <w:rsid w:val="00127C1B"/>
    <w:rsid w:val="00127CF4"/>
    <w:rsid w:val="00130733"/>
    <w:rsid w:val="001307EE"/>
    <w:rsid w:val="00130A51"/>
    <w:rsid w:val="00131075"/>
    <w:rsid w:val="001316D6"/>
    <w:rsid w:val="00131884"/>
    <w:rsid w:val="00131915"/>
    <w:rsid w:val="00131D8A"/>
    <w:rsid w:val="00131EB5"/>
    <w:rsid w:val="001329B4"/>
    <w:rsid w:val="0013316B"/>
    <w:rsid w:val="001331D1"/>
    <w:rsid w:val="001336B0"/>
    <w:rsid w:val="001338EE"/>
    <w:rsid w:val="001341DD"/>
    <w:rsid w:val="00134EBD"/>
    <w:rsid w:val="0013504D"/>
    <w:rsid w:val="001356DC"/>
    <w:rsid w:val="00135D9A"/>
    <w:rsid w:val="00136769"/>
    <w:rsid w:val="00136C58"/>
    <w:rsid w:val="0013725A"/>
    <w:rsid w:val="001374B4"/>
    <w:rsid w:val="00137825"/>
    <w:rsid w:val="00137905"/>
    <w:rsid w:val="00140110"/>
    <w:rsid w:val="001402BF"/>
    <w:rsid w:val="00140B7E"/>
    <w:rsid w:val="00140C85"/>
    <w:rsid w:val="00141366"/>
    <w:rsid w:val="00141A06"/>
    <w:rsid w:val="00141F05"/>
    <w:rsid w:val="0014211E"/>
    <w:rsid w:val="0014215B"/>
    <w:rsid w:val="00142476"/>
    <w:rsid w:val="00142534"/>
    <w:rsid w:val="00142877"/>
    <w:rsid w:val="001428A4"/>
    <w:rsid w:val="0014293B"/>
    <w:rsid w:val="00142A86"/>
    <w:rsid w:val="00142CFB"/>
    <w:rsid w:val="00143698"/>
    <w:rsid w:val="00143AA2"/>
    <w:rsid w:val="00144278"/>
    <w:rsid w:val="001447FA"/>
    <w:rsid w:val="00144D77"/>
    <w:rsid w:val="00144F5E"/>
    <w:rsid w:val="001464F7"/>
    <w:rsid w:val="0014665A"/>
    <w:rsid w:val="001466D8"/>
    <w:rsid w:val="001466E7"/>
    <w:rsid w:val="00146CB3"/>
    <w:rsid w:val="00147458"/>
    <w:rsid w:val="0014752E"/>
    <w:rsid w:val="0014773B"/>
    <w:rsid w:val="001504F9"/>
    <w:rsid w:val="00150AEA"/>
    <w:rsid w:val="00150E79"/>
    <w:rsid w:val="00150F6E"/>
    <w:rsid w:val="0015130A"/>
    <w:rsid w:val="00151874"/>
    <w:rsid w:val="0015228E"/>
    <w:rsid w:val="001524EC"/>
    <w:rsid w:val="001525DA"/>
    <w:rsid w:val="001525FB"/>
    <w:rsid w:val="00152702"/>
    <w:rsid w:val="00152A93"/>
    <w:rsid w:val="00152BB5"/>
    <w:rsid w:val="00152D1E"/>
    <w:rsid w:val="001532DF"/>
    <w:rsid w:val="00153B0D"/>
    <w:rsid w:val="00154011"/>
    <w:rsid w:val="00154143"/>
    <w:rsid w:val="00154342"/>
    <w:rsid w:val="00154ABC"/>
    <w:rsid w:val="00154B2E"/>
    <w:rsid w:val="00154C51"/>
    <w:rsid w:val="00154D50"/>
    <w:rsid w:val="00154D57"/>
    <w:rsid w:val="00154D78"/>
    <w:rsid w:val="00155305"/>
    <w:rsid w:val="00155331"/>
    <w:rsid w:val="00155391"/>
    <w:rsid w:val="001557CB"/>
    <w:rsid w:val="00155A95"/>
    <w:rsid w:val="00155C2F"/>
    <w:rsid w:val="00155D2B"/>
    <w:rsid w:val="001561A6"/>
    <w:rsid w:val="00156AFD"/>
    <w:rsid w:val="00157220"/>
    <w:rsid w:val="00157A77"/>
    <w:rsid w:val="00157BFA"/>
    <w:rsid w:val="001602B1"/>
    <w:rsid w:val="00160C25"/>
    <w:rsid w:val="00160F9F"/>
    <w:rsid w:val="00161047"/>
    <w:rsid w:val="00161298"/>
    <w:rsid w:val="001616B3"/>
    <w:rsid w:val="00161F3A"/>
    <w:rsid w:val="00162306"/>
    <w:rsid w:val="0016230B"/>
    <w:rsid w:val="00162AB5"/>
    <w:rsid w:val="00162E89"/>
    <w:rsid w:val="001632E8"/>
    <w:rsid w:val="001636F4"/>
    <w:rsid w:val="00164746"/>
    <w:rsid w:val="00164778"/>
    <w:rsid w:val="00164A7D"/>
    <w:rsid w:val="00164D27"/>
    <w:rsid w:val="001654DC"/>
    <w:rsid w:val="00166806"/>
    <w:rsid w:val="00166E05"/>
    <w:rsid w:val="001671BF"/>
    <w:rsid w:val="0016757C"/>
    <w:rsid w:val="00167A4D"/>
    <w:rsid w:val="00167A99"/>
    <w:rsid w:val="00170138"/>
    <w:rsid w:val="00170674"/>
    <w:rsid w:val="001706C2"/>
    <w:rsid w:val="00170B11"/>
    <w:rsid w:val="00170F82"/>
    <w:rsid w:val="0017109C"/>
    <w:rsid w:val="00171260"/>
    <w:rsid w:val="001721A6"/>
    <w:rsid w:val="001723CB"/>
    <w:rsid w:val="00172641"/>
    <w:rsid w:val="00172CE8"/>
    <w:rsid w:val="00172D83"/>
    <w:rsid w:val="00172ED0"/>
    <w:rsid w:val="00173296"/>
    <w:rsid w:val="00173393"/>
    <w:rsid w:val="001733A2"/>
    <w:rsid w:val="00173D8F"/>
    <w:rsid w:val="00174257"/>
    <w:rsid w:val="00174D7F"/>
    <w:rsid w:val="001756CF"/>
    <w:rsid w:val="00175C18"/>
    <w:rsid w:val="00175E02"/>
    <w:rsid w:val="00175FC7"/>
    <w:rsid w:val="001761B2"/>
    <w:rsid w:val="001761D5"/>
    <w:rsid w:val="001762C7"/>
    <w:rsid w:val="00176946"/>
    <w:rsid w:val="001771F8"/>
    <w:rsid w:val="0017724E"/>
    <w:rsid w:val="001774D5"/>
    <w:rsid w:val="00177A77"/>
    <w:rsid w:val="00177D8E"/>
    <w:rsid w:val="00177DD4"/>
    <w:rsid w:val="00180282"/>
    <w:rsid w:val="00180D89"/>
    <w:rsid w:val="00181143"/>
    <w:rsid w:val="001811F1"/>
    <w:rsid w:val="0018126B"/>
    <w:rsid w:val="0018156B"/>
    <w:rsid w:val="0018255C"/>
    <w:rsid w:val="00182882"/>
    <w:rsid w:val="0018295B"/>
    <w:rsid w:val="00182C5F"/>
    <w:rsid w:val="00182C82"/>
    <w:rsid w:val="0018315E"/>
    <w:rsid w:val="00183511"/>
    <w:rsid w:val="00183994"/>
    <w:rsid w:val="00183C52"/>
    <w:rsid w:val="001841B3"/>
    <w:rsid w:val="001852FD"/>
    <w:rsid w:val="00185348"/>
    <w:rsid w:val="0018537B"/>
    <w:rsid w:val="001855C5"/>
    <w:rsid w:val="00185770"/>
    <w:rsid w:val="00185E2C"/>
    <w:rsid w:val="001862D0"/>
    <w:rsid w:val="00186340"/>
    <w:rsid w:val="00186FA9"/>
    <w:rsid w:val="00187061"/>
    <w:rsid w:val="00187177"/>
    <w:rsid w:val="00190111"/>
    <w:rsid w:val="00190286"/>
    <w:rsid w:val="0019072E"/>
    <w:rsid w:val="00190961"/>
    <w:rsid w:val="00190D19"/>
    <w:rsid w:val="00190D8F"/>
    <w:rsid w:val="001911C9"/>
    <w:rsid w:val="001913BD"/>
    <w:rsid w:val="00191779"/>
    <w:rsid w:val="00191955"/>
    <w:rsid w:val="00191CBF"/>
    <w:rsid w:val="0019203B"/>
    <w:rsid w:val="0019203F"/>
    <w:rsid w:val="00192237"/>
    <w:rsid w:val="001924FB"/>
    <w:rsid w:val="00192EAA"/>
    <w:rsid w:val="00193032"/>
    <w:rsid w:val="0019305B"/>
    <w:rsid w:val="00193296"/>
    <w:rsid w:val="001937E8"/>
    <w:rsid w:val="00193AC5"/>
    <w:rsid w:val="00193E42"/>
    <w:rsid w:val="00193ECE"/>
    <w:rsid w:val="00194526"/>
    <w:rsid w:val="001945BA"/>
    <w:rsid w:val="0019470D"/>
    <w:rsid w:val="00194AF8"/>
    <w:rsid w:val="00194D0E"/>
    <w:rsid w:val="00195401"/>
    <w:rsid w:val="00195B73"/>
    <w:rsid w:val="00195FD2"/>
    <w:rsid w:val="001966D7"/>
    <w:rsid w:val="0019693D"/>
    <w:rsid w:val="00197032"/>
    <w:rsid w:val="0019717C"/>
    <w:rsid w:val="0019746E"/>
    <w:rsid w:val="00197AE0"/>
    <w:rsid w:val="001A0069"/>
    <w:rsid w:val="001A0787"/>
    <w:rsid w:val="001A0DEC"/>
    <w:rsid w:val="001A1563"/>
    <w:rsid w:val="001A16E5"/>
    <w:rsid w:val="001A16EE"/>
    <w:rsid w:val="001A1BB2"/>
    <w:rsid w:val="001A2566"/>
    <w:rsid w:val="001A2697"/>
    <w:rsid w:val="001A2994"/>
    <w:rsid w:val="001A3A7F"/>
    <w:rsid w:val="001A3CD5"/>
    <w:rsid w:val="001A423B"/>
    <w:rsid w:val="001A44B2"/>
    <w:rsid w:val="001A469B"/>
    <w:rsid w:val="001A4773"/>
    <w:rsid w:val="001A4868"/>
    <w:rsid w:val="001A4B28"/>
    <w:rsid w:val="001A4E47"/>
    <w:rsid w:val="001A50D7"/>
    <w:rsid w:val="001A5A73"/>
    <w:rsid w:val="001A60C2"/>
    <w:rsid w:val="001A65A0"/>
    <w:rsid w:val="001A6631"/>
    <w:rsid w:val="001A7909"/>
    <w:rsid w:val="001A7A85"/>
    <w:rsid w:val="001A7C0C"/>
    <w:rsid w:val="001B07BE"/>
    <w:rsid w:val="001B0DA8"/>
    <w:rsid w:val="001B0E77"/>
    <w:rsid w:val="001B14F6"/>
    <w:rsid w:val="001B175D"/>
    <w:rsid w:val="001B18E2"/>
    <w:rsid w:val="001B2385"/>
    <w:rsid w:val="001B28C2"/>
    <w:rsid w:val="001B2F41"/>
    <w:rsid w:val="001B37EB"/>
    <w:rsid w:val="001B3A7F"/>
    <w:rsid w:val="001B3B57"/>
    <w:rsid w:val="001B4A01"/>
    <w:rsid w:val="001B4A8E"/>
    <w:rsid w:val="001B4DD8"/>
    <w:rsid w:val="001B5088"/>
    <w:rsid w:val="001B593F"/>
    <w:rsid w:val="001B5F61"/>
    <w:rsid w:val="001B6292"/>
    <w:rsid w:val="001B667A"/>
    <w:rsid w:val="001B68FA"/>
    <w:rsid w:val="001B6D87"/>
    <w:rsid w:val="001B761F"/>
    <w:rsid w:val="001B7621"/>
    <w:rsid w:val="001B7BF7"/>
    <w:rsid w:val="001B7D16"/>
    <w:rsid w:val="001B7E48"/>
    <w:rsid w:val="001B7FEB"/>
    <w:rsid w:val="001C0B75"/>
    <w:rsid w:val="001C0F4A"/>
    <w:rsid w:val="001C1EBC"/>
    <w:rsid w:val="001C29C6"/>
    <w:rsid w:val="001C34DF"/>
    <w:rsid w:val="001C37CC"/>
    <w:rsid w:val="001C3907"/>
    <w:rsid w:val="001C3CB9"/>
    <w:rsid w:val="001C3D1F"/>
    <w:rsid w:val="001C3F4B"/>
    <w:rsid w:val="001C4137"/>
    <w:rsid w:val="001C4C51"/>
    <w:rsid w:val="001C4DF3"/>
    <w:rsid w:val="001C4F8E"/>
    <w:rsid w:val="001C5B74"/>
    <w:rsid w:val="001C6214"/>
    <w:rsid w:val="001C683D"/>
    <w:rsid w:val="001C6C30"/>
    <w:rsid w:val="001C6F11"/>
    <w:rsid w:val="001C7009"/>
    <w:rsid w:val="001C7AC4"/>
    <w:rsid w:val="001C7C2A"/>
    <w:rsid w:val="001D0176"/>
    <w:rsid w:val="001D0B6E"/>
    <w:rsid w:val="001D136D"/>
    <w:rsid w:val="001D1811"/>
    <w:rsid w:val="001D1A8D"/>
    <w:rsid w:val="001D209B"/>
    <w:rsid w:val="001D20EC"/>
    <w:rsid w:val="001D2A6B"/>
    <w:rsid w:val="001D2C0E"/>
    <w:rsid w:val="001D30B1"/>
    <w:rsid w:val="001D35A0"/>
    <w:rsid w:val="001D3C05"/>
    <w:rsid w:val="001D3FA2"/>
    <w:rsid w:val="001D4EC5"/>
    <w:rsid w:val="001D5BC6"/>
    <w:rsid w:val="001D5BF7"/>
    <w:rsid w:val="001D5D35"/>
    <w:rsid w:val="001D5D60"/>
    <w:rsid w:val="001D5E90"/>
    <w:rsid w:val="001D694F"/>
    <w:rsid w:val="001D6A8A"/>
    <w:rsid w:val="001D74EE"/>
    <w:rsid w:val="001D752F"/>
    <w:rsid w:val="001D754A"/>
    <w:rsid w:val="001D775A"/>
    <w:rsid w:val="001D7C98"/>
    <w:rsid w:val="001D7D7A"/>
    <w:rsid w:val="001E0685"/>
    <w:rsid w:val="001E08BA"/>
    <w:rsid w:val="001E1AD7"/>
    <w:rsid w:val="001E2361"/>
    <w:rsid w:val="001E25C8"/>
    <w:rsid w:val="001E2CE5"/>
    <w:rsid w:val="001E3799"/>
    <w:rsid w:val="001E40A7"/>
    <w:rsid w:val="001E4169"/>
    <w:rsid w:val="001E47D5"/>
    <w:rsid w:val="001E4D0B"/>
    <w:rsid w:val="001E586B"/>
    <w:rsid w:val="001E5BFA"/>
    <w:rsid w:val="001E5CC8"/>
    <w:rsid w:val="001E62D5"/>
    <w:rsid w:val="001E6759"/>
    <w:rsid w:val="001E6D07"/>
    <w:rsid w:val="001E6D8A"/>
    <w:rsid w:val="001E7000"/>
    <w:rsid w:val="001E715F"/>
    <w:rsid w:val="001E7596"/>
    <w:rsid w:val="001E7B1F"/>
    <w:rsid w:val="001E7E10"/>
    <w:rsid w:val="001F0157"/>
    <w:rsid w:val="001F136F"/>
    <w:rsid w:val="001F1F68"/>
    <w:rsid w:val="001F21FF"/>
    <w:rsid w:val="001F2709"/>
    <w:rsid w:val="001F2AB8"/>
    <w:rsid w:val="001F2C3F"/>
    <w:rsid w:val="001F2D96"/>
    <w:rsid w:val="001F316E"/>
    <w:rsid w:val="001F3857"/>
    <w:rsid w:val="001F4042"/>
    <w:rsid w:val="001F4367"/>
    <w:rsid w:val="001F4522"/>
    <w:rsid w:val="001F45E0"/>
    <w:rsid w:val="001F4BCC"/>
    <w:rsid w:val="001F4EFE"/>
    <w:rsid w:val="001F510E"/>
    <w:rsid w:val="001F52C2"/>
    <w:rsid w:val="001F5515"/>
    <w:rsid w:val="001F5815"/>
    <w:rsid w:val="001F6216"/>
    <w:rsid w:val="001F7088"/>
    <w:rsid w:val="001F7930"/>
    <w:rsid w:val="002006E2"/>
    <w:rsid w:val="0020096E"/>
    <w:rsid w:val="00200AAE"/>
    <w:rsid w:val="00200F0D"/>
    <w:rsid w:val="00201087"/>
    <w:rsid w:val="00201D30"/>
    <w:rsid w:val="00201E68"/>
    <w:rsid w:val="002027E6"/>
    <w:rsid w:val="0020280C"/>
    <w:rsid w:val="002028BD"/>
    <w:rsid w:val="0020333A"/>
    <w:rsid w:val="002036E9"/>
    <w:rsid w:val="0020371F"/>
    <w:rsid w:val="00203D23"/>
    <w:rsid w:val="00203E67"/>
    <w:rsid w:val="0020425E"/>
    <w:rsid w:val="00204DD4"/>
    <w:rsid w:val="00204F7E"/>
    <w:rsid w:val="00205629"/>
    <w:rsid w:val="00205634"/>
    <w:rsid w:val="00205639"/>
    <w:rsid w:val="00205DE4"/>
    <w:rsid w:val="002069DB"/>
    <w:rsid w:val="00206CB7"/>
    <w:rsid w:val="00207FE7"/>
    <w:rsid w:val="002102B2"/>
    <w:rsid w:val="00210DD8"/>
    <w:rsid w:val="00211D72"/>
    <w:rsid w:val="00212755"/>
    <w:rsid w:val="00212B48"/>
    <w:rsid w:val="00212D70"/>
    <w:rsid w:val="00212F61"/>
    <w:rsid w:val="002135AB"/>
    <w:rsid w:val="00214659"/>
    <w:rsid w:val="00214B49"/>
    <w:rsid w:val="00215065"/>
    <w:rsid w:val="002151EA"/>
    <w:rsid w:val="00215276"/>
    <w:rsid w:val="00216209"/>
    <w:rsid w:val="002164BA"/>
    <w:rsid w:val="002165B5"/>
    <w:rsid w:val="00216A66"/>
    <w:rsid w:val="002176D1"/>
    <w:rsid w:val="00217745"/>
    <w:rsid w:val="00220529"/>
    <w:rsid w:val="00220E99"/>
    <w:rsid w:val="0022181C"/>
    <w:rsid w:val="0022208B"/>
    <w:rsid w:val="00222173"/>
    <w:rsid w:val="00222239"/>
    <w:rsid w:val="002224A5"/>
    <w:rsid w:val="002224AE"/>
    <w:rsid w:val="00222CE7"/>
    <w:rsid w:val="00223AD0"/>
    <w:rsid w:val="00223F5B"/>
    <w:rsid w:val="00224934"/>
    <w:rsid w:val="00224B00"/>
    <w:rsid w:val="00224B3C"/>
    <w:rsid w:val="00224C7E"/>
    <w:rsid w:val="002250C2"/>
    <w:rsid w:val="0022517B"/>
    <w:rsid w:val="00225305"/>
    <w:rsid w:val="00225513"/>
    <w:rsid w:val="00225C59"/>
    <w:rsid w:val="00225C83"/>
    <w:rsid w:val="00225E89"/>
    <w:rsid w:val="002262B7"/>
    <w:rsid w:val="00226614"/>
    <w:rsid w:val="002267A0"/>
    <w:rsid w:val="00227097"/>
    <w:rsid w:val="0022730C"/>
    <w:rsid w:val="0022769D"/>
    <w:rsid w:val="0022799A"/>
    <w:rsid w:val="00227A9C"/>
    <w:rsid w:val="002301AD"/>
    <w:rsid w:val="002305AC"/>
    <w:rsid w:val="00230662"/>
    <w:rsid w:val="00230B2D"/>
    <w:rsid w:val="00230EC2"/>
    <w:rsid w:val="0023101A"/>
    <w:rsid w:val="0023133E"/>
    <w:rsid w:val="002315D1"/>
    <w:rsid w:val="002319CE"/>
    <w:rsid w:val="00231D32"/>
    <w:rsid w:val="00232306"/>
    <w:rsid w:val="00232382"/>
    <w:rsid w:val="00232608"/>
    <w:rsid w:val="002326E2"/>
    <w:rsid w:val="002328A8"/>
    <w:rsid w:val="00232DAC"/>
    <w:rsid w:val="00232E26"/>
    <w:rsid w:val="00232E59"/>
    <w:rsid w:val="00232FD3"/>
    <w:rsid w:val="002332CF"/>
    <w:rsid w:val="002338D5"/>
    <w:rsid w:val="00233C01"/>
    <w:rsid w:val="00233F05"/>
    <w:rsid w:val="002342E0"/>
    <w:rsid w:val="002349AD"/>
    <w:rsid w:val="00234D50"/>
    <w:rsid w:val="00234D98"/>
    <w:rsid w:val="00235D0B"/>
    <w:rsid w:val="00235F32"/>
    <w:rsid w:val="00236008"/>
    <w:rsid w:val="00236040"/>
    <w:rsid w:val="00236FE7"/>
    <w:rsid w:val="00237237"/>
    <w:rsid w:val="00237622"/>
    <w:rsid w:val="00237E7C"/>
    <w:rsid w:val="00237FE4"/>
    <w:rsid w:val="0024010E"/>
    <w:rsid w:val="002401A6"/>
    <w:rsid w:val="002407E9"/>
    <w:rsid w:val="0024087D"/>
    <w:rsid w:val="00240B62"/>
    <w:rsid w:val="00240B92"/>
    <w:rsid w:val="002411DB"/>
    <w:rsid w:val="002413A6"/>
    <w:rsid w:val="00241687"/>
    <w:rsid w:val="002419E6"/>
    <w:rsid w:val="00241DF7"/>
    <w:rsid w:val="00242496"/>
    <w:rsid w:val="002424A2"/>
    <w:rsid w:val="00242894"/>
    <w:rsid w:val="002435F5"/>
    <w:rsid w:val="002436FC"/>
    <w:rsid w:val="00243725"/>
    <w:rsid w:val="002438F2"/>
    <w:rsid w:val="00243974"/>
    <w:rsid w:val="00243C47"/>
    <w:rsid w:val="002444BA"/>
    <w:rsid w:val="002445D8"/>
    <w:rsid w:val="00244876"/>
    <w:rsid w:val="002448B0"/>
    <w:rsid w:val="002448CD"/>
    <w:rsid w:val="00245141"/>
    <w:rsid w:val="0024519D"/>
    <w:rsid w:val="002452F1"/>
    <w:rsid w:val="002453C5"/>
    <w:rsid w:val="00245645"/>
    <w:rsid w:val="002458A4"/>
    <w:rsid w:val="00245ABE"/>
    <w:rsid w:val="002461A4"/>
    <w:rsid w:val="00246A3A"/>
    <w:rsid w:val="00246B7B"/>
    <w:rsid w:val="00247567"/>
    <w:rsid w:val="002475E7"/>
    <w:rsid w:val="00247805"/>
    <w:rsid w:val="00247B83"/>
    <w:rsid w:val="0025087A"/>
    <w:rsid w:val="00250980"/>
    <w:rsid w:val="00250F32"/>
    <w:rsid w:val="00251AD6"/>
    <w:rsid w:val="0025230B"/>
    <w:rsid w:val="00253100"/>
    <w:rsid w:val="00253B15"/>
    <w:rsid w:val="00253C60"/>
    <w:rsid w:val="0025448B"/>
    <w:rsid w:val="00254515"/>
    <w:rsid w:val="002548F0"/>
    <w:rsid w:val="0025491F"/>
    <w:rsid w:val="00254D89"/>
    <w:rsid w:val="00255132"/>
    <w:rsid w:val="00255C9B"/>
    <w:rsid w:val="00256084"/>
    <w:rsid w:val="00257215"/>
    <w:rsid w:val="002579C4"/>
    <w:rsid w:val="00260202"/>
    <w:rsid w:val="00260275"/>
    <w:rsid w:val="00260CEC"/>
    <w:rsid w:val="00260D40"/>
    <w:rsid w:val="0026158F"/>
    <w:rsid w:val="00262772"/>
    <w:rsid w:val="00262926"/>
    <w:rsid w:val="00262C5C"/>
    <w:rsid w:val="0026410F"/>
    <w:rsid w:val="0026491B"/>
    <w:rsid w:val="002655D5"/>
    <w:rsid w:val="00265699"/>
    <w:rsid w:val="00267240"/>
    <w:rsid w:val="0026767A"/>
    <w:rsid w:val="00267BFA"/>
    <w:rsid w:val="00267F66"/>
    <w:rsid w:val="00267F9D"/>
    <w:rsid w:val="0027060A"/>
    <w:rsid w:val="00270FEF"/>
    <w:rsid w:val="00271153"/>
    <w:rsid w:val="002712F8"/>
    <w:rsid w:val="00272B23"/>
    <w:rsid w:val="00272C45"/>
    <w:rsid w:val="00273507"/>
    <w:rsid w:val="0027366C"/>
    <w:rsid w:val="00273B5B"/>
    <w:rsid w:val="00273E36"/>
    <w:rsid w:val="00273EC6"/>
    <w:rsid w:val="00274010"/>
    <w:rsid w:val="002741A6"/>
    <w:rsid w:val="00274295"/>
    <w:rsid w:val="00274381"/>
    <w:rsid w:val="002743EB"/>
    <w:rsid w:val="00274480"/>
    <w:rsid w:val="00274A03"/>
    <w:rsid w:val="00274E9F"/>
    <w:rsid w:val="00275398"/>
    <w:rsid w:val="00275E54"/>
    <w:rsid w:val="00276252"/>
    <w:rsid w:val="00276685"/>
    <w:rsid w:val="00276A58"/>
    <w:rsid w:val="00276AD1"/>
    <w:rsid w:val="00277136"/>
    <w:rsid w:val="002773FE"/>
    <w:rsid w:val="002778A5"/>
    <w:rsid w:val="00277D03"/>
    <w:rsid w:val="00280064"/>
    <w:rsid w:val="002801C2"/>
    <w:rsid w:val="00280358"/>
    <w:rsid w:val="0028046E"/>
    <w:rsid w:val="00280555"/>
    <w:rsid w:val="0028061D"/>
    <w:rsid w:val="00280883"/>
    <w:rsid w:val="0028113B"/>
    <w:rsid w:val="002811FC"/>
    <w:rsid w:val="002815C8"/>
    <w:rsid w:val="002827D8"/>
    <w:rsid w:val="002830E4"/>
    <w:rsid w:val="00283565"/>
    <w:rsid w:val="00283A93"/>
    <w:rsid w:val="00283F6C"/>
    <w:rsid w:val="002857CE"/>
    <w:rsid w:val="00285D98"/>
    <w:rsid w:val="00285F3A"/>
    <w:rsid w:val="002863C2"/>
    <w:rsid w:val="00286D58"/>
    <w:rsid w:val="00287054"/>
    <w:rsid w:val="00287657"/>
    <w:rsid w:val="00290080"/>
    <w:rsid w:val="002903DC"/>
    <w:rsid w:val="00290CDC"/>
    <w:rsid w:val="00290F0B"/>
    <w:rsid w:val="0029109F"/>
    <w:rsid w:val="002911A0"/>
    <w:rsid w:val="0029135B"/>
    <w:rsid w:val="002915B7"/>
    <w:rsid w:val="00291803"/>
    <w:rsid w:val="00291BF5"/>
    <w:rsid w:val="00291DC5"/>
    <w:rsid w:val="002925B9"/>
    <w:rsid w:val="0029478E"/>
    <w:rsid w:val="00294F3C"/>
    <w:rsid w:val="00295639"/>
    <w:rsid w:val="00295751"/>
    <w:rsid w:val="0029587B"/>
    <w:rsid w:val="0029589E"/>
    <w:rsid w:val="00295DAB"/>
    <w:rsid w:val="00295F9F"/>
    <w:rsid w:val="0029621F"/>
    <w:rsid w:val="002965D4"/>
    <w:rsid w:val="00296912"/>
    <w:rsid w:val="00296A01"/>
    <w:rsid w:val="00296B32"/>
    <w:rsid w:val="00296BC4"/>
    <w:rsid w:val="00296BEF"/>
    <w:rsid w:val="00296C06"/>
    <w:rsid w:val="00296DEC"/>
    <w:rsid w:val="00296EF5"/>
    <w:rsid w:val="00296FB7"/>
    <w:rsid w:val="00297398"/>
    <w:rsid w:val="00297497"/>
    <w:rsid w:val="00297F8E"/>
    <w:rsid w:val="002A0947"/>
    <w:rsid w:val="002A0CAB"/>
    <w:rsid w:val="002A1222"/>
    <w:rsid w:val="002A15EF"/>
    <w:rsid w:val="002A1629"/>
    <w:rsid w:val="002A16E0"/>
    <w:rsid w:val="002A1AE4"/>
    <w:rsid w:val="002A1F77"/>
    <w:rsid w:val="002A2275"/>
    <w:rsid w:val="002A2370"/>
    <w:rsid w:val="002A28DF"/>
    <w:rsid w:val="002A2AE8"/>
    <w:rsid w:val="002A3023"/>
    <w:rsid w:val="002A311D"/>
    <w:rsid w:val="002A35ED"/>
    <w:rsid w:val="002A37A2"/>
    <w:rsid w:val="002A37C5"/>
    <w:rsid w:val="002A3D98"/>
    <w:rsid w:val="002A41B1"/>
    <w:rsid w:val="002A4989"/>
    <w:rsid w:val="002A4DF9"/>
    <w:rsid w:val="002A5094"/>
    <w:rsid w:val="002A51F5"/>
    <w:rsid w:val="002A5210"/>
    <w:rsid w:val="002A53AF"/>
    <w:rsid w:val="002A54E1"/>
    <w:rsid w:val="002A5608"/>
    <w:rsid w:val="002A560B"/>
    <w:rsid w:val="002A56E5"/>
    <w:rsid w:val="002A57A9"/>
    <w:rsid w:val="002A5A4A"/>
    <w:rsid w:val="002A6087"/>
    <w:rsid w:val="002A64E1"/>
    <w:rsid w:val="002A6750"/>
    <w:rsid w:val="002A6C6C"/>
    <w:rsid w:val="002A6F3D"/>
    <w:rsid w:val="002A7200"/>
    <w:rsid w:val="002A72F7"/>
    <w:rsid w:val="002A7882"/>
    <w:rsid w:val="002A7E0D"/>
    <w:rsid w:val="002B040C"/>
    <w:rsid w:val="002B077A"/>
    <w:rsid w:val="002B0F07"/>
    <w:rsid w:val="002B13EA"/>
    <w:rsid w:val="002B1D0F"/>
    <w:rsid w:val="002B20B6"/>
    <w:rsid w:val="002B21C5"/>
    <w:rsid w:val="002B24C2"/>
    <w:rsid w:val="002B352B"/>
    <w:rsid w:val="002B38D9"/>
    <w:rsid w:val="002B4151"/>
    <w:rsid w:val="002B43F7"/>
    <w:rsid w:val="002B49D0"/>
    <w:rsid w:val="002B49FC"/>
    <w:rsid w:val="002B4B47"/>
    <w:rsid w:val="002B5332"/>
    <w:rsid w:val="002B5FF7"/>
    <w:rsid w:val="002B6041"/>
    <w:rsid w:val="002B67FD"/>
    <w:rsid w:val="002B69FD"/>
    <w:rsid w:val="002B6C4A"/>
    <w:rsid w:val="002B6D92"/>
    <w:rsid w:val="002B6DDA"/>
    <w:rsid w:val="002B6FF5"/>
    <w:rsid w:val="002B7865"/>
    <w:rsid w:val="002B7999"/>
    <w:rsid w:val="002B7E03"/>
    <w:rsid w:val="002C034E"/>
    <w:rsid w:val="002C0525"/>
    <w:rsid w:val="002C08E5"/>
    <w:rsid w:val="002C0B2C"/>
    <w:rsid w:val="002C0F4D"/>
    <w:rsid w:val="002C0FAF"/>
    <w:rsid w:val="002C10A3"/>
    <w:rsid w:val="002C1AE0"/>
    <w:rsid w:val="002C200D"/>
    <w:rsid w:val="002C243B"/>
    <w:rsid w:val="002C2C52"/>
    <w:rsid w:val="002C2E1B"/>
    <w:rsid w:val="002C31CD"/>
    <w:rsid w:val="002C3549"/>
    <w:rsid w:val="002C380A"/>
    <w:rsid w:val="002C45CB"/>
    <w:rsid w:val="002C4633"/>
    <w:rsid w:val="002C495B"/>
    <w:rsid w:val="002C4B28"/>
    <w:rsid w:val="002C51C9"/>
    <w:rsid w:val="002C5A9A"/>
    <w:rsid w:val="002C5ABD"/>
    <w:rsid w:val="002C5B78"/>
    <w:rsid w:val="002C5C70"/>
    <w:rsid w:val="002C5FD2"/>
    <w:rsid w:val="002C6770"/>
    <w:rsid w:val="002C689E"/>
    <w:rsid w:val="002C693A"/>
    <w:rsid w:val="002C7823"/>
    <w:rsid w:val="002C7E94"/>
    <w:rsid w:val="002C7FB2"/>
    <w:rsid w:val="002D08A7"/>
    <w:rsid w:val="002D1013"/>
    <w:rsid w:val="002D10B3"/>
    <w:rsid w:val="002D155C"/>
    <w:rsid w:val="002D15BF"/>
    <w:rsid w:val="002D1738"/>
    <w:rsid w:val="002D1EAC"/>
    <w:rsid w:val="002D2106"/>
    <w:rsid w:val="002D21C8"/>
    <w:rsid w:val="002D2E31"/>
    <w:rsid w:val="002D3514"/>
    <w:rsid w:val="002D3CB0"/>
    <w:rsid w:val="002D41BE"/>
    <w:rsid w:val="002D4533"/>
    <w:rsid w:val="002D4555"/>
    <w:rsid w:val="002D4780"/>
    <w:rsid w:val="002D49AA"/>
    <w:rsid w:val="002D52F4"/>
    <w:rsid w:val="002D5436"/>
    <w:rsid w:val="002D561E"/>
    <w:rsid w:val="002D570C"/>
    <w:rsid w:val="002D5CB8"/>
    <w:rsid w:val="002D5D95"/>
    <w:rsid w:val="002D68E0"/>
    <w:rsid w:val="002D69AC"/>
    <w:rsid w:val="002D6A15"/>
    <w:rsid w:val="002D6C5E"/>
    <w:rsid w:val="002D6CD7"/>
    <w:rsid w:val="002D762A"/>
    <w:rsid w:val="002D764C"/>
    <w:rsid w:val="002D77C7"/>
    <w:rsid w:val="002E0475"/>
    <w:rsid w:val="002E0B2D"/>
    <w:rsid w:val="002E109C"/>
    <w:rsid w:val="002E131E"/>
    <w:rsid w:val="002E13E9"/>
    <w:rsid w:val="002E198A"/>
    <w:rsid w:val="002E2568"/>
    <w:rsid w:val="002E2C47"/>
    <w:rsid w:val="002E2C8E"/>
    <w:rsid w:val="002E2EBA"/>
    <w:rsid w:val="002E310B"/>
    <w:rsid w:val="002E32C9"/>
    <w:rsid w:val="002E396F"/>
    <w:rsid w:val="002E3DF5"/>
    <w:rsid w:val="002E409D"/>
    <w:rsid w:val="002E4723"/>
    <w:rsid w:val="002E4E95"/>
    <w:rsid w:val="002E509F"/>
    <w:rsid w:val="002E54E5"/>
    <w:rsid w:val="002E5503"/>
    <w:rsid w:val="002E5508"/>
    <w:rsid w:val="002E6029"/>
    <w:rsid w:val="002E61CF"/>
    <w:rsid w:val="002E63E5"/>
    <w:rsid w:val="002E679C"/>
    <w:rsid w:val="002E69F0"/>
    <w:rsid w:val="002E7213"/>
    <w:rsid w:val="002E7728"/>
    <w:rsid w:val="002E7861"/>
    <w:rsid w:val="002F0260"/>
    <w:rsid w:val="002F1008"/>
    <w:rsid w:val="002F1257"/>
    <w:rsid w:val="002F1456"/>
    <w:rsid w:val="002F1540"/>
    <w:rsid w:val="002F1830"/>
    <w:rsid w:val="002F1DDE"/>
    <w:rsid w:val="002F2058"/>
    <w:rsid w:val="002F2F07"/>
    <w:rsid w:val="002F3183"/>
    <w:rsid w:val="002F3482"/>
    <w:rsid w:val="002F361B"/>
    <w:rsid w:val="002F41C5"/>
    <w:rsid w:val="002F4F51"/>
    <w:rsid w:val="002F5167"/>
    <w:rsid w:val="002F524A"/>
    <w:rsid w:val="002F5B20"/>
    <w:rsid w:val="002F5C77"/>
    <w:rsid w:val="002F5D6A"/>
    <w:rsid w:val="002F6450"/>
    <w:rsid w:val="002F681B"/>
    <w:rsid w:val="002F68BC"/>
    <w:rsid w:val="002F77DB"/>
    <w:rsid w:val="003007A1"/>
    <w:rsid w:val="003007FD"/>
    <w:rsid w:val="00300ADC"/>
    <w:rsid w:val="00300F35"/>
    <w:rsid w:val="003010B3"/>
    <w:rsid w:val="003012A3"/>
    <w:rsid w:val="00301736"/>
    <w:rsid w:val="00301B6F"/>
    <w:rsid w:val="00301D0D"/>
    <w:rsid w:val="00301F8A"/>
    <w:rsid w:val="0030280F"/>
    <w:rsid w:val="0030281B"/>
    <w:rsid w:val="00303204"/>
    <w:rsid w:val="003038BF"/>
    <w:rsid w:val="00303B4E"/>
    <w:rsid w:val="00303EAE"/>
    <w:rsid w:val="0030478E"/>
    <w:rsid w:val="0030485B"/>
    <w:rsid w:val="00304A3F"/>
    <w:rsid w:val="00304B9C"/>
    <w:rsid w:val="00305385"/>
    <w:rsid w:val="0030543D"/>
    <w:rsid w:val="00305471"/>
    <w:rsid w:val="00305992"/>
    <w:rsid w:val="00305E7B"/>
    <w:rsid w:val="0030686E"/>
    <w:rsid w:val="0030692E"/>
    <w:rsid w:val="00306A47"/>
    <w:rsid w:val="00306AC6"/>
    <w:rsid w:val="00306B6D"/>
    <w:rsid w:val="00306BE6"/>
    <w:rsid w:val="003076DF"/>
    <w:rsid w:val="00307FB6"/>
    <w:rsid w:val="003100E5"/>
    <w:rsid w:val="0031025B"/>
    <w:rsid w:val="003105B4"/>
    <w:rsid w:val="00310B9C"/>
    <w:rsid w:val="00310E9C"/>
    <w:rsid w:val="003111B8"/>
    <w:rsid w:val="00311248"/>
    <w:rsid w:val="00311F03"/>
    <w:rsid w:val="00312BF5"/>
    <w:rsid w:val="00312C1D"/>
    <w:rsid w:val="00312C81"/>
    <w:rsid w:val="00312DF8"/>
    <w:rsid w:val="00313020"/>
    <w:rsid w:val="0031355C"/>
    <w:rsid w:val="003135C3"/>
    <w:rsid w:val="00313834"/>
    <w:rsid w:val="00313BE0"/>
    <w:rsid w:val="00313DE4"/>
    <w:rsid w:val="003143E9"/>
    <w:rsid w:val="00314693"/>
    <w:rsid w:val="003149C8"/>
    <w:rsid w:val="00314B9C"/>
    <w:rsid w:val="00314CB7"/>
    <w:rsid w:val="00315B79"/>
    <w:rsid w:val="00315E21"/>
    <w:rsid w:val="00316168"/>
    <w:rsid w:val="003165DA"/>
    <w:rsid w:val="00316713"/>
    <w:rsid w:val="00316EE7"/>
    <w:rsid w:val="00317097"/>
    <w:rsid w:val="00317407"/>
    <w:rsid w:val="00317636"/>
    <w:rsid w:val="0031770B"/>
    <w:rsid w:val="00317D45"/>
    <w:rsid w:val="0032018C"/>
    <w:rsid w:val="0032089E"/>
    <w:rsid w:val="00320975"/>
    <w:rsid w:val="00320C2F"/>
    <w:rsid w:val="00320E3D"/>
    <w:rsid w:val="00321279"/>
    <w:rsid w:val="00321BE0"/>
    <w:rsid w:val="00321D27"/>
    <w:rsid w:val="0032230B"/>
    <w:rsid w:val="0032298F"/>
    <w:rsid w:val="00322AE4"/>
    <w:rsid w:val="00323587"/>
    <w:rsid w:val="00323956"/>
    <w:rsid w:val="00323F35"/>
    <w:rsid w:val="00323F7D"/>
    <w:rsid w:val="003249F5"/>
    <w:rsid w:val="00324BE5"/>
    <w:rsid w:val="003250E3"/>
    <w:rsid w:val="00325605"/>
    <w:rsid w:val="00325B64"/>
    <w:rsid w:val="0032605B"/>
    <w:rsid w:val="00326172"/>
    <w:rsid w:val="003261AD"/>
    <w:rsid w:val="003267A1"/>
    <w:rsid w:val="00326EAB"/>
    <w:rsid w:val="00327359"/>
    <w:rsid w:val="0033013C"/>
    <w:rsid w:val="00330185"/>
    <w:rsid w:val="00330365"/>
    <w:rsid w:val="00330E8D"/>
    <w:rsid w:val="00331389"/>
    <w:rsid w:val="003313DC"/>
    <w:rsid w:val="0033170E"/>
    <w:rsid w:val="00331D4B"/>
    <w:rsid w:val="00331E11"/>
    <w:rsid w:val="00331F98"/>
    <w:rsid w:val="003326B6"/>
    <w:rsid w:val="00333FE6"/>
    <w:rsid w:val="00334914"/>
    <w:rsid w:val="00334D6D"/>
    <w:rsid w:val="00334F67"/>
    <w:rsid w:val="00334FBE"/>
    <w:rsid w:val="00335345"/>
    <w:rsid w:val="0033609B"/>
    <w:rsid w:val="003363FF"/>
    <w:rsid w:val="0033692B"/>
    <w:rsid w:val="00336B10"/>
    <w:rsid w:val="00337261"/>
    <w:rsid w:val="00337C89"/>
    <w:rsid w:val="00337EB1"/>
    <w:rsid w:val="003403AE"/>
    <w:rsid w:val="003403EC"/>
    <w:rsid w:val="003405ED"/>
    <w:rsid w:val="003408D9"/>
    <w:rsid w:val="00340B45"/>
    <w:rsid w:val="00340FEC"/>
    <w:rsid w:val="00341259"/>
    <w:rsid w:val="003412B8"/>
    <w:rsid w:val="003414EF"/>
    <w:rsid w:val="00341A83"/>
    <w:rsid w:val="00341B10"/>
    <w:rsid w:val="00341E89"/>
    <w:rsid w:val="00342873"/>
    <w:rsid w:val="00342893"/>
    <w:rsid w:val="00343FEF"/>
    <w:rsid w:val="0034450B"/>
    <w:rsid w:val="00344541"/>
    <w:rsid w:val="00344998"/>
    <w:rsid w:val="003459E6"/>
    <w:rsid w:val="00345B17"/>
    <w:rsid w:val="00345CC4"/>
    <w:rsid w:val="00345D76"/>
    <w:rsid w:val="00346229"/>
    <w:rsid w:val="0034654C"/>
    <w:rsid w:val="003502D4"/>
    <w:rsid w:val="00350D31"/>
    <w:rsid w:val="00350D5E"/>
    <w:rsid w:val="00350D83"/>
    <w:rsid w:val="00351112"/>
    <w:rsid w:val="003517D6"/>
    <w:rsid w:val="00351AD2"/>
    <w:rsid w:val="00352045"/>
    <w:rsid w:val="003523B2"/>
    <w:rsid w:val="00352B27"/>
    <w:rsid w:val="00353C18"/>
    <w:rsid w:val="00353F9D"/>
    <w:rsid w:val="00354653"/>
    <w:rsid w:val="003547F8"/>
    <w:rsid w:val="00354A3F"/>
    <w:rsid w:val="00354DFB"/>
    <w:rsid w:val="003553DB"/>
    <w:rsid w:val="003563D2"/>
    <w:rsid w:val="003564F5"/>
    <w:rsid w:val="00356D43"/>
    <w:rsid w:val="003570E3"/>
    <w:rsid w:val="0035731E"/>
    <w:rsid w:val="00357352"/>
    <w:rsid w:val="00357421"/>
    <w:rsid w:val="00357506"/>
    <w:rsid w:val="0036015A"/>
    <w:rsid w:val="003604B1"/>
    <w:rsid w:val="0036053D"/>
    <w:rsid w:val="00360659"/>
    <w:rsid w:val="00360D57"/>
    <w:rsid w:val="00360F35"/>
    <w:rsid w:val="00360FAB"/>
    <w:rsid w:val="00361A8A"/>
    <w:rsid w:val="00361C72"/>
    <w:rsid w:val="00361DA0"/>
    <w:rsid w:val="00362126"/>
    <w:rsid w:val="003623A2"/>
    <w:rsid w:val="0036248D"/>
    <w:rsid w:val="00362B21"/>
    <w:rsid w:val="0036301E"/>
    <w:rsid w:val="003632BB"/>
    <w:rsid w:val="0036352D"/>
    <w:rsid w:val="00363C84"/>
    <w:rsid w:val="00363FE3"/>
    <w:rsid w:val="00364150"/>
    <w:rsid w:val="003642EF"/>
    <w:rsid w:val="0036444E"/>
    <w:rsid w:val="00365737"/>
    <w:rsid w:val="003657EF"/>
    <w:rsid w:val="003658F0"/>
    <w:rsid w:val="00365955"/>
    <w:rsid w:val="0036648C"/>
    <w:rsid w:val="003664B8"/>
    <w:rsid w:val="003666D0"/>
    <w:rsid w:val="00366B81"/>
    <w:rsid w:val="00366CB1"/>
    <w:rsid w:val="0036799A"/>
    <w:rsid w:val="0037008B"/>
    <w:rsid w:val="00370168"/>
    <w:rsid w:val="003703C7"/>
    <w:rsid w:val="003704D7"/>
    <w:rsid w:val="00370511"/>
    <w:rsid w:val="003709C7"/>
    <w:rsid w:val="00370CF5"/>
    <w:rsid w:val="00370E71"/>
    <w:rsid w:val="00370F45"/>
    <w:rsid w:val="00371571"/>
    <w:rsid w:val="00371E17"/>
    <w:rsid w:val="00371F82"/>
    <w:rsid w:val="00372CD1"/>
    <w:rsid w:val="00372E50"/>
    <w:rsid w:val="00373001"/>
    <w:rsid w:val="00373B00"/>
    <w:rsid w:val="00373B4B"/>
    <w:rsid w:val="003740A7"/>
    <w:rsid w:val="00374BBB"/>
    <w:rsid w:val="00374D45"/>
    <w:rsid w:val="00375243"/>
    <w:rsid w:val="003753EB"/>
    <w:rsid w:val="00375871"/>
    <w:rsid w:val="003759A1"/>
    <w:rsid w:val="00375A18"/>
    <w:rsid w:val="00375A8D"/>
    <w:rsid w:val="00375EC2"/>
    <w:rsid w:val="00375ED0"/>
    <w:rsid w:val="0037600F"/>
    <w:rsid w:val="00376220"/>
    <w:rsid w:val="00376540"/>
    <w:rsid w:val="003767AD"/>
    <w:rsid w:val="00376C32"/>
    <w:rsid w:val="00376C7A"/>
    <w:rsid w:val="00377754"/>
    <w:rsid w:val="00377F04"/>
    <w:rsid w:val="00377FA3"/>
    <w:rsid w:val="00380291"/>
    <w:rsid w:val="003805DD"/>
    <w:rsid w:val="00380981"/>
    <w:rsid w:val="00380E0E"/>
    <w:rsid w:val="0038146F"/>
    <w:rsid w:val="003824D5"/>
    <w:rsid w:val="00382603"/>
    <w:rsid w:val="0038281B"/>
    <w:rsid w:val="00382BCA"/>
    <w:rsid w:val="00382BD5"/>
    <w:rsid w:val="0038388E"/>
    <w:rsid w:val="0038393F"/>
    <w:rsid w:val="00383AAD"/>
    <w:rsid w:val="00383ADC"/>
    <w:rsid w:val="00383C4D"/>
    <w:rsid w:val="00383CE7"/>
    <w:rsid w:val="00383E63"/>
    <w:rsid w:val="003842EE"/>
    <w:rsid w:val="0038497C"/>
    <w:rsid w:val="00384B04"/>
    <w:rsid w:val="00384B85"/>
    <w:rsid w:val="00384C8A"/>
    <w:rsid w:val="00384F13"/>
    <w:rsid w:val="0038547D"/>
    <w:rsid w:val="00385B1E"/>
    <w:rsid w:val="003861D9"/>
    <w:rsid w:val="00386DEB"/>
    <w:rsid w:val="003874DF"/>
    <w:rsid w:val="00387526"/>
    <w:rsid w:val="00387858"/>
    <w:rsid w:val="00387B54"/>
    <w:rsid w:val="00387C9F"/>
    <w:rsid w:val="0039001B"/>
    <w:rsid w:val="0039148B"/>
    <w:rsid w:val="00391543"/>
    <w:rsid w:val="003918A6"/>
    <w:rsid w:val="00391994"/>
    <w:rsid w:val="00391A9D"/>
    <w:rsid w:val="00391D60"/>
    <w:rsid w:val="00391E52"/>
    <w:rsid w:val="00391E6C"/>
    <w:rsid w:val="00391EAB"/>
    <w:rsid w:val="00391F4D"/>
    <w:rsid w:val="00391F74"/>
    <w:rsid w:val="003926B9"/>
    <w:rsid w:val="003929CF"/>
    <w:rsid w:val="00392B66"/>
    <w:rsid w:val="00392E3C"/>
    <w:rsid w:val="00392E97"/>
    <w:rsid w:val="0039310E"/>
    <w:rsid w:val="00393391"/>
    <w:rsid w:val="003934EB"/>
    <w:rsid w:val="00393580"/>
    <w:rsid w:val="00393667"/>
    <w:rsid w:val="003943FE"/>
    <w:rsid w:val="00394C75"/>
    <w:rsid w:val="00394CFF"/>
    <w:rsid w:val="00395163"/>
    <w:rsid w:val="003951A7"/>
    <w:rsid w:val="00395A5C"/>
    <w:rsid w:val="00396A60"/>
    <w:rsid w:val="00396B96"/>
    <w:rsid w:val="003970A5"/>
    <w:rsid w:val="00397213"/>
    <w:rsid w:val="00397388"/>
    <w:rsid w:val="003975CC"/>
    <w:rsid w:val="003977EC"/>
    <w:rsid w:val="00397C03"/>
    <w:rsid w:val="003A04E0"/>
    <w:rsid w:val="003A0530"/>
    <w:rsid w:val="003A0779"/>
    <w:rsid w:val="003A1968"/>
    <w:rsid w:val="003A1969"/>
    <w:rsid w:val="003A1B54"/>
    <w:rsid w:val="003A1E0C"/>
    <w:rsid w:val="003A1F24"/>
    <w:rsid w:val="003A202F"/>
    <w:rsid w:val="003A22CA"/>
    <w:rsid w:val="003A242A"/>
    <w:rsid w:val="003A2566"/>
    <w:rsid w:val="003A259D"/>
    <w:rsid w:val="003A2FE9"/>
    <w:rsid w:val="003A32D9"/>
    <w:rsid w:val="003A3309"/>
    <w:rsid w:val="003A396D"/>
    <w:rsid w:val="003A39CF"/>
    <w:rsid w:val="003A3A55"/>
    <w:rsid w:val="003A3A81"/>
    <w:rsid w:val="003A3B23"/>
    <w:rsid w:val="003A40EE"/>
    <w:rsid w:val="003A422F"/>
    <w:rsid w:val="003A45AA"/>
    <w:rsid w:val="003A4669"/>
    <w:rsid w:val="003A4C25"/>
    <w:rsid w:val="003A4C72"/>
    <w:rsid w:val="003A5022"/>
    <w:rsid w:val="003A5223"/>
    <w:rsid w:val="003A53C7"/>
    <w:rsid w:val="003A5DDD"/>
    <w:rsid w:val="003A662B"/>
    <w:rsid w:val="003A6DF3"/>
    <w:rsid w:val="003A6F74"/>
    <w:rsid w:val="003A73F1"/>
    <w:rsid w:val="003A75A0"/>
    <w:rsid w:val="003A782F"/>
    <w:rsid w:val="003A7D88"/>
    <w:rsid w:val="003B034F"/>
    <w:rsid w:val="003B03C9"/>
    <w:rsid w:val="003B0F0C"/>
    <w:rsid w:val="003B10BD"/>
    <w:rsid w:val="003B1B9A"/>
    <w:rsid w:val="003B1BD9"/>
    <w:rsid w:val="003B1C79"/>
    <w:rsid w:val="003B24EC"/>
    <w:rsid w:val="003B25E2"/>
    <w:rsid w:val="003B2D55"/>
    <w:rsid w:val="003B3695"/>
    <w:rsid w:val="003B3B09"/>
    <w:rsid w:val="003B4242"/>
    <w:rsid w:val="003B431D"/>
    <w:rsid w:val="003B454B"/>
    <w:rsid w:val="003B4DAF"/>
    <w:rsid w:val="003B5136"/>
    <w:rsid w:val="003B62F9"/>
    <w:rsid w:val="003B6702"/>
    <w:rsid w:val="003B6D11"/>
    <w:rsid w:val="003B759A"/>
    <w:rsid w:val="003B76C6"/>
    <w:rsid w:val="003B76D4"/>
    <w:rsid w:val="003B7821"/>
    <w:rsid w:val="003B79CE"/>
    <w:rsid w:val="003B7BEE"/>
    <w:rsid w:val="003C0041"/>
    <w:rsid w:val="003C0669"/>
    <w:rsid w:val="003C0B3D"/>
    <w:rsid w:val="003C1459"/>
    <w:rsid w:val="003C1A8E"/>
    <w:rsid w:val="003C1B29"/>
    <w:rsid w:val="003C1E08"/>
    <w:rsid w:val="003C2017"/>
    <w:rsid w:val="003C2034"/>
    <w:rsid w:val="003C203A"/>
    <w:rsid w:val="003C20F1"/>
    <w:rsid w:val="003C24D9"/>
    <w:rsid w:val="003C266A"/>
    <w:rsid w:val="003C2859"/>
    <w:rsid w:val="003C2B49"/>
    <w:rsid w:val="003C30EE"/>
    <w:rsid w:val="003C3371"/>
    <w:rsid w:val="003C33EE"/>
    <w:rsid w:val="003C4057"/>
    <w:rsid w:val="003C43A5"/>
    <w:rsid w:val="003C5052"/>
    <w:rsid w:val="003C5ABD"/>
    <w:rsid w:val="003C5EFA"/>
    <w:rsid w:val="003C6C0A"/>
    <w:rsid w:val="003C7605"/>
    <w:rsid w:val="003D0071"/>
    <w:rsid w:val="003D010E"/>
    <w:rsid w:val="003D0150"/>
    <w:rsid w:val="003D0D59"/>
    <w:rsid w:val="003D0F6F"/>
    <w:rsid w:val="003D17C6"/>
    <w:rsid w:val="003D196D"/>
    <w:rsid w:val="003D19DC"/>
    <w:rsid w:val="003D1CF9"/>
    <w:rsid w:val="003D1FD7"/>
    <w:rsid w:val="003D21E5"/>
    <w:rsid w:val="003D2AC8"/>
    <w:rsid w:val="003D2BCA"/>
    <w:rsid w:val="003D2F71"/>
    <w:rsid w:val="003D30FF"/>
    <w:rsid w:val="003D32A9"/>
    <w:rsid w:val="003D39CB"/>
    <w:rsid w:val="003D3DED"/>
    <w:rsid w:val="003D41BA"/>
    <w:rsid w:val="003D46C8"/>
    <w:rsid w:val="003D47E4"/>
    <w:rsid w:val="003D4E41"/>
    <w:rsid w:val="003D5090"/>
    <w:rsid w:val="003D5191"/>
    <w:rsid w:val="003D5343"/>
    <w:rsid w:val="003D5436"/>
    <w:rsid w:val="003D59A5"/>
    <w:rsid w:val="003D5EC4"/>
    <w:rsid w:val="003D698E"/>
    <w:rsid w:val="003D6BCB"/>
    <w:rsid w:val="003D6CAA"/>
    <w:rsid w:val="003D74B1"/>
    <w:rsid w:val="003D7541"/>
    <w:rsid w:val="003D7BB0"/>
    <w:rsid w:val="003D7CA1"/>
    <w:rsid w:val="003E00D1"/>
    <w:rsid w:val="003E0662"/>
    <w:rsid w:val="003E0DF8"/>
    <w:rsid w:val="003E1347"/>
    <w:rsid w:val="003E15B3"/>
    <w:rsid w:val="003E1927"/>
    <w:rsid w:val="003E1D3D"/>
    <w:rsid w:val="003E239D"/>
    <w:rsid w:val="003E24EF"/>
    <w:rsid w:val="003E24F0"/>
    <w:rsid w:val="003E2DB7"/>
    <w:rsid w:val="003E2EA0"/>
    <w:rsid w:val="003E387C"/>
    <w:rsid w:val="003E3903"/>
    <w:rsid w:val="003E3E64"/>
    <w:rsid w:val="003E4DF6"/>
    <w:rsid w:val="003E61DC"/>
    <w:rsid w:val="003E6624"/>
    <w:rsid w:val="003E6D7B"/>
    <w:rsid w:val="003E712E"/>
    <w:rsid w:val="003E7376"/>
    <w:rsid w:val="003E759C"/>
    <w:rsid w:val="003F018B"/>
    <w:rsid w:val="003F0D36"/>
    <w:rsid w:val="003F118C"/>
    <w:rsid w:val="003F118E"/>
    <w:rsid w:val="003F1190"/>
    <w:rsid w:val="003F1462"/>
    <w:rsid w:val="003F1876"/>
    <w:rsid w:val="003F1BED"/>
    <w:rsid w:val="003F1D6A"/>
    <w:rsid w:val="003F1DBE"/>
    <w:rsid w:val="003F1F47"/>
    <w:rsid w:val="003F20F2"/>
    <w:rsid w:val="003F2513"/>
    <w:rsid w:val="003F269B"/>
    <w:rsid w:val="003F2AB8"/>
    <w:rsid w:val="003F2B8C"/>
    <w:rsid w:val="003F319A"/>
    <w:rsid w:val="003F32DA"/>
    <w:rsid w:val="003F3BF9"/>
    <w:rsid w:val="003F44FE"/>
    <w:rsid w:val="003F4C0A"/>
    <w:rsid w:val="003F4EF4"/>
    <w:rsid w:val="003F52D8"/>
    <w:rsid w:val="003F54F0"/>
    <w:rsid w:val="003F5C2D"/>
    <w:rsid w:val="003F6612"/>
    <w:rsid w:val="003F6830"/>
    <w:rsid w:val="003F6D81"/>
    <w:rsid w:val="003F6DA8"/>
    <w:rsid w:val="003F7079"/>
    <w:rsid w:val="003F7134"/>
    <w:rsid w:val="003F74E5"/>
    <w:rsid w:val="003F788A"/>
    <w:rsid w:val="003F7BCD"/>
    <w:rsid w:val="003F7E1C"/>
    <w:rsid w:val="0040006B"/>
    <w:rsid w:val="00400699"/>
    <w:rsid w:val="0040084B"/>
    <w:rsid w:val="004008B8"/>
    <w:rsid w:val="004008D2"/>
    <w:rsid w:val="00401935"/>
    <w:rsid w:val="004021C2"/>
    <w:rsid w:val="00402666"/>
    <w:rsid w:val="00402794"/>
    <w:rsid w:val="00402AC2"/>
    <w:rsid w:val="00402C97"/>
    <w:rsid w:val="0040377A"/>
    <w:rsid w:val="00403F2E"/>
    <w:rsid w:val="0040407A"/>
    <w:rsid w:val="00404C7F"/>
    <w:rsid w:val="0040511A"/>
    <w:rsid w:val="004051A6"/>
    <w:rsid w:val="0040524B"/>
    <w:rsid w:val="00405473"/>
    <w:rsid w:val="004059B2"/>
    <w:rsid w:val="00405A27"/>
    <w:rsid w:val="00406B23"/>
    <w:rsid w:val="00407B21"/>
    <w:rsid w:val="00407B3F"/>
    <w:rsid w:val="00407E6A"/>
    <w:rsid w:val="00410097"/>
    <w:rsid w:val="00410916"/>
    <w:rsid w:val="00410D68"/>
    <w:rsid w:val="00411081"/>
    <w:rsid w:val="004111D3"/>
    <w:rsid w:val="004116B5"/>
    <w:rsid w:val="00412094"/>
    <w:rsid w:val="004122EC"/>
    <w:rsid w:val="00412449"/>
    <w:rsid w:val="00412A30"/>
    <w:rsid w:val="00413618"/>
    <w:rsid w:val="00413942"/>
    <w:rsid w:val="00413A26"/>
    <w:rsid w:val="00413C4B"/>
    <w:rsid w:val="00413CAB"/>
    <w:rsid w:val="00414972"/>
    <w:rsid w:val="004151AC"/>
    <w:rsid w:val="004155D3"/>
    <w:rsid w:val="0041594F"/>
    <w:rsid w:val="0041600A"/>
    <w:rsid w:val="004162B7"/>
    <w:rsid w:val="00416665"/>
    <w:rsid w:val="00416851"/>
    <w:rsid w:val="00416D7E"/>
    <w:rsid w:val="00417123"/>
    <w:rsid w:val="004175B9"/>
    <w:rsid w:val="00417693"/>
    <w:rsid w:val="0042044D"/>
    <w:rsid w:val="00420858"/>
    <w:rsid w:val="0042111E"/>
    <w:rsid w:val="00421888"/>
    <w:rsid w:val="00421A8D"/>
    <w:rsid w:val="00421C48"/>
    <w:rsid w:val="00421E38"/>
    <w:rsid w:val="004228E2"/>
    <w:rsid w:val="004229BC"/>
    <w:rsid w:val="00422B1B"/>
    <w:rsid w:val="00423503"/>
    <w:rsid w:val="00423702"/>
    <w:rsid w:val="00423F23"/>
    <w:rsid w:val="00424511"/>
    <w:rsid w:val="00424884"/>
    <w:rsid w:val="00424C43"/>
    <w:rsid w:val="00425D2E"/>
    <w:rsid w:val="00425D79"/>
    <w:rsid w:val="004260ED"/>
    <w:rsid w:val="00426A40"/>
    <w:rsid w:val="00426D9E"/>
    <w:rsid w:val="00426EF5"/>
    <w:rsid w:val="00427119"/>
    <w:rsid w:val="00427529"/>
    <w:rsid w:val="004278AA"/>
    <w:rsid w:val="00430557"/>
    <w:rsid w:val="004306CF"/>
    <w:rsid w:val="0043090B"/>
    <w:rsid w:val="00430A1D"/>
    <w:rsid w:val="00430ECD"/>
    <w:rsid w:val="00430FDC"/>
    <w:rsid w:val="00431897"/>
    <w:rsid w:val="0043212A"/>
    <w:rsid w:val="0043217C"/>
    <w:rsid w:val="00432488"/>
    <w:rsid w:val="00432B03"/>
    <w:rsid w:val="00433466"/>
    <w:rsid w:val="00433469"/>
    <w:rsid w:val="00434816"/>
    <w:rsid w:val="00434A9C"/>
    <w:rsid w:val="00434E47"/>
    <w:rsid w:val="00434FEA"/>
    <w:rsid w:val="004350C0"/>
    <w:rsid w:val="004358E4"/>
    <w:rsid w:val="00435FF3"/>
    <w:rsid w:val="00436056"/>
    <w:rsid w:val="00436AEA"/>
    <w:rsid w:val="00436BF6"/>
    <w:rsid w:val="00436E69"/>
    <w:rsid w:val="00436FA6"/>
    <w:rsid w:val="00437247"/>
    <w:rsid w:val="00437BCC"/>
    <w:rsid w:val="00437D9B"/>
    <w:rsid w:val="00437EED"/>
    <w:rsid w:val="00437F9F"/>
    <w:rsid w:val="004401F1"/>
    <w:rsid w:val="004403B2"/>
    <w:rsid w:val="00440644"/>
    <w:rsid w:val="00440A17"/>
    <w:rsid w:val="00440CCF"/>
    <w:rsid w:val="00440EAF"/>
    <w:rsid w:val="00441136"/>
    <w:rsid w:val="004411A0"/>
    <w:rsid w:val="004418B7"/>
    <w:rsid w:val="00442829"/>
    <w:rsid w:val="00442EE8"/>
    <w:rsid w:val="00443057"/>
    <w:rsid w:val="00443099"/>
    <w:rsid w:val="00443821"/>
    <w:rsid w:val="00443885"/>
    <w:rsid w:val="0044389D"/>
    <w:rsid w:val="00443D69"/>
    <w:rsid w:val="004440EA"/>
    <w:rsid w:val="004444B8"/>
    <w:rsid w:val="00444E92"/>
    <w:rsid w:val="00445747"/>
    <w:rsid w:val="00445C22"/>
    <w:rsid w:val="00445D74"/>
    <w:rsid w:val="00445DBB"/>
    <w:rsid w:val="00446223"/>
    <w:rsid w:val="004464CB"/>
    <w:rsid w:val="00446E0D"/>
    <w:rsid w:val="00447397"/>
    <w:rsid w:val="00447AC2"/>
    <w:rsid w:val="00447C3F"/>
    <w:rsid w:val="00447F28"/>
    <w:rsid w:val="004506DB"/>
    <w:rsid w:val="00450EAA"/>
    <w:rsid w:val="0045129B"/>
    <w:rsid w:val="0045155A"/>
    <w:rsid w:val="004516CB"/>
    <w:rsid w:val="00451DD7"/>
    <w:rsid w:val="00452695"/>
    <w:rsid w:val="00452ADD"/>
    <w:rsid w:val="00452DDB"/>
    <w:rsid w:val="0045398B"/>
    <w:rsid w:val="00453A98"/>
    <w:rsid w:val="00453BF5"/>
    <w:rsid w:val="00453D74"/>
    <w:rsid w:val="004540D7"/>
    <w:rsid w:val="00454D9A"/>
    <w:rsid w:val="00455B98"/>
    <w:rsid w:val="00455EFF"/>
    <w:rsid w:val="00456236"/>
    <w:rsid w:val="00456488"/>
    <w:rsid w:val="00456AB5"/>
    <w:rsid w:val="00456D17"/>
    <w:rsid w:val="00456FF4"/>
    <w:rsid w:val="00457462"/>
    <w:rsid w:val="0046034E"/>
    <w:rsid w:val="004605ED"/>
    <w:rsid w:val="00460970"/>
    <w:rsid w:val="00460D68"/>
    <w:rsid w:val="00460DDC"/>
    <w:rsid w:val="004613E7"/>
    <w:rsid w:val="0046170F"/>
    <w:rsid w:val="00461777"/>
    <w:rsid w:val="00461977"/>
    <w:rsid w:val="00461991"/>
    <w:rsid w:val="00461A47"/>
    <w:rsid w:val="00461CB2"/>
    <w:rsid w:val="004620FA"/>
    <w:rsid w:val="004624F4"/>
    <w:rsid w:val="0046344D"/>
    <w:rsid w:val="00463850"/>
    <w:rsid w:val="00463ED0"/>
    <w:rsid w:val="004649C0"/>
    <w:rsid w:val="00464AAE"/>
    <w:rsid w:val="00464F4B"/>
    <w:rsid w:val="0046531B"/>
    <w:rsid w:val="00465993"/>
    <w:rsid w:val="00465E56"/>
    <w:rsid w:val="00465F30"/>
    <w:rsid w:val="004660B7"/>
    <w:rsid w:val="004664DE"/>
    <w:rsid w:val="00466680"/>
    <w:rsid w:val="00466760"/>
    <w:rsid w:val="0046682E"/>
    <w:rsid w:val="004675D2"/>
    <w:rsid w:val="004679E8"/>
    <w:rsid w:val="00470746"/>
    <w:rsid w:val="00471DD4"/>
    <w:rsid w:val="00472FFE"/>
    <w:rsid w:val="004736EA"/>
    <w:rsid w:val="0047428D"/>
    <w:rsid w:val="004742F9"/>
    <w:rsid w:val="004748F1"/>
    <w:rsid w:val="00474CBE"/>
    <w:rsid w:val="0047536E"/>
    <w:rsid w:val="00475918"/>
    <w:rsid w:val="00475D31"/>
    <w:rsid w:val="00475E61"/>
    <w:rsid w:val="004762A5"/>
    <w:rsid w:val="00476707"/>
    <w:rsid w:val="00476CAA"/>
    <w:rsid w:val="00477239"/>
    <w:rsid w:val="004778C0"/>
    <w:rsid w:val="0048040C"/>
    <w:rsid w:val="00480606"/>
    <w:rsid w:val="00480690"/>
    <w:rsid w:val="004807E2"/>
    <w:rsid w:val="00480BCB"/>
    <w:rsid w:val="00480C38"/>
    <w:rsid w:val="00480CAC"/>
    <w:rsid w:val="00481014"/>
    <w:rsid w:val="004812D9"/>
    <w:rsid w:val="00481530"/>
    <w:rsid w:val="0048171F"/>
    <w:rsid w:val="004818CD"/>
    <w:rsid w:val="00481ADC"/>
    <w:rsid w:val="00481D1E"/>
    <w:rsid w:val="0048256E"/>
    <w:rsid w:val="00482699"/>
    <w:rsid w:val="00482725"/>
    <w:rsid w:val="00482A66"/>
    <w:rsid w:val="00483414"/>
    <w:rsid w:val="00483754"/>
    <w:rsid w:val="00483B51"/>
    <w:rsid w:val="00483C0E"/>
    <w:rsid w:val="00483DC1"/>
    <w:rsid w:val="00484271"/>
    <w:rsid w:val="00484885"/>
    <w:rsid w:val="00484A6A"/>
    <w:rsid w:val="00484F91"/>
    <w:rsid w:val="00485271"/>
    <w:rsid w:val="0048529E"/>
    <w:rsid w:val="004865E6"/>
    <w:rsid w:val="004868BC"/>
    <w:rsid w:val="00486D5F"/>
    <w:rsid w:val="00487784"/>
    <w:rsid w:val="004877F1"/>
    <w:rsid w:val="00487AD4"/>
    <w:rsid w:val="00487ED3"/>
    <w:rsid w:val="00487F5B"/>
    <w:rsid w:val="00487FF7"/>
    <w:rsid w:val="0049183F"/>
    <w:rsid w:val="00491A0B"/>
    <w:rsid w:val="00491C62"/>
    <w:rsid w:val="00491DE1"/>
    <w:rsid w:val="004920F8"/>
    <w:rsid w:val="004923BD"/>
    <w:rsid w:val="00492545"/>
    <w:rsid w:val="0049281E"/>
    <w:rsid w:val="00492E56"/>
    <w:rsid w:val="00493E09"/>
    <w:rsid w:val="00493F66"/>
    <w:rsid w:val="0049423B"/>
    <w:rsid w:val="004949F0"/>
    <w:rsid w:val="00494B4A"/>
    <w:rsid w:val="00494B5E"/>
    <w:rsid w:val="00494D4E"/>
    <w:rsid w:val="00494F67"/>
    <w:rsid w:val="004950A8"/>
    <w:rsid w:val="00495831"/>
    <w:rsid w:val="00495BF7"/>
    <w:rsid w:val="00495FA2"/>
    <w:rsid w:val="00496BF2"/>
    <w:rsid w:val="00496E16"/>
    <w:rsid w:val="00496F34"/>
    <w:rsid w:val="0049740E"/>
    <w:rsid w:val="0049747C"/>
    <w:rsid w:val="004978A4"/>
    <w:rsid w:val="00497B41"/>
    <w:rsid w:val="00497C3B"/>
    <w:rsid w:val="00497C68"/>
    <w:rsid w:val="00497E81"/>
    <w:rsid w:val="00497F56"/>
    <w:rsid w:val="004A028B"/>
    <w:rsid w:val="004A0420"/>
    <w:rsid w:val="004A05F2"/>
    <w:rsid w:val="004A0D82"/>
    <w:rsid w:val="004A16C0"/>
    <w:rsid w:val="004A19B1"/>
    <w:rsid w:val="004A1A06"/>
    <w:rsid w:val="004A1F6A"/>
    <w:rsid w:val="004A2D4C"/>
    <w:rsid w:val="004A3505"/>
    <w:rsid w:val="004A377B"/>
    <w:rsid w:val="004A4C12"/>
    <w:rsid w:val="004A4F6B"/>
    <w:rsid w:val="004A5A56"/>
    <w:rsid w:val="004A5A69"/>
    <w:rsid w:val="004A5B3D"/>
    <w:rsid w:val="004A6111"/>
    <w:rsid w:val="004A6329"/>
    <w:rsid w:val="004A6897"/>
    <w:rsid w:val="004A6C2D"/>
    <w:rsid w:val="004A7CDC"/>
    <w:rsid w:val="004A7F95"/>
    <w:rsid w:val="004B015E"/>
    <w:rsid w:val="004B0B8F"/>
    <w:rsid w:val="004B1960"/>
    <w:rsid w:val="004B1DBB"/>
    <w:rsid w:val="004B251F"/>
    <w:rsid w:val="004B2806"/>
    <w:rsid w:val="004B2A8D"/>
    <w:rsid w:val="004B2CFC"/>
    <w:rsid w:val="004B2F4E"/>
    <w:rsid w:val="004B305F"/>
    <w:rsid w:val="004B3731"/>
    <w:rsid w:val="004B3C71"/>
    <w:rsid w:val="004B3CA7"/>
    <w:rsid w:val="004B43E3"/>
    <w:rsid w:val="004B44D8"/>
    <w:rsid w:val="004B4777"/>
    <w:rsid w:val="004B568D"/>
    <w:rsid w:val="004B5DB8"/>
    <w:rsid w:val="004B61C1"/>
    <w:rsid w:val="004B633F"/>
    <w:rsid w:val="004B673F"/>
    <w:rsid w:val="004B6866"/>
    <w:rsid w:val="004B6EC2"/>
    <w:rsid w:val="004B7431"/>
    <w:rsid w:val="004B758D"/>
    <w:rsid w:val="004B769F"/>
    <w:rsid w:val="004B7B35"/>
    <w:rsid w:val="004C04C7"/>
    <w:rsid w:val="004C0AA1"/>
    <w:rsid w:val="004C16B8"/>
    <w:rsid w:val="004C1A51"/>
    <w:rsid w:val="004C1A6A"/>
    <w:rsid w:val="004C3CEC"/>
    <w:rsid w:val="004C404F"/>
    <w:rsid w:val="004C4291"/>
    <w:rsid w:val="004C44B0"/>
    <w:rsid w:val="004C4D35"/>
    <w:rsid w:val="004C4DF3"/>
    <w:rsid w:val="004C5201"/>
    <w:rsid w:val="004C52C4"/>
    <w:rsid w:val="004C58DB"/>
    <w:rsid w:val="004C6088"/>
    <w:rsid w:val="004C627C"/>
    <w:rsid w:val="004C6B77"/>
    <w:rsid w:val="004C6BCC"/>
    <w:rsid w:val="004C6E94"/>
    <w:rsid w:val="004C6F6D"/>
    <w:rsid w:val="004C712D"/>
    <w:rsid w:val="004C7853"/>
    <w:rsid w:val="004C78B6"/>
    <w:rsid w:val="004C7973"/>
    <w:rsid w:val="004C7D36"/>
    <w:rsid w:val="004C7F70"/>
    <w:rsid w:val="004D057A"/>
    <w:rsid w:val="004D05BC"/>
    <w:rsid w:val="004D0B86"/>
    <w:rsid w:val="004D0C7F"/>
    <w:rsid w:val="004D16B0"/>
    <w:rsid w:val="004D1E4D"/>
    <w:rsid w:val="004D1F29"/>
    <w:rsid w:val="004D26E5"/>
    <w:rsid w:val="004D2ACB"/>
    <w:rsid w:val="004D2C76"/>
    <w:rsid w:val="004D2FC6"/>
    <w:rsid w:val="004D313B"/>
    <w:rsid w:val="004D31F9"/>
    <w:rsid w:val="004D3459"/>
    <w:rsid w:val="004D3D6F"/>
    <w:rsid w:val="004D41C9"/>
    <w:rsid w:val="004D431D"/>
    <w:rsid w:val="004D445A"/>
    <w:rsid w:val="004D44F5"/>
    <w:rsid w:val="004D5339"/>
    <w:rsid w:val="004D54EA"/>
    <w:rsid w:val="004D57C8"/>
    <w:rsid w:val="004D592F"/>
    <w:rsid w:val="004D596A"/>
    <w:rsid w:val="004D5D28"/>
    <w:rsid w:val="004D639F"/>
    <w:rsid w:val="004D68DB"/>
    <w:rsid w:val="004D6D3C"/>
    <w:rsid w:val="004D7073"/>
    <w:rsid w:val="004D707E"/>
    <w:rsid w:val="004D70C2"/>
    <w:rsid w:val="004D710B"/>
    <w:rsid w:val="004D7D78"/>
    <w:rsid w:val="004D7FAA"/>
    <w:rsid w:val="004E08A7"/>
    <w:rsid w:val="004E09E0"/>
    <w:rsid w:val="004E0D26"/>
    <w:rsid w:val="004E0D4E"/>
    <w:rsid w:val="004E1447"/>
    <w:rsid w:val="004E17CF"/>
    <w:rsid w:val="004E1854"/>
    <w:rsid w:val="004E18EC"/>
    <w:rsid w:val="004E1BAF"/>
    <w:rsid w:val="004E1E8A"/>
    <w:rsid w:val="004E2452"/>
    <w:rsid w:val="004E30DB"/>
    <w:rsid w:val="004E34A2"/>
    <w:rsid w:val="004E394D"/>
    <w:rsid w:val="004E4A9C"/>
    <w:rsid w:val="004E4BCB"/>
    <w:rsid w:val="004E5261"/>
    <w:rsid w:val="004E534B"/>
    <w:rsid w:val="004E545D"/>
    <w:rsid w:val="004E60CF"/>
    <w:rsid w:val="004E64A6"/>
    <w:rsid w:val="004E66F3"/>
    <w:rsid w:val="004E69C0"/>
    <w:rsid w:val="004E6CD7"/>
    <w:rsid w:val="004E6D7A"/>
    <w:rsid w:val="004E7017"/>
    <w:rsid w:val="004E70B3"/>
    <w:rsid w:val="004E739A"/>
    <w:rsid w:val="004E75DE"/>
    <w:rsid w:val="004E7B85"/>
    <w:rsid w:val="004E7D73"/>
    <w:rsid w:val="004E7EDC"/>
    <w:rsid w:val="004F004B"/>
    <w:rsid w:val="004F0094"/>
    <w:rsid w:val="004F00DF"/>
    <w:rsid w:val="004F08E6"/>
    <w:rsid w:val="004F0EE2"/>
    <w:rsid w:val="004F11F5"/>
    <w:rsid w:val="004F13D6"/>
    <w:rsid w:val="004F1C5F"/>
    <w:rsid w:val="004F26A9"/>
    <w:rsid w:val="004F3206"/>
    <w:rsid w:val="004F326D"/>
    <w:rsid w:val="004F3D3A"/>
    <w:rsid w:val="004F3F9F"/>
    <w:rsid w:val="004F480C"/>
    <w:rsid w:val="004F48B2"/>
    <w:rsid w:val="004F4EE4"/>
    <w:rsid w:val="004F51F3"/>
    <w:rsid w:val="004F52FA"/>
    <w:rsid w:val="004F584A"/>
    <w:rsid w:val="004F616D"/>
    <w:rsid w:val="004F69C1"/>
    <w:rsid w:val="004F69CB"/>
    <w:rsid w:val="004F72B3"/>
    <w:rsid w:val="004F7685"/>
    <w:rsid w:val="00500290"/>
    <w:rsid w:val="005007CA"/>
    <w:rsid w:val="00500EF2"/>
    <w:rsid w:val="00500F97"/>
    <w:rsid w:val="00500FFD"/>
    <w:rsid w:val="005012D7"/>
    <w:rsid w:val="00501697"/>
    <w:rsid w:val="005017F1"/>
    <w:rsid w:val="00501EE4"/>
    <w:rsid w:val="00502106"/>
    <w:rsid w:val="005023D3"/>
    <w:rsid w:val="00502865"/>
    <w:rsid w:val="00502CD5"/>
    <w:rsid w:val="00503294"/>
    <w:rsid w:val="0050368D"/>
    <w:rsid w:val="005040CE"/>
    <w:rsid w:val="00504415"/>
    <w:rsid w:val="00504821"/>
    <w:rsid w:val="00505245"/>
    <w:rsid w:val="005056E6"/>
    <w:rsid w:val="00505738"/>
    <w:rsid w:val="00505ACC"/>
    <w:rsid w:val="00505C3A"/>
    <w:rsid w:val="00506659"/>
    <w:rsid w:val="005078B5"/>
    <w:rsid w:val="00507F5A"/>
    <w:rsid w:val="00510440"/>
    <w:rsid w:val="00510A04"/>
    <w:rsid w:val="00510B95"/>
    <w:rsid w:val="005114EF"/>
    <w:rsid w:val="00511826"/>
    <w:rsid w:val="00511DB0"/>
    <w:rsid w:val="00511EC0"/>
    <w:rsid w:val="00512A41"/>
    <w:rsid w:val="00512C8E"/>
    <w:rsid w:val="005132A1"/>
    <w:rsid w:val="005134A4"/>
    <w:rsid w:val="00513649"/>
    <w:rsid w:val="00513732"/>
    <w:rsid w:val="00513CED"/>
    <w:rsid w:val="005141E5"/>
    <w:rsid w:val="00514668"/>
    <w:rsid w:val="00515265"/>
    <w:rsid w:val="00515F9A"/>
    <w:rsid w:val="005162E2"/>
    <w:rsid w:val="0051689C"/>
    <w:rsid w:val="00516CB8"/>
    <w:rsid w:val="00517098"/>
    <w:rsid w:val="00517336"/>
    <w:rsid w:val="00517B26"/>
    <w:rsid w:val="00517C12"/>
    <w:rsid w:val="00517FF4"/>
    <w:rsid w:val="005209A4"/>
    <w:rsid w:val="00520CB4"/>
    <w:rsid w:val="00520FEC"/>
    <w:rsid w:val="00521024"/>
    <w:rsid w:val="005217EA"/>
    <w:rsid w:val="00522381"/>
    <w:rsid w:val="00522820"/>
    <w:rsid w:val="00522BB2"/>
    <w:rsid w:val="00522E98"/>
    <w:rsid w:val="005231EC"/>
    <w:rsid w:val="00523436"/>
    <w:rsid w:val="00523EAE"/>
    <w:rsid w:val="005248FE"/>
    <w:rsid w:val="00524A42"/>
    <w:rsid w:val="00524AD3"/>
    <w:rsid w:val="00524C16"/>
    <w:rsid w:val="00524FA3"/>
    <w:rsid w:val="0052568D"/>
    <w:rsid w:val="005256AC"/>
    <w:rsid w:val="00525C9C"/>
    <w:rsid w:val="00525FC1"/>
    <w:rsid w:val="005265D6"/>
    <w:rsid w:val="005266CF"/>
    <w:rsid w:val="00526881"/>
    <w:rsid w:val="00526B0D"/>
    <w:rsid w:val="00526FDF"/>
    <w:rsid w:val="00527492"/>
    <w:rsid w:val="005277E2"/>
    <w:rsid w:val="0052792E"/>
    <w:rsid w:val="005279E6"/>
    <w:rsid w:val="00527C34"/>
    <w:rsid w:val="00527F43"/>
    <w:rsid w:val="00530E0C"/>
    <w:rsid w:val="00531B08"/>
    <w:rsid w:val="00531ED9"/>
    <w:rsid w:val="00532994"/>
    <w:rsid w:val="00532BB2"/>
    <w:rsid w:val="00532EBF"/>
    <w:rsid w:val="0053320B"/>
    <w:rsid w:val="0053352C"/>
    <w:rsid w:val="005340A5"/>
    <w:rsid w:val="00534774"/>
    <w:rsid w:val="00534781"/>
    <w:rsid w:val="005349F5"/>
    <w:rsid w:val="00534DDA"/>
    <w:rsid w:val="0053565C"/>
    <w:rsid w:val="00535CCF"/>
    <w:rsid w:val="00535E27"/>
    <w:rsid w:val="00535F9D"/>
    <w:rsid w:val="00536273"/>
    <w:rsid w:val="00536906"/>
    <w:rsid w:val="00536FCC"/>
    <w:rsid w:val="0053703E"/>
    <w:rsid w:val="0053771B"/>
    <w:rsid w:val="00537830"/>
    <w:rsid w:val="00537C7A"/>
    <w:rsid w:val="00537F1C"/>
    <w:rsid w:val="00540275"/>
    <w:rsid w:val="00540DF6"/>
    <w:rsid w:val="00540DFB"/>
    <w:rsid w:val="00541051"/>
    <w:rsid w:val="00541548"/>
    <w:rsid w:val="00541995"/>
    <w:rsid w:val="00541D21"/>
    <w:rsid w:val="00541E1A"/>
    <w:rsid w:val="0054252F"/>
    <w:rsid w:val="00542614"/>
    <w:rsid w:val="0054262D"/>
    <w:rsid w:val="0054290A"/>
    <w:rsid w:val="00542E89"/>
    <w:rsid w:val="00543A73"/>
    <w:rsid w:val="00543ABB"/>
    <w:rsid w:val="00543E44"/>
    <w:rsid w:val="005443DD"/>
    <w:rsid w:val="005443E2"/>
    <w:rsid w:val="005450B1"/>
    <w:rsid w:val="005452EF"/>
    <w:rsid w:val="00545B8F"/>
    <w:rsid w:val="00545B99"/>
    <w:rsid w:val="0054606A"/>
    <w:rsid w:val="00546871"/>
    <w:rsid w:val="00546DCC"/>
    <w:rsid w:val="00546FE4"/>
    <w:rsid w:val="005470D1"/>
    <w:rsid w:val="0054794B"/>
    <w:rsid w:val="00547BFF"/>
    <w:rsid w:val="005500F4"/>
    <w:rsid w:val="005503D8"/>
    <w:rsid w:val="005504A5"/>
    <w:rsid w:val="005505AB"/>
    <w:rsid w:val="00550B41"/>
    <w:rsid w:val="005511CE"/>
    <w:rsid w:val="00551769"/>
    <w:rsid w:val="00551AAF"/>
    <w:rsid w:val="005524AE"/>
    <w:rsid w:val="00553235"/>
    <w:rsid w:val="005535AA"/>
    <w:rsid w:val="005536D0"/>
    <w:rsid w:val="00553A2C"/>
    <w:rsid w:val="00554453"/>
    <w:rsid w:val="005546F0"/>
    <w:rsid w:val="00555095"/>
    <w:rsid w:val="00555119"/>
    <w:rsid w:val="0055561C"/>
    <w:rsid w:val="00556196"/>
    <w:rsid w:val="005561A3"/>
    <w:rsid w:val="005565F3"/>
    <w:rsid w:val="0055684B"/>
    <w:rsid w:val="00556AC5"/>
    <w:rsid w:val="005572B0"/>
    <w:rsid w:val="005573A6"/>
    <w:rsid w:val="00557992"/>
    <w:rsid w:val="00557D42"/>
    <w:rsid w:val="0056012E"/>
    <w:rsid w:val="0056018B"/>
    <w:rsid w:val="005601CF"/>
    <w:rsid w:val="00560607"/>
    <w:rsid w:val="00560D58"/>
    <w:rsid w:val="00560DD0"/>
    <w:rsid w:val="00560E73"/>
    <w:rsid w:val="0056112C"/>
    <w:rsid w:val="0056159B"/>
    <w:rsid w:val="005615C8"/>
    <w:rsid w:val="0056167D"/>
    <w:rsid w:val="00561F5A"/>
    <w:rsid w:val="00562288"/>
    <w:rsid w:val="00562404"/>
    <w:rsid w:val="0056257C"/>
    <w:rsid w:val="00562633"/>
    <w:rsid w:val="005629D4"/>
    <w:rsid w:val="00562AC8"/>
    <w:rsid w:val="00562F76"/>
    <w:rsid w:val="00563059"/>
    <w:rsid w:val="00563DE2"/>
    <w:rsid w:val="00563F3E"/>
    <w:rsid w:val="005646D1"/>
    <w:rsid w:val="0056505F"/>
    <w:rsid w:val="005656F3"/>
    <w:rsid w:val="005658A4"/>
    <w:rsid w:val="005666C3"/>
    <w:rsid w:val="00566B12"/>
    <w:rsid w:val="0056710F"/>
    <w:rsid w:val="00567BEF"/>
    <w:rsid w:val="00567D47"/>
    <w:rsid w:val="00570165"/>
    <w:rsid w:val="0057025E"/>
    <w:rsid w:val="00570C17"/>
    <w:rsid w:val="00570C7B"/>
    <w:rsid w:val="00571ABB"/>
    <w:rsid w:val="0057218E"/>
    <w:rsid w:val="0057242E"/>
    <w:rsid w:val="00572D45"/>
    <w:rsid w:val="00573068"/>
    <w:rsid w:val="00573700"/>
    <w:rsid w:val="00574093"/>
    <w:rsid w:val="005744D0"/>
    <w:rsid w:val="0057475A"/>
    <w:rsid w:val="00574A16"/>
    <w:rsid w:val="00574D92"/>
    <w:rsid w:val="0057523F"/>
    <w:rsid w:val="00575390"/>
    <w:rsid w:val="0057566F"/>
    <w:rsid w:val="00575731"/>
    <w:rsid w:val="00575A2B"/>
    <w:rsid w:val="00576F0A"/>
    <w:rsid w:val="00577097"/>
    <w:rsid w:val="0057714D"/>
    <w:rsid w:val="005771F8"/>
    <w:rsid w:val="00577948"/>
    <w:rsid w:val="00577C03"/>
    <w:rsid w:val="005800FA"/>
    <w:rsid w:val="0058015C"/>
    <w:rsid w:val="005802FA"/>
    <w:rsid w:val="00580907"/>
    <w:rsid w:val="00580ECA"/>
    <w:rsid w:val="00580ECC"/>
    <w:rsid w:val="005810DB"/>
    <w:rsid w:val="00581B5F"/>
    <w:rsid w:val="00582829"/>
    <w:rsid w:val="0058282C"/>
    <w:rsid w:val="0058284E"/>
    <w:rsid w:val="0058299E"/>
    <w:rsid w:val="00582A49"/>
    <w:rsid w:val="005836BD"/>
    <w:rsid w:val="00583B46"/>
    <w:rsid w:val="005841CE"/>
    <w:rsid w:val="00584593"/>
    <w:rsid w:val="005849F0"/>
    <w:rsid w:val="00584D6E"/>
    <w:rsid w:val="0058517E"/>
    <w:rsid w:val="00585410"/>
    <w:rsid w:val="00585414"/>
    <w:rsid w:val="0058571B"/>
    <w:rsid w:val="00585E27"/>
    <w:rsid w:val="00585ECD"/>
    <w:rsid w:val="00585F37"/>
    <w:rsid w:val="005866BC"/>
    <w:rsid w:val="00586732"/>
    <w:rsid w:val="0058779C"/>
    <w:rsid w:val="00587993"/>
    <w:rsid w:val="00587DFE"/>
    <w:rsid w:val="00587E01"/>
    <w:rsid w:val="005900CD"/>
    <w:rsid w:val="0059074E"/>
    <w:rsid w:val="0059086F"/>
    <w:rsid w:val="005908B5"/>
    <w:rsid w:val="00590C38"/>
    <w:rsid w:val="00590D80"/>
    <w:rsid w:val="005910FA"/>
    <w:rsid w:val="005911DC"/>
    <w:rsid w:val="005912E3"/>
    <w:rsid w:val="00591638"/>
    <w:rsid w:val="00591AF9"/>
    <w:rsid w:val="005924F7"/>
    <w:rsid w:val="005925CB"/>
    <w:rsid w:val="00592742"/>
    <w:rsid w:val="00592A06"/>
    <w:rsid w:val="00592DA8"/>
    <w:rsid w:val="00592F2D"/>
    <w:rsid w:val="00593647"/>
    <w:rsid w:val="005937C0"/>
    <w:rsid w:val="005937C4"/>
    <w:rsid w:val="00593864"/>
    <w:rsid w:val="0059396F"/>
    <w:rsid w:val="00593C59"/>
    <w:rsid w:val="00593E14"/>
    <w:rsid w:val="0059444B"/>
    <w:rsid w:val="0059471A"/>
    <w:rsid w:val="00594967"/>
    <w:rsid w:val="00594E1D"/>
    <w:rsid w:val="00595229"/>
    <w:rsid w:val="0059532F"/>
    <w:rsid w:val="00595AF3"/>
    <w:rsid w:val="00595D0A"/>
    <w:rsid w:val="00595E9C"/>
    <w:rsid w:val="005962EB"/>
    <w:rsid w:val="005966F2"/>
    <w:rsid w:val="00596AD6"/>
    <w:rsid w:val="00596ADB"/>
    <w:rsid w:val="00596B46"/>
    <w:rsid w:val="00596BF5"/>
    <w:rsid w:val="00597B03"/>
    <w:rsid w:val="00597BE5"/>
    <w:rsid w:val="005A00AE"/>
    <w:rsid w:val="005A064C"/>
    <w:rsid w:val="005A0A7C"/>
    <w:rsid w:val="005A1147"/>
    <w:rsid w:val="005A1C8F"/>
    <w:rsid w:val="005A1D93"/>
    <w:rsid w:val="005A2782"/>
    <w:rsid w:val="005A2E4F"/>
    <w:rsid w:val="005A2EA6"/>
    <w:rsid w:val="005A301E"/>
    <w:rsid w:val="005A33D8"/>
    <w:rsid w:val="005A3739"/>
    <w:rsid w:val="005A3AB4"/>
    <w:rsid w:val="005A3C3C"/>
    <w:rsid w:val="005A3DA2"/>
    <w:rsid w:val="005A4218"/>
    <w:rsid w:val="005A430D"/>
    <w:rsid w:val="005A48A8"/>
    <w:rsid w:val="005A4B71"/>
    <w:rsid w:val="005A5721"/>
    <w:rsid w:val="005A58B9"/>
    <w:rsid w:val="005A5FCD"/>
    <w:rsid w:val="005A60B3"/>
    <w:rsid w:val="005A6985"/>
    <w:rsid w:val="005A6DFC"/>
    <w:rsid w:val="005A6EA6"/>
    <w:rsid w:val="005A6F41"/>
    <w:rsid w:val="005A755A"/>
    <w:rsid w:val="005B0538"/>
    <w:rsid w:val="005B0961"/>
    <w:rsid w:val="005B0CA7"/>
    <w:rsid w:val="005B1281"/>
    <w:rsid w:val="005B1A5E"/>
    <w:rsid w:val="005B21DF"/>
    <w:rsid w:val="005B27F6"/>
    <w:rsid w:val="005B3CBB"/>
    <w:rsid w:val="005B4563"/>
    <w:rsid w:val="005B486D"/>
    <w:rsid w:val="005B4B40"/>
    <w:rsid w:val="005B4C1B"/>
    <w:rsid w:val="005B5184"/>
    <w:rsid w:val="005B5691"/>
    <w:rsid w:val="005B5C00"/>
    <w:rsid w:val="005B5D4C"/>
    <w:rsid w:val="005B5DCD"/>
    <w:rsid w:val="005B62CA"/>
    <w:rsid w:val="005B675C"/>
    <w:rsid w:val="005B6835"/>
    <w:rsid w:val="005B6A2C"/>
    <w:rsid w:val="005B7002"/>
    <w:rsid w:val="005B7881"/>
    <w:rsid w:val="005C0081"/>
    <w:rsid w:val="005C0406"/>
    <w:rsid w:val="005C0550"/>
    <w:rsid w:val="005C13A5"/>
    <w:rsid w:val="005C2025"/>
    <w:rsid w:val="005C228B"/>
    <w:rsid w:val="005C2BDD"/>
    <w:rsid w:val="005C3EC6"/>
    <w:rsid w:val="005C3F1B"/>
    <w:rsid w:val="005C45E3"/>
    <w:rsid w:val="005C5017"/>
    <w:rsid w:val="005C5675"/>
    <w:rsid w:val="005C59ED"/>
    <w:rsid w:val="005C655B"/>
    <w:rsid w:val="005C6A82"/>
    <w:rsid w:val="005C6D09"/>
    <w:rsid w:val="005C704F"/>
    <w:rsid w:val="005C70B5"/>
    <w:rsid w:val="005D0190"/>
    <w:rsid w:val="005D0383"/>
    <w:rsid w:val="005D0425"/>
    <w:rsid w:val="005D0674"/>
    <w:rsid w:val="005D0699"/>
    <w:rsid w:val="005D1B58"/>
    <w:rsid w:val="005D1C51"/>
    <w:rsid w:val="005D22B5"/>
    <w:rsid w:val="005D250A"/>
    <w:rsid w:val="005D2556"/>
    <w:rsid w:val="005D2951"/>
    <w:rsid w:val="005D2CFD"/>
    <w:rsid w:val="005D34C7"/>
    <w:rsid w:val="005D38E7"/>
    <w:rsid w:val="005D3917"/>
    <w:rsid w:val="005D39FE"/>
    <w:rsid w:val="005D42B4"/>
    <w:rsid w:val="005D4429"/>
    <w:rsid w:val="005D4A58"/>
    <w:rsid w:val="005D4A64"/>
    <w:rsid w:val="005D4C50"/>
    <w:rsid w:val="005D5110"/>
    <w:rsid w:val="005D551D"/>
    <w:rsid w:val="005D5C00"/>
    <w:rsid w:val="005D677D"/>
    <w:rsid w:val="005D6CD0"/>
    <w:rsid w:val="005D6F09"/>
    <w:rsid w:val="005D7039"/>
    <w:rsid w:val="005D75C4"/>
    <w:rsid w:val="005D794B"/>
    <w:rsid w:val="005D7AF2"/>
    <w:rsid w:val="005D7B54"/>
    <w:rsid w:val="005D7D9E"/>
    <w:rsid w:val="005E02F4"/>
    <w:rsid w:val="005E062D"/>
    <w:rsid w:val="005E0D0A"/>
    <w:rsid w:val="005E0D80"/>
    <w:rsid w:val="005E0EB6"/>
    <w:rsid w:val="005E113B"/>
    <w:rsid w:val="005E1140"/>
    <w:rsid w:val="005E126C"/>
    <w:rsid w:val="005E1A72"/>
    <w:rsid w:val="005E1D26"/>
    <w:rsid w:val="005E1D9E"/>
    <w:rsid w:val="005E21B1"/>
    <w:rsid w:val="005E21B2"/>
    <w:rsid w:val="005E22D0"/>
    <w:rsid w:val="005E2D87"/>
    <w:rsid w:val="005E2F71"/>
    <w:rsid w:val="005E35E5"/>
    <w:rsid w:val="005E3FFE"/>
    <w:rsid w:val="005E4F0C"/>
    <w:rsid w:val="005E5215"/>
    <w:rsid w:val="005E55E5"/>
    <w:rsid w:val="005E564C"/>
    <w:rsid w:val="005E57A5"/>
    <w:rsid w:val="005E64AA"/>
    <w:rsid w:val="005E6793"/>
    <w:rsid w:val="005E6874"/>
    <w:rsid w:val="005E6B18"/>
    <w:rsid w:val="005E7555"/>
    <w:rsid w:val="005E7926"/>
    <w:rsid w:val="005E7A55"/>
    <w:rsid w:val="005E7C9B"/>
    <w:rsid w:val="005F0A08"/>
    <w:rsid w:val="005F0A49"/>
    <w:rsid w:val="005F0B82"/>
    <w:rsid w:val="005F1283"/>
    <w:rsid w:val="005F19FE"/>
    <w:rsid w:val="005F1DBD"/>
    <w:rsid w:val="005F2321"/>
    <w:rsid w:val="005F2992"/>
    <w:rsid w:val="005F2B65"/>
    <w:rsid w:val="005F2CD3"/>
    <w:rsid w:val="005F3645"/>
    <w:rsid w:val="005F3964"/>
    <w:rsid w:val="005F3AA0"/>
    <w:rsid w:val="005F4141"/>
    <w:rsid w:val="005F41FF"/>
    <w:rsid w:val="005F48BD"/>
    <w:rsid w:val="005F4B2F"/>
    <w:rsid w:val="005F4BBD"/>
    <w:rsid w:val="005F5978"/>
    <w:rsid w:val="005F5F18"/>
    <w:rsid w:val="005F62F6"/>
    <w:rsid w:val="005F65B8"/>
    <w:rsid w:val="005F69E0"/>
    <w:rsid w:val="005F726E"/>
    <w:rsid w:val="005F73D9"/>
    <w:rsid w:val="005F74C9"/>
    <w:rsid w:val="005F76E1"/>
    <w:rsid w:val="006000D1"/>
    <w:rsid w:val="0060041E"/>
    <w:rsid w:val="006006ED"/>
    <w:rsid w:val="0060131F"/>
    <w:rsid w:val="00601788"/>
    <w:rsid w:val="00601995"/>
    <w:rsid w:val="00601A00"/>
    <w:rsid w:val="00601B1B"/>
    <w:rsid w:val="006021DA"/>
    <w:rsid w:val="006032A9"/>
    <w:rsid w:val="0060385D"/>
    <w:rsid w:val="00604128"/>
    <w:rsid w:val="0060497B"/>
    <w:rsid w:val="00604B65"/>
    <w:rsid w:val="00604D3E"/>
    <w:rsid w:val="00604DB3"/>
    <w:rsid w:val="006059F9"/>
    <w:rsid w:val="00605B87"/>
    <w:rsid w:val="0060615F"/>
    <w:rsid w:val="006063B1"/>
    <w:rsid w:val="0060643C"/>
    <w:rsid w:val="00606470"/>
    <w:rsid w:val="0060652E"/>
    <w:rsid w:val="006067A0"/>
    <w:rsid w:val="0060709B"/>
    <w:rsid w:val="006072BA"/>
    <w:rsid w:val="00607320"/>
    <w:rsid w:val="006078BB"/>
    <w:rsid w:val="00607DB6"/>
    <w:rsid w:val="00607E3D"/>
    <w:rsid w:val="00607EA4"/>
    <w:rsid w:val="0061069F"/>
    <w:rsid w:val="00610D09"/>
    <w:rsid w:val="00611455"/>
    <w:rsid w:val="00611C9A"/>
    <w:rsid w:val="00611FA0"/>
    <w:rsid w:val="0061254E"/>
    <w:rsid w:val="006127BE"/>
    <w:rsid w:val="00612829"/>
    <w:rsid w:val="00612C23"/>
    <w:rsid w:val="00612E4B"/>
    <w:rsid w:val="00612E74"/>
    <w:rsid w:val="00613577"/>
    <w:rsid w:val="0061358B"/>
    <w:rsid w:val="00613ABE"/>
    <w:rsid w:val="00613CC5"/>
    <w:rsid w:val="00613DB4"/>
    <w:rsid w:val="006147BE"/>
    <w:rsid w:val="00614C38"/>
    <w:rsid w:val="00614FEA"/>
    <w:rsid w:val="006151A1"/>
    <w:rsid w:val="006154C4"/>
    <w:rsid w:val="006154D9"/>
    <w:rsid w:val="0061557B"/>
    <w:rsid w:val="00615DDB"/>
    <w:rsid w:val="0061649C"/>
    <w:rsid w:val="00616672"/>
    <w:rsid w:val="00617529"/>
    <w:rsid w:val="00617843"/>
    <w:rsid w:val="00617AB3"/>
    <w:rsid w:val="00620517"/>
    <w:rsid w:val="00620647"/>
    <w:rsid w:val="00620D79"/>
    <w:rsid w:val="00620DA3"/>
    <w:rsid w:val="00621A9F"/>
    <w:rsid w:val="00621BD3"/>
    <w:rsid w:val="0062232B"/>
    <w:rsid w:val="00622736"/>
    <w:rsid w:val="00622790"/>
    <w:rsid w:val="00622794"/>
    <w:rsid w:val="006232F4"/>
    <w:rsid w:val="00623330"/>
    <w:rsid w:val="00623702"/>
    <w:rsid w:val="006237CF"/>
    <w:rsid w:val="00623AE2"/>
    <w:rsid w:val="00623B2B"/>
    <w:rsid w:val="00623B6A"/>
    <w:rsid w:val="00623DE9"/>
    <w:rsid w:val="00623E92"/>
    <w:rsid w:val="006242A6"/>
    <w:rsid w:val="00624748"/>
    <w:rsid w:val="00624E41"/>
    <w:rsid w:val="00624ED4"/>
    <w:rsid w:val="00625336"/>
    <w:rsid w:val="006253CB"/>
    <w:rsid w:val="0062551D"/>
    <w:rsid w:val="006258C6"/>
    <w:rsid w:val="00625997"/>
    <w:rsid w:val="006263C3"/>
    <w:rsid w:val="00626601"/>
    <w:rsid w:val="00626A4D"/>
    <w:rsid w:val="0062712E"/>
    <w:rsid w:val="00627203"/>
    <w:rsid w:val="0063007B"/>
    <w:rsid w:val="0063018C"/>
    <w:rsid w:val="00630529"/>
    <w:rsid w:val="0063095A"/>
    <w:rsid w:val="00630A47"/>
    <w:rsid w:val="0063128A"/>
    <w:rsid w:val="00631668"/>
    <w:rsid w:val="0063167F"/>
    <w:rsid w:val="00631CC2"/>
    <w:rsid w:val="00631DFD"/>
    <w:rsid w:val="00631F23"/>
    <w:rsid w:val="0063239F"/>
    <w:rsid w:val="00632862"/>
    <w:rsid w:val="00632B27"/>
    <w:rsid w:val="00632D27"/>
    <w:rsid w:val="00633037"/>
    <w:rsid w:val="0063318C"/>
    <w:rsid w:val="00633343"/>
    <w:rsid w:val="00633A87"/>
    <w:rsid w:val="00633FDF"/>
    <w:rsid w:val="00634144"/>
    <w:rsid w:val="00634486"/>
    <w:rsid w:val="00634693"/>
    <w:rsid w:val="0063500E"/>
    <w:rsid w:val="00635224"/>
    <w:rsid w:val="006353F7"/>
    <w:rsid w:val="006355AF"/>
    <w:rsid w:val="006355F9"/>
    <w:rsid w:val="00635736"/>
    <w:rsid w:val="00635A94"/>
    <w:rsid w:val="00635DBF"/>
    <w:rsid w:val="00635E42"/>
    <w:rsid w:val="006365B3"/>
    <w:rsid w:val="00636931"/>
    <w:rsid w:val="00636981"/>
    <w:rsid w:val="00637F32"/>
    <w:rsid w:val="0064000C"/>
    <w:rsid w:val="006404B5"/>
    <w:rsid w:val="00640529"/>
    <w:rsid w:val="00640565"/>
    <w:rsid w:val="0064090E"/>
    <w:rsid w:val="00640E06"/>
    <w:rsid w:val="00640EDF"/>
    <w:rsid w:val="00641781"/>
    <w:rsid w:val="006417BF"/>
    <w:rsid w:val="00641BF3"/>
    <w:rsid w:val="00641F68"/>
    <w:rsid w:val="0064203D"/>
    <w:rsid w:val="00642210"/>
    <w:rsid w:val="00642475"/>
    <w:rsid w:val="00642AAA"/>
    <w:rsid w:val="00642EED"/>
    <w:rsid w:val="00642F54"/>
    <w:rsid w:val="0064368B"/>
    <w:rsid w:val="006438B1"/>
    <w:rsid w:val="00643E8A"/>
    <w:rsid w:val="00643F32"/>
    <w:rsid w:val="006443AF"/>
    <w:rsid w:val="006449ED"/>
    <w:rsid w:val="00644E28"/>
    <w:rsid w:val="00644F76"/>
    <w:rsid w:val="0064527F"/>
    <w:rsid w:val="0064568E"/>
    <w:rsid w:val="00645690"/>
    <w:rsid w:val="00645800"/>
    <w:rsid w:val="00645BC6"/>
    <w:rsid w:val="00645F3F"/>
    <w:rsid w:val="0064658D"/>
    <w:rsid w:val="00646E92"/>
    <w:rsid w:val="00646F17"/>
    <w:rsid w:val="00647402"/>
    <w:rsid w:val="0065009A"/>
    <w:rsid w:val="00650413"/>
    <w:rsid w:val="00650A74"/>
    <w:rsid w:val="00650F69"/>
    <w:rsid w:val="006511A4"/>
    <w:rsid w:val="00651256"/>
    <w:rsid w:val="00651444"/>
    <w:rsid w:val="0065167E"/>
    <w:rsid w:val="00651F17"/>
    <w:rsid w:val="006529C4"/>
    <w:rsid w:val="00652DFC"/>
    <w:rsid w:val="0065374F"/>
    <w:rsid w:val="0065453B"/>
    <w:rsid w:val="00654A6D"/>
    <w:rsid w:val="00654A82"/>
    <w:rsid w:val="00654D0A"/>
    <w:rsid w:val="00655599"/>
    <w:rsid w:val="00655A67"/>
    <w:rsid w:val="00656188"/>
    <w:rsid w:val="00656380"/>
    <w:rsid w:val="00656794"/>
    <w:rsid w:val="00656980"/>
    <w:rsid w:val="00657126"/>
    <w:rsid w:val="0065734A"/>
    <w:rsid w:val="00657A6F"/>
    <w:rsid w:val="00657B27"/>
    <w:rsid w:val="00657BDE"/>
    <w:rsid w:val="00660C45"/>
    <w:rsid w:val="00660F82"/>
    <w:rsid w:val="00660FD0"/>
    <w:rsid w:val="00661124"/>
    <w:rsid w:val="0066185C"/>
    <w:rsid w:val="00661876"/>
    <w:rsid w:val="00661FEC"/>
    <w:rsid w:val="00662329"/>
    <w:rsid w:val="006628B2"/>
    <w:rsid w:val="006628F5"/>
    <w:rsid w:val="00662A23"/>
    <w:rsid w:val="00662AAF"/>
    <w:rsid w:val="006633E2"/>
    <w:rsid w:val="006633EB"/>
    <w:rsid w:val="006639A1"/>
    <w:rsid w:val="00663CE5"/>
    <w:rsid w:val="00663E7D"/>
    <w:rsid w:val="0066421D"/>
    <w:rsid w:val="00664318"/>
    <w:rsid w:val="0066433A"/>
    <w:rsid w:val="006645D9"/>
    <w:rsid w:val="0066466C"/>
    <w:rsid w:val="00664C6E"/>
    <w:rsid w:val="00664EC3"/>
    <w:rsid w:val="006650FB"/>
    <w:rsid w:val="00665566"/>
    <w:rsid w:val="00665BAE"/>
    <w:rsid w:val="00665BFF"/>
    <w:rsid w:val="00665D65"/>
    <w:rsid w:val="0066652C"/>
    <w:rsid w:val="00666820"/>
    <w:rsid w:val="00667C5C"/>
    <w:rsid w:val="00667DB9"/>
    <w:rsid w:val="00667E2F"/>
    <w:rsid w:val="00667EF3"/>
    <w:rsid w:val="00667FA9"/>
    <w:rsid w:val="00670390"/>
    <w:rsid w:val="00670411"/>
    <w:rsid w:val="0067079E"/>
    <w:rsid w:val="00670DBA"/>
    <w:rsid w:val="00670E3A"/>
    <w:rsid w:val="00671B01"/>
    <w:rsid w:val="006722FE"/>
    <w:rsid w:val="00672B82"/>
    <w:rsid w:val="00673242"/>
    <w:rsid w:val="00673C89"/>
    <w:rsid w:val="00673E8F"/>
    <w:rsid w:val="00674EA3"/>
    <w:rsid w:val="00675364"/>
    <w:rsid w:val="0067579A"/>
    <w:rsid w:val="00675B04"/>
    <w:rsid w:val="00675D30"/>
    <w:rsid w:val="006762BB"/>
    <w:rsid w:val="006763FC"/>
    <w:rsid w:val="006768D3"/>
    <w:rsid w:val="00676976"/>
    <w:rsid w:val="00676E66"/>
    <w:rsid w:val="006770FE"/>
    <w:rsid w:val="0067713A"/>
    <w:rsid w:val="00677418"/>
    <w:rsid w:val="00677544"/>
    <w:rsid w:val="00677B4B"/>
    <w:rsid w:val="006805D3"/>
    <w:rsid w:val="0068086C"/>
    <w:rsid w:val="00680989"/>
    <w:rsid w:val="006809F0"/>
    <w:rsid w:val="00680D27"/>
    <w:rsid w:val="00680DE3"/>
    <w:rsid w:val="00680EAE"/>
    <w:rsid w:val="00680FE0"/>
    <w:rsid w:val="006812AE"/>
    <w:rsid w:val="006816E3"/>
    <w:rsid w:val="006819FE"/>
    <w:rsid w:val="00681B11"/>
    <w:rsid w:val="00681EBF"/>
    <w:rsid w:val="006823BB"/>
    <w:rsid w:val="00682FD8"/>
    <w:rsid w:val="006837B2"/>
    <w:rsid w:val="00683CEF"/>
    <w:rsid w:val="00684795"/>
    <w:rsid w:val="006852A8"/>
    <w:rsid w:val="0068559D"/>
    <w:rsid w:val="00685C18"/>
    <w:rsid w:val="00685D64"/>
    <w:rsid w:val="00685FB9"/>
    <w:rsid w:val="006861F4"/>
    <w:rsid w:val="00686FD0"/>
    <w:rsid w:val="0068798B"/>
    <w:rsid w:val="00687E53"/>
    <w:rsid w:val="006901FF"/>
    <w:rsid w:val="00690268"/>
    <w:rsid w:val="00690B10"/>
    <w:rsid w:val="00690C4E"/>
    <w:rsid w:val="00690C9C"/>
    <w:rsid w:val="006911B8"/>
    <w:rsid w:val="0069137C"/>
    <w:rsid w:val="006916E8"/>
    <w:rsid w:val="006919A1"/>
    <w:rsid w:val="00691AA8"/>
    <w:rsid w:val="00691E1F"/>
    <w:rsid w:val="00692405"/>
    <w:rsid w:val="00692A01"/>
    <w:rsid w:val="00692F2C"/>
    <w:rsid w:val="0069322F"/>
    <w:rsid w:val="006935D5"/>
    <w:rsid w:val="006938BE"/>
    <w:rsid w:val="00693D0F"/>
    <w:rsid w:val="00694601"/>
    <w:rsid w:val="00694B8F"/>
    <w:rsid w:val="00694C08"/>
    <w:rsid w:val="00694CA5"/>
    <w:rsid w:val="00694ED2"/>
    <w:rsid w:val="00695076"/>
    <w:rsid w:val="006951FC"/>
    <w:rsid w:val="006955B9"/>
    <w:rsid w:val="006955C1"/>
    <w:rsid w:val="006957FB"/>
    <w:rsid w:val="00695F39"/>
    <w:rsid w:val="006963A3"/>
    <w:rsid w:val="006963CB"/>
    <w:rsid w:val="0069696F"/>
    <w:rsid w:val="00696B1E"/>
    <w:rsid w:val="00696D07"/>
    <w:rsid w:val="00697196"/>
    <w:rsid w:val="006979AD"/>
    <w:rsid w:val="00697DB8"/>
    <w:rsid w:val="00697E7A"/>
    <w:rsid w:val="006A0392"/>
    <w:rsid w:val="006A05A3"/>
    <w:rsid w:val="006A12DE"/>
    <w:rsid w:val="006A1A7D"/>
    <w:rsid w:val="006A1F3C"/>
    <w:rsid w:val="006A2371"/>
    <w:rsid w:val="006A26A4"/>
    <w:rsid w:val="006A2B36"/>
    <w:rsid w:val="006A359A"/>
    <w:rsid w:val="006A3778"/>
    <w:rsid w:val="006A38C0"/>
    <w:rsid w:val="006A3AA9"/>
    <w:rsid w:val="006A426F"/>
    <w:rsid w:val="006A42CD"/>
    <w:rsid w:val="006A437C"/>
    <w:rsid w:val="006A4631"/>
    <w:rsid w:val="006A4C81"/>
    <w:rsid w:val="006A5047"/>
    <w:rsid w:val="006A505E"/>
    <w:rsid w:val="006A52E1"/>
    <w:rsid w:val="006A5330"/>
    <w:rsid w:val="006A6432"/>
    <w:rsid w:val="006A7003"/>
    <w:rsid w:val="006A7038"/>
    <w:rsid w:val="006A717D"/>
    <w:rsid w:val="006A730A"/>
    <w:rsid w:val="006A7530"/>
    <w:rsid w:val="006A75C4"/>
    <w:rsid w:val="006A788A"/>
    <w:rsid w:val="006A7C17"/>
    <w:rsid w:val="006A7E75"/>
    <w:rsid w:val="006A7ED7"/>
    <w:rsid w:val="006B020B"/>
    <w:rsid w:val="006B09A2"/>
    <w:rsid w:val="006B18F2"/>
    <w:rsid w:val="006B20F7"/>
    <w:rsid w:val="006B21DF"/>
    <w:rsid w:val="006B24D2"/>
    <w:rsid w:val="006B2CC2"/>
    <w:rsid w:val="006B33D9"/>
    <w:rsid w:val="006B3718"/>
    <w:rsid w:val="006B39EA"/>
    <w:rsid w:val="006B3B01"/>
    <w:rsid w:val="006B3EE2"/>
    <w:rsid w:val="006B4266"/>
    <w:rsid w:val="006B4837"/>
    <w:rsid w:val="006B48D3"/>
    <w:rsid w:val="006B5BB9"/>
    <w:rsid w:val="006B5BE3"/>
    <w:rsid w:val="006B64DD"/>
    <w:rsid w:val="006B6924"/>
    <w:rsid w:val="006B6A83"/>
    <w:rsid w:val="006B6C4B"/>
    <w:rsid w:val="006B6CC4"/>
    <w:rsid w:val="006B6FE1"/>
    <w:rsid w:val="006B733F"/>
    <w:rsid w:val="006B766A"/>
    <w:rsid w:val="006C00C8"/>
    <w:rsid w:val="006C0455"/>
    <w:rsid w:val="006C04B5"/>
    <w:rsid w:val="006C0639"/>
    <w:rsid w:val="006C14BC"/>
    <w:rsid w:val="006C207D"/>
    <w:rsid w:val="006C2113"/>
    <w:rsid w:val="006C2552"/>
    <w:rsid w:val="006C29F1"/>
    <w:rsid w:val="006C307F"/>
    <w:rsid w:val="006C3183"/>
    <w:rsid w:val="006C31A9"/>
    <w:rsid w:val="006C36D3"/>
    <w:rsid w:val="006C3BE8"/>
    <w:rsid w:val="006C494A"/>
    <w:rsid w:val="006C57AB"/>
    <w:rsid w:val="006C5802"/>
    <w:rsid w:val="006C59C7"/>
    <w:rsid w:val="006C5B13"/>
    <w:rsid w:val="006C5C0E"/>
    <w:rsid w:val="006C63EE"/>
    <w:rsid w:val="006C6488"/>
    <w:rsid w:val="006C6891"/>
    <w:rsid w:val="006C6B31"/>
    <w:rsid w:val="006C6F33"/>
    <w:rsid w:val="006C7125"/>
    <w:rsid w:val="006C75A7"/>
    <w:rsid w:val="006C7CB3"/>
    <w:rsid w:val="006D029D"/>
    <w:rsid w:val="006D05A2"/>
    <w:rsid w:val="006D08EE"/>
    <w:rsid w:val="006D0F19"/>
    <w:rsid w:val="006D1CB1"/>
    <w:rsid w:val="006D1D25"/>
    <w:rsid w:val="006D1FB1"/>
    <w:rsid w:val="006D2410"/>
    <w:rsid w:val="006D2F6F"/>
    <w:rsid w:val="006D357F"/>
    <w:rsid w:val="006D3A6E"/>
    <w:rsid w:val="006D3C7E"/>
    <w:rsid w:val="006D3EF2"/>
    <w:rsid w:val="006D3F1F"/>
    <w:rsid w:val="006D4233"/>
    <w:rsid w:val="006D438C"/>
    <w:rsid w:val="006D4502"/>
    <w:rsid w:val="006D4C7B"/>
    <w:rsid w:val="006D4DE5"/>
    <w:rsid w:val="006D50B8"/>
    <w:rsid w:val="006D56B7"/>
    <w:rsid w:val="006D59DA"/>
    <w:rsid w:val="006D5B26"/>
    <w:rsid w:val="006D61CA"/>
    <w:rsid w:val="006D6A98"/>
    <w:rsid w:val="006D6B95"/>
    <w:rsid w:val="006D72C0"/>
    <w:rsid w:val="006D76FB"/>
    <w:rsid w:val="006D7C16"/>
    <w:rsid w:val="006D7CE5"/>
    <w:rsid w:val="006E0AEB"/>
    <w:rsid w:val="006E0C67"/>
    <w:rsid w:val="006E0D65"/>
    <w:rsid w:val="006E0E6D"/>
    <w:rsid w:val="006E0F33"/>
    <w:rsid w:val="006E1097"/>
    <w:rsid w:val="006E1965"/>
    <w:rsid w:val="006E1B94"/>
    <w:rsid w:val="006E1E26"/>
    <w:rsid w:val="006E2DCE"/>
    <w:rsid w:val="006E310E"/>
    <w:rsid w:val="006E3167"/>
    <w:rsid w:val="006E3AA1"/>
    <w:rsid w:val="006E3BF2"/>
    <w:rsid w:val="006E3D9B"/>
    <w:rsid w:val="006E4820"/>
    <w:rsid w:val="006E4AD9"/>
    <w:rsid w:val="006E4C05"/>
    <w:rsid w:val="006E4C4A"/>
    <w:rsid w:val="006E4EBE"/>
    <w:rsid w:val="006E5006"/>
    <w:rsid w:val="006E5607"/>
    <w:rsid w:val="006E587F"/>
    <w:rsid w:val="006E5CF4"/>
    <w:rsid w:val="006E6000"/>
    <w:rsid w:val="006E60C3"/>
    <w:rsid w:val="006E6B27"/>
    <w:rsid w:val="006E6EAA"/>
    <w:rsid w:val="006E747E"/>
    <w:rsid w:val="006F0026"/>
    <w:rsid w:val="006F03DF"/>
    <w:rsid w:val="006F07AD"/>
    <w:rsid w:val="006F0C79"/>
    <w:rsid w:val="006F10BF"/>
    <w:rsid w:val="006F1179"/>
    <w:rsid w:val="006F14CE"/>
    <w:rsid w:val="006F1504"/>
    <w:rsid w:val="006F1AA3"/>
    <w:rsid w:val="006F1DF7"/>
    <w:rsid w:val="006F2187"/>
    <w:rsid w:val="006F30FF"/>
    <w:rsid w:val="006F36F3"/>
    <w:rsid w:val="006F3C22"/>
    <w:rsid w:val="006F4CBB"/>
    <w:rsid w:val="006F5275"/>
    <w:rsid w:val="006F53C2"/>
    <w:rsid w:val="006F5A59"/>
    <w:rsid w:val="006F5AFA"/>
    <w:rsid w:val="006F6052"/>
    <w:rsid w:val="006F6BE0"/>
    <w:rsid w:val="006F6D35"/>
    <w:rsid w:val="006F6F60"/>
    <w:rsid w:val="006F73F5"/>
    <w:rsid w:val="006F7442"/>
    <w:rsid w:val="006F76B7"/>
    <w:rsid w:val="006F7757"/>
    <w:rsid w:val="006F7766"/>
    <w:rsid w:val="006F7B83"/>
    <w:rsid w:val="006F7CC4"/>
    <w:rsid w:val="00700534"/>
    <w:rsid w:val="00700B98"/>
    <w:rsid w:val="00701A97"/>
    <w:rsid w:val="00701C16"/>
    <w:rsid w:val="00701FA9"/>
    <w:rsid w:val="0070209E"/>
    <w:rsid w:val="0070248A"/>
    <w:rsid w:val="00702519"/>
    <w:rsid w:val="00702AE3"/>
    <w:rsid w:val="00703196"/>
    <w:rsid w:val="007032AA"/>
    <w:rsid w:val="00703305"/>
    <w:rsid w:val="007037A1"/>
    <w:rsid w:val="007038BE"/>
    <w:rsid w:val="007041D6"/>
    <w:rsid w:val="00704B17"/>
    <w:rsid w:val="00704E89"/>
    <w:rsid w:val="00705082"/>
    <w:rsid w:val="00705BEE"/>
    <w:rsid w:val="0070667E"/>
    <w:rsid w:val="007069FC"/>
    <w:rsid w:val="00706BB6"/>
    <w:rsid w:val="0070704A"/>
    <w:rsid w:val="007074CD"/>
    <w:rsid w:val="00707701"/>
    <w:rsid w:val="007109B1"/>
    <w:rsid w:val="007109D2"/>
    <w:rsid w:val="00710D3F"/>
    <w:rsid w:val="00710FCF"/>
    <w:rsid w:val="0071146B"/>
    <w:rsid w:val="0071148C"/>
    <w:rsid w:val="00711603"/>
    <w:rsid w:val="00711876"/>
    <w:rsid w:val="007121AC"/>
    <w:rsid w:val="00712306"/>
    <w:rsid w:val="00712E9D"/>
    <w:rsid w:val="0071300A"/>
    <w:rsid w:val="00713D29"/>
    <w:rsid w:val="00714A9C"/>
    <w:rsid w:val="00715540"/>
    <w:rsid w:val="00715695"/>
    <w:rsid w:val="00715749"/>
    <w:rsid w:val="0071577C"/>
    <w:rsid w:val="007158D8"/>
    <w:rsid w:val="00715B78"/>
    <w:rsid w:val="00715E91"/>
    <w:rsid w:val="00716203"/>
    <w:rsid w:val="007164BD"/>
    <w:rsid w:val="007169E3"/>
    <w:rsid w:val="00716BCA"/>
    <w:rsid w:val="00716EE3"/>
    <w:rsid w:val="00717291"/>
    <w:rsid w:val="00717A07"/>
    <w:rsid w:val="00717C60"/>
    <w:rsid w:val="00717E4C"/>
    <w:rsid w:val="007202F0"/>
    <w:rsid w:val="007205E0"/>
    <w:rsid w:val="00720871"/>
    <w:rsid w:val="007210F0"/>
    <w:rsid w:val="007212EA"/>
    <w:rsid w:val="00721520"/>
    <w:rsid w:val="00721540"/>
    <w:rsid w:val="0072195D"/>
    <w:rsid w:val="00721A38"/>
    <w:rsid w:val="00721AA7"/>
    <w:rsid w:val="00721ADF"/>
    <w:rsid w:val="00722293"/>
    <w:rsid w:val="007223A6"/>
    <w:rsid w:val="00722875"/>
    <w:rsid w:val="007228F5"/>
    <w:rsid w:val="007229AA"/>
    <w:rsid w:val="00723A75"/>
    <w:rsid w:val="00723C7C"/>
    <w:rsid w:val="00723DBF"/>
    <w:rsid w:val="00723F88"/>
    <w:rsid w:val="00724041"/>
    <w:rsid w:val="00724146"/>
    <w:rsid w:val="0072428A"/>
    <w:rsid w:val="00724408"/>
    <w:rsid w:val="00724455"/>
    <w:rsid w:val="00724C9D"/>
    <w:rsid w:val="00724D40"/>
    <w:rsid w:val="00725211"/>
    <w:rsid w:val="00726446"/>
    <w:rsid w:val="0072649E"/>
    <w:rsid w:val="007264A7"/>
    <w:rsid w:val="007268EE"/>
    <w:rsid w:val="00726DD6"/>
    <w:rsid w:val="00726EE0"/>
    <w:rsid w:val="00727807"/>
    <w:rsid w:val="007278BA"/>
    <w:rsid w:val="007301AB"/>
    <w:rsid w:val="00730661"/>
    <w:rsid w:val="00730B7F"/>
    <w:rsid w:val="007311EC"/>
    <w:rsid w:val="0073132C"/>
    <w:rsid w:val="007316B1"/>
    <w:rsid w:val="00731BE5"/>
    <w:rsid w:val="0073211E"/>
    <w:rsid w:val="00732661"/>
    <w:rsid w:val="007328A7"/>
    <w:rsid w:val="00732A15"/>
    <w:rsid w:val="007332C6"/>
    <w:rsid w:val="00733424"/>
    <w:rsid w:val="0073366C"/>
    <w:rsid w:val="00733C94"/>
    <w:rsid w:val="00733E4B"/>
    <w:rsid w:val="00734A2B"/>
    <w:rsid w:val="00734D14"/>
    <w:rsid w:val="00734F72"/>
    <w:rsid w:val="00735365"/>
    <w:rsid w:val="00735A0A"/>
    <w:rsid w:val="00735E50"/>
    <w:rsid w:val="00735E62"/>
    <w:rsid w:val="007364A6"/>
    <w:rsid w:val="00736BF6"/>
    <w:rsid w:val="007373CF"/>
    <w:rsid w:val="007402E0"/>
    <w:rsid w:val="00740530"/>
    <w:rsid w:val="0074066C"/>
    <w:rsid w:val="0074153E"/>
    <w:rsid w:val="0074192F"/>
    <w:rsid w:val="00741AA7"/>
    <w:rsid w:val="00741D66"/>
    <w:rsid w:val="007423DF"/>
    <w:rsid w:val="00742765"/>
    <w:rsid w:val="00742DA0"/>
    <w:rsid w:val="0074308E"/>
    <w:rsid w:val="007441A3"/>
    <w:rsid w:val="00744424"/>
    <w:rsid w:val="007446B4"/>
    <w:rsid w:val="007448B1"/>
    <w:rsid w:val="00744E48"/>
    <w:rsid w:val="00744E4A"/>
    <w:rsid w:val="00745E1F"/>
    <w:rsid w:val="0074610F"/>
    <w:rsid w:val="00746204"/>
    <w:rsid w:val="00746A08"/>
    <w:rsid w:val="00747611"/>
    <w:rsid w:val="00747B0A"/>
    <w:rsid w:val="00747C50"/>
    <w:rsid w:val="0075018A"/>
    <w:rsid w:val="007502F4"/>
    <w:rsid w:val="00750327"/>
    <w:rsid w:val="00750796"/>
    <w:rsid w:val="00750D47"/>
    <w:rsid w:val="007514E8"/>
    <w:rsid w:val="007518BE"/>
    <w:rsid w:val="00751CC8"/>
    <w:rsid w:val="00751CFB"/>
    <w:rsid w:val="00752163"/>
    <w:rsid w:val="00752314"/>
    <w:rsid w:val="00752C27"/>
    <w:rsid w:val="00752F30"/>
    <w:rsid w:val="00752F5C"/>
    <w:rsid w:val="00752F78"/>
    <w:rsid w:val="00753305"/>
    <w:rsid w:val="00753368"/>
    <w:rsid w:val="00753943"/>
    <w:rsid w:val="00753D1F"/>
    <w:rsid w:val="007543AB"/>
    <w:rsid w:val="007543E2"/>
    <w:rsid w:val="007547D0"/>
    <w:rsid w:val="00754885"/>
    <w:rsid w:val="00754FDC"/>
    <w:rsid w:val="00755722"/>
    <w:rsid w:val="00755742"/>
    <w:rsid w:val="00755830"/>
    <w:rsid w:val="00755902"/>
    <w:rsid w:val="00756327"/>
    <w:rsid w:val="007563EC"/>
    <w:rsid w:val="00756E47"/>
    <w:rsid w:val="007577EA"/>
    <w:rsid w:val="00757B9F"/>
    <w:rsid w:val="00757BF4"/>
    <w:rsid w:val="00757FE4"/>
    <w:rsid w:val="0076024E"/>
    <w:rsid w:val="00760F91"/>
    <w:rsid w:val="0076109D"/>
    <w:rsid w:val="007612FC"/>
    <w:rsid w:val="0076143B"/>
    <w:rsid w:val="0076147A"/>
    <w:rsid w:val="00761527"/>
    <w:rsid w:val="007615F2"/>
    <w:rsid w:val="00761A82"/>
    <w:rsid w:val="00761BDE"/>
    <w:rsid w:val="00761FAE"/>
    <w:rsid w:val="0076225D"/>
    <w:rsid w:val="00762ADA"/>
    <w:rsid w:val="00762EE0"/>
    <w:rsid w:val="00762F98"/>
    <w:rsid w:val="007635F6"/>
    <w:rsid w:val="0076360C"/>
    <w:rsid w:val="00763E64"/>
    <w:rsid w:val="007641AE"/>
    <w:rsid w:val="0076432C"/>
    <w:rsid w:val="0076492B"/>
    <w:rsid w:val="00764D5F"/>
    <w:rsid w:val="00764DF4"/>
    <w:rsid w:val="00764F0B"/>
    <w:rsid w:val="00765077"/>
    <w:rsid w:val="00765183"/>
    <w:rsid w:val="00765CDF"/>
    <w:rsid w:val="00766843"/>
    <w:rsid w:val="0076698D"/>
    <w:rsid w:val="00766DEF"/>
    <w:rsid w:val="007675AC"/>
    <w:rsid w:val="00770498"/>
    <w:rsid w:val="00770BB5"/>
    <w:rsid w:val="00771311"/>
    <w:rsid w:val="0077158F"/>
    <w:rsid w:val="00771890"/>
    <w:rsid w:val="00771D00"/>
    <w:rsid w:val="00771E16"/>
    <w:rsid w:val="00772170"/>
    <w:rsid w:val="007729F6"/>
    <w:rsid w:val="00772C4C"/>
    <w:rsid w:val="00772E8A"/>
    <w:rsid w:val="00773471"/>
    <w:rsid w:val="00773582"/>
    <w:rsid w:val="0077384C"/>
    <w:rsid w:val="00773E9F"/>
    <w:rsid w:val="007746DB"/>
    <w:rsid w:val="00774D1B"/>
    <w:rsid w:val="00774FF2"/>
    <w:rsid w:val="00775140"/>
    <w:rsid w:val="007752CB"/>
    <w:rsid w:val="007753CA"/>
    <w:rsid w:val="007755A0"/>
    <w:rsid w:val="007757D6"/>
    <w:rsid w:val="00775C15"/>
    <w:rsid w:val="007762D2"/>
    <w:rsid w:val="007762FC"/>
    <w:rsid w:val="00776B74"/>
    <w:rsid w:val="00777049"/>
    <w:rsid w:val="007774DA"/>
    <w:rsid w:val="0077761D"/>
    <w:rsid w:val="00777A7F"/>
    <w:rsid w:val="00777D73"/>
    <w:rsid w:val="00780944"/>
    <w:rsid w:val="00780FA6"/>
    <w:rsid w:val="00781382"/>
    <w:rsid w:val="007813A9"/>
    <w:rsid w:val="00781414"/>
    <w:rsid w:val="00782132"/>
    <w:rsid w:val="00782B2A"/>
    <w:rsid w:val="00782C29"/>
    <w:rsid w:val="00782CDF"/>
    <w:rsid w:val="00782FCC"/>
    <w:rsid w:val="007831BA"/>
    <w:rsid w:val="00783973"/>
    <w:rsid w:val="00783B54"/>
    <w:rsid w:val="00784043"/>
    <w:rsid w:val="00784931"/>
    <w:rsid w:val="00784B2E"/>
    <w:rsid w:val="00784F5A"/>
    <w:rsid w:val="00786024"/>
    <w:rsid w:val="00786381"/>
    <w:rsid w:val="007865D5"/>
    <w:rsid w:val="00786770"/>
    <w:rsid w:val="00786AFB"/>
    <w:rsid w:val="00786F53"/>
    <w:rsid w:val="0078714C"/>
    <w:rsid w:val="007873EB"/>
    <w:rsid w:val="007876B5"/>
    <w:rsid w:val="00790D64"/>
    <w:rsid w:val="00791CE9"/>
    <w:rsid w:val="00791D22"/>
    <w:rsid w:val="00792280"/>
    <w:rsid w:val="007923B8"/>
    <w:rsid w:val="0079243C"/>
    <w:rsid w:val="007924D2"/>
    <w:rsid w:val="00792CD7"/>
    <w:rsid w:val="00792E0B"/>
    <w:rsid w:val="0079309A"/>
    <w:rsid w:val="00793116"/>
    <w:rsid w:val="0079355C"/>
    <w:rsid w:val="00793656"/>
    <w:rsid w:val="00793822"/>
    <w:rsid w:val="00793870"/>
    <w:rsid w:val="00793BEA"/>
    <w:rsid w:val="0079422B"/>
    <w:rsid w:val="007945FE"/>
    <w:rsid w:val="007947B9"/>
    <w:rsid w:val="0079491E"/>
    <w:rsid w:val="00795AA1"/>
    <w:rsid w:val="00795D94"/>
    <w:rsid w:val="00795EAE"/>
    <w:rsid w:val="0079611D"/>
    <w:rsid w:val="00796417"/>
    <w:rsid w:val="00796A68"/>
    <w:rsid w:val="00796AAD"/>
    <w:rsid w:val="00796F27"/>
    <w:rsid w:val="0079700B"/>
    <w:rsid w:val="0079703E"/>
    <w:rsid w:val="00797425"/>
    <w:rsid w:val="0079772D"/>
    <w:rsid w:val="007979BC"/>
    <w:rsid w:val="00797AEB"/>
    <w:rsid w:val="00797DE6"/>
    <w:rsid w:val="007A00AE"/>
    <w:rsid w:val="007A08DB"/>
    <w:rsid w:val="007A09AF"/>
    <w:rsid w:val="007A0C62"/>
    <w:rsid w:val="007A100B"/>
    <w:rsid w:val="007A135E"/>
    <w:rsid w:val="007A13A9"/>
    <w:rsid w:val="007A16D1"/>
    <w:rsid w:val="007A1D2F"/>
    <w:rsid w:val="007A2023"/>
    <w:rsid w:val="007A22C0"/>
    <w:rsid w:val="007A235E"/>
    <w:rsid w:val="007A2C1E"/>
    <w:rsid w:val="007A2CB6"/>
    <w:rsid w:val="007A2D1F"/>
    <w:rsid w:val="007A2F6A"/>
    <w:rsid w:val="007A354B"/>
    <w:rsid w:val="007A37B2"/>
    <w:rsid w:val="007A3987"/>
    <w:rsid w:val="007A3C7D"/>
    <w:rsid w:val="007A4308"/>
    <w:rsid w:val="007A430B"/>
    <w:rsid w:val="007A4597"/>
    <w:rsid w:val="007A46AC"/>
    <w:rsid w:val="007A4949"/>
    <w:rsid w:val="007A4964"/>
    <w:rsid w:val="007A4A32"/>
    <w:rsid w:val="007A4CB9"/>
    <w:rsid w:val="007A5282"/>
    <w:rsid w:val="007A5398"/>
    <w:rsid w:val="007A5872"/>
    <w:rsid w:val="007A5885"/>
    <w:rsid w:val="007A5DE4"/>
    <w:rsid w:val="007A5E97"/>
    <w:rsid w:val="007A61DC"/>
    <w:rsid w:val="007A6333"/>
    <w:rsid w:val="007A68C4"/>
    <w:rsid w:val="007A700A"/>
    <w:rsid w:val="007A7206"/>
    <w:rsid w:val="007A7351"/>
    <w:rsid w:val="007A7692"/>
    <w:rsid w:val="007A7895"/>
    <w:rsid w:val="007A7A58"/>
    <w:rsid w:val="007A7D17"/>
    <w:rsid w:val="007A7FF9"/>
    <w:rsid w:val="007B00C5"/>
    <w:rsid w:val="007B029E"/>
    <w:rsid w:val="007B0734"/>
    <w:rsid w:val="007B0B93"/>
    <w:rsid w:val="007B1725"/>
    <w:rsid w:val="007B192D"/>
    <w:rsid w:val="007B1AB8"/>
    <w:rsid w:val="007B225B"/>
    <w:rsid w:val="007B23B9"/>
    <w:rsid w:val="007B2911"/>
    <w:rsid w:val="007B2A79"/>
    <w:rsid w:val="007B35C7"/>
    <w:rsid w:val="007B3C17"/>
    <w:rsid w:val="007B3C2E"/>
    <w:rsid w:val="007B47FC"/>
    <w:rsid w:val="007B4922"/>
    <w:rsid w:val="007B4EA1"/>
    <w:rsid w:val="007B51D8"/>
    <w:rsid w:val="007B53DA"/>
    <w:rsid w:val="007B5613"/>
    <w:rsid w:val="007B570D"/>
    <w:rsid w:val="007B59DB"/>
    <w:rsid w:val="007B6C31"/>
    <w:rsid w:val="007B6D55"/>
    <w:rsid w:val="007B6DEB"/>
    <w:rsid w:val="007B70E6"/>
    <w:rsid w:val="007B71B6"/>
    <w:rsid w:val="007C03AF"/>
    <w:rsid w:val="007C086F"/>
    <w:rsid w:val="007C0AEA"/>
    <w:rsid w:val="007C0C0F"/>
    <w:rsid w:val="007C1B91"/>
    <w:rsid w:val="007C1EA0"/>
    <w:rsid w:val="007C2308"/>
    <w:rsid w:val="007C29F7"/>
    <w:rsid w:val="007C45D8"/>
    <w:rsid w:val="007C476C"/>
    <w:rsid w:val="007C559F"/>
    <w:rsid w:val="007C59F4"/>
    <w:rsid w:val="007C5FA7"/>
    <w:rsid w:val="007C5FD6"/>
    <w:rsid w:val="007C63BE"/>
    <w:rsid w:val="007C64EE"/>
    <w:rsid w:val="007C7271"/>
    <w:rsid w:val="007C7ADE"/>
    <w:rsid w:val="007D0879"/>
    <w:rsid w:val="007D08AF"/>
    <w:rsid w:val="007D0DD1"/>
    <w:rsid w:val="007D0E31"/>
    <w:rsid w:val="007D0EA6"/>
    <w:rsid w:val="007D0FDE"/>
    <w:rsid w:val="007D155C"/>
    <w:rsid w:val="007D1D14"/>
    <w:rsid w:val="007D2645"/>
    <w:rsid w:val="007D266C"/>
    <w:rsid w:val="007D2D14"/>
    <w:rsid w:val="007D2E49"/>
    <w:rsid w:val="007D2FFB"/>
    <w:rsid w:val="007D309F"/>
    <w:rsid w:val="007D3FE1"/>
    <w:rsid w:val="007D4797"/>
    <w:rsid w:val="007D4880"/>
    <w:rsid w:val="007D4939"/>
    <w:rsid w:val="007D4B21"/>
    <w:rsid w:val="007D54AE"/>
    <w:rsid w:val="007D5570"/>
    <w:rsid w:val="007D5B03"/>
    <w:rsid w:val="007D5C62"/>
    <w:rsid w:val="007D5C9E"/>
    <w:rsid w:val="007D5DAF"/>
    <w:rsid w:val="007D656A"/>
    <w:rsid w:val="007D66F9"/>
    <w:rsid w:val="007D680B"/>
    <w:rsid w:val="007D728A"/>
    <w:rsid w:val="007D72DA"/>
    <w:rsid w:val="007D7316"/>
    <w:rsid w:val="007D7811"/>
    <w:rsid w:val="007D7A78"/>
    <w:rsid w:val="007E007F"/>
    <w:rsid w:val="007E0189"/>
    <w:rsid w:val="007E05B2"/>
    <w:rsid w:val="007E064F"/>
    <w:rsid w:val="007E0655"/>
    <w:rsid w:val="007E065F"/>
    <w:rsid w:val="007E0C4D"/>
    <w:rsid w:val="007E160F"/>
    <w:rsid w:val="007E1DF1"/>
    <w:rsid w:val="007E1E1C"/>
    <w:rsid w:val="007E20FD"/>
    <w:rsid w:val="007E27FE"/>
    <w:rsid w:val="007E2BC1"/>
    <w:rsid w:val="007E2ED3"/>
    <w:rsid w:val="007E4079"/>
    <w:rsid w:val="007E508E"/>
    <w:rsid w:val="007E5612"/>
    <w:rsid w:val="007E56FE"/>
    <w:rsid w:val="007E57EC"/>
    <w:rsid w:val="007E5985"/>
    <w:rsid w:val="007E5F0A"/>
    <w:rsid w:val="007E6434"/>
    <w:rsid w:val="007E6801"/>
    <w:rsid w:val="007E68AA"/>
    <w:rsid w:val="007F0391"/>
    <w:rsid w:val="007F061B"/>
    <w:rsid w:val="007F0688"/>
    <w:rsid w:val="007F06D0"/>
    <w:rsid w:val="007F09B8"/>
    <w:rsid w:val="007F0A72"/>
    <w:rsid w:val="007F0FA9"/>
    <w:rsid w:val="007F15E4"/>
    <w:rsid w:val="007F19F6"/>
    <w:rsid w:val="007F1A19"/>
    <w:rsid w:val="007F1F46"/>
    <w:rsid w:val="007F22F1"/>
    <w:rsid w:val="007F29E6"/>
    <w:rsid w:val="007F2B69"/>
    <w:rsid w:val="007F2BB3"/>
    <w:rsid w:val="007F331C"/>
    <w:rsid w:val="007F346B"/>
    <w:rsid w:val="007F3BB7"/>
    <w:rsid w:val="007F3DBF"/>
    <w:rsid w:val="007F4743"/>
    <w:rsid w:val="007F4BB1"/>
    <w:rsid w:val="007F4C37"/>
    <w:rsid w:val="007F4CF8"/>
    <w:rsid w:val="007F4E48"/>
    <w:rsid w:val="007F5242"/>
    <w:rsid w:val="007F5746"/>
    <w:rsid w:val="007F6599"/>
    <w:rsid w:val="007F67B7"/>
    <w:rsid w:val="007F714B"/>
    <w:rsid w:val="007F7295"/>
    <w:rsid w:val="007F76FE"/>
    <w:rsid w:val="007F771C"/>
    <w:rsid w:val="007F7A7E"/>
    <w:rsid w:val="007F7AE4"/>
    <w:rsid w:val="0080000B"/>
    <w:rsid w:val="00800C6B"/>
    <w:rsid w:val="00800D8D"/>
    <w:rsid w:val="008010EF"/>
    <w:rsid w:val="00801266"/>
    <w:rsid w:val="00801A54"/>
    <w:rsid w:val="00801C57"/>
    <w:rsid w:val="008021CD"/>
    <w:rsid w:val="0080231F"/>
    <w:rsid w:val="00802518"/>
    <w:rsid w:val="0080251A"/>
    <w:rsid w:val="00802950"/>
    <w:rsid w:val="00802CB0"/>
    <w:rsid w:val="00803666"/>
    <w:rsid w:val="00803695"/>
    <w:rsid w:val="00803BD7"/>
    <w:rsid w:val="00804875"/>
    <w:rsid w:val="00804E24"/>
    <w:rsid w:val="00804F3F"/>
    <w:rsid w:val="008051B8"/>
    <w:rsid w:val="00805658"/>
    <w:rsid w:val="00806B32"/>
    <w:rsid w:val="00806B70"/>
    <w:rsid w:val="00806D73"/>
    <w:rsid w:val="0080706A"/>
    <w:rsid w:val="008072B7"/>
    <w:rsid w:val="008073C4"/>
    <w:rsid w:val="008074E5"/>
    <w:rsid w:val="008078D3"/>
    <w:rsid w:val="00807957"/>
    <w:rsid w:val="00807A55"/>
    <w:rsid w:val="00811273"/>
    <w:rsid w:val="008114E0"/>
    <w:rsid w:val="008120C8"/>
    <w:rsid w:val="0081246F"/>
    <w:rsid w:val="0081290F"/>
    <w:rsid w:val="00812C63"/>
    <w:rsid w:val="00812CC8"/>
    <w:rsid w:val="00812EA5"/>
    <w:rsid w:val="0081324B"/>
    <w:rsid w:val="008138EB"/>
    <w:rsid w:val="00813CD2"/>
    <w:rsid w:val="00814052"/>
    <w:rsid w:val="00814119"/>
    <w:rsid w:val="008141B2"/>
    <w:rsid w:val="008143BF"/>
    <w:rsid w:val="00814782"/>
    <w:rsid w:val="00814B78"/>
    <w:rsid w:val="00814C69"/>
    <w:rsid w:val="008152D8"/>
    <w:rsid w:val="008152DA"/>
    <w:rsid w:val="008154BA"/>
    <w:rsid w:val="00815649"/>
    <w:rsid w:val="00815741"/>
    <w:rsid w:val="008157ED"/>
    <w:rsid w:val="00815B43"/>
    <w:rsid w:val="00815E7A"/>
    <w:rsid w:val="0081616F"/>
    <w:rsid w:val="00816224"/>
    <w:rsid w:val="008165D0"/>
    <w:rsid w:val="0081668E"/>
    <w:rsid w:val="00816AE8"/>
    <w:rsid w:val="00817296"/>
    <w:rsid w:val="0081793E"/>
    <w:rsid w:val="0081796D"/>
    <w:rsid w:val="008179B1"/>
    <w:rsid w:val="00817AEE"/>
    <w:rsid w:val="00817EC6"/>
    <w:rsid w:val="00820056"/>
    <w:rsid w:val="00820104"/>
    <w:rsid w:val="00820173"/>
    <w:rsid w:val="008204F0"/>
    <w:rsid w:val="00820CEC"/>
    <w:rsid w:val="00820D26"/>
    <w:rsid w:val="008213A9"/>
    <w:rsid w:val="00821581"/>
    <w:rsid w:val="00821C03"/>
    <w:rsid w:val="00821C63"/>
    <w:rsid w:val="00821D53"/>
    <w:rsid w:val="00822898"/>
    <w:rsid w:val="00822C3C"/>
    <w:rsid w:val="00823420"/>
    <w:rsid w:val="008238C8"/>
    <w:rsid w:val="00823BBA"/>
    <w:rsid w:val="00823CF5"/>
    <w:rsid w:val="00823F1F"/>
    <w:rsid w:val="00823FE1"/>
    <w:rsid w:val="0082403E"/>
    <w:rsid w:val="008242CA"/>
    <w:rsid w:val="008249BB"/>
    <w:rsid w:val="00824FB4"/>
    <w:rsid w:val="00825134"/>
    <w:rsid w:val="0082547E"/>
    <w:rsid w:val="008254D6"/>
    <w:rsid w:val="00825DA5"/>
    <w:rsid w:val="00825EF1"/>
    <w:rsid w:val="0082604F"/>
    <w:rsid w:val="008262E6"/>
    <w:rsid w:val="00826615"/>
    <w:rsid w:val="00826A8A"/>
    <w:rsid w:val="00826A8F"/>
    <w:rsid w:val="00826C44"/>
    <w:rsid w:val="00826F21"/>
    <w:rsid w:val="008271D6"/>
    <w:rsid w:val="00827538"/>
    <w:rsid w:val="008275EA"/>
    <w:rsid w:val="00827602"/>
    <w:rsid w:val="008306AB"/>
    <w:rsid w:val="0083084A"/>
    <w:rsid w:val="0083085C"/>
    <w:rsid w:val="00830AB6"/>
    <w:rsid w:val="00830AE8"/>
    <w:rsid w:val="00831124"/>
    <w:rsid w:val="00831B9E"/>
    <w:rsid w:val="00831C7B"/>
    <w:rsid w:val="00832596"/>
    <w:rsid w:val="0083285A"/>
    <w:rsid w:val="00832B6F"/>
    <w:rsid w:val="00832D95"/>
    <w:rsid w:val="00832F37"/>
    <w:rsid w:val="008330BA"/>
    <w:rsid w:val="00833579"/>
    <w:rsid w:val="00834600"/>
    <w:rsid w:val="008349C0"/>
    <w:rsid w:val="00836CD0"/>
    <w:rsid w:val="00837023"/>
    <w:rsid w:val="008371FE"/>
    <w:rsid w:val="00837A06"/>
    <w:rsid w:val="00837DA8"/>
    <w:rsid w:val="008400EC"/>
    <w:rsid w:val="00840534"/>
    <w:rsid w:val="0084060C"/>
    <w:rsid w:val="008407D9"/>
    <w:rsid w:val="00840D1A"/>
    <w:rsid w:val="00840D8D"/>
    <w:rsid w:val="00841A72"/>
    <w:rsid w:val="00841B8F"/>
    <w:rsid w:val="00841EE6"/>
    <w:rsid w:val="00841FA2"/>
    <w:rsid w:val="008424B6"/>
    <w:rsid w:val="0084250A"/>
    <w:rsid w:val="00842895"/>
    <w:rsid w:val="00842B3C"/>
    <w:rsid w:val="00842C8F"/>
    <w:rsid w:val="00842D97"/>
    <w:rsid w:val="0084324A"/>
    <w:rsid w:val="0084331B"/>
    <w:rsid w:val="00843364"/>
    <w:rsid w:val="00843CD8"/>
    <w:rsid w:val="0084414E"/>
    <w:rsid w:val="0084489D"/>
    <w:rsid w:val="00844ADB"/>
    <w:rsid w:val="00844B04"/>
    <w:rsid w:val="008451D9"/>
    <w:rsid w:val="008456CC"/>
    <w:rsid w:val="00845839"/>
    <w:rsid w:val="008458AE"/>
    <w:rsid w:val="0084622F"/>
    <w:rsid w:val="00846D99"/>
    <w:rsid w:val="00846E89"/>
    <w:rsid w:val="0084718E"/>
    <w:rsid w:val="0084725B"/>
    <w:rsid w:val="00847A05"/>
    <w:rsid w:val="00850068"/>
    <w:rsid w:val="0085015E"/>
    <w:rsid w:val="008501D6"/>
    <w:rsid w:val="008503F0"/>
    <w:rsid w:val="00850671"/>
    <w:rsid w:val="00850699"/>
    <w:rsid w:val="008506D8"/>
    <w:rsid w:val="00851EB4"/>
    <w:rsid w:val="00852113"/>
    <w:rsid w:val="008524F1"/>
    <w:rsid w:val="00852EB5"/>
    <w:rsid w:val="00852F8A"/>
    <w:rsid w:val="00853A25"/>
    <w:rsid w:val="00853C3B"/>
    <w:rsid w:val="00853FC9"/>
    <w:rsid w:val="008554D0"/>
    <w:rsid w:val="00855780"/>
    <w:rsid w:val="00855A24"/>
    <w:rsid w:val="00855C18"/>
    <w:rsid w:val="008561F6"/>
    <w:rsid w:val="00856393"/>
    <w:rsid w:val="00856EE3"/>
    <w:rsid w:val="00857958"/>
    <w:rsid w:val="00857D2C"/>
    <w:rsid w:val="008602D0"/>
    <w:rsid w:val="008604B2"/>
    <w:rsid w:val="008606D5"/>
    <w:rsid w:val="00860D11"/>
    <w:rsid w:val="00860D87"/>
    <w:rsid w:val="00860FFF"/>
    <w:rsid w:val="00861BB5"/>
    <w:rsid w:val="00861D61"/>
    <w:rsid w:val="00861D6D"/>
    <w:rsid w:val="0086280D"/>
    <w:rsid w:val="00862851"/>
    <w:rsid w:val="00862A47"/>
    <w:rsid w:val="00862AC4"/>
    <w:rsid w:val="008632BD"/>
    <w:rsid w:val="00863436"/>
    <w:rsid w:val="00863D6E"/>
    <w:rsid w:val="008649A3"/>
    <w:rsid w:val="008654A8"/>
    <w:rsid w:val="00865DA4"/>
    <w:rsid w:val="008669FE"/>
    <w:rsid w:val="008670CE"/>
    <w:rsid w:val="008678C2"/>
    <w:rsid w:val="00867B4F"/>
    <w:rsid w:val="00867BA8"/>
    <w:rsid w:val="00867BB7"/>
    <w:rsid w:val="00867F6B"/>
    <w:rsid w:val="00867FD3"/>
    <w:rsid w:val="00870395"/>
    <w:rsid w:val="008704E3"/>
    <w:rsid w:val="00870725"/>
    <w:rsid w:val="00870B7C"/>
    <w:rsid w:val="00870C3D"/>
    <w:rsid w:val="00870C58"/>
    <w:rsid w:val="00870DEF"/>
    <w:rsid w:val="00871DEB"/>
    <w:rsid w:val="00871E41"/>
    <w:rsid w:val="00872066"/>
    <w:rsid w:val="008723AA"/>
    <w:rsid w:val="00872918"/>
    <w:rsid w:val="00872AAC"/>
    <w:rsid w:val="00872F5B"/>
    <w:rsid w:val="008734A6"/>
    <w:rsid w:val="00873A54"/>
    <w:rsid w:val="00873CA0"/>
    <w:rsid w:val="00873FBA"/>
    <w:rsid w:val="008743D8"/>
    <w:rsid w:val="00874ACE"/>
    <w:rsid w:val="00874F0E"/>
    <w:rsid w:val="00875112"/>
    <w:rsid w:val="00875533"/>
    <w:rsid w:val="0087598D"/>
    <w:rsid w:val="00875C3F"/>
    <w:rsid w:val="00875CDD"/>
    <w:rsid w:val="0087615F"/>
    <w:rsid w:val="00876383"/>
    <w:rsid w:val="0087668E"/>
    <w:rsid w:val="0087670C"/>
    <w:rsid w:val="00876842"/>
    <w:rsid w:val="0087686F"/>
    <w:rsid w:val="00876CC3"/>
    <w:rsid w:val="008771B8"/>
    <w:rsid w:val="00877277"/>
    <w:rsid w:val="00877675"/>
    <w:rsid w:val="0087790A"/>
    <w:rsid w:val="00880039"/>
    <w:rsid w:val="008801EF"/>
    <w:rsid w:val="00880A16"/>
    <w:rsid w:val="00880BBF"/>
    <w:rsid w:val="00880C74"/>
    <w:rsid w:val="00880FF9"/>
    <w:rsid w:val="0088116E"/>
    <w:rsid w:val="00881A1F"/>
    <w:rsid w:val="00881A82"/>
    <w:rsid w:val="00881AE1"/>
    <w:rsid w:val="00881EC0"/>
    <w:rsid w:val="0088279C"/>
    <w:rsid w:val="00882995"/>
    <w:rsid w:val="00883122"/>
    <w:rsid w:val="008831D6"/>
    <w:rsid w:val="008833A5"/>
    <w:rsid w:val="00883F30"/>
    <w:rsid w:val="008842A9"/>
    <w:rsid w:val="0088435C"/>
    <w:rsid w:val="008843F1"/>
    <w:rsid w:val="0088490F"/>
    <w:rsid w:val="00884A46"/>
    <w:rsid w:val="00884CAB"/>
    <w:rsid w:val="0088505B"/>
    <w:rsid w:val="00885477"/>
    <w:rsid w:val="0088592D"/>
    <w:rsid w:val="0088665A"/>
    <w:rsid w:val="00886918"/>
    <w:rsid w:val="00886997"/>
    <w:rsid w:val="00886DDD"/>
    <w:rsid w:val="00887210"/>
    <w:rsid w:val="00887513"/>
    <w:rsid w:val="0088779F"/>
    <w:rsid w:val="008901A5"/>
    <w:rsid w:val="00890293"/>
    <w:rsid w:val="008907E5"/>
    <w:rsid w:val="008908ED"/>
    <w:rsid w:val="00890AE0"/>
    <w:rsid w:val="00891228"/>
    <w:rsid w:val="0089125F"/>
    <w:rsid w:val="008915AB"/>
    <w:rsid w:val="008916AD"/>
    <w:rsid w:val="00891D99"/>
    <w:rsid w:val="0089253E"/>
    <w:rsid w:val="00892C70"/>
    <w:rsid w:val="008934E3"/>
    <w:rsid w:val="0089380A"/>
    <w:rsid w:val="00893E7A"/>
    <w:rsid w:val="00894331"/>
    <w:rsid w:val="00894701"/>
    <w:rsid w:val="008952B7"/>
    <w:rsid w:val="008958A9"/>
    <w:rsid w:val="0089594C"/>
    <w:rsid w:val="00895BD2"/>
    <w:rsid w:val="00895E92"/>
    <w:rsid w:val="00896D4F"/>
    <w:rsid w:val="00896E42"/>
    <w:rsid w:val="00896F06"/>
    <w:rsid w:val="008971E2"/>
    <w:rsid w:val="00897281"/>
    <w:rsid w:val="00897309"/>
    <w:rsid w:val="0089740F"/>
    <w:rsid w:val="00897672"/>
    <w:rsid w:val="0089768E"/>
    <w:rsid w:val="008977AD"/>
    <w:rsid w:val="00897E49"/>
    <w:rsid w:val="008A0BFD"/>
    <w:rsid w:val="008A114D"/>
    <w:rsid w:val="008A1298"/>
    <w:rsid w:val="008A14F0"/>
    <w:rsid w:val="008A1616"/>
    <w:rsid w:val="008A1C1B"/>
    <w:rsid w:val="008A1C96"/>
    <w:rsid w:val="008A1D9C"/>
    <w:rsid w:val="008A22DF"/>
    <w:rsid w:val="008A2BA2"/>
    <w:rsid w:val="008A3061"/>
    <w:rsid w:val="008A39CA"/>
    <w:rsid w:val="008A3CA1"/>
    <w:rsid w:val="008A3F66"/>
    <w:rsid w:val="008A4509"/>
    <w:rsid w:val="008A494C"/>
    <w:rsid w:val="008A4F17"/>
    <w:rsid w:val="008A507E"/>
    <w:rsid w:val="008A53B1"/>
    <w:rsid w:val="008A5583"/>
    <w:rsid w:val="008A590F"/>
    <w:rsid w:val="008A5CF4"/>
    <w:rsid w:val="008A5D8A"/>
    <w:rsid w:val="008A64F8"/>
    <w:rsid w:val="008A66AB"/>
    <w:rsid w:val="008A6F4A"/>
    <w:rsid w:val="008A7280"/>
    <w:rsid w:val="008A74D6"/>
    <w:rsid w:val="008A7E83"/>
    <w:rsid w:val="008B0130"/>
    <w:rsid w:val="008B0729"/>
    <w:rsid w:val="008B08F1"/>
    <w:rsid w:val="008B0F95"/>
    <w:rsid w:val="008B14B4"/>
    <w:rsid w:val="008B1B9D"/>
    <w:rsid w:val="008B1E6F"/>
    <w:rsid w:val="008B1E8C"/>
    <w:rsid w:val="008B2070"/>
    <w:rsid w:val="008B2534"/>
    <w:rsid w:val="008B2557"/>
    <w:rsid w:val="008B2A64"/>
    <w:rsid w:val="008B2B4B"/>
    <w:rsid w:val="008B2EBF"/>
    <w:rsid w:val="008B3274"/>
    <w:rsid w:val="008B34A3"/>
    <w:rsid w:val="008B34E7"/>
    <w:rsid w:val="008B3820"/>
    <w:rsid w:val="008B3869"/>
    <w:rsid w:val="008B39A6"/>
    <w:rsid w:val="008B3A93"/>
    <w:rsid w:val="008B3F9B"/>
    <w:rsid w:val="008B48C7"/>
    <w:rsid w:val="008B4928"/>
    <w:rsid w:val="008B4ADA"/>
    <w:rsid w:val="008B4E82"/>
    <w:rsid w:val="008B4F69"/>
    <w:rsid w:val="008B4FF3"/>
    <w:rsid w:val="008B534E"/>
    <w:rsid w:val="008B6013"/>
    <w:rsid w:val="008B69E6"/>
    <w:rsid w:val="008B6B81"/>
    <w:rsid w:val="008B6E7F"/>
    <w:rsid w:val="008B6FCA"/>
    <w:rsid w:val="008B7329"/>
    <w:rsid w:val="008B74F8"/>
    <w:rsid w:val="008B7772"/>
    <w:rsid w:val="008C0EEC"/>
    <w:rsid w:val="008C182A"/>
    <w:rsid w:val="008C188F"/>
    <w:rsid w:val="008C1E97"/>
    <w:rsid w:val="008C2AC9"/>
    <w:rsid w:val="008C38B8"/>
    <w:rsid w:val="008C45B9"/>
    <w:rsid w:val="008C501F"/>
    <w:rsid w:val="008C53EB"/>
    <w:rsid w:val="008C5A59"/>
    <w:rsid w:val="008C5F2F"/>
    <w:rsid w:val="008C63B9"/>
    <w:rsid w:val="008C657E"/>
    <w:rsid w:val="008C6D7D"/>
    <w:rsid w:val="008C706E"/>
    <w:rsid w:val="008C7966"/>
    <w:rsid w:val="008C7E0A"/>
    <w:rsid w:val="008C7F3A"/>
    <w:rsid w:val="008D03DB"/>
    <w:rsid w:val="008D0A0B"/>
    <w:rsid w:val="008D103C"/>
    <w:rsid w:val="008D1184"/>
    <w:rsid w:val="008D1228"/>
    <w:rsid w:val="008D128A"/>
    <w:rsid w:val="008D1661"/>
    <w:rsid w:val="008D32EC"/>
    <w:rsid w:val="008D3501"/>
    <w:rsid w:val="008D3655"/>
    <w:rsid w:val="008D4299"/>
    <w:rsid w:val="008D4379"/>
    <w:rsid w:val="008D49C7"/>
    <w:rsid w:val="008D4A25"/>
    <w:rsid w:val="008D4F0E"/>
    <w:rsid w:val="008D5D52"/>
    <w:rsid w:val="008D5E2D"/>
    <w:rsid w:val="008D5F26"/>
    <w:rsid w:val="008D60FA"/>
    <w:rsid w:val="008D680C"/>
    <w:rsid w:val="008D6C11"/>
    <w:rsid w:val="008D7377"/>
    <w:rsid w:val="008D7690"/>
    <w:rsid w:val="008D79FC"/>
    <w:rsid w:val="008D7BD8"/>
    <w:rsid w:val="008E02C1"/>
    <w:rsid w:val="008E069C"/>
    <w:rsid w:val="008E0841"/>
    <w:rsid w:val="008E0FE5"/>
    <w:rsid w:val="008E117E"/>
    <w:rsid w:val="008E1DB8"/>
    <w:rsid w:val="008E2746"/>
    <w:rsid w:val="008E2870"/>
    <w:rsid w:val="008E2C42"/>
    <w:rsid w:val="008E3192"/>
    <w:rsid w:val="008E34A0"/>
    <w:rsid w:val="008E38AE"/>
    <w:rsid w:val="008E38EB"/>
    <w:rsid w:val="008E3AD4"/>
    <w:rsid w:val="008E3F82"/>
    <w:rsid w:val="008E42B4"/>
    <w:rsid w:val="008E448C"/>
    <w:rsid w:val="008E44EA"/>
    <w:rsid w:val="008E503E"/>
    <w:rsid w:val="008E504E"/>
    <w:rsid w:val="008E52B2"/>
    <w:rsid w:val="008E54D4"/>
    <w:rsid w:val="008E5D1D"/>
    <w:rsid w:val="008E6000"/>
    <w:rsid w:val="008E78D2"/>
    <w:rsid w:val="008E7953"/>
    <w:rsid w:val="008E79AF"/>
    <w:rsid w:val="008E7AA9"/>
    <w:rsid w:val="008E7B1D"/>
    <w:rsid w:val="008E7C10"/>
    <w:rsid w:val="008E7CDB"/>
    <w:rsid w:val="008F07DC"/>
    <w:rsid w:val="008F0BA7"/>
    <w:rsid w:val="008F0F5C"/>
    <w:rsid w:val="008F0FC7"/>
    <w:rsid w:val="008F1524"/>
    <w:rsid w:val="008F187F"/>
    <w:rsid w:val="008F2785"/>
    <w:rsid w:val="008F2980"/>
    <w:rsid w:val="008F2AAD"/>
    <w:rsid w:val="008F2D77"/>
    <w:rsid w:val="008F2DB7"/>
    <w:rsid w:val="008F302F"/>
    <w:rsid w:val="008F3BAE"/>
    <w:rsid w:val="008F4401"/>
    <w:rsid w:val="008F47F6"/>
    <w:rsid w:val="008F4BC7"/>
    <w:rsid w:val="008F4C4C"/>
    <w:rsid w:val="008F5048"/>
    <w:rsid w:val="008F533A"/>
    <w:rsid w:val="008F5530"/>
    <w:rsid w:val="008F59AA"/>
    <w:rsid w:val="008F5BC2"/>
    <w:rsid w:val="008F6377"/>
    <w:rsid w:val="008F64D0"/>
    <w:rsid w:val="008F65E8"/>
    <w:rsid w:val="008F737A"/>
    <w:rsid w:val="008F750B"/>
    <w:rsid w:val="008F7C64"/>
    <w:rsid w:val="008F7E9A"/>
    <w:rsid w:val="00900081"/>
    <w:rsid w:val="0090042E"/>
    <w:rsid w:val="0090045B"/>
    <w:rsid w:val="00900D8D"/>
    <w:rsid w:val="00901372"/>
    <w:rsid w:val="009015F8"/>
    <w:rsid w:val="00901D59"/>
    <w:rsid w:val="00901DDA"/>
    <w:rsid w:val="009022CE"/>
    <w:rsid w:val="009029FE"/>
    <w:rsid w:val="00902A3B"/>
    <w:rsid w:val="00902C9D"/>
    <w:rsid w:val="00902D30"/>
    <w:rsid w:val="00902E54"/>
    <w:rsid w:val="00902FC6"/>
    <w:rsid w:val="009035D2"/>
    <w:rsid w:val="00903780"/>
    <w:rsid w:val="009039A8"/>
    <w:rsid w:val="00903FC8"/>
    <w:rsid w:val="00904A36"/>
    <w:rsid w:val="00904E2C"/>
    <w:rsid w:val="00905373"/>
    <w:rsid w:val="0090597D"/>
    <w:rsid w:val="009062AB"/>
    <w:rsid w:val="009075FF"/>
    <w:rsid w:val="009079D9"/>
    <w:rsid w:val="009104CA"/>
    <w:rsid w:val="009105E8"/>
    <w:rsid w:val="009109C4"/>
    <w:rsid w:val="00910CB7"/>
    <w:rsid w:val="00910E2B"/>
    <w:rsid w:val="00911209"/>
    <w:rsid w:val="00911718"/>
    <w:rsid w:val="0091177C"/>
    <w:rsid w:val="00911C70"/>
    <w:rsid w:val="0091253C"/>
    <w:rsid w:val="00912796"/>
    <w:rsid w:val="009127E2"/>
    <w:rsid w:val="00913289"/>
    <w:rsid w:val="0091399B"/>
    <w:rsid w:val="00913F42"/>
    <w:rsid w:val="00914187"/>
    <w:rsid w:val="00914FD4"/>
    <w:rsid w:val="00915292"/>
    <w:rsid w:val="00915371"/>
    <w:rsid w:val="009158C2"/>
    <w:rsid w:val="00915CAD"/>
    <w:rsid w:val="00915F46"/>
    <w:rsid w:val="00916139"/>
    <w:rsid w:val="00916649"/>
    <w:rsid w:val="00916B5B"/>
    <w:rsid w:val="00916E28"/>
    <w:rsid w:val="009174CF"/>
    <w:rsid w:val="0091790D"/>
    <w:rsid w:val="00917C36"/>
    <w:rsid w:val="0092007C"/>
    <w:rsid w:val="00920458"/>
    <w:rsid w:val="00920F03"/>
    <w:rsid w:val="00920F8A"/>
    <w:rsid w:val="00921283"/>
    <w:rsid w:val="00921696"/>
    <w:rsid w:val="0092193E"/>
    <w:rsid w:val="009219F5"/>
    <w:rsid w:val="00922CDB"/>
    <w:rsid w:val="00922DB3"/>
    <w:rsid w:val="00923A31"/>
    <w:rsid w:val="0092444C"/>
    <w:rsid w:val="009245D7"/>
    <w:rsid w:val="00924EC3"/>
    <w:rsid w:val="00925251"/>
    <w:rsid w:val="00925259"/>
    <w:rsid w:val="00925904"/>
    <w:rsid w:val="009259D7"/>
    <w:rsid w:val="00926590"/>
    <w:rsid w:val="0092671C"/>
    <w:rsid w:val="00926D56"/>
    <w:rsid w:val="0092734A"/>
    <w:rsid w:val="00927501"/>
    <w:rsid w:val="009278F4"/>
    <w:rsid w:val="00927977"/>
    <w:rsid w:val="00927D21"/>
    <w:rsid w:val="00927D23"/>
    <w:rsid w:val="00927DE5"/>
    <w:rsid w:val="0093067B"/>
    <w:rsid w:val="00930984"/>
    <w:rsid w:val="00931384"/>
    <w:rsid w:val="00931843"/>
    <w:rsid w:val="00931A2C"/>
    <w:rsid w:val="009324B8"/>
    <w:rsid w:val="009326FB"/>
    <w:rsid w:val="0093291C"/>
    <w:rsid w:val="009330F1"/>
    <w:rsid w:val="00933588"/>
    <w:rsid w:val="00933624"/>
    <w:rsid w:val="009337EC"/>
    <w:rsid w:val="009339A3"/>
    <w:rsid w:val="00933FAC"/>
    <w:rsid w:val="00934102"/>
    <w:rsid w:val="009345CF"/>
    <w:rsid w:val="00934781"/>
    <w:rsid w:val="0093510B"/>
    <w:rsid w:val="009352CE"/>
    <w:rsid w:val="009356F0"/>
    <w:rsid w:val="009358FA"/>
    <w:rsid w:val="00935DEA"/>
    <w:rsid w:val="00935F19"/>
    <w:rsid w:val="00936961"/>
    <w:rsid w:val="00936BC3"/>
    <w:rsid w:val="00936BD3"/>
    <w:rsid w:val="00936F8A"/>
    <w:rsid w:val="009376C7"/>
    <w:rsid w:val="00937D54"/>
    <w:rsid w:val="00940289"/>
    <w:rsid w:val="00940363"/>
    <w:rsid w:val="009405E2"/>
    <w:rsid w:val="00940808"/>
    <w:rsid w:val="009414D8"/>
    <w:rsid w:val="00941C76"/>
    <w:rsid w:val="009420E6"/>
    <w:rsid w:val="0094278B"/>
    <w:rsid w:val="00942D88"/>
    <w:rsid w:val="0094303D"/>
    <w:rsid w:val="009432EC"/>
    <w:rsid w:val="0094370B"/>
    <w:rsid w:val="00943828"/>
    <w:rsid w:val="009439FD"/>
    <w:rsid w:val="00943B07"/>
    <w:rsid w:val="00943C55"/>
    <w:rsid w:val="00943CD9"/>
    <w:rsid w:val="00943FAF"/>
    <w:rsid w:val="00944159"/>
    <w:rsid w:val="009445B5"/>
    <w:rsid w:val="009446C9"/>
    <w:rsid w:val="00944AAB"/>
    <w:rsid w:val="00945257"/>
    <w:rsid w:val="00945A89"/>
    <w:rsid w:val="00945C56"/>
    <w:rsid w:val="00946075"/>
    <w:rsid w:val="0094680A"/>
    <w:rsid w:val="00946A52"/>
    <w:rsid w:val="00946B03"/>
    <w:rsid w:val="00946F6D"/>
    <w:rsid w:val="00946FFD"/>
    <w:rsid w:val="00947983"/>
    <w:rsid w:val="00950B48"/>
    <w:rsid w:val="00950C83"/>
    <w:rsid w:val="0095106A"/>
    <w:rsid w:val="0095123E"/>
    <w:rsid w:val="009517BD"/>
    <w:rsid w:val="00951C0E"/>
    <w:rsid w:val="00951DDE"/>
    <w:rsid w:val="0095223E"/>
    <w:rsid w:val="00952506"/>
    <w:rsid w:val="00952A6E"/>
    <w:rsid w:val="0095329A"/>
    <w:rsid w:val="0095343E"/>
    <w:rsid w:val="0095349A"/>
    <w:rsid w:val="009534B2"/>
    <w:rsid w:val="009538F8"/>
    <w:rsid w:val="00953EB2"/>
    <w:rsid w:val="00954564"/>
    <w:rsid w:val="0095488E"/>
    <w:rsid w:val="00954C79"/>
    <w:rsid w:val="00954D73"/>
    <w:rsid w:val="00955188"/>
    <w:rsid w:val="00955D6B"/>
    <w:rsid w:val="00955D7A"/>
    <w:rsid w:val="00955DAC"/>
    <w:rsid w:val="0095619A"/>
    <w:rsid w:val="0095633A"/>
    <w:rsid w:val="00956EFD"/>
    <w:rsid w:val="00957257"/>
    <w:rsid w:val="00957346"/>
    <w:rsid w:val="00960636"/>
    <w:rsid w:val="0096067C"/>
    <w:rsid w:val="009608BB"/>
    <w:rsid w:val="00960956"/>
    <w:rsid w:val="00960B78"/>
    <w:rsid w:val="00960FE1"/>
    <w:rsid w:val="0096147D"/>
    <w:rsid w:val="00961B1B"/>
    <w:rsid w:val="00961FA6"/>
    <w:rsid w:val="009621ED"/>
    <w:rsid w:val="00962DDA"/>
    <w:rsid w:val="00962DF1"/>
    <w:rsid w:val="00962EFF"/>
    <w:rsid w:val="009635A9"/>
    <w:rsid w:val="009636C8"/>
    <w:rsid w:val="0096374A"/>
    <w:rsid w:val="00963E42"/>
    <w:rsid w:val="00964097"/>
    <w:rsid w:val="00964476"/>
    <w:rsid w:val="009647A8"/>
    <w:rsid w:val="009647F2"/>
    <w:rsid w:val="00965B7E"/>
    <w:rsid w:val="00965CB3"/>
    <w:rsid w:val="00965E3F"/>
    <w:rsid w:val="009664FE"/>
    <w:rsid w:val="009665E2"/>
    <w:rsid w:val="00966D42"/>
    <w:rsid w:val="009670A1"/>
    <w:rsid w:val="00967113"/>
    <w:rsid w:val="00967440"/>
    <w:rsid w:val="00967627"/>
    <w:rsid w:val="0096775C"/>
    <w:rsid w:val="00970584"/>
    <w:rsid w:val="00970BC0"/>
    <w:rsid w:val="00970D85"/>
    <w:rsid w:val="00970F50"/>
    <w:rsid w:val="0097124B"/>
    <w:rsid w:val="00971743"/>
    <w:rsid w:val="00971A4B"/>
    <w:rsid w:val="00971B19"/>
    <w:rsid w:val="00971B9F"/>
    <w:rsid w:val="00971C3C"/>
    <w:rsid w:val="00971E8B"/>
    <w:rsid w:val="009724B9"/>
    <w:rsid w:val="00972E00"/>
    <w:rsid w:val="00972E87"/>
    <w:rsid w:val="00973449"/>
    <w:rsid w:val="00973556"/>
    <w:rsid w:val="00974058"/>
    <w:rsid w:val="0097449A"/>
    <w:rsid w:val="009744B5"/>
    <w:rsid w:val="00974DF0"/>
    <w:rsid w:val="00975416"/>
    <w:rsid w:val="0097578D"/>
    <w:rsid w:val="0097684B"/>
    <w:rsid w:val="00976977"/>
    <w:rsid w:val="00976E91"/>
    <w:rsid w:val="00977224"/>
    <w:rsid w:val="009776AB"/>
    <w:rsid w:val="009777CA"/>
    <w:rsid w:val="009778DD"/>
    <w:rsid w:val="00977D13"/>
    <w:rsid w:val="00980231"/>
    <w:rsid w:val="009803CD"/>
    <w:rsid w:val="009804BD"/>
    <w:rsid w:val="00980779"/>
    <w:rsid w:val="00980834"/>
    <w:rsid w:val="00980850"/>
    <w:rsid w:val="00980CDB"/>
    <w:rsid w:val="0098108B"/>
    <w:rsid w:val="0098137A"/>
    <w:rsid w:val="0098292D"/>
    <w:rsid w:val="00982ACF"/>
    <w:rsid w:val="00982D3C"/>
    <w:rsid w:val="00983245"/>
    <w:rsid w:val="00984463"/>
    <w:rsid w:val="00984A24"/>
    <w:rsid w:val="00984FFC"/>
    <w:rsid w:val="009852AC"/>
    <w:rsid w:val="00985470"/>
    <w:rsid w:val="009858C3"/>
    <w:rsid w:val="00985949"/>
    <w:rsid w:val="00985C5E"/>
    <w:rsid w:val="00985C6C"/>
    <w:rsid w:val="009860B3"/>
    <w:rsid w:val="009861DC"/>
    <w:rsid w:val="009862F7"/>
    <w:rsid w:val="00986313"/>
    <w:rsid w:val="00986A19"/>
    <w:rsid w:val="00986B24"/>
    <w:rsid w:val="009873AA"/>
    <w:rsid w:val="00987416"/>
    <w:rsid w:val="00987865"/>
    <w:rsid w:val="00987921"/>
    <w:rsid w:val="00987D45"/>
    <w:rsid w:val="00987FBC"/>
    <w:rsid w:val="00990208"/>
    <w:rsid w:val="00990F54"/>
    <w:rsid w:val="0099154D"/>
    <w:rsid w:val="00991670"/>
    <w:rsid w:val="009916E5"/>
    <w:rsid w:val="0099173E"/>
    <w:rsid w:val="00991903"/>
    <w:rsid w:val="009919F3"/>
    <w:rsid w:val="00992617"/>
    <w:rsid w:val="009929FD"/>
    <w:rsid w:val="00993388"/>
    <w:rsid w:val="009933CC"/>
    <w:rsid w:val="00993A61"/>
    <w:rsid w:val="00993AB7"/>
    <w:rsid w:val="00993B93"/>
    <w:rsid w:val="009940CC"/>
    <w:rsid w:val="00994877"/>
    <w:rsid w:val="00994F0D"/>
    <w:rsid w:val="00995023"/>
    <w:rsid w:val="0099521A"/>
    <w:rsid w:val="009957EF"/>
    <w:rsid w:val="00995C5B"/>
    <w:rsid w:val="00995D49"/>
    <w:rsid w:val="00996011"/>
    <w:rsid w:val="00996083"/>
    <w:rsid w:val="00996143"/>
    <w:rsid w:val="0099681E"/>
    <w:rsid w:val="00996A95"/>
    <w:rsid w:val="00997097"/>
    <w:rsid w:val="009970C3"/>
    <w:rsid w:val="00997339"/>
    <w:rsid w:val="009976EF"/>
    <w:rsid w:val="00997A73"/>
    <w:rsid w:val="00997D00"/>
    <w:rsid w:val="00997DEB"/>
    <w:rsid w:val="009A03AE"/>
    <w:rsid w:val="009A09BC"/>
    <w:rsid w:val="009A0E3B"/>
    <w:rsid w:val="009A1527"/>
    <w:rsid w:val="009A15C4"/>
    <w:rsid w:val="009A1FA3"/>
    <w:rsid w:val="009A22CA"/>
    <w:rsid w:val="009A2DD1"/>
    <w:rsid w:val="009A2FCA"/>
    <w:rsid w:val="009A3303"/>
    <w:rsid w:val="009A34B9"/>
    <w:rsid w:val="009A3DD6"/>
    <w:rsid w:val="009A3F5E"/>
    <w:rsid w:val="009A40C2"/>
    <w:rsid w:val="009A4756"/>
    <w:rsid w:val="009A4DE2"/>
    <w:rsid w:val="009A4E7F"/>
    <w:rsid w:val="009A4F80"/>
    <w:rsid w:val="009A51F4"/>
    <w:rsid w:val="009A52F9"/>
    <w:rsid w:val="009A53D5"/>
    <w:rsid w:val="009A5433"/>
    <w:rsid w:val="009A5814"/>
    <w:rsid w:val="009A5913"/>
    <w:rsid w:val="009A5AD0"/>
    <w:rsid w:val="009A5B68"/>
    <w:rsid w:val="009A5CC0"/>
    <w:rsid w:val="009A5FCE"/>
    <w:rsid w:val="009A6323"/>
    <w:rsid w:val="009A662B"/>
    <w:rsid w:val="009A69F3"/>
    <w:rsid w:val="009A6F18"/>
    <w:rsid w:val="009A6FA6"/>
    <w:rsid w:val="009A71AE"/>
    <w:rsid w:val="009A7224"/>
    <w:rsid w:val="009A7288"/>
    <w:rsid w:val="009A7AB6"/>
    <w:rsid w:val="009A7BF1"/>
    <w:rsid w:val="009B001B"/>
    <w:rsid w:val="009B057A"/>
    <w:rsid w:val="009B241A"/>
    <w:rsid w:val="009B28D4"/>
    <w:rsid w:val="009B2AEF"/>
    <w:rsid w:val="009B2B62"/>
    <w:rsid w:val="009B2FA5"/>
    <w:rsid w:val="009B3296"/>
    <w:rsid w:val="009B3E9B"/>
    <w:rsid w:val="009B3FD6"/>
    <w:rsid w:val="009B4495"/>
    <w:rsid w:val="009B461A"/>
    <w:rsid w:val="009B5949"/>
    <w:rsid w:val="009B67D7"/>
    <w:rsid w:val="009B68A6"/>
    <w:rsid w:val="009B69A2"/>
    <w:rsid w:val="009B6D3D"/>
    <w:rsid w:val="009B70CC"/>
    <w:rsid w:val="009B7DB9"/>
    <w:rsid w:val="009B7DBC"/>
    <w:rsid w:val="009B7DFD"/>
    <w:rsid w:val="009B7F1D"/>
    <w:rsid w:val="009C06AB"/>
    <w:rsid w:val="009C090D"/>
    <w:rsid w:val="009C14D2"/>
    <w:rsid w:val="009C14EA"/>
    <w:rsid w:val="009C26BE"/>
    <w:rsid w:val="009C2AE6"/>
    <w:rsid w:val="009C33B0"/>
    <w:rsid w:val="009C3686"/>
    <w:rsid w:val="009C390D"/>
    <w:rsid w:val="009C39BC"/>
    <w:rsid w:val="009C458E"/>
    <w:rsid w:val="009C4C7B"/>
    <w:rsid w:val="009C58EB"/>
    <w:rsid w:val="009C5B97"/>
    <w:rsid w:val="009C5D87"/>
    <w:rsid w:val="009C60B8"/>
    <w:rsid w:val="009C621D"/>
    <w:rsid w:val="009C6394"/>
    <w:rsid w:val="009C6861"/>
    <w:rsid w:val="009C6E33"/>
    <w:rsid w:val="009C78F3"/>
    <w:rsid w:val="009C7B38"/>
    <w:rsid w:val="009D0714"/>
    <w:rsid w:val="009D088E"/>
    <w:rsid w:val="009D1168"/>
    <w:rsid w:val="009D15ED"/>
    <w:rsid w:val="009D197A"/>
    <w:rsid w:val="009D1CAB"/>
    <w:rsid w:val="009D1F3B"/>
    <w:rsid w:val="009D20EC"/>
    <w:rsid w:val="009D2131"/>
    <w:rsid w:val="009D21E5"/>
    <w:rsid w:val="009D23C8"/>
    <w:rsid w:val="009D24E6"/>
    <w:rsid w:val="009D26B6"/>
    <w:rsid w:val="009D27A4"/>
    <w:rsid w:val="009D2E84"/>
    <w:rsid w:val="009D3278"/>
    <w:rsid w:val="009D3999"/>
    <w:rsid w:val="009D3C50"/>
    <w:rsid w:val="009D4B1D"/>
    <w:rsid w:val="009D5198"/>
    <w:rsid w:val="009D532A"/>
    <w:rsid w:val="009D5748"/>
    <w:rsid w:val="009D57F5"/>
    <w:rsid w:val="009D5A9F"/>
    <w:rsid w:val="009D5D24"/>
    <w:rsid w:val="009D6095"/>
    <w:rsid w:val="009D6256"/>
    <w:rsid w:val="009D675F"/>
    <w:rsid w:val="009D67EC"/>
    <w:rsid w:val="009D6867"/>
    <w:rsid w:val="009D779F"/>
    <w:rsid w:val="009D79A9"/>
    <w:rsid w:val="009D7B8D"/>
    <w:rsid w:val="009E02A6"/>
    <w:rsid w:val="009E03DE"/>
    <w:rsid w:val="009E0980"/>
    <w:rsid w:val="009E10D7"/>
    <w:rsid w:val="009E170B"/>
    <w:rsid w:val="009E179E"/>
    <w:rsid w:val="009E25AD"/>
    <w:rsid w:val="009E26AE"/>
    <w:rsid w:val="009E2886"/>
    <w:rsid w:val="009E30DC"/>
    <w:rsid w:val="009E3245"/>
    <w:rsid w:val="009E3420"/>
    <w:rsid w:val="009E39AA"/>
    <w:rsid w:val="009E3F4F"/>
    <w:rsid w:val="009E4504"/>
    <w:rsid w:val="009E4A52"/>
    <w:rsid w:val="009E4DF1"/>
    <w:rsid w:val="009E564E"/>
    <w:rsid w:val="009E637A"/>
    <w:rsid w:val="009E63BF"/>
    <w:rsid w:val="009E7088"/>
    <w:rsid w:val="009E759B"/>
    <w:rsid w:val="009E7784"/>
    <w:rsid w:val="009E7A5F"/>
    <w:rsid w:val="009E7BBD"/>
    <w:rsid w:val="009E7C09"/>
    <w:rsid w:val="009F0112"/>
    <w:rsid w:val="009F0A45"/>
    <w:rsid w:val="009F1062"/>
    <w:rsid w:val="009F1850"/>
    <w:rsid w:val="009F191F"/>
    <w:rsid w:val="009F1E9F"/>
    <w:rsid w:val="009F1F3E"/>
    <w:rsid w:val="009F2271"/>
    <w:rsid w:val="009F2844"/>
    <w:rsid w:val="009F2F39"/>
    <w:rsid w:val="009F3132"/>
    <w:rsid w:val="009F33E4"/>
    <w:rsid w:val="009F35A0"/>
    <w:rsid w:val="009F3A5C"/>
    <w:rsid w:val="009F3AF5"/>
    <w:rsid w:val="009F3DB7"/>
    <w:rsid w:val="009F3DD6"/>
    <w:rsid w:val="009F408B"/>
    <w:rsid w:val="009F44EE"/>
    <w:rsid w:val="009F451F"/>
    <w:rsid w:val="009F4974"/>
    <w:rsid w:val="009F4D07"/>
    <w:rsid w:val="009F5646"/>
    <w:rsid w:val="009F5A9F"/>
    <w:rsid w:val="009F6095"/>
    <w:rsid w:val="00A00726"/>
    <w:rsid w:val="00A0081F"/>
    <w:rsid w:val="00A0096C"/>
    <w:rsid w:val="00A00B0B"/>
    <w:rsid w:val="00A01111"/>
    <w:rsid w:val="00A011FC"/>
    <w:rsid w:val="00A01B99"/>
    <w:rsid w:val="00A01C81"/>
    <w:rsid w:val="00A01D8A"/>
    <w:rsid w:val="00A02319"/>
    <w:rsid w:val="00A02996"/>
    <w:rsid w:val="00A03312"/>
    <w:rsid w:val="00A033AB"/>
    <w:rsid w:val="00A03798"/>
    <w:rsid w:val="00A03993"/>
    <w:rsid w:val="00A042AE"/>
    <w:rsid w:val="00A04802"/>
    <w:rsid w:val="00A04C39"/>
    <w:rsid w:val="00A04CE7"/>
    <w:rsid w:val="00A04EDD"/>
    <w:rsid w:val="00A058DF"/>
    <w:rsid w:val="00A05918"/>
    <w:rsid w:val="00A05B07"/>
    <w:rsid w:val="00A05D60"/>
    <w:rsid w:val="00A05EC3"/>
    <w:rsid w:val="00A06594"/>
    <w:rsid w:val="00A06BC9"/>
    <w:rsid w:val="00A06FC6"/>
    <w:rsid w:val="00A0798B"/>
    <w:rsid w:val="00A079B2"/>
    <w:rsid w:val="00A07D38"/>
    <w:rsid w:val="00A1014C"/>
    <w:rsid w:val="00A103FD"/>
    <w:rsid w:val="00A1099E"/>
    <w:rsid w:val="00A10D69"/>
    <w:rsid w:val="00A10F7A"/>
    <w:rsid w:val="00A11030"/>
    <w:rsid w:val="00A1230E"/>
    <w:rsid w:val="00A12383"/>
    <w:rsid w:val="00A126CE"/>
    <w:rsid w:val="00A12AAA"/>
    <w:rsid w:val="00A12B85"/>
    <w:rsid w:val="00A13539"/>
    <w:rsid w:val="00A1398F"/>
    <w:rsid w:val="00A13C55"/>
    <w:rsid w:val="00A14084"/>
    <w:rsid w:val="00A147DB"/>
    <w:rsid w:val="00A14F8F"/>
    <w:rsid w:val="00A165CB"/>
    <w:rsid w:val="00A16AAC"/>
    <w:rsid w:val="00A16C08"/>
    <w:rsid w:val="00A171C4"/>
    <w:rsid w:val="00A1766C"/>
    <w:rsid w:val="00A201FF"/>
    <w:rsid w:val="00A20261"/>
    <w:rsid w:val="00A2039A"/>
    <w:rsid w:val="00A2071B"/>
    <w:rsid w:val="00A208D0"/>
    <w:rsid w:val="00A208FD"/>
    <w:rsid w:val="00A20D57"/>
    <w:rsid w:val="00A21A17"/>
    <w:rsid w:val="00A21CC2"/>
    <w:rsid w:val="00A226B5"/>
    <w:rsid w:val="00A22AC0"/>
    <w:rsid w:val="00A22B5D"/>
    <w:rsid w:val="00A22C7B"/>
    <w:rsid w:val="00A23215"/>
    <w:rsid w:val="00A23A03"/>
    <w:rsid w:val="00A23AA1"/>
    <w:rsid w:val="00A23D25"/>
    <w:rsid w:val="00A23E40"/>
    <w:rsid w:val="00A243CE"/>
    <w:rsid w:val="00A24AB4"/>
    <w:rsid w:val="00A25328"/>
    <w:rsid w:val="00A25725"/>
    <w:rsid w:val="00A260F4"/>
    <w:rsid w:val="00A263D6"/>
    <w:rsid w:val="00A2657F"/>
    <w:rsid w:val="00A26634"/>
    <w:rsid w:val="00A272D7"/>
    <w:rsid w:val="00A27EFB"/>
    <w:rsid w:val="00A30A96"/>
    <w:rsid w:val="00A310DF"/>
    <w:rsid w:val="00A314C1"/>
    <w:rsid w:val="00A315E0"/>
    <w:rsid w:val="00A32094"/>
    <w:rsid w:val="00A322B9"/>
    <w:rsid w:val="00A325D4"/>
    <w:rsid w:val="00A32AAD"/>
    <w:rsid w:val="00A32AF0"/>
    <w:rsid w:val="00A32BD0"/>
    <w:rsid w:val="00A33556"/>
    <w:rsid w:val="00A33963"/>
    <w:rsid w:val="00A339F2"/>
    <w:rsid w:val="00A342B0"/>
    <w:rsid w:val="00A345CD"/>
    <w:rsid w:val="00A345F7"/>
    <w:rsid w:val="00A34C71"/>
    <w:rsid w:val="00A34DA9"/>
    <w:rsid w:val="00A34E12"/>
    <w:rsid w:val="00A35360"/>
    <w:rsid w:val="00A3555F"/>
    <w:rsid w:val="00A3589A"/>
    <w:rsid w:val="00A35B54"/>
    <w:rsid w:val="00A35DAD"/>
    <w:rsid w:val="00A35EC4"/>
    <w:rsid w:val="00A360A4"/>
    <w:rsid w:val="00A361C6"/>
    <w:rsid w:val="00A364C3"/>
    <w:rsid w:val="00A36EB1"/>
    <w:rsid w:val="00A400F4"/>
    <w:rsid w:val="00A4021D"/>
    <w:rsid w:val="00A40457"/>
    <w:rsid w:val="00A40694"/>
    <w:rsid w:val="00A414FB"/>
    <w:rsid w:val="00A41BA1"/>
    <w:rsid w:val="00A41E99"/>
    <w:rsid w:val="00A42CCF"/>
    <w:rsid w:val="00A433DF"/>
    <w:rsid w:val="00A434DF"/>
    <w:rsid w:val="00A43569"/>
    <w:rsid w:val="00A43E3E"/>
    <w:rsid w:val="00A441CF"/>
    <w:rsid w:val="00A44200"/>
    <w:rsid w:val="00A44747"/>
    <w:rsid w:val="00A44CF5"/>
    <w:rsid w:val="00A45603"/>
    <w:rsid w:val="00A45898"/>
    <w:rsid w:val="00A459C7"/>
    <w:rsid w:val="00A460AE"/>
    <w:rsid w:val="00A46A72"/>
    <w:rsid w:val="00A470EB"/>
    <w:rsid w:val="00A47313"/>
    <w:rsid w:val="00A5031C"/>
    <w:rsid w:val="00A50354"/>
    <w:rsid w:val="00A508A1"/>
    <w:rsid w:val="00A50B51"/>
    <w:rsid w:val="00A514F4"/>
    <w:rsid w:val="00A51FAD"/>
    <w:rsid w:val="00A524D6"/>
    <w:rsid w:val="00A52509"/>
    <w:rsid w:val="00A52755"/>
    <w:rsid w:val="00A527A5"/>
    <w:rsid w:val="00A528A2"/>
    <w:rsid w:val="00A52C52"/>
    <w:rsid w:val="00A533EA"/>
    <w:rsid w:val="00A533F7"/>
    <w:rsid w:val="00A536AB"/>
    <w:rsid w:val="00A53C94"/>
    <w:rsid w:val="00A53CB6"/>
    <w:rsid w:val="00A5420D"/>
    <w:rsid w:val="00A54BFB"/>
    <w:rsid w:val="00A550DA"/>
    <w:rsid w:val="00A554E2"/>
    <w:rsid w:val="00A5597D"/>
    <w:rsid w:val="00A55B63"/>
    <w:rsid w:val="00A55CB9"/>
    <w:rsid w:val="00A5630C"/>
    <w:rsid w:val="00A565B0"/>
    <w:rsid w:val="00A56C04"/>
    <w:rsid w:val="00A56CB7"/>
    <w:rsid w:val="00A56D5B"/>
    <w:rsid w:val="00A56E81"/>
    <w:rsid w:val="00A56F77"/>
    <w:rsid w:val="00A5706D"/>
    <w:rsid w:val="00A570CC"/>
    <w:rsid w:val="00A57874"/>
    <w:rsid w:val="00A60092"/>
    <w:rsid w:val="00A6014B"/>
    <w:rsid w:val="00A61268"/>
    <w:rsid w:val="00A6146B"/>
    <w:rsid w:val="00A614A2"/>
    <w:rsid w:val="00A6181E"/>
    <w:rsid w:val="00A61F92"/>
    <w:rsid w:val="00A61FF5"/>
    <w:rsid w:val="00A61FFA"/>
    <w:rsid w:val="00A6256E"/>
    <w:rsid w:val="00A62856"/>
    <w:rsid w:val="00A62EC2"/>
    <w:rsid w:val="00A62FB1"/>
    <w:rsid w:val="00A63E97"/>
    <w:rsid w:val="00A6486C"/>
    <w:rsid w:val="00A648E5"/>
    <w:rsid w:val="00A64A41"/>
    <w:rsid w:val="00A64A43"/>
    <w:rsid w:val="00A6677D"/>
    <w:rsid w:val="00A66889"/>
    <w:rsid w:val="00A6714F"/>
    <w:rsid w:val="00A67ABF"/>
    <w:rsid w:val="00A67B07"/>
    <w:rsid w:val="00A67CC0"/>
    <w:rsid w:val="00A67D9B"/>
    <w:rsid w:val="00A70764"/>
    <w:rsid w:val="00A7086E"/>
    <w:rsid w:val="00A70A52"/>
    <w:rsid w:val="00A712D6"/>
    <w:rsid w:val="00A71350"/>
    <w:rsid w:val="00A71773"/>
    <w:rsid w:val="00A719DB"/>
    <w:rsid w:val="00A71C91"/>
    <w:rsid w:val="00A71EFA"/>
    <w:rsid w:val="00A72673"/>
    <w:rsid w:val="00A728F3"/>
    <w:rsid w:val="00A72F47"/>
    <w:rsid w:val="00A73202"/>
    <w:rsid w:val="00A7389D"/>
    <w:rsid w:val="00A73B97"/>
    <w:rsid w:val="00A73FC6"/>
    <w:rsid w:val="00A741DA"/>
    <w:rsid w:val="00A74C18"/>
    <w:rsid w:val="00A75009"/>
    <w:rsid w:val="00A75528"/>
    <w:rsid w:val="00A75941"/>
    <w:rsid w:val="00A75C3D"/>
    <w:rsid w:val="00A777EC"/>
    <w:rsid w:val="00A808D6"/>
    <w:rsid w:val="00A81023"/>
    <w:rsid w:val="00A81152"/>
    <w:rsid w:val="00A8125D"/>
    <w:rsid w:val="00A81485"/>
    <w:rsid w:val="00A823B0"/>
    <w:rsid w:val="00A8253A"/>
    <w:rsid w:val="00A82F09"/>
    <w:rsid w:val="00A83203"/>
    <w:rsid w:val="00A839A6"/>
    <w:rsid w:val="00A839E0"/>
    <w:rsid w:val="00A83D34"/>
    <w:rsid w:val="00A83E87"/>
    <w:rsid w:val="00A8458F"/>
    <w:rsid w:val="00A84B0D"/>
    <w:rsid w:val="00A84FDC"/>
    <w:rsid w:val="00A85155"/>
    <w:rsid w:val="00A853B6"/>
    <w:rsid w:val="00A856CC"/>
    <w:rsid w:val="00A857B4"/>
    <w:rsid w:val="00A85887"/>
    <w:rsid w:val="00A85894"/>
    <w:rsid w:val="00A85AEE"/>
    <w:rsid w:val="00A8637C"/>
    <w:rsid w:val="00A863C6"/>
    <w:rsid w:val="00A863FA"/>
    <w:rsid w:val="00A86471"/>
    <w:rsid w:val="00A865DF"/>
    <w:rsid w:val="00A86D8E"/>
    <w:rsid w:val="00A871D8"/>
    <w:rsid w:val="00A87263"/>
    <w:rsid w:val="00A877F6"/>
    <w:rsid w:val="00A87BBE"/>
    <w:rsid w:val="00A87FCE"/>
    <w:rsid w:val="00A9006D"/>
    <w:rsid w:val="00A90A96"/>
    <w:rsid w:val="00A90CDF"/>
    <w:rsid w:val="00A91114"/>
    <w:rsid w:val="00A91729"/>
    <w:rsid w:val="00A91744"/>
    <w:rsid w:val="00A91F25"/>
    <w:rsid w:val="00A923A8"/>
    <w:rsid w:val="00A92843"/>
    <w:rsid w:val="00A92F13"/>
    <w:rsid w:val="00A9358C"/>
    <w:rsid w:val="00A93613"/>
    <w:rsid w:val="00A93771"/>
    <w:rsid w:val="00A94492"/>
    <w:rsid w:val="00A946B0"/>
    <w:rsid w:val="00A946FC"/>
    <w:rsid w:val="00A94922"/>
    <w:rsid w:val="00A94956"/>
    <w:rsid w:val="00A94A14"/>
    <w:rsid w:val="00A94A74"/>
    <w:rsid w:val="00A94C26"/>
    <w:rsid w:val="00A94D33"/>
    <w:rsid w:val="00A95065"/>
    <w:rsid w:val="00A956AC"/>
    <w:rsid w:val="00A958F8"/>
    <w:rsid w:val="00A9616C"/>
    <w:rsid w:val="00A962DD"/>
    <w:rsid w:val="00A964D0"/>
    <w:rsid w:val="00A96675"/>
    <w:rsid w:val="00A96AAE"/>
    <w:rsid w:val="00A97839"/>
    <w:rsid w:val="00A97A4E"/>
    <w:rsid w:val="00AA006D"/>
    <w:rsid w:val="00AA0369"/>
    <w:rsid w:val="00AA0894"/>
    <w:rsid w:val="00AA0F35"/>
    <w:rsid w:val="00AA107C"/>
    <w:rsid w:val="00AA148F"/>
    <w:rsid w:val="00AA15D8"/>
    <w:rsid w:val="00AA1752"/>
    <w:rsid w:val="00AA1AEF"/>
    <w:rsid w:val="00AA1C6B"/>
    <w:rsid w:val="00AA1D1F"/>
    <w:rsid w:val="00AA1F99"/>
    <w:rsid w:val="00AA27C5"/>
    <w:rsid w:val="00AA3500"/>
    <w:rsid w:val="00AA3B13"/>
    <w:rsid w:val="00AA3C13"/>
    <w:rsid w:val="00AA3F73"/>
    <w:rsid w:val="00AA3F87"/>
    <w:rsid w:val="00AA5B4F"/>
    <w:rsid w:val="00AA5EEC"/>
    <w:rsid w:val="00AA6944"/>
    <w:rsid w:val="00AA6BB1"/>
    <w:rsid w:val="00AA6F5D"/>
    <w:rsid w:val="00AA7317"/>
    <w:rsid w:val="00AA793D"/>
    <w:rsid w:val="00AA7AA0"/>
    <w:rsid w:val="00AA7D64"/>
    <w:rsid w:val="00AA7DE0"/>
    <w:rsid w:val="00AB002C"/>
    <w:rsid w:val="00AB0394"/>
    <w:rsid w:val="00AB0ACD"/>
    <w:rsid w:val="00AB0C32"/>
    <w:rsid w:val="00AB168D"/>
    <w:rsid w:val="00AB189C"/>
    <w:rsid w:val="00AB1BA4"/>
    <w:rsid w:val="00AB23C3"/>
    <w:rsid w:val="00AB2523"/>
    <w:rsid w:val="00AB2846"/>
    <w:rsid w:val="00AB28E1"/>
    <w:rsid w:val="00AB2CEB"/>
    <w:rsid w:val="00AB2D41"/>
    <w:rsid w:val="00AB3141"/>
    <w:rsid w:val="00AB31D7"/>
    <w:rsid w:val="00AB3225"/>
    <w:rsid w:val="00AB3CAD"/>
    <w:rsid w:val="00AB3EEC"/>
    <w:rsid w:val="00AB4529"/>
    <w:rsid w:val="00AB4D9A"/>
    <w:rsid w:val="00AB56A8"/>
    <w:rsid w:val="00AB57EA"/>
    <w:rsid w:val="00AB585D"/>
    <w:rsid w:val="00AB607C"/>
    <w:rsid w:val="00AB60F9"/>
    <w:rsid w:val="00AB6561"/>
    <w:rsid w:val="00AB684D"/>
    <w:rsid w:val="00AB728F"/>
    <w:rsid w:val="00AB72A3"/>
    <w:rsid w:val="00AB73C2"/>
    <w:rsid w:val="00AB7728"/>
    <w:rsid w:val="00AB7AFE"/>
    <w:rsid w:val="00AB7F95"/>
    <w:rsid w:val="00AB7FCE"/>
    <w:rsid w:val="00AC005E"/>
    <w:rsid w:val="00AC0433"/>
    <w:rsid w:val="00AC0909"/>
    <w:rsid w:val="00AC0B47"/>
    <w:rsid w:val="00AC0F39"/>
    <w:rsid w:val="00AC1157"/>
    <w:rsid w:val="00AC1E12"/>
    <w:rsid w:val="00AC20C6"/>
    <w:rsid w:val="00AC2B3B"/>
    <w:rsid w:val="00AC2CF8"/>
    <w:rsid w:val="00AC3896"/>
    <w:rsid w:val="00AC3FC7"/>
    <w:rsid w:val="00AC43B2"/>
    <w:rsid w:val="00AC44AE"/>
    <w:rsid w:val="00AC46FA"/>
    <w:rsid w:val="00AC4E30"/>
    <w:rsid w:val="00AC523C"/>
    <w:rsid w:val="00AC560A"/>
    <w:rsid w:val="00AC6A04"/>
    <w:rsid w:val="00AC6A58"/>
    <w:rsid w:val="00AC6EE6"/>
    <w:rsid w:val="00AC6FD5"/>
    <w:rsid w:val="00AC70A3"/>
    <w:rsid w:val="00AC7398"/>
    <w:rsid w:val="00AD041C"/>
    <w:rsid w:val="00AD0636"/>
    <w:rsid w:val="00AD116E"/>
    <w:rsid w:val="00AD1179"/>
    <w:rsid w:val="00AD11A6"/>
    <w:rsid w:val="00AD1210"/>
    <w:rsid w:val="00AD157F"/>
    <w:rsid w:val="00AD16E1"/>
    <w:rsid w:val="00AD19C5"/>
    <w:rsid w:val="00AD1A3E"/>
    <w:rsid w:val="00AD1DE9"/>
    <w:rsid w:val="00AD1F88"/>
    <w:rsid w:val="00AD220E"/>
    <w:rsid w:val="00AD2878"/>
    <w:rsid w:val="00AD2E23"/>
    <w:rsid w:val="00AD3998"/>
    <w:rsid w:val="00AD3AF4"/>
    <w:rsid w:val="00AD3CEE"/>
    <w:rsid w:val="00AD46DD"/>
    <w:rsid w:val="00AD486D"/>
    <w:rsid w:val="00AD4890"/>
    <w:rsid w:val="00AD4897"/>
    <w:rsid w:val="00AD4993"/>
    <w:rsid w:val="00AD499C"/>
    <w:rsid w:val="00AD53D2"/>
    <w:rsid w:val="00AD552B"/>
    <w:rsid w:val="00AD5A75"/>
    <w:rsid w:val="00AD63DB"/>
    <w:rsid w:val="00AD6910"/>
    <w:rsid w:val="00AD6925"/>
    <w:rsid w:val="00AD759E"/>
    <w:rsid w:val="00AD7860"/>
    <w:rsid w:val="00AD7952"/>
    <w:rsid w:val="00AD7B9C"/>
    <w:rsid w:val="00AE07BF"/>
    <w:rsid w:val="00AE0D23"/>
    <w:rsid w:val="00AE0F3A"/>
    <w:rsid w:val="00AE1200"/>
    <w:rsid w:val="00AE1B31"/>
    <w:rsid w:val="00AE1D6F"/>
    <w:rsid w:val="00AE2078"/>
    <w:rsid w:val="00AE22F0"/>
    <w:rsid w:val="00AE2848"/>
    <w:rsid w:val="00AE29C0"/>
    <w:rsid w:val="00AE29C4"/>
    <w:rsid w:val="00AE3054"/>
    <w:rsid w:val="00AE4007"/>
    <w:rsid w:val="00AE450D"/>
    <w:rsid w:val="00AE4ED1"/>
    <w:rsid w:val="00AE4F34"/>
    <w:rsid w:val="00AE5B37"/>
    <w:rsid w:val="00AE5F2F"/>
    <w:rsid w:val="00AE6021"/>
    <w:rsid w:val="00AE6156"/>
    <w:rsid w:val="00AE6B37"/>
    <w:rsid w:val="00AE739C"/>
    <w:rsid w:val="00AE75DD"/>
    <w:rsid w:val="00AE7675"/>
    <w:rsid w:val="00AE7AD8"/>
    <w:rsid w:val="00AE7D29"/>
    <w:rsid w:val="00AF095C"/>
    <w:rsid w:val="00AF0F4E"/>
    <w:rsid w:val="00AF1750"/>
    <w:rsid w:val="00AF27E8"/>
    <w:rsid w:val="00AF2F83"/>
    <w:rsid w:val="00AF34E4"/>
    <w:rsid w:val="00AF359F"/>
    <w:rsid w:val="00AF373F"/>
    <w:rsid w:val="00AF3C5E"/>
    <w:rsid w:val="00AF3DA5"/>
    <w:rsid w:val="00AF4195"/>
    <w:rsid w:val="00AF47C8"/>
    <w:rsid w:val="00AF4DC8"/>
    <w:rsid w:val="00AF591C"/>
    <w:rsid w:val="00AF5D43"/>
    <w:rsid w:val="00AF5E2E"/>
    <w:rsid w:val="00AF64A7"/>
    <w:rsid w:val="00AF6656"/>
    <w:rsid w:val="00AF6A14"/>
    <w:rsid w:val="00AF7BE9"/>
    <w:rsid w:val="00AF7DA6"/>
    <w:rsid w:val="00AF7E31"/>
    <w:rsid w:val="00AF7FA2"/>
    <w:rsid w:val="00B0090C"/>
    <w:rsid w:val="00B009D5"/>
    <w:rsid w:val="00B00D57"/>
    <w:rsid w:val="00B00EAC"/>
    <w:rsid w:val="00B01E91"/>
    <w:rsid w:val="00B02212"/>
    <w:rsid w:val="00B02460"/>
    <w:rsid w:val="00B024E2"/>
    <w:rsid w:val="00B02748"/>
    <w:rsid w:val="00B02B97"/>
    <w:rsid w:val="00B02F23"/>
    <w:rsid w:val="00B02F78"/>
    <w:rsid w:val="00B0347C"/>
    <w:rsid w:val="00B03D61"/>
    <w:rsid w:val="00B0415A"/>
    <w:rsid w:val="00B0424A"/>
    <w:rsid w:val="00B045C9"/>
    <w:rsid w:val="00B045FE"/>
    <w:rsid w:val="00B04CEE"/>
    <w:rsid w:val="00B04DBB"/>
    <w:rsid w:val="00B05EDF"/>
    <w:rsid w:val="00B062BF"/>
    <w:rsid w:val="00B0644A"/>
    <w:rsid w:val="00B06806"/>
    <w:rsid w:val="00B06CC3"/>
    <w:rsid w:val="00B06D1A"/>
    <w:rsid w:val="00B075B6"/>
    <w:rsid w:val="00B07EE5"/>
    <w:rsid w:val="00B100B3"/>
    <w:rsid w:val="00B1029B"/>
    <w:rsid w:val="00B107B9"/>
    <w:rsid w:val="00B1091D"/>
    <w:rsid w:val="00B11A07"/>
    <w:rsid w:val="00B11A41"/>
    <w:rsid w:val="00B11FBB"/>
    <w:rsid w:val="00B12979"/>
    <w:rsid w:val="00B12B63"/>
    <w:rsid w:val="00B12DDB"/>
    <w:rsid w:val="00B14407"/>
    <w:rsid w:val="00B148C2"/>
    <w:rsid w:val="00B14D02"/>
    <w:rsid w:val="00B152BE"/>
    <w:rsid w:val="00B153A9"/>
    <w:rsid w:val="00B15530"/>
    <w:rsid w:val="00B15619"/>
    <w:rsid w:val="00B15D52"/>
    <w:rsid w:val="00B162BD"/>
    <w:rsid w:val="00B16959"/>
    <w:rsid w:val="00B16AA7"/>
    <w:rsid w:val="00B16BBD"/>
    <w:rsid w:val="00B16CD8"/>
    <w:rsid w:val="00B174A8"/>
    <w:rsid w:val="00B204F7"/>
    <w:rsid w:val="00B20C14"/>
    <w:rsid w:val="00B20FD0"/>
    <w:rsid w:val="00B215B0"/>
    <w:rsid w:val="00B21A75"/>
    <w:rsid w:val="00B21BAA"/>
    <w:rsid w:val="00B21C2A"/>
    <w:rsid w:val="00B21F4E"/>
    <w:rsid w:val="00B22B0D"/>
    <w:rsid w:val="00B22C54"/>
    <w:rsid w:val="00B23119"/>
    <w:rsid w:val="00B2364D"/>
    <w:rsid w:val="00B24A2C"/>
    <w:rsid w:val="00B24F1F"/>
    <w:rsid w:val="00B2527B"/>
    <w:rsid w:val="00B252DD"/>
    <w:rsid w:val="00B253D1"/>
    <w:rsid w:val="00B254DC"/>
    <w:rsid w:val="00B25717"/>
    <w:rsid w:val="00B25A25"/>
    <w:rsid w:val="00B25A50"/>
    <w:rsid w:val="00B25B46"/>
    <w:rsid w:val="00B25F7A"/>
    <w:rsid w:val="00B26126"/>
    <w:rsid w:val="00B26316"/>
    <w:rsid w:val="00B26348"/>
    <w:rsid w:val="00B264B6"/>
    <w:rsid w:val="00B267D5"/>
    <w:rsid w:val="00B27058"/>
    <w:rsid w:val="00B27605"/>
    <w:rsid w:val="00B27C6C"/>
    <w:rsid w:val="00B27F94"/>
    <w:rsid w:val="00B3063C"/>
    <w:rsid w:val="00B30673"/>
    <w:rsid w:val="00B315A8"/>
    <w:rsid w:val="00B319C0"/>
    <w:rsid w:val="00B31C34"/>
    <w:rsid w:val="00B31F2D"/>
    <w:rsid w:val="00B31FFE"/>
    <w:rsid w:val="00B32284"/>
    <w:rsid w:val="00B32C98"/>
    <w:rsid w:val="00B33838"/>
    <w:rsid w:val="00B33907"/>
    <w:rsid w:val="00B33B2C"/>
    <w:rsid w:val="00B33D5F"/>
    <w:rsid w:val="00B33E8D"/>
    <w:rsid w:val="00B346AC"/>
    <w:rsid w:val="00B346B5"/>
    <w:rsid w:val="00B3531C"/>
    <w:rsid w:val="00B359F7"/>
    <w:rsid w:val="00B35E02"/>
    <w:rsid w:val="00B35F55"/>
    <w:rsid w:val="00B36132"/>
    <w:rsid w:val="00B36355"/>
    <w:rsid w:val="00B365BD"/>
    <w:rsid w:val="00B369FD"/>
    <w:rsid w:val="00B37316"/>
    <w:rsid w:val="00B375AD"/>
    <w:rsid w:val="00B379FC"/>
    <w:rsid w:val="00B40061"/>
    <w:rsid w:val="00B400B2"/>
    <w:rsid w:val="00B40317"/>
    <w:rsid w:val="00B4068C"/>
    <w:rsid w:val="00B4115A"/>
    <w:rsid w:val="00B417A0"/>
    <w:rsid w:val="00B41C8B"/>
    <w:rsid w:val="00B42316"/>
    <w:rsid w:val="00B42B6F"/>
    <w:rsid w:val="00B42C15"/>
    <w:rsid w:val="00B430F4"/>
    <w:rsid w:val="00B434B6"/>
    <w:rsid w:val="00B437C5"/>
    <w:rsid w:val="00B43980"/>
    <w:rsid w:val="00B43E0C"/>
    <w:rsid w:val="00B43EAD"/>
    <w:rsid w:val="00B43FE6"/>
    <w:rsid w:val="00B4413B"/>
    <w:rsid w:val="00B442B9"/>
    <w:rsid w:val="00B449F5"/>
    <w:rsid w:val="00B44CC9"/>
    <w:rsid w:val="00B44F5C"/>
    <w:rsid w:val="00B45321"/>
    <w:rsid w:val="00B453E1"/>
    <w:rsid w:val="00B454C9"/>
    <w:rsid w:val="00B4599A"/>
    <w:rsid w:val="00B467DC"/>
    <w:rsid w:val="00B47700"/>
    <w:rsid w:val="00B47989"/>
    <w:rsid w:val="00B47B39"/>
    <w:rsid w:val="00B501AE"/>
    <w:rsid w:val="00B5046C"/>
    <w:rsid w:val="00B50985"/>
    <w:rsid w:val="00B50DBD"/>
    <w:rsid w:val="00B51319"/>
    <w:rsid w:val="00B516AF"/>
    <w:rsid w:val="00B51B56"/>
    <w:rsid w:val="00B51E98"/>
    <w:rsid w:val="00B522FE"/>
    <w:rsid w:val="00B529CA"/>
    <w:rsid w:val="00B52A98"/>
    <w:rsid w:val="00B535C0"/>
    <w:rsid w:val="00B53AC0"/>
    <w:rsid w:val="00B53E86"/>
    <w:rsid w:val="00B54038"/>
    <w:rsid w:val="00B54214"/>
    <w:rsid w:val="00B54488"/>
    <w:rsid w:val="00B54532"/>
    <w:rsid w:val="00B54FDA"/>
    <w:rsid w:val="00B55100"/>
    <w:rsid w:val="00B55689"/>
    <w:rsid w:val="00B557AE"/>
    <w:rsid w:val="00B55B26"/>
    <w:rsid w:val="00B55F89"/>
    <w:rsid w:val="00B56559"/>
    <w:rsid w:val="00B5661D"/>
    <w:rsid w:val="00B56768"/>
    <w:rsid w:val="00B5685C"/>
    <w:rsid w:val="00B56955"/>
    <w:rsid w:val="00B56B90"/>
    <w:rsid w:val="00B56C4F"/>
    <w:rsid w:val="00B56D7F"/>
    <w:rsid w:val="00B56E36"/>
    <w:rsid w:val="00B56E9F"/>
    <w:rsid w:val="00B56FD6"/>
    <w:rsid w:val="00B57B34"/>
    <w:rsid w:val="00B57D26"/>
    <w:rsid w:val="00B60E87"/>
    <w:rsid w:val="00B61328"/>
    <w:rsid w:val="00B6167D"/>
    <w:rsid w:val="00B6226D"/>
    <w:rsid w:val="00B6226E"/>
    <w:rsid w:val="00B62401"/>
    <w:rsid w:val="00B624D1"/>
    <w:rsid w:val="00B626F7"/>
    <w:rsid w:val="00B636D3"/>
    <w:rsid w:val="00B63CA0"/>
    <w:rsid w:val="00B64AE3"/>
    <w:rsid w:val="00B64D8F"/>
    <w:rsid w:val="00B651F8"/>
    <w:rsid w:val="00B652BC"/>
    <w:rsid w:val="00B66200"/>
    <w:rsid w:val="00B6637E"/>
    <w:rsid w:val="00B669D1"/>
    <w:rsid w:val="00B66F45"/>
    <w:rsid w:val="00B6725B"/>
    <w:rsid w:val="00B6729C"/>
    <w:rsid w:val="00B674FC"/>
    <w:rsid w:val="00B67903"/>
    <w:rsid w:val="00B67D75"/>
    <w:rsid w:val="00B67F12"/>
    <w:rsid w:val="00B701FD"/>
    <w:rsid w:val="00B70412"/>
    <w:rsid w:val="00B70A87"/>
    <w:rsid w:val="00B70DA4"/>
    <w:rsid w:val="00B715A5"/>
    <w:rsid w:val="00B715D6"/>
    <w:rsid w:val="00B7174D"/>
    <w:rsid w:val="00B72174"/>
    <w:rsid w:val="00B726A4"/>
    <w:rsid w:val="00B72C48"/>
    <w:rsid w:val="00B72FEA"/>
    <w:rsid w:val="00B73256"/>
    <w:rsid w:val="00B7352D"/>
    <w:rsid w:val="00B736C4"/>
    <w:rsid w:val="00B7378B"/>
    <w:rsid w:val="00B73BCC"/>
    <w:rsid w:val="00B73D72"/>
    <w:rsid w:val="00B741F7"/>
    <w:rsid w:val="00B74678"/>
    <w:rsid w:val="00B748FA"/>
    <w:rsid w:val="00B74BFB"/>
    <w:rsid w:val="00B74C45"/>
    <w:rsid w:val="00B750AC"/>
    <w:rsid w:val="00B7553B"/>
    <w:rsid w:val="00B756EE"/>
    <w:rsid w:val="00B75746"/>
    <w:rsid w:val="00B7575F"/>
    <w:rsid w:val="00B75760"/>
    <w:rsid w:val="00B75E0A"/>
    <w:rsid w:val="00B76229"/>
    <w:rsid w:val="00B76259"/>
    <w:rsid w:val="00B76447"/>
    <w:rsid w:val="00B764AC"/>
    <w:rsid w:val="00B76D70"/>
    <w:rsid w:val="00B76DE8"/>
    <w:rsid w:val="00B77A11"/>
    <w:rsid w:val="00B77BF3"/>
    <w:rsid w:val="00B77CBD"/>
    <w:rsid w:val="00B77CD2"/>
    <w:rsid w:val="00B77E39"/>
    <w:rsid w:val="00B80366"/>
    <w:rsid w:val="00B806CC"/>
    <w:rsid w:val="00B80F17"/>
    <w:rsid w:val="00B81825"/>
    <w:rsid w:val="00B825F5"/>
    <w:rsid w:val="00B8299C"/>
    <w:rsid w:val="00B82D91"/>
    <w:rsid w:val="00B83992"/>
    <w:rsid w:val="00B83A7E"/>
    <w:rsid w:val="00B84948"/>
    <w:rsid w:val="00B853AD"/>
    <w:rsid w:val="00B856F1"/>
    <w:rsid w:val="00B85AF3"/>
    <w:rsid w:val="00B865F7"/>
    <w:rsid w:val="00B867A1"/>
    <w:rsid w:val="00B86ECB"/>
    <w:rsid w:val="00B874AC"/>
    <w:rsid w:val="00B87832"/>
    <w:rsid w:val="00B878AB"/>
    <w:rsid w:val="00B878C8"/>
    <w:rsid w:val="00B87DFE"/>
    <w:rsid w:val="00B901A4"/>
    <w:rsid w:val="00B90210"/>
    <w:rsid w:val="00B9027B"/>
    <w:rsid w:val="00B9074B"/>
    <w:rsid w:val="00B907B6"/>
    <w:rsid w:val="00B90881"/>
    <w:rsid w:val="00B91153"/>
    <w:rsid w:val="00B91652"/>
    <w:rsid w:val="00B9228A"/>
    <w:rsid w:val="00B92BB7"/>
    <w:rsid w:val="00B92C02"/>
    <w:rsid w:val="00B933DD"/>
    <w:rsid w:val="00B93417"/>
    <w:rsid w:val="00B935C8"/>
    <w:rsid w:val="00B938A9"/>
    <w:rsid w:val="00B940C1"/>
    <w:rsid w:val="00B9436D"/>
    <w:rsid w:val="00B94D97"/>
    <w:rsid w:val="00B94E84"/>
    <w:rsid w:val="00B951F4"/>
    <w:rsid w:val="00B95490"/>
    <w:rsid w:val="00B959F1"/>
    <w:rsid w:val="00B95D5F"/>
    <w:rsid w:val="00B96314"/>
    <w:rsid w:val="00B968A0"/>
    <w:rsid w:val="00B96DA1"/>
    <w:rsid w:val="00B9706D"/>
    <w:rsid w:val="00B977C3"/>
    <w:rsid w:val="00BA0214"/>
    <w:rsid w:val="00BA0999"/>
    <w:rsid w:val="00BA0BD3"/>
    <w:rsid w:val="00BA0C24"/>
    <w:rsid w:val="00BA10C2"/>
    <w:rsid w:val="00BA17B5"/>
    <w:rsid w:val="00BA21FF"/>
    <w:rsid w:val="00BA2D1D"/>
    <w:rsid w:val="00BA2D57"/>
    <w:rsid w:val="00BA2FBE"/>
    <w:rsid w:val="00BA326D"/>
    <w:rsid w:val="00BA33DE"/>
    <w:rsid w:val="00BA3664"/>
    <w:rsid w:val="00BA370B"/>
    <w:rsid w:val="00BA390B"/>
    <w:rsid w:val="00BA3AF2"/>
    <w:rsid w:val="00BA4149"/>
    <w:rsid w:val="00BA421E"/>
    <w:rsid w:val="00BA4323"/>
    <w:rsid w:val="00BA4428"/>
    <w:rsid w:val="00BA443D"/>
    <w:rsid w:val="00BA46E4"/>
    <w:rsid w:val="00BA486A"/>
    <w:rsid w:val="00BA4C45"/>
    <w:rsid w:val="00BA4C9B"/>
    <w:rsid w:val="00BA5142"/>
    <w:rsid w:val="00BA5359"/>
    <w:rsid w:val="00BA5941"/>
    <w:rsid w:val="00BA64D5"/>
    <w:rsid w:val="00BA6A10"/>
    <w:rsid w:val="00BA6CC8"/>
    <w:rsid w:val="00BA6F94"/>
    <w:rsid w:val="00BA7009"/>
    <w:rsid w:val="00BA7742"/>
    <w:rsid w:val="00BA77BB"/>
    <w:rsid w:val="00BA788E"/>
    <w:rsid w:val="00BB0831"/>
    <w:rsid w:val="00BB099A"/>
    <w:rsid w:val="00BB0C68"/>
    <w:rsid w:val="00BB105D"/>
    <w:rsid w:val="00BB167F"/>
    <w:rsid w:val="00BB1859"/>
    <w:rsid w:val="00BB1866"/>
    <w:rsid w:val="00BB18D5"/>
    <w:rsid w:val="00BB2212"/>
    <w:rsid w:val="00BB2348"/>
    <w:rsid w:val="00BB2A1A"/>
    <w:rsid w:val="00BB3246"/>
    <w:rsid w:val="00BB3476"/>
    <w:rsid w:val="00BB352C"/>
    <w:rsid w:val="00BB37A3"/>
    <w:rsid w:val="00BB391C"/>
    <w:rsid w:val="00BB3A3E"/>
    <w:rsid w:val="00BB3D7A"/>
    <w:rsid w:val="00BB4358"/>
    <w:rsid w:val="00BB473C"/>
    <w:rsid w:val="00BB4CAB"/>
    <w:rsid w:val="00BB57F7"/>
    <w:rsid w:val="00BB5C98"/>
    <w:rsid w:val="00BB5D38"/>
    <w:rsid w:val="00BB5D69"/>
    <w:rsid w:val="00BB63D7"/>
    <w:rsid w:val="00BB64CF"/>
    <w:rsid w:val="00BB7299"/>
    <w:rsid w:val="00BB72A5"/>
    <w:rsid w:val="00BB7E86"/>
    <w:rsid w:val="00BB7EC0"/>
    <w:rsid w:val="00BC097A"/>
    <w:rsid w:val="00BC0C43"/>
    <w:rsid w:val="00BC1090"/>
    <w:rsid w:val="00BC10E9"/>
    <w:rsid w:val="00BC1198"/>
    <w:rsid w:val="00BC1324"/>
    <w:rsid w:val="00BC1367"/>
    <w:rsid w:val="00BC14B1"/>
    <w:rsid w:val="00BC170D"/>
    <w:rsid w:val="00BC174F"/>
    <w:rsid w:val="00BC182A"/>
    <w:rsid w:val="00BC22C6"/>
    <w:rsid w:val="00BC278F"/>
    <w:rsid w:val="00BC3057"/>
    <w:rsid w:val="00BC376B"/>
    <w:rsid w:val="00BC4241"/>
    <w:rsid w:val="00BC4360"/>
    <w:rsid w:val="00BC44A6"/>
    <w:rsid w:val="00BC46F6"/>
    <w:rsid w:val="00BC4B81"/>
    <w:rsid w:val="00BC4F19"/>
    <w:rsid w:val="00BC5910"/>
    <w:rsid w:val="00BC6279"/>
    <w:rsid w:val="00BC652E"/>
    <w:rsid w:val="00BC66FC"/>
    <w:rsid w:val="00BC67E0"/>
    <w:rsid w:val="00BC6D80"/>
    <w:rsid w:val="00BC70B4"/>
    <w:rsid w:val="00BC769E"/>
    <w:rsid w:val="00BC7DD6"/>
    <w:rsid w:val="00BD053D"/>
    <w:rsid w:val="00BD06FE"/>
    <w:rsid w:val="00BD074B"/>
    <w:rsid w:val="00BD100D"/>
    <w:rsid w:val="00BD1616"/>
    <w:rsid w:val="00BD1AA6"/>
    <w:rsid w:val="00BD1D31"/>
    <w:rsid w:val="00BD1DAC"/>
    <w:rsid w:val="00BD206A"/>
    <w:rsid w:val="00BD2B03"/>
    <w:rsid w:val="00BD2C6C"/>
    <w:rsid w:val="00BD3144"/>
    <w:rsid w:val="00BD322A"/>
    <w:rsid w:val="00BD3431"/>
    <w:rsid w:val="00BD36EE"/>
    <w:rsid w:val="00BD374B"/>
    <w:rsid w:val="00BD375D"/>
    <w:rsid w:val="00BD3FE5"/>
    <w:rsid w:val="00BD4112"/>
    <w:rsid w:val="00BD426D"/>
    <w:rsid w:val="00BD43FC"/>
    <w:rsid w:val="00BD444C"/>
    <w:rsid w:val="00BD44B1"/>
    <w:rsid w:val="00BD4A54"/>
    <w:rsid w:val="00BD4CF0"/>
    <w:rsid w:val="00BD4E86"/>
    <w:rsid w:val="00BD526A"/>
    <w:rsid w:val="00BD5749"/>
    <w:rsid w:val="00BD5F7F"/>
    <w:rsid w:val="00BD6232"/>
    <w:rsid w:val="00BD667E"/>
    <w:rsid w:val="00BD6A70"/>
    <w:rsid w:val="00BD6D6D"/>
    <w:rsid w:val="00BD6E3F"/>
    <w:rsid w:val="00BD7972"/>
    <w:rsid w:val="00BE001A"/>
    <w:rsid w:val="00BE0A0E"/>
    <w:rsid w:val="00BE0DF4"/>
    <w:rsid w:val="00BE1205"/>
    <w:rsid w:val="00BE12D4"/>
    <w:rsid w:val="00BE1310"/>
    <w:rsid w:val="00BE1C9F"/>
    <w:rsid w:val="00BE1E41"/>
    <w:rsid w:val="00BE2252"/>
    <w:rsid w:val="00BE28A6"/>
    <w:rsid w:val="00BE2DA7"/>
    <w:rsid w:val="00BE2FA1"/>
    <w:rsid w:val="00BE3110"/>
    <w:rsid w:val="00BE33EA"/>
    <w:rsid w:val="00BE344F"/>
    <w:rsid w:val="00BE3DE2"/>
    <w:rsid w:val="00BE5694"/>
    <w:rsid w:val="00BE6396"/>
    <w:rsid w:val="00BE6402"/>
    <w:rsid w:val="00BE652C"/>
    <w:rsid w:val="00BE6638"/>
    <w:rsid w:val="00BE680D"/>
    <w:rsid w:val="00BE75D3"/>
    <w:rsid w:val="00BE7D13"/>
    <w:rsid w:val="00BF0351"/>
    <w:rsid w:val="00BF0367"/>
    <w:rsid w:val="00BF0474"/>
    <w:rsid w:val="00BF07FA"/>
    <w:rsid w:val="00BF1461"/>
    <w:rsid w:val="00BF1576"/>
    <w:rsid w:val="00BF1CA0"/>
    <w:rsid w:val="00BF1F5E"/>
    <w:rsid w:val="00BF2054"/>
    <w:rsid w:val="00BF25C7"/>
    <w:rsid w:val="00BF34A9"/>
    <w:rsid w:val="00BF3652"/>
    <w:rsid w:val="00BF3C84"/>
    <w:rsid w:val="00BF49DE"/>
    <w:rsid w:val="00BF4F0F"/>
    <w:rsid w:val="00BF5600"/>
    <w:rsid w:val="00BF598B"/>
    <w:rsid w:val="00BF5EB1"/>
    <w:rsid w:val="00BF6444"/>
    <w:rsid w:val="00BF69D8"/>
    <w:rsid w:val="00BF6AA3"/>
    <w:rsid w:val="00BF6F3B"/>
    <w:rsid w:val="00BF7339"/>
    <w:rsid w:val="00BF76B0"/>
    <w:rsid w:val="00BF7A12"/>
    <w:rsid w:val="00BF7C3B"/>
    <w:rsid w:val="00C000A4"/>
    <w:rsid w:val="00C00125"/>
    <w:rsid w:val="00C007E3"/>
    <w:rsid w:val="00C00926"/>
    <w:rsid w:val="00C00B5F"/>
    <w:rsid w:val="00C00E3E"/>
    <w:rsid w:val="00C00F1F"/>
    <w:rsid w:val="00C01785"/>
    <w:rsid w:val="00C02198"/>
    <w:rsid w:val="00C022E0"/>
    <w:rsid w:val="00C0287D"/>
    <w:rsid w:val="00C02D25"/>
    <w:rsid w:val="00C03431"/>
    <w:rsid w:val="00C03490"/>
    <w:rsid w:val="00C0359D"/>
    <w:rsid w:val="00C035D6"/>
    <w:rsid w:val="00C0393B"/>
    <w:rsid w:val="00C03AFE"/>
    <w:rsid w:val="00C03F57"/>
    <w:rsid w:val="00C0410E"/>
    <w:rsid w:val="00C0450E"/>
    <w:rsid w:val="00C051C3"/>
    <w:rsid w:val="00C0542D"/>
    <w:rsid w:val="00C0574B"/>
    <w:rsid w:val="00C05E7B"/>
    <w:rsid w:val="00C06391"/>
    <w:rsid w:val="00C06557"/>
    <w:rsid w:val="00C06C34"/>
    <w:rsid w:val="00C06CD3"/>
    <w:rsid w:val="00C06D1D"/>
    <w:rsid w:val="00C06D1E"/>
    <w:rsid w:val="00C06E87"/>
    <w:rsid w:val="00C07085"/>
    <w:rsid w:val="00C077EB"/>
    <w:rsid w:val="00C07831"/>
    <w:rsid w:val="00C07956"/>
    <w:rsid w:val="00C07B9A"/>
    <w:rsid w:val="00C10A32"/>
    <w:rsid w:val="00C10ADC"/>
    <w:rsid w:val="00C11585"/>
    <w:rsid w:val="00C116D8"/>
    <w:rsid w:val="00C11772"/>
    <w:rsid w:val="00C1180B"/>
    <w:rsid w:val="00C11A51"/>
    <w:rsid w:val="00C123F8"/>
    <w:rsid w:val="00C12E66"/>
    <w:rsid w:val="00C1319A"/>
    <w:rsid w:val="00C137AF"/>
    <w:rsid w:val="00C13874"/>
    <w:rsid w:val="00C13EEE"/>
    <w:rsid w:val="00C142AA"/>
    <w:rsid w:val="00C143AD"/>
    <w:rsid w:val="00C1468E"/>
    <w:rsid w:val="00C14A5F"/>
    <w:rsid w:val="00C15688"/>
    <w:rsid w:val="00C15C84"/>
    <w:rsid w:val="00C15F25"/>
    <w:rsid w:val="00C15F3F"/>
    <w:rsid w:val="00C1623F"/>
    <w:rsid w:val="00C163B6"/>
    <w:rsid w:val="00C16508"/>
    <w:rsid w:val="00C169A3"/>
    <w:rsid w:val="00C16E3E"/>
    <w:rsid w:val="00C1767C"/>
    <w:rsid w:val="00C17CC7"/>
    <w:rsid w:val="00C203F6"/>
    <w:rsid w:val="00C20612"/>
    <w:rsid w:val="00C20743"/>
    <w:rsid w:val="00C20A66"/>
    <w:rsid w:val="00C20AEA"/>
    <w:rsid w:val="00C20B0B"/>
    <w:rsid w:val="00C214F6"/>
    <w:rsid w:val="00C216D5"/>
    <w:rsid w:val="00C21A0A"/>
    <w:rsid w:val="00C21A8C"/>
    <w:rsid w:val="00C221B8"/>
    <w:rsid w:val="00C223AD"/>
    <w:rsid w:val="00C22941"/>
    <w:rsid w:val="00C22AFF"/>
    <w:rsid w:val="00C22BDC"/>
    <w:rsid w:val="00C22E0C"/>
    <w:rsid w:val="00C22FD1"/>
    <w:rsid w:val="00C23214"/>
    <w:rsid w:val="00C2333F"/>
    <w:rsid w:val="00C23491"/>
    <w:rsid w:val="00C23741"/>
    <w:rsid w:val="00C2381B"/>
    <w:rsid w:val="00C23D95"/>
    <w:rsid w:val="00C23E60"/>
    <w:rsid w:val="00C23EB3"/>
    <w:rsid w:val="00C23F28"/>
    <w:rsid w:val="00C23F4E"/>
    <w:rsid w:val="00C23FFD"/>
    <w:rsid w:val="00C24670"/>
    <w:rsid w:val="00C24CC6"/>
    <w:rsid w:val="00C25219"/>
    <w:rsid w:val="00C258B0"/>
    <w:rsid w:val="00C25B67"/>
    <w:rsid w:val="00C25BF1"/>
    <w:rsid w:val="00C25C96"/>
    <w:rsid w:val="00C25FB7"/>
    <w:rsid w:val="00C26166"/>
    <w:rsid w:val="00C2633C"/>
    <w:rsid w:val="00C265A6"/>
    <w:rsid w:val="00C265C2"/>
    <w:rsid w:val="00C269A7"/>
    <w:rsid w:val="00C279E5"/>
    <w:rsid w:val="00C27D99"/>
    <w:rsid w:val="00C304A8"/>
    <w:rsid w:val="00C30524"/>
    <w:rsid w:val="00C30602"/>
    <w:rsid w:val="00C30B5A"/>
    <w:rsid w:val="00C30F5C"/>
    <w:rsid w:val="00C313DC"/>
    <w:rsid w:val="00C317FC"/>
    <w:rsid w:val="00C31CBE"/>
    <w:rsid w:val="00C31EF9"/>
    <w:rsid w:val="00C32670"/>
    <w:rsid w:val="00C328BA"/>
    <w:rsid w:val="00C3301E"/>
    <w:rsid w:val="00C330AC"/>
    <w:rsid w:val="00C33DFE"/>
    <w:rsid w:val="00C3414E"/>
    <w:rsid w:val="00C342FE"/>
    <w:rsid w:val="00C34871"/>
    <w:rsid w:val="00C3497A"/>
    <w:rsid w:val="00C3509D"/>
    <w:rsid w:val="00C35989"/>
    <w:rsid w:val="00C35A63"/>
    <w:rsid w:val="00C35A70"/>
    <w:rsid w:val="00C360A4"/>
    <w:rsid w:val="00C362BD"/>
    <w:rsid w:val="00C3651A"/>
    <w:rsid w:val="00C36ADB"/>
    <w:rsid w:val="00C3730B"/>
    <w:rsid w:val="00C403FB"/>
    <w:rsid w:val="00C40B42"/>
    <w:rsid w:val="00C40C9A"/>
    <w:rsid w:val="00C415AA"/>
    <w:rsid w:val="00C41D10"/>
    <w:rsid w:val="00C41EBD"/>
    <w:rsid w:val="00C4203F"/>
    <w:rsid w:val="00C42DE7"/>
    <w:rsid w:val="00C43590"/>
    <w:rsid w:val="00C43761"/>
    <w:rsid w:val="00C43B99"/>
    <w:rsid w:val="00C443DB"/>
    <w:rsid w:val="00C44723"/>
    <w:rsid w:val="00C449DA"/>
    <w:rsid w:val="00C45529"/>
    <w:rsid w:val="00C455C5"/>
    <w:rsid w:val="00C46688"/>
    <w:rsid w:val="00C46A09"/>
    <w:rsid w:val="00C46AA3"/>
    <w:rsid w:val="00C46B77"/>
    <w:rsid w:val="00C46F6B"/>
    <w:rsid w:val="00C46FEB"/>
    <w:rsid w:val="00C474A5"/>
    <w:rsid w:val="00C4767B"/>
    <w:rsid w:val="00C4775E"/>
    <w:rsid w:val="00C4792F"/>
    <w:rsid w:val="00C50931"/>
    <w:rsid w:val="00C50B20"/>
    <w:rsid w:val="00C52066"/>
    <w:rsid w:val="00C52076"/>
    <w:rsid w:val="00C5254F"/>
    <w:rsid w:val="00C528E8"/>
    <w:rsid w:val="00C52E3B"/>
    <w:rsid w:val="00C536E6"/>
    <w:rsid w:val="00C538C1"/>
    <w:rsid w:val="00C53A2E"/>
    <w:rsid w:val="00C53D2C"/>
    <w:rsid w:val="00C53E95"/>
    <w:rsid w:val="00C54267"/>
    <w:rsid w:val="00C54411"/>
    <w:rsid w:val="00C545FF"/>
    <w:rsid w:val="00C54A0C"/>
    <w:rsid w:val="00C54AB7"/>
    <w:rsid w:val="00C54E93"/>
    <w:rsid w:val="00C562EC"/>
    <w:rsid w:val="00C5643B"/>
    <w:rsid w:val="00C56A3A"/>
    <w:rsid w:val="00C56B93"/>
    <w:rsid w:val="00C56F9B"/>
    <w:rsid w:val="00C57205"/>
    <w:rsid w:val="00C57754"/>
    <w:rsid w:val="00C577E3"/>
    <w:rsid w:val="00C57AB0"/>
    <w:rsid w:val="00C57B54"/>
    <w:rsid w:val="00C60332"/>
    <w:rsid w:val="00C6093F"/>
    <w:rsid w:val="00C609EE"/>
    <w:rsid w:val="00C6101B"/>
    <w:rsid w:val="00C61363"/>
    <w:rsid w:val="00C616A9"/>
    <w:rsid w:val="00C622AE"/>
    <w:rsid w:val="00C62859"/>
    <w:rsid w:val="00C62B3B"/>
    <w:rsid w:val="00C62F65"/>
    <w:rsid w:val="00C63221"/>
    <w:rsid w:val="00C637FE"/>
    <w:rsid w:val="00C63C15"/>
    <w:rsid w:val="00C64049"/>
    <w:rsid w:val="00C641B8"/>
    <w:rsid w:val="00C64326"/>
    <w:rsid w:val="00C64AB5"/>
    <w:rsid w:val="00C64B0E"/>
    <w:rsid w:val="00C64C13"/>
    <w:rsid w:val="00C654E8"/>
    <w:rsid w:val="00C6585C"/>
    <w:rsid w:val="00C65900"/>
    <w:rsid w:val="00C65EF9"/>
    <w:rsid w:val="00C66121"/>
    <w:rsid w:val="00C66890"/>
    <w:rsid w:val="00C66F95"/>
    <w:rsid w:val="00C67418"/>
    <w:rsid w:val="00C70084"/>
    <w:rsid w:val="00C70998"/>
    <w:rsid w:val="00C70CC8"/>
    <w:rsid w:val="00C70FFA"/>
    <w:rsid w:val="00C71412"/>
    <w:rsid w:val="00C71466"/>
    <w:rsid w:val="00C71918"/>
    <w:rsid w:val="00C71946"/>
    <w:rsid w:val="00C71A8D"/>
    <w:rsid w:val="00C71B7C"/>
    <w:rsid w:val="00C71ED2"/>
    <w:rsid w:val="00C7241B"/>
    <w:rsid w:val="00C727FA"/>
    <w:rsid w:val="00C73327"/>
    <w:rsid w:val="00C733AD"/>
    <w:rsid w:val="00C7364C"/>
    <w:rsid w:val="00C7377A"/>
    <w:rsid w:val="00C7385F"/>
    <w:rsid w:val="00C73B8F"/>
    <w:rsid w:val="00C7405A"/>
    <w:rsid w:val="00C74627"/>
    <w:rsid w:val="00C7484E"/>
    <w:rsid w:val="00C74A0B"/>
    <w:rsid w:val="00C74A84"/>
    <w:rsid w:val="00C755D1"/>
    <w:rsid w:val="00C7578B"/>
    <w:rsid w:val="00C75989"/>
    <w:rsid w:val="00C75D79"/>
    <w:rsid w:val="00C75E56"/>
    <w:rsid w:val="00C7641B"/>
    <w:rsid w:val="00C7751D"/>
    <w:rsid w:val="00C77A85"/>
    <w:rsid w:val="00C77EA5"/>
    <w:rsid w:val="00C77F83"/>
    <w:rsid w:val="00C80462"/>
    <w:rsid w:val="00C80EE5"/>
    <w:rsid w:val="00C80FB4"/>
    <w:rsid w:val="00C8164F"/>
    <w:rsid w:val="00C81BF3"/>
    <w:rsid w:val="00C82305"/>
    <w:rsid w:val="00C8241B"/>
    <w:rsid w:val="00C83634"/>
    <w:rsid w:val="00C83916"/>
    <w:rsid w:val="00C83FC9"/>
    <w:rsid w:val="00C8486C"/>
    <w:rsid w:val="00C84B7A"/>
    <w:rsid w:val="00C84DE6"/>
    <w:rsid w:val="00C85457"/>
    <w:rsid w:val="00C85977"/>
    <w:rsid w:val="00C85B20"/>
    <w:rsid w:val="00C86448"/>
    <w:rsid w:val="00C868F4"/>
    <w:rsid w:val="00C86A67"/>
    <w:rsid w:val="00C86A84"/>
    <w:rsid w:val="00C87BB6"/>
    <w:rsid w:val="00C87C4C"/>
    <w:rsid w:val="00C90056"/>
    <w:rsid w:val="00C907E8"/>
    <w:rsid w:val="00C90E0F"/>
    <w:rsid w:val="00C90F84"/>
    <w:rsid w:val="00C91EE4"/>
    <w:rsid w:val="00C92CBE"/>
    <w:rsid w:val="00C93125"/>
    <w:rsid w:val="00C9327A"/>
    <w:rsid w:val="00C933B7"/>
    <w:rsid w:val="00C935B1"/>
    <w:rsid w:val="00C94181"/>
    <w:rsid w:val="00C9539C"/>
    <w:rsid w:val="00C9576C"/>
    <w:rsid w:val="00C95ABA"/>
    <w:rsid w:val="00C95C35"/>
    <w:rsid w:val="00C95CE9"/>
    <w:rsid w:val="00C95E60"/>
    <w:rsid w:val="00C9647D"/>
    <w:rsid w:val="00C96A39"/>
    <w:rsid w:val="00C9700A"/>
    <w:rsid w:val="00C97041"/>
    <w:rsid w:val="00C97280"/>
    <w:rsid w:val="00C97A8A"/>
    <w:rsid w:val="00CA068F"/>
    <w:rsid w:val="00CA0C74"/>
    <w:rsid w:val="00CA0FD3"/>
    <w:rsid w:val="00CA142F"/>
    <w:rsid w:val="00CA16B3"/>
    <w:rsid w:val="00CA19CF"/>
    <w:rsid w:val="00CA1B5A"/>
    <w:rsid w:val="00CA206A"/>
    <w:rsid w:val="00CA246A"/>
    <w:rsid w:val="00CA2A16"/>
    <w:rsid w:val="00CA307B"/>
    <w:rsid w:val="00CA3202"/>
    <w:rsid w:val="00CA33AE"/>
    <w:rsid w:val="00CA3B1E"/>
    <w:rsid w:val="00CA3BD6"/>
    <w:rsid w:val="00CA3E79"/>
    <w:rsid w:val="00CA42D4"/>
    <w:rsid w:val="00CA436E"/>
    <w:rsid w:val="00CA4462"/>
    <w:rsid w:val="00CA5914"/>
    <w:rsid w:val="00CA5F48"/>
    <w:rsid w:val="00CA6324"/>
    <w:rsid w:val="00CA65D8"/>
    <w:rsid w:val="00CA6621"/>
    <w:rsid w:val="00CA6C1F"/>
    <w:rsid w:val="00CA700F"/>
    <w:rsid w:val="00CB09CC"/>
    <w:rsid w:val="00CB0A3D"/>
    <w:rsid w:val="00CB0C79"/>
    <w:rsid w:val="00CB0C99"/>
    <w:rsid w:val="00CB0DC7"/>
    <w:rsid w:val="00CB1183"/>
    <w:rsid w:val="00CB1AB4"/>
    <w:rsid w:val="00CB2245"/>
    <w:rsid w:val="00CB29FD"/>
    <w:rsid w:val="00CB30D7"/>
    <w:rsid w:val="00CB320E"/>
    <w:rsid w:val="00CB331B"/>
    <w:rsid w:val="00CB394E"/>
    <w:rsid w:val="00CB3D6B"/>
    <w:rsid w:val="00CB4DAA"/>
    <w:rsid w:val="00CB5667"/>
    <w:rsid w:val="00CB56B2"/>
    <w:rsid w:val="00CB62AF"/>
    <w:rsid w:val="00CB6309"/>
    <w:rsid w:val="00CB660A"/>
    <w:rsid w:val="00CB6BAA"/>
    <w:rsid w:val="00CB7242"/>
    <w:rsid w:val="00CB75C2"/>
    <w:rsid w:val="00CB76A5"/>
    <w:rsid w:val="00CB790A"/>
    <w:rsid w:val="00CB79A7"/>
    <w:rsid w:val="00CC0CE9"/>
    <w:rsid w:val="00CC1FAC"/>
    <w:rsid w:val="00CC20A9"/>
    <w:rsid w:val="00CC27C6"/>
    <w:rsid w:val="00CC27D9"/>
    <w:rsid w:val="00CC2C2E"/>
    <w:rsid w:val="00CC2D53"/>
    <w:rsid w:val="00CC2D77"/>
    <w:rsid w:val="00CC2EB3"/>
    <w:rsid w:val="00CC3569"/>
    <w:rsid w:val="00CC36E0"/>
    <w:rsid w:val="00CC3929"/>
    <w:rsid w:val="00CC398B"/>
    <w:rsid w:val="00CC3B98"/>
    <w:rsid w:val="00CC427F"/>
    <w:rsid w:val="00CC444E"/>
    <w:rsid w:val="00CC45B0"/>
    <w:rsid w:val="00CC4681"/>
    <w:rsid w:val="00CC470A"/>
    <w:rsid w:val="00CC47D1"/>
    <w:rsid w:val="00CC522B"/>
    <w:rsid w:val="00CC55CF"/>
    <w:rsid w:val="00CC5D24"/>
    <w:rsid w:val="00CC6088"/>
    <w:rsid w:val="00CC6AF4"/>
    <w:rsid w:val="00CC6B20"/>
    <w:rsid w:val="00CC6B51"/>
    <w:rsid w:val="00CC6C2A"/>
    <w:rsid w:val="00CC6F60"/>
    <w:rsid w:val="00CC77EC"/>
    <w:rsid w:val="00CC7807"/>
    <w:rsid w:val="00CC79B2"/>
    <w:rsid w:val="00CD0577"/>
    <w:rsid w:val="00CD0E6B"/>
    <w:rsid w:val="00CD1711"/>
    <w:rsid w:val="00CD17F7"/>
    <w:rsid w:val="00CD1C9B"/>
    <w:rsid w:val="00CD1D13"/>
    <w:rsid w:val="00CD207F"/>
    <w:rsid w:val="00CD23B2"/>
    <w:rsid w:val="00CD2734"/>
    <w:rsid w:val="00CD331F"/>
    <w:rsid w:val="00CD3354"/>
    <w:rsid w:val="00CD3601"/>
    <w:rsid w:val="00CD39C3"/>
    <w:rsid w:val="00CD3D66"/>
    <w:rsid w:val="00CD3E27"/>
    <w:rsid w:val="00CD6CA8"/>
    <w:rsid w:val="00CD79D5"/>
    <w:rsid w:val="00CD7CEA"/>
    <w:rsid w:val="00CE0419"/>
    <w:rsid w:val="00CE05CF"/>
    <w:rsid w:val="00CE078C"/>
    <w:rsid w:val="00CE084C"/>
    <w:rsid w:val="00CE12CD"/>
    <w:rsid w:val="00CE1E52"/>
    <w:rsid w:val="00CE25CB"/>
    <w:rsid w:val="00CE2752"/>
    <w:rsid w:val="00CE2997"/>
    <w:rsid w:val="00CE2B4F"/>
    <w:rsid w:val="00CE2BF0"/>
    <w:rsid w:val="00CE2EA8"/>
    <w:rsid w:val="00CE313F"/>
    <w:rsid w:val="00CE350E"/>
    <w:rsid w:val="00CE3D26"/>
    <w:rsid w:val="00CE4515"/>
    <w:rsid w:val="00CE4CCF"/>
    <w:rsid w:val="00CE53AD"/>
    <w:rsid w:val="00CE55FA"/>
    <w:rsid w:val="00CE5D37"/>
    <w:rsid w:val="00CE5F39"/>
    <w:rsid w:val="00CE5F6D"/>
    <w:rsid w:val="00CE62B4"/>
    <w:rsid w:val="00CE62F1"/>
    <w:rsid w:val="00CE6B37"/>
    <w:rsid w:val="00CE6BC0"/>
    <w:rsid w:val="00CE6F32"/>
    <w:rsid w:val="00CE766E"/>
    <w:rsid w:val="00CE7BAA"/>
    <w:rsid w:val="00CE7D38"/>
    <w:rsid w:val="00CF01E0"/>
    <w:rsid w:val="00CF028D"/>
    <w:rsid w:val="00CF037F"/>
    <w:rsid w:val="00CF1100"/>
    <w:rsid w:val="00CF129E"/>
    <w:rsid w:val="00CF228E"/>
    <w:rsid w:val="00CF27DD"/>
    <w:rsid w:val="00CF2861"/>
    <w:rsid w:val="00CF2D24"/>
    <w:rsid w:val="00CF2F08"/>
    <w:rsid w:val="00CF35F2"/>
    <w:rsid w:val="00CF39D1"/>
    <w:rsid w:val="00CF3BD3"/>
    <w:rsid w:val="00CF3E24"/>
    <w:rsid w:val="00CF4FC6"/>
    <w:rsid w:val="00CF5430"/>
    <w:rsid w:val="00CF5718"/>
    <w:rsid w:val="00CF5AF0"/>
    <w:rsid w:val="00CF5D75"/>
    <w:rsid w:val="00CF5D7F"/>
    <w:rsid w:val="00CF61EF"/>
    <w:rsid w:val="00CF632B"/>
    <w:rsid w:val="00CF64BB"/>
    <w:rsid w:val="00CF6914"/>
    <w:rsid w:val="00CF6AC0"/>
    <w:rsid w:val="00CF7286"/>
    <w:rsid w:val="00CF7BF8"/>
    <w:rsid w:val="00D0026F"/>
    <w:rsid w:val="00D00794"/>
    <w:rsid w:val="00D00987"/>
    <w:rsid w:val="00D011D7"/>
    <w:rsid w:val="00D0132D"/>
    <w:rsid w:val="00D01424"/>
    <w:rsid w:val="00D01543"/>
    <w:rsid w:val="00D018AB"/>
    <w:rsid w:val="00D01BCA"/>
    <w:rsid w:val="00D0212B"/>
    <w:rsid w:val="00D02822"/>
    <w:rsid w:val="00D02CE7"/>
    <w:rsid w:val="00D032C6"/>
    <w:rsid w:val="00D0383F"/>
    <w:rsid w:val="00D03BE1"/>
    <w:rsid w:val="00D0418A"/>
    <w:rsid w:val="00D0470B"/>
    <w:rsid w:val="00D04AC8"/>
    <w:rsid w:val="00D0556F"/>
    <w:rsid w:val="00D05DFD"/>
    <w:rsid w:val="00D06DB5"/>
    <w:rsid w:val="00D07CB3"/>
    <w:rsid w:val="00D07FEB"/>
    <w:rsid w:val="00D10193"/>
    <w:rsid w:val="00D10417"/>
    <w:rsid w:val="00D1079A"/>
    <w:rsid w:val="00D10C04"/>
    <w:rsid w:val="00D10CF7"/>
    <w:rsid w:val="00D110BF"/>
    <w:rsid w:val="00D110D5"/>
    <w:rsid w:val="00D11555"/>
    <w:rsid w:val="00D12275"/>
    <w:rsid w:val="00D1269E"/>
    <w:rsid w:val="00D12E81"/>
    <w:rsid w:val="00D12F2A"/>
    <w:rsid w:val="00D13839"/>
    <w:rsid w:val="00D140A4"/>
    <w:rsid w:val="00D143E0"/>
    <w:rsid w:val="00D14F80"/>
    <w:rsid w:val="00D15492"/>
    <w:rsid w:val="00D160F3"/>
    <w:rsid w:val="00D164B8"/>
    <w:rsid w:val="00D16695"/>
    <w:rsid w:val="00D16E9C"/>
    <w:rsid w:val="00D16F76"/>
    <w:rsid w:val="00D17554"/>
    <w:rsid w:val="00D17F2C"/>
    <w:rsid w:val="00D20071"/>
    <w:rsid w:val="00D20466"/>
    <w:rsid w:val="00D206CB"/>
    <w:rsid w:val="00D208E4"/>
    <w:rsid w:val="00D2090A"/>
    <w:rsid w:val="00D20DB4"/>
    <w:rsid w:val="00D212F4"/>
    <w:rsid w:val="00D21420"/>
    <w:rsid w:val="00D21542"/>
    <w:rsid w:val="00D215C7"/>
    <w:rsid w:val="00D21635"/>
    <w:rsid w:val="00D2173B"/>
    <w:rsid w:val="00D21B07"/>
    <w:rsid w:val="00D21B96"/>
    <w:rsid w:val="00D22C3D"/>
    <w:rsid w:val="00D22FB1"/>
    <w:rsid w:val="00D23612"/>
    <w:rsid w:val="00D237E1"/>
    <w:rsid w:val="00D2384F"/>
    <w:rsid w:val="00D23CB9"/>
    <w:rsid w:val="00D23D95"/>
    <w:rsid w:val="00D24188"/>
    <w:rsid w:val="00D24DC5"/>
    <w:rsid w:val="00D254AB"/>
    <w:rsid w:val="00D25628"/>
    <w:rsid w:val="00D268F3"/>
    <w:rsid w:val="00D26B87"/>
    <w:rsid w:val="00D26E39"/>
    <w:rsid w:val="00D27173"/>
    <w:rsid w:val="00D271E3"/>
    <w:rsid w:val="00D2748B"/>
    <w:rsid w:val="00D278D2"/>
    <w:rsid w:val="00D27BC0"/>
    <w:rsid w:val="00D27CE8"/>
    <w:rsid w:val="00D27D59"/>
    <w:rsid w:val="00D303EA"/>
    <w:rsid w:val="00D30BA4"/>
    <w:rsid w:val="00D30BDE"/>
    <w:rsid w:val="00D30C79"/>
    <w:rsid w:val="00D31481"/>
    <w:rsid w:val="00D31489"/>
    <w:rsid w:val="00D319CC"/>
    <w:rsid w:val="00D322DF"/>
    <w:rsid w:val="00D32645"/>
    <w:rsid w:val="00D327CC"/>
    <w:rsid w:val="00D3294B"/>
    <w:rsid w:val="00D32BB8"/>
    <w:rsid w:val="00D3303A"/>
    <w:rsid w:val="00D330CE"/>
    <w:rsid w:val="00D33293"/>
    <w:rsid w:val="00D33E16"/>
    <w:rsid w:val="00D34409"/>
    <w:rsid w:val="00D34425"/>
    <w:rsid w:val="00D34555"/>
    <w:rsid w:val="00D34690"/>
    <w:rsid w:val="00D34A08"/>
    <w:rsid w:val="00D3524E"/>
    <w:rsid w:val="00D35926"/>
    <w:rsid w:val="00D36114"/>
    <w:rsid w:val="00D36776"/>
    <w:rsid w:val="00D3697A"/>
    <w:rsid w:val="00D36AE4"/>
    <w:rsid w:val="00D36AFE"/>
    <w:rsid w:val="00D37118"/>
    <w:rsid w:val="00D37B49"/>
    <w:rsid w:val="00D37DCA"/>
    <w:rsid w:val="00D408EB"/>
    <w:rsid w:val="00D40D63"/>
    <w:rsid w:val="00D40D66"/>
    <w:rsid w:val="00D40ECC"/>
    <w:rsid w:val="00D411B6"/>
    <w:rsid w:val="00D41502"/>
    <w:rsid w:val="00D4183A"/>
    <w:rsid w:val="00D42490"/>
    <w:rsid w:val="00D424B7"/>
    <w:rsid w:val="00D42632"/>
    <w:rsid w:val="00D42F71"/>
    <w:rsid w:val="00D42F73"/>
    <w:rsid w:val="00D44095"/>
    <w:rsid w:val="00D440BE"/>
    <w:rsid w:val="00D444B6"/>
    <w:rsid w:val="00D44557"/>
    <w:rsid w:val="00D44839"/>
    <w:rsid w:val="00D44ED9"/>
    <w:rsid w:val="00D45B42"/>
    <w:rsid w:val="00D45B51"/>
    <w:rsid w:val="00D46B1C"/>
    <w:rsid w:val="00D47BBA"/>
    <w:rsid w:val="00D47BE5"/>
    <w:rsid w:val="00D47D24"/>
    <w:rsid w:val="00D47E34"/>
    <w:rsid w:val="00D5173C"/>
    <w:rsid w:val="00D517CB"/>
    <w:rsid w:val="00D519CC"/>
    <w:rsid w:val="00D51C1B"/>
    <w:rsid w:val="00D52090"/>
    <w:rsid w:val="00D529C8"/>
    <w:rsid w:val="00D52AB2"/>
    <w:rsid w:val="00D533FA"/>
    <w:rsid w:val="00D53C0A"/>
    <w:rsid w:val="00D54075"/>
    <w:rsid w:val="00D54201"/>
    <w:rsid w:val="00D548E7"/>
    <w:rsid w:val="00D54BEE"/>
    <w:rsid w:val="00D5510A"/>
    <w:rsid w:val="00D5542B"/>
    <w:rsid w:val="00D5551B"/>
    <w:rsid w:val="00D555B0"/>
    <w:rsid w:val="00D5589F"/>
    <w:rsid w:val="00D55E92"/>
    <w:rsid w:val="00D56751"/>
    <w:rsid w:val="00D56959"/>
    <w:rsid w:val="00D57923"/>
    <w:rsid w:val="00D57A75"/>
    <w:rsid w:val="00D57C49"/>
    <w:rsid w:val="00D57E31"/>
    <w:rsid w:val="00D60561"/>
    <w:rsid w:val="00D60A07"/>
    <w:rsid w:val="00D60B0B"/>
    <w:rsid w:val="00D60F24"/>
    <w:rsid w:val="00D60F9E"/>
    <w:rsid w:val="00D61227"/>
    <w:rsid w:val="00D61393"/>
    <w:rsid w:val="00D621E2"/>
    <w:rsid w:val="00D621EE"/>
    <w:rsid w:val="00D624A2"/>
    <w:rsid w:val="00D62B5D"/>
    <w:rsid w:val="00D62E87"/>
    <w:rsid w:val="00D634ED"/>
    <w:rsid w:val="00D638A3"/>
    <w:rsid w:val="00D63B59"/>
    <w:rsid w:val="00D63C00"/>
    <w:rsid w:val="00D63D41"/>
    <w:rsid w:val="00D640AF"/>
    <w:rsid w:val="00D644EB"/>
    <w:rsid w:val="00D64A4C"/>
    <w:rsid w:val="00D64A73"/>
    <w:rsid w:val="00D64C7E"/>
    <w:rsid w:val="00D64E61"/>
    <w:rsid w:val="00D6522D"/>
    <w:rsid w:val="00D65662"/>
    <w:rsid w:val="00D662DA"/>
    <w:rsid w:val="00D666D4"/>
    <w:rsid w:val="00D66CBD"/>
    <w:rsid w:val="00D67BD9"/>
    <w:rsid w:val="00D67E23"/>
    <w:rsid w:val="00D701A0"/>
    <w:rsid w:val="00D7055F"/>
    <w:rsid w:val="00D70AA2"/>
    <w:rsid w:val="00D70FBA"/>
    <w:rsid w:val="00D7118D"/>
    <w:rsid w:val="00D714F9"/>
    <w:rsid w:val="00D71886"/>
    <w:rsid w:val="00D719C9"/>
    <w:rsid w:val="00D71FF3"/>
    <w:rsid w:val="00D722F7"/>
    <w:rsid w:val="00D72394"/>
    <w:rsid w:val="00D72853"/>
    <w:rsid w:val="00D72D75"/>
    <w:rsid w:val="00D72F17"/>
    <w:rsid w:val="00D73EB0"/>
    <w:rsid w:val="00D742AC"/>
    <w:rsid w:val="00D747FC"/>
    <w:rsid w:val="00D74879"/>
    <w:rsid w:val="00D74E90"/>
    <w:rsid w:val="00D768E1"/>
    <w:rsid w:val="00D76E8E"/>
    <w:rsid w:val="00D77206"/>
    <w:rsid w:val="00D7761F"/>
    <w:rsid w:val="00D801E6"/>
    <w:rsid w:val="00D80A78"/>
    <w:rsid w:val="00D80B1B"/>
    <w:rsid w:val="00D80F2B"/>
    <w:rsid w:val="00D81299"/>
    <w:rsid w:val="00D8160C"/>
    <w:rsid w:val="00D819FE"/>
    <w:rsid w:val="00D8216C"/>
    <w:rsid w:val="00D82329"/>
    <w:rsid w:val="00D823ED"/>
    <w:rsid w:val="00D825A0"/>
    <w:rsid w:val="00D826D3"/>
    <w:rsid w:val="00D8282F"/>
    <w:rsid w:val="00D8322E"/>
    <w:rsid w:val="00D836E6"/>
    <w:rsid w:val="00D838D7"/>
    <w:rsid w:val="00D83A0A"/>
    <w:rsid w:val="00D83BDA"/>
    <w:rsid w:val="00D83DE4"/>
    <w:rsid w:val="00D8434D"/>
    <w:rsid w:val="00D84A83"/>
    <w:rsid w:val="00D84AA3"/>
    <w:rsid w:val="00D851CA"/>
    <w:rsid w:val="00D85327"/>
    <w:rsid w:val="00D8541A"/>
    <w:rsid w:val="00D85791"/>
    <w:rsid w:val="00D85BBA"/>
    <w:rsid w:val="00D85EE0"/>
    <w:rsid w:val="00D85F96"/>
    <w:rsid w:val="00D8670B"/>
    <w:rsid w:val="00D8689F"/>
    <w:rsid w:val="00D87172"/>
    <w:rsid w:val="00D872F3"/>
    <w:rsid w:val="00D87767"/>
    <w:rsid w:val="00D87FD0"/>
    <w:rsid w:val="00D900E4"/>
    <w:rsid w:val="00D90206"/>
    <w:rsid w:val="00D909E1"/>
    <w:rsid w:val="00D90C3F"/>
    <w:rsid w:val="00D91250"/>
    <w:rsid w:val="00D91572"/>
    <w:rsid w:val="00D92625"/>
    <w:rsid w:val="00D92C50"/>
    <w:rsid w:val="00D92EE6"/>
    <w:rsid w:val="00D93720"/>
    <w:rsid w:val="00D93D2F"/>
    <w:rsid w:val="00D93DD5"/>
    <w:rsid w:val="00D9479C"/>
    <w:rsid w:val="00D955EC"/>
    <w:rsid w:val="00D95910"/>
    <w:rsid w:val="00D959E8"/>
    <w:rsid w:val="00D95CE3"/>
    <w:rsid w:val="00D95E0C"/>
    <w:rsid w:val="00D95EA6"/>
    <w:rsid w:val="00D95EF4"/>
    <w:rsid w:val="00D96279"/>
    <w:rsid w:val="00D96890"/>
    <w:rsid w:val="00D96D2F"/>
    <w:rsid w:val="00D97152"/>
    <w:rsid w:val="00D976ED"/>
    <w:rsid w:val="00D97789"/>
    <w:rsid w:val="00D97E38"/>
    <w:rsid w:val="00DA0E09"/>
    <w:rsid w:val="00DA15D0"/>
    <w:rsid w:val="00DA18A1"/>
    <w:rsid w:val="00DA1E8D"/>
    <w:rsid w:val="00DA20C5"/>
    <w:rsid w:val="00DA2381"/>
    <w:rsid w:val="00DA25FA"/>
    <w:rsid w:val="00DA288C"/>
    <w:rsid w:val="00DA2932"/>
    <w:rsid w:val="00DA29C0"/>
    <w:rsid w:val="00DA2A3E"/>
    <w:rsid w:val="00DA2A66"/>
    <w:rsid w:val="00DA30BA"/>
    <w:rsid w:val="00DA31C5"/>
    <w:rsid w:val="00DA371F"/>
    <w:rsid w:val="00DA3C25"/>
    <w:rsid w:val="00DA3E64"/>
    <w:rsid w:val="00DA40EC"/>
    <w:rsid w:val="00DA41F4"/>
    <w:rsid w:val="00DA4517"/>
    <w:rsid w:val="00DA466C"/>
    <w:rsid w:val="00DA4AC1"/>
    <w:rsid w:val="00DA4B7A"/>
    <w:rsid w:val="00DA4DC9"/>
    <w:rsid w:val="00DA4E3D"/>
    <w:rsid w:val="00DA508A"/>
    <w:rsid w:val="00DA5140"/>
    <w:rsid w:val="00DA52A2"/>
    <w:rsid w:val="00DA555A"/>
    <w:rsid w:val="00DA58F6"/>
    <w:rsid w:val="00DA5BE8"/>
    <w:rsid w:val="00DA5F24"/>
    <w:rsid w:val="00DA670E"/>
    <w:rsid w:val="00DA6740"/>
    <w:rsid w:val="00DA6B18"/>
    <w:rsid w:val="00DA6CF0"/>
    <w:rsid w:val="00DA7B02"/>
    <w:rsid w:val="00DA7F40"/>
    <w:rsid w:val="00DB01A9"/>
    <w:rsid w:val="00DB057A"/>
    <w:rsid w:val="00DB077E"/>
    <w:rsid w:val="00DB12FB"/>
    <w:rsid w:val="00DB172B"/>
    <w:rsid w:val="00DB17FC"/>
    <w:rsid w:val="00DB1C22"/>
    <w:rsid w:val="00DB1E17"/>
    <w:rsid w:val="00DB2443"/>
    <w:rsid w:val="00DB250C"/>
    <w:rsid w:val="00DB259F"/>
    <w:rsid w:val="00DB2774"/>
    <w:rsid w:val="00DB347F"/>
    <w:rsid w:val="00DB3AB2"/>
    <w:rsid w:val="00DB40E1"/>
    <w:rsid w:val="00DB4257"/>
    <w:rsid w:val="00DB42B0"/>
    <w:rsid w:val="00DB472F"/>
    <w:rsid w:val="00DB4E52"/>
    <w:rsid w:val="00DB58C0"/>
    <w:rsid w:val="00DB6469"/>
    <w:rsid w:val="00DB64FB"/>
    <w:rsid w:val="00DB6CDC"/>
    <w:rsid w:val="00DB7490"/>
    <w:rsid w:val="00DC0000"/>
    <w:rsid w:val="00DC0174"/>
    <w:rsid w:val="00DC01F5"/>
    <w:rsid w:val="00DC02A0"/>
    <w:rsid w:val="00DC03C6"/>
    <w:rsid w:val="00DC0C25"/>
    <w:rsid w:val="00DC1A62"/>
    <w:rsid w:val="00DC1D8F"/>
    <w:rsid w:val="00DC248F"/>
    <w:rsid w:val="00DC26F4"/>
    <w:rsid w:val="00DC27CB"/>
    <w:rsid w:val="00DC27D4"/>
    <w:rsid w:val="00DC27FA"/>
    <w:rsid w:val="00DC2A0F"/>
    <w:rsid w:val="00DC2C5C"/>
    <w:rsid w:val="00DC3187"/>
    <w:rsid w:val="00DC37BE"/>
    <w:rsid w:val="00DC41FC"/>
    <w:rsid w:val="00DC4AF4"/>
    <w:rsid w:val="00DC4ED6"/>
    <w:rsid w:val="00DC55FD"/>
    <w:rsid w:val="00DC5635"/>
    <w:rsid w:val="00DC5825"/>
    <w:rsid w:val="00DC5DD1"/>
    <w:rsid w:val="00DC656A"/>
    <w:rsid w:val="00DC6914"/>
    <w:rsid w:val="00DC6F43"/>
    <w:rsid w:val="00DC79DE"/>
    <w:rsid w:val="00DD0338"/>
    <w:rsid w:val="00DD0850"/>
    <w:rsid w:val="00DD0CA4"/>
    <w:rsid w:val="00DD105B"/>
    <w:rsid w:val="00DD106C"/>
    <w:rsid w:val="00DD2068"/>
    <w:rsid w:val="00DD20D4"/>
    <w:rsid w:val="00DD2FAA"/>
    <w:rsid w:val="00DD381C"/>
    <w:rsid w:val="00DD3C35"/>
    <w:rsid w:val="00DD420B"/>
    <w:rsid w:val="00DD4ACE"/>
    <w:rsid w:val="00DD5123"/>
    <w:rsid w:val="00DD54F8"/>
    <w:rsid w:val="00DD594F"/>
    <w:rsid w:val="00DD5B0F"/>
    <w:rsid w:val="00DD6353"/>
    <w:rsid w:val="00DD691A"/>
    <w:rsid w:val="00DD6CB0"/>
    <w:rsid w:val="00DD6E70"/>
    <w:rsid w:val="00DD7131"/>
    <w:rsid w:val="00DD7172"/>
    <w:rsid w:val="00DD7265"/>
    <w:rsid w:val="00DD748E"/>
    <w:rsid w:val="00DD76EE"/>
    <w:rsid w:val="00DD7FC0"/>
    <w:rsid w:val="00DE0352"/>
    <w:rsid w:val="00DE060A"/>
    <w:rsid w:val="00DE082D"/>
    <w:rsid w:val="00DE17BB"/>
    <w:rsid w:val="00DE2A26"/>
    <w:rsid w:val="00DE2ED9"/>
    <w:rsid w:val="00DE312F"/>
    <w:rsid w:val="00DE31FE"/>
    <w:rsid w:val="00DE3D68"/>
    <w:rsid w:val="00DE3E09"/>
    <w:rsid w:val="00DE496B"/>
    <w:rsid w:val="00DE4D73"/>
    <w:rsid w:val="00DE4F4D"/>
    <w:rsid w:val="00DE5078"/>
    <w:rsid w:val="00DE5972"/>
    <w:rsid w:val="00DE5B84"/>
    <w:rsid w:val="00DE5FFF"/>
    <w:rsid w:val="00DE6C78"/>
    <w:rsid w:val="00DE6CE0"/>
    <w:rsid w:val="00DE6FE4"/>
    <w:rsid w:val="00DE7653"/>
    <w:rsid w:val="00DE7BA6"/>
    <w:rsid w:val="00DE7C3D"/>
    <w:rsid w:val="00DE7EB2"/>
    <w:rsid w:val="00DE7F6E"/>
    <w:rsid w:val="00DF031B"/>
    <w:rsid w:val="00DF0335"/>
    <w:rsid w:val="00DF0529"/>
    <w:rsid w:val="00DF1A22"/>
    <w:rsid w:val="00DF2BEB"/>
    <w:rsid w:val="00DF34D2"/>
    <w:rsid w:val="00DF3779"/>
    <w:rsid w:val="00DF3DF1"/>
    <w:rsid w:val="00DF493F"/>
    <w:rsid w:val="00DF4C21"/>
    <w:rsid w:val="00DF4D13"/>
    <w:rsid w:val="00DF5C87"/>
    <w:rsid w:val="00DF5E10"/>
    <w:rsid w:val="00DF6DC5"/>
    <w:rsid w:val="00DF6F0A"/>
    <w:rsid w:val="00DF7005"/>
    <w:rsid w:val="00DF79E6"/>
    <w:rsid w:val="00DF7A25"/>
    <w:rsid w:val="00DF7C1F"/>
    <w:rsid w:val="00DF7E81"/>
    <w:rsid w:val="00E0002E"/>
    <w:rsid w:val="00E00AFD"/>
    <w:rsid w:val="00E00C73"/>
    <w:rsid w:val="00E00C77"/>
    <w:rsid w:val="00E0103F"/>
    <w:rsid w:val="00E010BC"/>
    <w:rsid w:val="00E01574"/>
    <w:rsid w:val="00E02271"/>
    <w:rsid w:val="00E029F7"/>
    <w:rsid w:val="00E035F6"/>
    <w:rsid w:val="00E03759"/>
    <w:rsid w:val="00E0388D"/>
    <w:rsid w:val="00E03920"/>
    <w:rsid w:val="00E03B72"/>
    <w:rsid w:val="00E03F55"/>
    <w:rsid w:val="00E04440"/>
    <w:rsid w:val="00E049C8"/>
    <w:rsid w:val="00E04B40"/>
    <w:rsid w:val="00E051C7"/>
    <w:rsid w:val="00E059CD"/>
    <w:rsid w:val="00E05BAD"/>
    <w:rsid w:val="00E05C53"/>
    <w:rsid w:val="00E067C9"/>
    <w:rsid w:val="00E06848"/>
    <w:rsid w:val="00E06BD1"/>
    <w:rsid w:val="00E06F5C"/>
    <w:rsid w:val="00E0711F"/>
    <w:rsid w:val="00E071CB"/>
    <w:rsid w:val="00E07979"/>
    <w:rsid w:val="00E079A1"/>
    <w:rsid w:val="00E07C29"/>
    <w:rsid w:val="00E10ED0"/>
    <w:rsid w:val="00E10F12"/>
    <w:rsid w:val="00E112EB"/>
    <w:rsid w:val="00E11402"/>
    <w:rsid w:val="00E115E7"/>
    <w:rsid w:val="00E11CB8"/>
    <w:rsid w:val="00E11DE0"/>
    <w:rsid w:val="00E120F7"/>
    <w:rsid w:val="00E12294"/>
    <w:rsid w:val="00E12623"/>
    <w:rsid w:val="00E126A7"/>
    <w:rsid w:val="00E12BF5"/>
    <w:rsid w:val="00E12BF7"/>
    <w:rsid w:val="00E13532"/>
    <w:rsid w:val="00E13A8D"/>
    <w:rsid w:val="00E13F7C"/>
    <w:rsid w:val="00E14302"/>
    <w:rsid w:val="00E14366"/>
    <w:rsid w:val="00E1483D"/>
    <w:rsid w:val="00E150A5"/>
    <w:rsid w:val="00E15397"/>
    <w:rsid w:val="00E154E9"/>
    <w:rsid w:val="00E158D7"/>
    <w:rsid w:val="00E15A3D"/>
    <w:rsid w:val="00E15ACA"/>
    <w:rsid w:val="00E1695A"/>
    <w:rsid w:val="00E17141"/>
    <w:rsid w:val="00E1759D"/>
    <w:rsid w:val="00E177D1"/>
    <w:rsid w:val="00E17F42"/>
    <w:rsid w:val="00E20065"/>
    <w:rsid w:val="00E2054C"/>
    <w:rsid w:val="00E20B7F"/>
    <w:rsid w:val="00E21939"/>
    <w:rsid w:val="00E21DE2"/>
    <w:rsid w:val="00E21F22"/>
    <w:rsid w:val="00E22BC6"/>
    <w:rsid w:val="00E22D4F"/>
    <w:rsid w:val="00E23A4C"/>
    <w:rsid w:val="00E23B29"/>
    <w:rsid w:val="00E23E03"/>
    <w:rsid w:val="00E246DD"/>
    <w:rsid w:val="00E24A0E"/>
    <w:rsid w:val="00E24BB9"/>
    <w:rsid w:val="00E24F29"/>
    <w:rsid w:val="00E250A2"/>
    <w:rsid w:val="00E259BB"/>
    <w:rsid w:val="00E262D1"/>
    <w:rsid w:val="00E26564"/>
    <w:rsid w:val="00E2696D"/>
    <w:rsid w:val="00E269C5"/>
    <w:rsid w:val="00E26DD4"/>
    <w:rsid w:val="00E27185"/>
    <w:rsid w:val="00E2723E"/>
    <w:rsid w:val="00E2752A"/>
    <w:rsid w:val="00E2769E"/>
    <w:rsid w:val="00E27735"/>
    <w:rsid w:val="00E3038A"/>
    <w:rsid w:val="00E30454"/>
    <w:rsid w:val="00E30650"/>
    <w:rsid w:val="00E30A38"/>
    <w:rsid w:val="00E30B84"/>
    <w:rsid w:val="00E30D46"/>
    <w:rsid w:val="00E310D2"/>
    <w:rsid w:val="00E31A4C"/>
    <w:rsid w:val="00E31FB6"/>
    <w:rsid w:val="00E321CA"/>
    <w:rsid w:val="00E32289"/>
    <w:rsid w:val="00E32391"/>
    <w:rsid w:val="00E3260F"/>
    <w:rsid w:val="00E32735"/>
    <w:rsid w:val="00E32EEC"/>
    <w:rsid w:val="00E3354C"/>
    <w:rsid w:val="00E33CA2"/>
    <w:rsid w:val="00E34B0C"/>
    <w:rsid w:val="00E34B2D"/>
    <w:rsid w:val="00E34BFE"/>
    <w:rsid w:val="00E34CF4"/>
    <w:rsid w:val="00E34FB1"/>
    <w:rsid w:val="00E3562C"/>
    <w:rsid w:val="00E35D31"/>
    <w:rsid w:val="00E3609B"/>
    <w:rsid w:val="00E36325"/>
    <w:rsid w:val="00E36385"/>
    <w:rsid w:val="00E36D74"/>
    <w:rsid w:val="00E36F59"/>
    <w:rsid w:val="00E37450"/>
    <w:rsid w:val="00E37827"/>
    <w:rsid w:val="00E37DA1"/>
    <w:rsid w:val="00E4065A"/>
    <w:rsid w:val="00E40A02"/>
    <w:rsid w:val="00E40E3B"/>
    <w:rsid w:val="00E4118A"/>
    <w:rsid w:val="00E416FB"/>
    <w:rsid w:val="00E42D3A"/>
    <w:rsid w:val="00E430B3"/>
    <w:rsid w:val="00E43669"/>
    <w:rsid w:val="00E439F8"/>
    <w:rsid w:val="00E43D66"/>
    <w:rsid w:val="00E441F5"/>
    <w:rsid w:val="00E44CC9"/>
    <w:rsid w:val="00E45CD3"/>
    <w:rsid w:val="00E45EB4"/>
    <w:rsid w:val="00E46483"/>
    <w:rsid w:val="00E46C11"/>
    <w:rsid w:val="00E46C23"/>
    <w:rsid w:val="00E46C33"/>
    <w:rsid w:val="00E46D23"/>
    <w:rsid w:val="00E472A2"/>
    <w:rsid w:val="00E4767D"/>
    <w:rsid w:val="00E479D4"/>
    <w:rsid w:val="00E47B17"/>
    <w:rsid w:val="00E5000F"/>
    <w:rsid w:val="00E50B3A"/>
    <w:rsid w:val="00E50CA2"/>
    <w:rsid w:val="00E50EFF"/>
    <w:rsid w:val="00E51524"/>
    <w:rsid w:val="00E5152B"/>
    <w:rsid w:val="00E5159A"/>
    <w:rsid w:val="00E5163F"/>
    <w:rsid w:val="00E527A6"/>
    <w:rsid w:val="00E52B67"/>
    <w:rsid w:val="00E52C30"/>
    <w:rsid w:val="00E53508"/>
    <w:rsid w:val="00E53A95"/>
    <w:rsid w:val="00E5491A"/>
    <w:rsid w:val="00E54A46"/>
    <w:rsid w:val="00E54C89"/>
    <w:rsid w:val="00E55183"/>
    <w:rsid w:val="00E5535D"/>
    <w:rsid w:val="00E554D7"/>
    <w:rsid w:val="00E554F2"/>
    <w:rsid w:val="00E558CD"/>
    <w:rsid w:val="00E559A0"/>
    <w:rsid w:val="00E55F42"/>
    <w:rsid w:val="00E56A15"/>
    <w:rsid w:val="00E5770D"/>
    <w:rsid w:val="00E577AB"/>
    <w:rsid w:val="00E57E3D"/>
    <w:rsid w:val="00E60401"/>
    <w:rsid w:val="00E604E9"/>
    <w:rsid w:val="00E608E4"/>
    <w:rsid w:val="00E60993"/>
    <w:rsid w:val="00E61121"/>
    <w:rsid w:val="00E61601"/>
    <w:rsid w:val="00E616B0"/>
    <w:rsid w:val="00E61D41"/>
    <w:rsid w:val="00E62076"/>
    <w:rsid w:val="00E62101"/>
    <w:rsid w:val="00E62975"/>
    <w:rsid w:val="00E629C2"/>
    <w:rsid w:val="00E63175"/>
    <w:rsid w:val="00E63429"/>
    <w:rsid w:val="00E636FF"/>
    <w:rsid w:val="00E63EC8"/>
    <w:rsid w:val="00E63FFB"/>
    <w:rsid w:val="00E6472A"/>
    <w:rsid w:val="00E64B92"/>
    <w:rsid w:val="00E64E54"/>
    <w:rsid w:val="00E6510B"/>
    <w:rsid w:val="00E651FF"/>
    <w:rsid w:val="00E658A9"/>
    <w:rsid w:val="00E65904"/>
    <w:rsid w:val="00E65A0D"/>
    <w:rsid w:val="00E65BEB"/>
    <w:rsid w:val="00E65C68"/>
    <w:rsid w:val="00E65D3E"/>
    <w:rsid w:val="00E66704"/>
    <w:rsid w:val="00E6775E"/>
    <w:rsid w:val="00E70114"/>
    <w:rsid w:val="00E70303"/>
    <w:rsid w:val="00E704ED"/>
    <w:rsid w:val="00E705B8"/>
    <w:rsid w:val="00E707BF"/>
    <w:rsid w:val="00E70B53"/>
    <w:rsid w:val="00E70C55"/>
    <w:rsid w:val="00E70DDB"/>
    <w:rsid w:val="00E711BD"/>
    <w:rsid w:val="00E7125A"/>
    <w:rsid w:val="00E712DA"/>
    <w:rsid w:val="00E71438"/>
    <w:rsid w:val="00E718E5"/>
    <w:rsid w:val="00E71997"/>
    <w:rsid w:val="00E72282"/>
    <w:rsid w:val="00E72697"/>
    <w:rsid w:val="00E73903"/>
    <w:rsid w:val="00E73A54"/>
    <w:rsid w:val="00E73C75"/>
    <w:rsid w:val="00E73FB8"/>
    <w:rsid w:val="00E74292"/>
    <w:rsid w:val="00E75C84"/>
    <w:rsid w:val="00E75D09"/>
    <w:rsid w:val="00E7619E"/>
    <w:rsid w:val="00E76216"/>
    <w:rsid w:val="00E7668F"/>
    <w:rsid w:val="00E7733C"/>
    <w:rsid w:val="00E77AD1"/>
    <w:rsid w:val="00E806AF"/>
    <w:rsid w:val="00E80779"/>
    <w:rsid w:val="00E81469"/>
    <w:rsid w:val="00E81547"/>
    <w:rsid w:val="00E81D1F"/>
    <w:rsid w:val="00E820AF"/>
    <w:rsid w:val="00E8259C"/>
    <w:rsid w:val="00E8271E"/>
    <w:rsid w:val="00E82AB9"/>
    <w:rsid w:val="00E82CC9"/>
    <w:rsid w:val="00E8316F"/>
    <w:rsid w:val="00E8324F"/>
    <w:rsid w:val="00E838D0"/>
    <w:rsid w:val="00E83BBD"/>
    <w:rsid w:val="00E841E6"/>
    <w:rsid w:val="00E8440F"/>
    <w:rsid w:val="00E845DF"/>
    <w:rsid w:val="00E84802"/>
    <w:rsid w:val="00E848D6"/>
    <w:rsid w:val="00E84A68"/>
    <w:rsid w:val="00E84C18"/>
    <w:rsid w:val="00E84E7F"/>
    <w:rsid w:val="00E859A6"/>
    <w:rsid w:val="00E85DB3"/>
    <w:rsid w:val="00E860BF"/>
    <w:rsid w:val="00E864A2"/>
    <w:rsid w:val="00E87042"/>
    <w:rsid w:val="00E8726C"/>
    <w:rsid w:val="00E875D0"/>
    <w:rsid w:val="00E876B9"/>
    <w:rsid w:val="00E876DB"/>
    <w:rsid w:val="00E87721"/>
    <w:rsid w:val="00E87D06"/>
    <w:rsid w:val="00E87D6B"/>
    <w:rsid w:val="00E906DE"/>
    <w:rsid w:val="00E90826"/>
    <w:rsid w:val="00E90D7D"/>
    <w:rsid w:val="00E90EE8"/>
    <w:rsid w:val="00E91308"/>
    <w:rsid w:val="00E91566"/>
    <w:rsid w:val="00E92198"/>
    <w:rsid w:val="00E92642"/>
    <w:rsid w:val="00E92B27"/>
    <w:rsid w:val="00E92B92"/>
    <w:rsid w:val="00E92D74"/>
    <w:rsid w:val="00E9316C"/>
    <w:rsid w:val="00E93668"/>
    <w:rsid w:val="00E93AEE"/>
    <w:rsid w:val="00E93BA9"/>
    <w:rsid w:val="00E93BE7"/>
    <w:rsid w:val="00E9410C"/>
    <w:rsid w:val="00E94122"/>
    <w:rsid w:val="00E9496E"/>
    <w:rsid w:val="00E94ABC"/>
    <w:rsid w:val="00E94AE6"/>
    <w:rsid w:val="00E94D3D"/>
    <w:rsid w:val="00E94F5C"/>
    <w:rsid w:val="00E95786"/>
    <w:rsid w:val="00E95812"/>
    <w:rsid w:val="00E95C1C"/>
    <w:rsid w:val="00E95DC1"/>
    <w:rsid w:val="00E95FCB"/>
    <w:rsid w:val="00E968BF"/>
    <w:rsid w:val="00E96A43"/>
    <w:rsid w:val="00E975DA"/>
    <w:rsid w:val="00E97AB3"/>
    <w:rsid w:val="00EA0263"/>
    <w:rsid w:val="00EA076C"/>
    <w:rsid w:val="00EA090A"/>
    <w:rsid w:val="00EA0EE9"/>
    <w:rsid w:val="00EA1456"/>
    <w:rsid w:val="00EA1638"/>
    <w:rsid w:val="00EA1788"/>
    <w:rsid w:val="00EA184E"/>
    <w:rsid w:val="00EA2315"/>
    <w:rsid w:val="00EA28F2"/>
    <w:rsid w:val="00EA2908"/>
    <w:rsid w:val="00EA2A92"/>
    <w:rsid w:val="00EA2DE7"/>
    <w:rsid w:val="00EA2F20"/>
    <w:rsid w:val="00EA2FD0"/>
    <w:rsid w:val="00EA31F4"/>
    <w:rsid w:val="00EA3555"/>
    <w:rsid w:val="00EA4611"/>
    <w:rsid w:val="00EA47FE"/>
    <w:rsid w:val="00EA4F42"/>
    <w:rsid w:val="00EA5454"/>
    <w:rsid w:val="00EA5797"/>
    <w:rsid w:val="00EA6C0F"/>
    <w:rsid w:val="00EA6C1C"/>
    <w:rsid w:val="00EA6CA6"/>
    <w:rsid w:val="00EA6D73"/>
    <w:rsid w:val="00EA6EFA"/>
    <w:rsid w:val="00EA7058"/>
    <w:rsid w:val="00EA7143"/>
    <w:rsid w:val="00EA74F5"/>
    <w:rsid w:val="00EA78F5"/>
    <w:rsid w:val="00EA7960"/>
    <w:rsid w:val="00EA7B48"/>
    <w:rsid w:val="00EA7EE9"/>
    <w:rsid w:val="00EB099A"/>
    <w:rsid w:val="00EB0A0B"/>
    <w:rsid w:val="00EB19C1"/>
    <w:rsid w:val="00EB2422"/>
    <w:rsid w:val="00EB30E2"/>
    <w:rsid w:val="00EB3951"/>
    <w:rsid w:val="00EB3A14"/>
    <w:rsid w:val="00EB3B8E"/>
    <w:rsid w:val="00EB3CC6"/>
    <w:rsid w:val="00EB3E4D"/>
    <w:rsid w:val="00EB415B"/>
    <w:rsid w:val="00EB431C"/>
    <w:rsid w:val="00EB46F6"/>
    <w:rsid w:val="00EB4D4F"/>
    <w:rsid w:val="00EB4E0D"/>
    <w:rsid w:val="00EB5280"/>
    <w:rsid w:val="00EB5B7E"/>
    <w:rsid w:val="00EB5FE1"/>
    <w:rsid w:val="00EB60CD"/>
    <w:rsid w:val="00EB6472"/>
    <w:rsid w:val="00EB69F1"/>
    <w:rsid w:val="00EB6B91"/>
    <w:rsid w:val="00EB6D06"/>
    <w:rsid w:val="00EB7029"/>
    <w:rsid w:val="00EB70CA"/>
    <w:rsid w:val="00EB79CC"/>
    <w:rsid w:val="00EB7F6D"/>
    <w:rsid w:val="00EC036C"/>
    <w:rsid w:val="00EC0970"/>
    <w:rsid w:val="00EC0ABE"/>
    <w:rsid w:val="00EC0F01"/>
    <w:rsid w:val="00EC0F7E"/>
    <w:rsid w:val="00EC12CA"/>
    <w:rsid w:val="00EC15A4"/>
    <w:rsid w:val="00EC1CEB"/>
    <w:rsid w:val="00EC1D3A"/>
    <w:rsid w:val="00EC1EB7"/>
    <w:rsid w:val="00EC2001"/>
    <w:rsid w:val="00EC2B95"/>
    <w:rsid w:val="00EC2BE3"/>
    <w:rsid w:val="00EC2F5D"/>
    <w:rsid w:val="00EC31FC"/>
    <w:rsid w:val="00EC343E"/>
    <w:rsid w:val="00EC351F"/>
    <w:rsid w:val="00EC3625"/>
    <w:rsid w:val="00EC383C"/>
    <w:rsid w:val="00EC392F"/>
    <w:rsid w:val="00EC3D3B"/>
    <w:rsid w:val="00EC3F15"/>
    <w:rsid w:val="00EC47D1"/>
    <w:rsid w:val="00EC51ED"/>
    <w:rsid w:val="00EC5670"/>
    <w:rsid w:val="00EC58FD"/>
    <w:rsid w:val="00EC5B6C"/>
    <w:rsid w:val="00EC62CF"/>
    <w:rsid w:val="00EC6835"/>
    <w:rsid w:val="00EC7057"/>
    <w:rsid w:val="00EC70BE"/>
    <w:rsid w:val="00EC7280"/>
    <w:rsid w:val="00EC74BB"/>
    <w:rsid w:val="00EC7725"/>
    <w:rsid w:val="00EC7A85"/>
    <w:rsid w:val="00EC7B1C"/>
    <w:rsid w:val="00ED0013"/>
    <w:rsid w:val="00ED0421"/>
    <w:rsid w:val="00ED0C57"/>
    <w:rsid w:val="00ED1944"/>
    <w:rsid w:val="00ED1AF7"/>
    <w:rsid w:val="00ED20FB"/>
    <w:rsid w:val="00ED21D6"/>
    <w:rsid w:val="00ED23DD"/>
    <w:rsid w:val="00ED2445"/>
    <w:rsid w:val="00ED3945"/>
    <w:rsid w:val="00ED3C43"/>
    <w:rsid w:val="00ED3D8B"/>
    <w:rsid w:val="00ED3DD0"/>
    <w:rsid w:val="00ED40F9"/>
    <w:rsid w:val="00ED4128"/>
    <w:rsid w:val="00ED41D9"/>
    <w:rsid w:val="00ED5108"/>
    <w:rsid w:val="00ED5178"/>
    <w:rsid w:val="00ED5268"/>
    <w:rsid w:val="00ED5CE4"/>
    <w:rsid w:val="00ED621F"/>
    <w:rsid w:val="00ED65A3"/>
    <w:rsid w:val="00ED7391"/>
    <w:rsid w:val="00ED773C"/>
    <w:rsid w:val="00ED7804"/>
    <w:rsid w:val="00ED7AAB"/>
    <w:rsid w:val="00ED7E7A"/>
    <w:rsid w:val="00EE042B"/>
    <w:rsid w:val="00EE1638"/>
    <w:rsid w:val="00EE2469"/>
    <w:rsid w:val="00EE2B02"/>
    <w:rsid w:val="00EE2B8C"/>
    <w:rsid w:val="00EE2E48"/>
    <w:rsid w:val="00EE4079"/>
    <w:rsid w:val="00EE465E"/>
    <w:rsid w:val="00EE485C"/>
    <w:rsid w:val="00EE55BF"/>
    <w:rsid w:val="00EE59BC"/>
    <w:rsid w:val="00EE5A57"/>
    <w:rsid w:val="00EE5A94"/>
    <w:rsid w:val="00EE6725"/>
    <w:rsid w:val="00EE6DB5"/>
    <w:rsid w:val="00EE6FF7"/>
    <w:rsid w:val="00EE7137"/>
    <w:rsid w:val="00EE7394"/>
    <w:rsid w:val="00EE75FC"/>
    <w:rsid w:val="00EE7629"/>
    <w:rsid w:val="00EE7CE9"/>
    <w:rsid w:val="00EF0680"/>
    <w:rsid w:val="00EF085F"/>
    <w:rsid w:val="00EF12D1"/>
    <w:rsid w:val="00EF12E8"/>
    <w:rsid w:val="00EF1525"/>
    <w:rsid w:val="00EF1874"/>
    <w:rsid w:val="00EF1F17"/>
    <w:rsid w:val="00EF2D0D"/>
    <w:rsid w:val="00EF2D26"/>
    <w:rsid w:val="00EF3297"/>
    <w:rsid w:val="00EF3C3A"/>
    <w:rsid w:val="00EF3E04"/>
    <w:rsid w:val="00EF418F"/>
    <w:rsid w:val="00EF4267"/>
    <w:rsid w:val="00EF5094"/>
    <w:rsid w:val="00EF56B8"/>
    <w:rsid w:val="00EF5C20"/>
    <w:rsid w:val="00EF645F"/>
    <w:rsid w:val="00EF64C7"/>
    <w:rsid w:val="00EF693D"/>
    <w:rsid w:val="00EF701D"/>
    <w:rsid w:val="00EF7BB2"/>
    <w:rsid w:val="00EF7CAF"/>
    <w:rsid w:val="00EF7F1F"/>
    <w:rsid w:val="00F00504"/>
    <w:rsid w:val="00F00CF7"/>
    <w:rsid w:val="00F01383"/>
    <w:rsid w:val="00F01723"/>
    <w:rsid w:val="00F01C38"/>
    <w:rsid w:val="00F0232A"/>
    <w:rsid w:val="00F023D6"/>
    <w:rsid w:val="00F0436A"/>
    <w:rsid w:val="00F04CAE"/>
    <w:rsid w:val="00F051D7"/>
    <w:rsid w:val="00F05894"/>
    <w:rsid w:val="00F067C5"/>
    <w:rsid w:val="00F069DA"/>
    <w:rsid w:val="00F06FB9"/>
    <w:rsid w:val="00F0748C"/>
    <w:rsid w:val="00F077CB"/>
    <w:rsid w:val="00F07D96"/>
    <w:rsid w:val="00F07F1A"/>
    <w:rsid w:val="00F100DD"/>
    <w:rsid w:val="00F10A9D"/>
    <w:rsid w:val="00F1138E"/>
    <w:rsid w:val="00F116DD"/>
    <w:rsid w:val="00F1175A"/>
    <w:rsid w:val="00F11C7D"/>
    <w:rsid w:val="00F11F25"/>
    <w:rsid w:val="00F120CE"/>
    <w:rsid w:val="00F126BD"/>
    <w:rsid w:val="00F12835"/>
    <w:rsid w:val="00F1345D"/>
    <w:rsid w:val="00F13789"/>
    <w:rsid w:val="00F1399D"/>
    <w:rsid w:val="00F142B7"/>
    <w:rsid w:val="00F15718"/>
    <w:rsid w:val="00F161F8"/>
    <w:rsid w:val="00F1625C"/>
    <w:rsid w:val="00F1633E"/>
    <w:rsid w:val="00F165F1"/>
    <w:rsid w:val="00F16A36"/>
    <w:rsid w:val="00F16E1C"/>
    <w:rsid w:val="00F1734D"/>
    <w:rsid w:val="00F173EE"/>
    <w:rsid w:val="00F174FB"/>
    <w:rsid w:val="00F20229"/>
    <w:rsid w:val="00F21CEE"/>
    <w:rsid w:val="00F22240"/>
    <w:rsid w:val="00F2242F"/>
    <w:rsid w:val="00F2275C"/>
    <w:rsid w:val="00F22892"/>
    <w:rsid w:val="00F229E9"/>
    <w:rsid w:val="00F22B92"/>
    <w:rsid w:val="00F23AC0"/>
    <w:rsid w:val="00F23E41"/>
    <w:rsid w:val="00F240A4"/>
    <w:rsid w:val="00F259AE"/>
    <w:rsid w:val="00F269A2"/>
    <w:rsid w:val="00F270BF"/>
    <w:rsid w:val="00F274A9"/>
    <w:rsid w:val="00F27503"/>
    <w:rsid w:val="00F2768E"/>
    <w:rsid w:val="00F2781F"/>
    <w:rsid w:val="00F27AE1"/>
    <w:rsid w:val="00F27DA8"/>
    <w:rsid w:val="00F27F29"/>
    <w:rsid w:val="00F304FA"/>
    <w:rsid w:val="00F31348"/>
    <w:rsid w:val="00F31656"/>
    <w:rsid w:val="00F31A99"/>
    <w:rsid w:val="00F31AB0"/>
    <w:rsid w:val="00F321F8"/>
    <w:rsid w:val="00F325B9"/>
    <w:rsid w:val="00F3353C"/>
    <w:rsid w:val="00F335B8"/>
    <w:rsid w:val="00F3363C"/>
    <w:rsid w:val="00F3383F"/>
    <w:rsid w:val="00F33D06"/>
    <w:rsid w:val="00F33D11"/>
    <w:rsid w:val="00F33D1F"/>
    <w:rsid w:val="00F34291"/>
    <w:rsid w:val="00F3563E"/>
    <w:rsid w:val="00F3580B"/>
    <w:rsid w:val="00F36017"/>
    <w:rsid w:val="00F36659"/>
    <w:rsid w:val="00F36BE1"/>
    <w:rsid w:val="00F370FB"/>
    <w:rsid w:val="00F373B6"/>
    <w:rsid w:val="00F37534"/>
    <w:rsid w:val="00F37BF4"/>
    <w:rsid w:val="00F40581"/>
    <w:rsid w:val="00F40695"/>
    <w:rsid w:val="00F406FC"/>
    <w:rsid w:val="00F40A94"/>
    <w:rsid w:val="00F40B74"/>
    <w:rsid w:val="00F410E9"/>
    <w:rsid w:val="00F425F4"/>
    <w:rsid w:val="00F42973"/>
    <w:rsid w:val="00F42D01"/>
    <w:rsid w:val="00F4323C"/>
    <w:rsid w:val="00F433E1"/>
    <w:rsid w:val="00F43B8F"/>
    <w:rsid w:val="00F4456C"/>
    <w:rsid w:val="00F449BD"/>
    <w:rsid w:val="00F44F1F"/>
    <w:rsid w:val="00F453A7"/>
    <w:rsid w:val="00F45A5D"/>
    <w:rsid w:val="00F45B28"/>
    <w:rsid w:val="00F45CF5"/>
    <w:rsid w:val="00F466EF"/>
    <w:rsid w:val="00F466F0"/>
    <w:rsid w:val="00F469D5"/>
    <w:rsid w:val="00F46A99"/>
    <w:rsid w:val="00F46DEC"/>
    <w:rsid w:val="00F46E4F"/>
    <w:rsid w:val="00F46EA4"/>
    <w:rsid w:val="00F473E4"/>
    <w:rsid w:val="00F4750F"/>
    <w:rsid w:val="00F477C9"/>
    <w:rsid w:val="00F47BD8"/>
    <w:rsid w:val="00F47DF8"/>
    <w:rsid w:val="00F47F7D"/>
    <w:rsid w:val="00F50556"/>
    <w:rsid w:val="00F50965"/>
    <w:rsid w:val="00F50C6B"/>
    <w:rsid w:val="00F515BC"/>
    <w:rsid w:val="00F5184F"/>
    <w:rsid w:val="00F518C1"/>
    <w:rsid w:val="00F519AD"/>
    <w:rsid w:val="00F51A95"/>
    <w:rsid w:val="00F52387"/>
    <w:rsid w:val="00F52602"/>
    <w:rsid w:val="00F52755"/>
    <w:rsid w:val="00F5286A"/>
    <w:rsid w:val="00F52987"/>
    <w:rsid w:val="00F52EC6"/>
    <w:rsid w:val="00F538B1"/>
    <w:rsid w:val="00F53B4F"/>
    <w:rsid w:val="00F54104"/>
    <w:rsid w:val="00F5414E"/>
    <w:rsid w:val="00F542D5"/>
    <w:rsid w:val="00F54C54"/>
    <w:rsid w:val="00F54EDB"/>
    <w:rsid w:val="00F54F0D"/>
    <w:rsid w:val="00F55DA7"/>
    <w:rsid w:val="00F5647F"/>
    <w:rsid w:val="00F5749E"/>
    <w:rsid w:val="00F574D3"/>
    <w:rsid w:val="00F574DA"/>
    <w:rsid w:val="00F57A05"/>
    <w:rsid w:val="00F57F24"/>
    <w:rsid w:val="00F6001F"/>
    <w:rsid w:val="00F60443"/>
    <w:rsid w:val="00F60517"/>
    <w:rsid w:val="00F607E0"/>
    <w:rsid w:val="00F609A9"/>
    <w:rsid w:val="00F609B2"/>
    <w:rsid w:val="00F60F21"/>
    <w:rsid w:val="00F6112A"/>
    <w:rsid w:val="00F612A3"/>
    <w:rsid w:val="00F6153C"/>
    <w:rsid w:val="00F6167F"/>
    <w:rsid w:val="00F618E9"/>
    <w:rsid w:val="00F62F32"/>
    <w:rsid w:val="00F63656"/>
    <w:rsid w:val="00F637D8"/>
    <w:rsid w:val="00F63C7E"/>
    <w:rsid w:val="00F64096"/>
    <w:rsid w:val="00F65B25"/>
    <w:rsid w:val="00F65B29"/>
    <w:rsid w:val="00F65CC0"/>
    <w:rsid w:val="00F65D09"/>
    <w:rsid w:val="00F66324"/>
    <w:rsid w:val="00F66357"/>
    <w:rsid w:val="00F663C2"/>
    <w:rsid w:val="00F66608"/>
    <w:rsid w:val="00F667B5"/>
    <w:rsid w:val="00F66DED"/>
    <w:rsid w:val="00F66E6A"/>
    <w:rsid w:val="00F67C56"/>
    <w:rsid w:val="00F7033F"/>
    <w:rsid w:val="00F708AE"/>
    <w:rsid w:val="00F70CE3"/>
    <w:rsid w:val="00F70DA7"/>
    <w:rsid w:val="00F70EE7"/>
    <w:rsid w:val="00F712DA"/>
    <w:rsid w:val="00F715BD"/>
    <w:rsid w:val="00F724B0"/>
    <w:rsid w:val="00F728DB"/>
    <w:rsid w:val="00F72E34"/>
    <w:rsid w:val="00F7303D"/>
    <w:rsid w:val="00F730B3"/>
    <w:rsid w:val="00F731E7"/>
    <w:rsid w:val="00F733D4"/>
    <w:rsid w:val="00F737D1"/>
    <w:rsid w:val="00F73B26"/>
    <w:rsid w:val="00F73B78"/>
    <w:rsid w:val="00F73EFA"/>
    <w:rsid w:val="00F73FBE"/>
    <w:rsid w:val="00F74243"/>
    <w:rsid w:val="00F743C5"/>
    <w:rsid w:val="00F74A03"/>
    <w:rsid w:val="00F74C69"/>
    <w:rsid w:val="00F7543A"/>
    <w:rsid w:val="00F7553F"/>
    <w:rsid w:val="00F75649"/>
    <w:rsid w:val="00F758E6"/>
    <w:rsid w:val="00F75B13"/>
    <w:rsid w:val="00F75C91"/>
    <w:rsid w:val="00F75F63"/>
    <w:rsid w:val="00F76501"/>
    <w:rsid w:val="00F7686F"/>
    <w:rsid w:val="00F76ADC"/>
    <w:rsid w:val="00F76BF3"/>
    <w:rsid w:val="00F76EDA"/>
    <w:rsid w:val="00F77127"/>
    <w:rsid w:val="00F77188"/>
    <w:rsid w:val="00F7718F"/>
    <w:rsid w:val="00F772CE"/>
    <w:rsid w:val="00F77AF2"/>
    <w:rsid w:val="00F77F7E"/>
    <w:rsid w:val="00F8041D"/>
    <w:rsid w:val="00F8067F"/>
    <w:rsid w:val="00F80AB4"/>
    <w:rsid w:val="00F80D95"/>
    <w:rsid w:val="00F81249"/>
    <w:rsid w:val="00F812DE"/>
    <w:rsid w:val="00F813A2"/>
    <w:rsid w:val="00F81B30"/>
    <w:rsid w:val="00F81C35"/>
    <w:rsid w:val="00F8244C"/>
    <w:rsid w:val="00F82941"/>
    <w:rsid w:val="00F83013"/>
    <w:rsid w:val="00F8305F"/>
    <w:rsid w:val="00F830B7"/>
    <w:rsid w:val="00F83169"/>
    <w:rsid w:val="00F8429E"/>
    <w:rsid w:val="00F845E2"/>
    <w:rsid w:val="00F85182"/>
    <w:rsid w:val="00F85C6F"/>
    <w:rsid w:val="00F8607F"/>
    <w:rsid w:val="00F860A3"/>
    <w:rsid w:val="00F860E0"/>
    <w:rsid w:val="00F8626F"/>
    <w:rsid w:val="00F86736"/>
    <w:rsid w:val="00F867B2"/>
    <w:rsid w:val="00F86963"/>
    <w:rsid w:val="00F86FB7"/>
    <w:rsid w:val="00F870B4"/>
    <w:rsid w:val="00F8735E"/>
    <w:rsid w:val="00F87500"/>
    <w:rsid w:val="00F902FC"/>
    <w:rsid w:val="00F903AA"/>
    <w:rsid w:val="00F9072C"/>
    <w:rsid w:val="00F90763"/>
    <w:rsid w:val="00F9109F"/>
    <w:rsid w:val="00F914BA"/>
    <w:rsid w:val="00F91957"/>
    <w:rsid w:val="00F9198C"/>
    <w:rsid w:val="00F9201D"/>
    <w:rsid w:val="00F92094"/>
    <w:rsid w:val="00F92504"/>
    <w:rsid w:val="00F9279A"/>
    <w:rsid w:val="00F9287E"/>
    <w:rsid w:val="00F9374D"/>
    <w:rsid w:val="00F947FB"/>
    <w:rsid w:val="00F9491D"/>
    <w:rsid w:val="00F94A96"/>
    <w:rsid w:val="00F94DDC"/>
    <w:rsid w:val="00F94F5D"/>
    <w:rsid w:val="00F950F7"/>
    <w:rsid w:val="00F95366"/>
    <w:rsid w:val="00F95403"/>
    <w:rsid w:val="00F95CD1"/>
    <w:rsid w:val="00F9677B"/>
    <w:rsid w:val="00F96974"/>
    <w:rsid w:val="00F96EB9"/>
    <w:rsid w:val="00F97FF6"/>
    <w:rsid w:val="00FA0734"/>
    <w:rsid w:val="00FA139B"/>
    <w:rsid w:val="00FA1AF3"/>
    <w:rsid w:val="00FA200B"/>
    <w:rsid w:val="00FA215E"/>
    <w:rsid w:val="00FA2B8D"/>
    <w:rsid w:val="00FA2BA1"/>
    <w:rsid w:val="00FA3852"/>
    <w:rsid w:val="00FA3A63"/>
    <w:rsid w:val="00FA3EAA"/>
    <w:rsid w:val="00FA4535"/>
    <w:rsid w:val="00FA4614"/>
    <w:rsid w:val="00FA506C"/>
    <w:rsid w:val="00FA5121"/>
    <w:rsid w:val="00FA5257"/>
    <w:rsid w:val="00FA5A34"/>
    <w:rsid w:val="00FA5F59"/>
    <w:rsid w:val="00FA63AE"/>
    <w:rsid w:val="00FA656D"/>
    <w:rsid w:val="00FA66FB"/>
    <w:rsid w:val="00FA6BB9"/>
    <w:rsid w:val="00FA6DDB"/>
    <w:rsid w:val="00FA7399"/>
    <w:rsid w:val="00FA7DD0"/>
    <w:rsid w:val="00FB031F"/>
    <w:rsid w:val="00FB036E"/>
    <w:rsid w:val="00FB0487"/>
    <w:rsid w:val="00FB0615"/>
    <w:rsid w:val="00FB06E5"/>
    <w:rsid w:val="00FB157C"/>
    <w:rsid w:val="00FB1C42"/>
    <w:rsid w:val="00FB1FB3"/>
    <w:rsid w:val="00FB30BB"/>
    <w:rsid w:val="00FB331A"/>
    <w:rsid w:val="00FB35C4"/>
    <w:rsid w:val="00FB3886"/>
    <w:rsid w:val="00FB401A"/>
    <w:rsid w:val="00FB48DB"/>
    <w:rsid w:val="00FB5144"/>
    <w:rsid w:val="00FB5858"/>
    <w:rsid w:val="00FB5955"/>
    <w:rsid w:val="00FB5960"/>
    <w:rsid w:val="00FB59DC"/>
    <w:rsid w:val="00FB5A9C"/>
    <w:rsid w:val="00FB5EF6"/>
    <w:rsid w:val="00FB6B19"/>
    <w:rsid w:val="00FB6D17"/>
    <w:rsid w:val="00FB6DE0"/>
    <w:rsid w:val="00FB7A3B"/>
    <w:rsid w:val="00FB7B09"/>
    <w:rsid w:val="00FB7FB9"/>
    <w:rsid w:val="00FC03D5"/>
    <w:rsid w:val="00FC09A8"/>
    <w:rsid w:val="00FC112C"/>
    <w:rsid w:val="00FC1333"/>
    <w:rsid w:val="00FC1E62"/>
    <w:rsid w:val="00FC2082"/>
    <w:rsid w:val="00FC2236"/>
    <w:rsid w:val="00FC25C5"/>
    <w:rsid w:val="00FC25C8"/>
    <w:rsid w:val="00FC2F0D"/>
    <w:rsid w:val="00FC2FBD"/>
    <w:rsid w:val="00FC32FB"/>
    <w:rsid w:val="00FC336B"/>
    <w:rsid w:val="00FC34E3"/>
    <w:rsid w:val="00FC3A4A"/>
    <w:rsid w:val="00FC3CA1"/>
    <w:rsid w:val="00FC3D25"/>
    <w:rsid w:val="00FC420B"/>
    <w:rsid w:val="00FC4386"/>
    <w:rsid w:val="00FC4952"/>
    <w:rsid w:val="00FC4B47"/>
    <w:rsid w:val="00FC4E89"/>
    <w:rsid w:val="00FC5403"/>
    <w:rsid w:val="00FC6E8A"/>
    <w:rsid w:val="00FC788C"/>
    <w:rsid w:val="00FC7CA6"/>
    <w:rsid w:val="00FC7F49"/>
    <w:rsid w:val="00FD05E0"/>
    <w:rsid w:val="00FD0881"/>
    <w:rsid w:val="00FD0C8C"/>
    <w:rsid w:val="00FD0DCA"/>
    <w:rsid w:val="00FD1616"/>
    <w:rsid w:val="00FD1B51"/>
    <w:rsid w:val="00FD1CA7"/>
    <w:rsid w:val="00FD1DB4"/>
    <w:rsid w:val="00FD1DED"/>
    <w:rsid w:val="00FD20BA"/>
    <w:rsid w:val="00FD2180"/>
    <w:rsid w:val="00FD21E4"/>
    <w:rsid w:val="00FD26AF"/>
    <w:rsid w:val="00FD299A"/>
    <w:rsid w:val="00FD2B14"/>
    <w:rsid w:val="00FD344C"/>
    <w:rsid w:val="00FD3540"/>
    <w:rsid w:val="00FD3737"/>
    <w:rsid w:val="00FD4C3A"/>
    <w:rsid w:val="00FD4D97"/>
    <w:rsid w:val="00FD500A"/>
    <w:rsid w:val="00FD5064"/>
    <w:rsid w:val="00FD5374"/>
    <w:rsid w:val="00FD5AB3"/>
    <w:rsid w:val="00FD5CB8"/>
    <w:rsid w:val="00FD6144"/>
    <w:rsid w:val="00FD61F5"/>
    <w:rsid w:val="00FD63E3"/>
    <w:rsid w:val="00FD665A"/>
    <w:rsid w:val="00FD6F1A"/>
    <w:rsid w:val="00FD6FDF"/>
    <w:rsid w:val="00FD72FF"/>
    <w:rsid w:val="00FE0095"/>
    <w:rsid w:val="00FE05A9"/>
    <w:rsid w:val="00FE1332"/>
    <w:rsid w:val="00FE191A"/>
    <w:rsid w:val="00FE1930"/>
    <w:rsid w:val="00FE1E30"/>
    <w:rsid w:val="00FE1E6B"/>
    <w:rsid w:val="00FE220B"/>
    <w:rsid w:val="00FE2785"/>
    <w:rsid w:val="00FE2DE2"/>
    <w:rsid w:val="00FE328E"/>
    <w:rsid w:val="00FE3347"/>
    <w:rsid w:val="00FE3379"/>
    <w:rsid w:val="00FE3A9F"/>
    <w:rsid w:val="00FE3CC7"/>
    <w:rsid w:val="00FE469C"/>
    <w:rsid w:val="00FE48E3"/>
    <w:rsid w:val="00FE494D"/>
    <w:rsid w:val="00FE4BE9"/>
    <w:rsid w:val="00FE53F4"/>
    <w:rsid w:val="00FE5A14"/>
    <w:rsid w:val="00FE5B85"/>
    <w:rsid w:val="00FE61BB"/>
    <w:rsid w:val="00FE62A5"/>
    <w:rsid w:val="00FE658C"/>
    <w:rsid w:val="00FE68AA"/>
    <w:rsid w:val="00FE6BC2"/>
    <w:rsid w:val="00FE6BCF"/>
    <w:rsid w:val="00FE7109"/>
    <w:rsid w:val="00FE71E1"/>
    <w:rsid w:val="00FE7235"/>
    <w:rsid w:val="00FE73FE"/>
    <w:rsid w:val="00FE749B"/>
    <w:rsid w:val="00FE74EC"/>
    <w:rsid w:val="00FE7980"/>
    <w:rsid w:val="00FE7996"/>
    <w:rsid w:val="00FF09FF"/>
    <w:rsid w:val="00FF0A74"/>
    <w:rsid w:val="00FF1143"/>
    <w:rsid w:val="00FF200C"/>
    <w:rsid w:val="00FF266C"/>
    <w:rsid w:val="00FF272E"/>
    <w:rsid w:val="00FF29D3"/>
    <w:rsid w:val="00FF2D96"/>
    <w:rsid w:val="00FF313D"/>
    <w:rsid w:val="00FF31B6"/>
    <w:rsid w:val="00FF3584"/>
    <w:rsid w:val="00FF381E"/>
    <w:rsid w:val="00FF38D5"/>
    <w:rsid w:val="00FF409C"/>
    <w:rsid w:val="00FF443B"/>
    <w:rsid w:val="00FF491A"/>
    <w:rsid w:val="00FF4CDA"/>
    <w:rsid w:val="00FF5006"/>
    <w:rsid w:val="00FF50FC"/>
    <w:rsid w:val="00FF513C"/>
    <w:rsid w:val="00FF5174"/>
    <w:rsid w:val="00FF5C89"/>
    <w:rsid w:val="00FF5CBF"/>
    <w:rsid w:val="00FF63AD"/>
    <w:rsid w:val="00FF645B"/>
    <w:rsid w:val="00FF667B"/>
    <w:rsid w:val="00FF68CB"/>
    <w:rsid w:val="00FF7176"/>
    <w:rsid w:val="00FF7513"/>
    <w:rsid w:val="00FF7750"/>
    <w:rsid w:val="00FF7BC3"/>
    <w:rsid w:val="00FF7CA0"/>
    <w:rsid w:val="012FAC51"/>
    <w:rsid w:val="02F3915A"/>
    <w:rsid w:val="0319161A"/>
    <w:rsid w:val="0322C90D"/>
    <w:rsid w:val="03351EF6"/>
    <w:rsid w:val="03A6AD09"/>
    <w:rsid w:val="040AACC7"/>
    <w:rsid w:val="04286FF0"/>
    <w:rsid w:val="04298D3F"/>
    <w:rsid w:val="04CC159F"/>
    <w:rsid w:val="05028418"/>
    <w:rsid w:val="050334B7"/>
    <w:rsid w:val="050BB0CA"/>
    <w:rsid w:val="056A7DCA"/>
    <w:rsid w:val="069A03E9"/>
    <w:rsid w:val="06F0BBD7"/>
    <w:rsid w:val="079333E6"/>
    <w:rsid w:val="07F0DD5B"/>
    <w:rsid w:val="08096E40"/>
    <w:rsid w:val="0878A02A"/>
    <w:rsid w:val="088C208A"/>
    <w:rsid w:val="08D7B158"/>
    <w:rsid w:val="08ED6E6F"/>
    <w:rsid w:val="090E43D1"/>
    <w:rsid w:val="094D4673"/>
    <w:rsid w:val="09B5E200"/>
    <w:rsid w:val="09BF3AE4"/>
    <w:rsid w:val="09E6047A"/>
    <w:rsid w:val="0B638F48"/>
    <w:rsid w:val="0B74FCF0"/>
    <w:rsid w:val="0B8F2C04"/>
    <w:rsid w:val="0BC7D72E"/>
    <w:rsid w:val="0CD069E9"/>
    <w:rsid w:val="0CD0899E"/>
    <w:rsid w:val="0D0A3928"/>
    <w:rsid w:val="0D919A1F"/>
    <w:rsid w:val="0DAF8C73"/>
    <w:rsid w:val="0E4FE0BB"/>
    <w:rsid w:val="0E527A75"/>
    <w:rsid w:val="0E7C7A7E"/>
    <w:rsid w:val="0FDD5F09"/>
    <w:rsid w:val="0FF7CBF3"/>
    <w:rsid w:val="10230584"/>
    <w:rsid w:val="102DBE2A"/>
    <w:rsid w:val="104BFC5F"/>
    <w:rsid w:val="108616C1"/>
    <w:rsid w:val="10E4642B"/>
    <w:rsid w:val="110CA2D3"/>
    <w:rsid w:val="128B0E7A"/>
    <w:rsid w:val="12972BDC"/>
    <w:rsid w:val="12D9B7ED"/>
    <w:rsid w:val="12E9DE4E"/>
    <w:rsid w:val="12ECD2AB"/>
    <w:rsid w:val="136588DE"/>
    <w:rsid w:val="137DB0F5"/>
    <w:rsid w:val="13CCA449"/>
    <w:rsid w:val="13E403F8"/>
    <w:rsid w:val="13EBEB64"/>
    <w:rsid w:val="1412B387"/>
    <w:rsid w:val="142CE29B"/>
    <w:rsid w:val="15795F02"/>
    <w:rsid w:val="15FE6752"/>
    <w:rsid w:val="169D1540"/>
    <w:rsid w:val="169FA24C"/>
    <w:rsid w:val="16C77AC6"/>
    <w:rsid w:val="16EA2D9D"/>
    <w:rsid w:val="174C3871"/>
    <w:rsid w:val="17BB05EC"/>
    <w:rsid w:val="17FC5213"/>
    <w:rsid w:val="18371CED"/>
    <w:rsid w:val="1853E0E2"/>
    <w:rsid w:val="18CB68B6"/>
    <w:rsid w:val="18DA52BC"/>
    <w:rsid w:val="19306E59"/>
    <w:rsid w:val="19DE1582"/>
    <w:rsid w:val="19F9A55C"/>
    <w:rsid w:val="1A05B62F"/>
    <w:rsid w:val="1A44540B"/>
    <w:rsid w:val="1A8DDDA5"/>
    <w:rsid w:val="1AD0120D"/>
    <w:rsid w:val="1B43029D"/>
    <w:rsid w:val="1B4B86A0"/>
    <w:rsid w:val="1B6ED12F"/>
    <w:rsid w:val="1BB0827A"/>
    <w:rsid w:val="1BD91B1F"/>
    <w:rsid w:val="1C196F4E"/>
    <w:rsid w:val="1C4777E1"/>
    <w:rsid w:val="1C479AEE"/>
    <w:rsid w:val="1C6B231C"/>
    <w:rsid w:val="1D7FBD2F"/>
    <w:rsid w:val="1DAD8199"/>
    <w:rsid w:val="1DE8989D"/>
    <w:rsid w:val="1DFDCD0B"/>
    <w:rsid w:val="1E55C539"/>
    <w:rsid w:val="1E940A4F"/>
    <w:rsid w:val="1ED9748F"/>
    <w:rsid w:val="1F5C6132"/>
    <w:rsid w:val="1F671BA7"/>
    <w:rsid w:val="2023EFF1"/>
    <w:rsid w:val="2034F8F2"/>
    <w:rsid w:val="204C6A9C"/>
    <w:rsid w:val="2056C26E"/>
    <w:rsid w:val="20E19E35"/>
    <w:rsid w:val="20E7F25B"/>
    <w:rsid w:val="22165C2A"/>
    <w:rsid w:val="22563792"/>
    <w:rsid w:val="230EA52D"/>
    <w:rsid w:val="2335E93F"/>
    <w:rsid w:val="23482425"/>
    <w:rsid w:val="23732579"/>
    <w:rsid w:val="23B846BE"/>
    <w:rsid w:val="24992B32"/>
    <w:rsid w:val="2553C77C"/>
    <w:rsid w:val="25893B7D"/>
    <w:rsid w:val="25BC92EE"/>
    <w:rsid w:val="25CE0096"/>
    <w:rsid w:val="25FC5EDE"/>
    <w:rsid w:val="26EEC417"/>
    <w:rsid w:val="272313A0"/>
    <w:rsid w:val="27855C1F"/>
    <w:rsid w:val="278D4D5C"/>
    <w:rsid w:val="27BEF8F5"/>
    <w:rsid w:val="27C59263"/>
    <w:rsid w:val="27E5DD02"/>
    <w:rsid w:val="283FA630"/>
    <w:rsid w:val="28DC0851"/>
    <w:rsid w:val="28FB7543"/>
    <w:rsid w:val="2900A92A"/>
    <w:rsid w:val="2903DAF0"/>
    <w:rsid w:val="293D24C5"/>
    <w:rsid w:val="29434239"/>
    <w:rsid w:val="2A255F4E"/>
    <w:rsid w:val="2A2B9BB3"/>
    <w:rsid w:val="2A636CB2"/>
    <w:rsid w:val="2BB7F530"/>
    <w:rsid w:val="2D052CF7"/>
    <w:rsid w:val="2D07F807"/>
    <w:rsid w:val="2D41BA0D"/>
    <w:rsid w:val="2DAA4E91"/>
    <w:rsid w:val="2E4D0A69"/>
    <w:rsid w:val="2F178B13"/>
    <w:rsid w:val="2F7E95CF"/>
    <w:rsid w:val="2FFD6EF9"/>
    <w:rsid w:val="3075E26C"/>
    <w:rsid w:val="30C2DB8F"/>
    <w:rsid w:val="320C9708"/>
    <w:rsid w:val="3214B3ED"/>
    <w:rsid w:val="3240D17E"/>
    <w:rsid w:val="3302A799"/>
    <w:rsid w:val="33565774"/>
    <w:rsid w:val="33806990"/>
    <w:rsid w:val="345B91AC"/>
    <w:rsid w:val="35BDB2A3"/>
    <w:rsid w:val="35DB9F62"/>
    <w:rsid w:val="3676E033"/>
    <w:rsid w:val="369E1E97"/>
    <w:rsid w:val="36CFC6FC"/>
    <w:rsid w:val="377968FC"/>
    <w:rsid w:val="377A0074"/>
    <w:rsid w:val="37A95A6F"/>
    <w:rsid w:val="37AFB4CA"/>
    <w:rsid w:val="38228D03"/>
    <w:rsid w:val="3855C9FA"/>
    <w:rsid w:val="3859C50E"/>
    <w:rsid w:val="38AF0655"/>
    <w:rsid w:val="38C3F6B8"/>
    <w:rsid w:val="38C790EC"/>
    <w:rsid w:val="39BCB6CE"/>
    <w:rsid w:val="3B50D20E"/>
    <w:rsid w:val="3B532D77"/>
    <w:rsid w:val="3B8AC1C1"/>
    <w:rsid w:val="3BB14CC3"/>
    <w:rsid w:val="3BBBA87A"/>
    <w:rsid w:val="3C117225"/>
    <w:rsid w:val="3C168E51"/>
    <w:rsid w:val="3CA89B8B"/>
    <w:rsid w:val="3D3A550A"/>
    <w:rsid w:val="3D9B4D86"/>
    <w:rsid w:val="3E1933ED"/>
    <w:rsid w:val="3E5A4142"/>
    <w:rsid w:val="3E94812C"/>
    <w:rsid w:val="3F0F9118"/>
    <w:rsid w:val="3F251697"/>
    <w:rsid w:val="3F51C580"/>
    <w:rsid w:val="3F603A19"/>
    <w:rsid w:val="3FC8C3E1"/>
    <w:rsid w:val="4145BA2C"/>
    <w:rsid w:val="4151DC4B"/>
    <w:rsid w:val="424A1354"/>
    <w:rsid w:val="425E2F28"/>
    <w:rsid w:val="426F0558"/>
    <w:rsid w:val="427BB83B"/>
    <w:rsid w:val="4290BC50"/>
    <w:rsid w:val="42FBF5BD"/>
    <w:rsid w:val="4314E0FF"/>
    <w:rsid w:val="439A977B"/>
    <w:rsid w:val="43F277A5"/>
    <w:rsid w:val="4443245D"/>
    <w:rsid w:val="444D3CF2"/>
    <w:rsid w:val="465475FF"/>
    <w:rsid w:val="465D917A"/>
    <w:rsid w:val="46C5D2F8"/>
    <w:rsid w:val="46CEAE0C"/>
    <w:rsid w:val="46FDE433"/>
    <w:rsid w:val="4702AA8B"/>
    <w:rsid w:val="4798F43F"/>
    <w:rsid w:val="47F35537"/>
    <w:rsid w:val="489820FD"/>
    <w:rsid w:val="48EF45FA"/>
    <w:rsid w:val="49ABB60A"/>
    <w:rsid w:val="49B46633"/>
    <w:rsid w:val="49E6439B"/>
    <w:rsid w:val="4A1C69A7"/>
    <w:rsid w:val="4A5DB75D"/>
    <w:rsid w:val="4B54E4A4"/>
    <w:rsid w:val="4B72D25E"/>
    <w:rsid w:val="4C299DC5"/>
    <w:rsid w:val="4CA96036"/>
    <w:rsid w:val="4D60EB46"/>
    <w:rsid w:val="4D65254E"/>
    <w:rsid w:val="4D69CCB3"/>
    <w:rsid w:val="4D8F0F80"/>
    <w:rsid w:val="4DB6E203"/>
    <w:rsid w:val="4DDD8691"/>
    <w:rsid w:val="4E127199"/>
    <w:rsid w:val="4E8092E9"/>
    <w:rsid w:val="4E9117F2"/>
    <w:rsid w:val="4E972185"/>
    <w:rsid w:val="4EFCD623"/>
    <w:rsid w:val="4FB9F8A2"/>
    <w:rsid w:val="4FEB9C2C"/>
    <w:rsid w:val="505A11DF"/>
    <w:rsid w:val="50906474"/>
    <w:rsid w:val="524C9C1C"/>
    <w:rsid w:val="53335DAE"/>
    <w:rsid w:val="539BDAD4"/>
    <w:rsid w:val="5407D126"/>
    <w:rsid w:val="54AE7DCE"/>
    <w:rsid w:val="54F7D573"/>
    <w:rsid w:val="55DA9913"/>
    <w:rsid w:val="561FE9F2"/>
    <w:rsid w:val="562BFBCE"/>
    <w:rsid w:val="56341117"/>
    <w:rsid w:val="5652A05C"/>
    <w:rsid w:val="585B0859"/>
    <w:rsid w:val="5952C660"/>
    <w:rsid w:val="59FBD0E8"/>
    <w:rsid w:val="5B1DBF52"/>
    <w:rsid w:val="5B48B7EB"/>
    <w:rsid w:val="5B9CC324"/>
    <w:rsid w:val="5B9CCB4D"/>
    <w:rsid w:val="5C8044F0"/>
    <w:rsid w:val="5D94F492"/>
    <w:rsid w:val="5DA4247C"/>
    <w:rsid w:val="5E1727BB"/>
    <w:rsid w:val="5E1A99D6"/>
    <w:rsid w:val="5E2DBF67"/>
    <w:rsid w:val="5EFB6011"/>
    <w:rsid w:val="5F55A319"/>
    <w:rsid w:val="5F6873FE"/>
    <w:rsid w:val="60273E0E"/>
    <w:rsid w:val="6036BEDC"/>
    <w:rsid w:val="6069CFD2"/>
    <w:rsid w:val="60D5E3A0"/>
    <w:rsid w:val="611A4317"/>
    <w:rsid w:val="61B9FE58"/>
    <w:rsid w:val="61E69733"/>
    <w:rsid w:val="61EF1B36"/>
    <w:rsid w:val="622E50A9"/>
    <w:rsid w:val="6261A71F"/>
    <w:rsid w:val="63B1E0EE"/>
    <w:rsid w:val="641378AF"/>
    <w:rsid w:val="641570ED"/>
    <w:rsid w:val="6429470D"/>
    <w:rsid w:val="652FF666"/>
    <w:rsid w:val="65301753"/>
    <w:rsid w:val="654B6848"/>
    <w:rsid w:val="655021C8"/>
    <w:rsid w:val="65607C13"/>
    <w:rsid w:val="65E2D257"/>
    <w:rsid w:val="660FA4D9"/>
    <w:rsid w:val="66DB2FA9"/>
    <w:rsid w:val="68052BFF"/>
    <w:rsid w:val="6827479E"/>
    <w:rsid w:val="68B3C532"/>
    <w:rsid w:val="68C20BAC"/>
    <w:rsid w:val="68DDCE57"/>
    <w:rsid w:val="68FDE625"/>
    <w:rsid w:val="6950F0BD"/>
    <w:rsid w:val="69D227C7"/>
    <w:rsid w:val="69DE6B25"/>
    <w:rsid w:val="69FEEEC1"/>
    <w:rsid w:val="6A15DD3C"/>
    <w:rsid w:val="6ABFA204"/>
    <w:rsid w:val="6ADDF756"/>
    <w:rsid w:val="6B47E75B"/>
    <w:rsid w:val="6C8A57E7"/>
    <w:rsid w:val="6D7B7B07"/>
    <w:rsid w:val="6DB1A421"/>
    <w:rsid w:val="6DBA8CCB"/>
    <w:rsid w:val="6DBC5147"/>
    <w:rsid w:val="6DBFDF0C"/>
    <w:rsid w:val="6DF6CCE6"/>
    <w:rsid w:val="6E1E45AA"/>
    <w:rsid w:val="6E8C7188"/>
    <w:rsid w:val="6EC57EE2"/>
    <w:rsid w:val="6F439403"/>
    <w:rsid w:val="70970610"/>
    <w:rsid w:val="71400E21"/>
    <w:rsid w:val="71469C11"/>
    <w:rsid w:val="715724EE"/>
    <w:rsid w:val="72C0EC06"/>
    <w:rsid w:val="73005801"/>
    <w:rsid w:val="7330F974"/>
    <w:rsid w:val="73641A4B"/>
    <w:rsid w:val="73991787"/>
    <w:rsid w:val="73B64647"/>
    <w:rsid w:val="73CC14A5"/>
    <w:rsid w:val="73FDB315"/>
    <w:rsid w:val="76EBE270"/>
    <w:rsid w:val="771E9644"/>
    <w:rsid w:val="78B961CF"/>
    <w:rsid w:val="78C75946"/>
    <w:rsid w:val="7A0C679F"/>
    <w:rsid w:val="7A6CC8BC"/>
    <w:rsid w:val="7A908BD0"/>
    <w:rsid w:val="7AF6B69A"/>
    <w:rsid w:val="7B2D55B8"/>
    <w:rsid w:val="7B5360A9"/>
    <w:rsid w:val="7C0B4749"/>
    <w:rsid w:val="7C0E6656"/>
    <w:rsid w:val="7C162116"/>
    <w:rsid w:val="7D088A5E"/>
    <w:rsid w:val="7D35560A"/>
    <w:rsid w:val="7D6C6B26"/>
    <w:rsid w:val="7E61C1B0"/>
    <w:rsid w:val="7EE06904"/>
    <w:rsid w:val="7FA85C6A"/>
    <w:rsid w:val="7FA926B3"/>
    <w:rsid w:val="7FB3373F"/>
    <w:rsid w:val="7FCB707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DF6998"/>
  <w15:chartTrackingRefBased/>
  <w15:docId w15:val="{E32819B0-84AE-4ACC-9BDF-C5C44AD6C1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521024"/>
    <w:pPr>
      <w:tabs>
        <w:tab w:val="left" w:pos="567"/>
      </w:tabs>
      <w:spacing w:before="120" w:line="254" w:lineRule="auto"/>
    </w:pPr>
    <w:rPr>
      <w:rFonts w:ascii="Work Sans" w:hAnsi="Work Sans"/>
      <w:sz w:val="20"/>
      <w:szCs w:val="22"/>
    </w:rPr>
  </w:style>
  <w:style w:type="paragraph" w:styleId="Heading1">
    <w:name w:val="heading 1"/>
    <w:basedOn w:val="CGCSubHead"/>
    <w:next w:val="BodyText"/>
    <w:link w:val="Heading1Char"/>
    <w:uiPriority w:val="9"/>
    <w:qFormat/>
    <w:rsid w:val="00773471"/>
    <w:pPr>
      <w:numPr>
        <w:numId w:val="26"/>
      </w:numPr>
      <w:spacing w:before="360"/>
      <w:outlineLvl w:val="0"/>
    </w:pPr>
    <w:rPr>
      <w:b w:val="0"/>
      <w:sz w:val="40"/>
      <w:szCs w:val="40"/>
    </w:rPr>
  </w:style>
  <w:style w:type="paragraph" w:styleId="Heading2">
    <w:name w:val="heading 2"/>
    <w:basedOn w:val="CGCSubHead"/>
    <w:next w:val="BodyText"/>
    <w:link w:val="Heading2Char"/>
    <w:uiPriority w:val="9"/>
    <w:unhideWhenUsed/>
    <w:qFormat/>
    <w:rsid w:val="006D6A98"/>
    <w:pPr>
      <w:numPr>
        <w:ilvl w:val="1"/>
        <w:numId w:val="26"/>
      </w:numPr>
      <w:spacing w:before="120" w:after="120"/>
      <w:outlineLvl w:val="1"/>
    </w:pPr>
    <w:rPr>
      <w:rFonts w:ascii="Open Sans Semibold" w:hAnsi="Open Sans Semibold"/>
      <w:b w:val="0"/>
      <w:sz w:val="26"/>
      <w:szCs w:val="36"/>
    </w:rPr>
  </w:style>
  <w:style w:type="paragraph" w:styleId="Heading3">
    <w:name w:val="heading 3"/>
    <w:basedOn w:val="CGCSubHead"/>
    <w:next w:val="CGCBodyCopy"/>
    <w:link w:val="Heading3Char"/>
    <w:uiPriority w:val="9"/>
    <w:unhideWhenUsed/>
    <w:qFormat/>
    <w:rsid w:val="00FC25C5"/>
    <w:pPr>
      <w:numPr>
        <w:ilvl w:val="2"/>
        <w:numId w:val="26"/>
      </w:numPr>
      <w:spacing w:before="120" w:after="120"/>
      <w:outlineLvl w:val="2"/>
    </w:pPr>
    <w:rPr>
      <w:rFonts w:ascii="Open Sans Semibold" w:hAnsi="Open Sans Semibold"/>
      <w:b w:val="0"/>
      <w:color w:val="auto"/>
      <w:sz w:val="22"/>
    </w:rPr>
  </w:style>
  <w:style w:type="paragraph" w:styleId="Heading4">
    <w:name w:val="heading 4"/>
    <w:basedOn w:val="Normal"/>
    <w:next w:val="Normal"/>
    <w:link w:val="Heading4Char"/>
    <w:uiPriority w:val="9"/>
    <w:unhideWhenUsed/>
    <w:qFormat/>
    <w:rsid w:val="00F60F21"/>
    <w:pPr>
      <w:keepNext/>
      <w:keepLines/>
      <w:numPr>
        <w:ilvl w:val="3"/>
        <w:numId w:val="26"/>
      </w:numPr>
      <w:spacing w:after="120" w:line="252" w:lineRule="auto"/>
      <w:outlineLvl w:val="3"/>
    </w:pPr>
    <w:rPr>
      <w:rFonts w:ascii="Open Sans Semibold" w:eastAsiaTheme="majorEastAsia" w:hAnsi="Open Sans Semibold" w:cstheme="majorBidi"/>
      <w:iCs/>
      <w:sz w:val="19"/>
    </w:rPr>
  </w:style>
  <w:style w:type="paragraph" w:styleId="Heading5">
    <w:name w:val="heading 5"/>
    <w:basedOn w:val="Normal"/>
    <w:next w:val="Normal"/>
    <w:link w:val="Heading5Char"/>
    <w:uiPriority w:val="9"/>
    <w:unhideWhenUsed/>
    <w:qFormat/>
    <w:rsid w:val="00D40D63"/>
    <w:pPr>
      <w:keepNext/>
      <w:keepLines/>
      <w:numPr>
        <w:ilvl w:val="4"/>
        <w:numId w:val="26"/>
      </w:numPr>
      <w:spacing w:before="40"/>
      <w:outlineLvl w:val="4"/>
    </w:pPr>
    <w:rPr>
      <w:rFonts w:asciiTheme="majorHAnsi" w:eastAsiaTheme="majorEastAsia" w:hAnsiTheme="majorHAnsi" w:cstheme="majorBidi"/>
      <w:color w:val="00334A" w:themeColor="accent1" w:themeShade="BF"/>
    </w:rPr>
  </w:style>
  <w:style w:type="paragraph" w:styleId="Heading6">
    <w:name w:val="heading 6"/>
    <w:basedOn w:val="Normal"/>
    <w:next w:val="Normal"/>
    <w:link w:val="Heading6Char"/>
    <w:uiPriority w:val="9"/>
    <w:unhideWhenUsed/>
    <w:qFormat/>
    <w:rsid w:val="00D40D63"/>
    <w:pPr>
      <w:keepNext/>
      <w:keepLines/>
      <w:numPr>
        <w:ilvl w:val="5"/>
        <w:numId w:val="26"/>
      </w:numPr>
      <w:spacing w:before="40"/>
      <w:outlineLvl w:val="5"/>
    </w:pPr>
    <w:rPr>
      <w:rFonts w:asciiTheme="majorHAnsi" w:eastAsiaTheme="majorEastAsia" w:hAnsiTheme="majorHAnsi" w:cstheme="majorBidi"/>
      <w:color w:val="002231" w:themeColor="accent1" w:themeShade="7F"/>
    </w:rPr>
  </w:style>
  <w:style w:type="paragraph" w:styleId="Heading7">
    <w:name w:val="heading 7"/>
    <w:basedOn w:val="Normal"/>
    <w:next w:val="Normal"/>
    <w:link w:val="Heading7Char"/>
    <w:uiPriority w:val="9"/>
    <w:unhideWhenUsed/>
    <w:qFormat/>
    <w:rsid w:val="00D40D63"/>
    <w:pPr>
      <w:keepNext/>
      <w:keepLines/>
      <w:numPr>
        <w:ilvl w:val="6"/>
        <w:numId w:val="26"/>
      </w:numPr>
      <w:spacing w:before="40"/>
      <w:outlineLvl w:val="6"/>
    </w:pPr>
    <w:rPr>
      <w:rFonts w:asciiTheme="majorHAnsi" w:eastAsiaTheme="majorEastAsia" w:hAnsiTheme="majorHAnsi" w:cstheme="majorBidi"/>
      <w:i/>
      <w:iCs/>
      <w:color w:val="002231" w:themeColor="accent1" w:themeShade="7F"/>
    </w:rPr>
  </w:style>
  <w:style w:type="paragraph" w:styleId="Heading8">
    <w:name w:val="heading 8"/>
    <w:basedOn w:val="Normal"/>
    <w:next w:val="Normal"/>
    <w:link w:val="Heading8Char"/>
    <w:uiPriority w:val="9"/>
    <w:unhideWhenUsed/>
    <w:qFormat/>
    <w:rsid w:val="00D40D63"/>
    <w:pPr>
      <w:keepNext/>
      <w:keepLines/>
      <w:numPr>
        <w:ilvl w:val="7"/>
        <w:numId w:val="26"/>
      </w:numPr>
      <w:spacing w:before="40"/>
      <w:outlineLvl w:val="7"/>
    </w:pPr>
    <w:rPr>
      <w:rFonts w:asciiTheme="majorHAnsi" w:eastAsiaTheme="majorEastAsia" w:hAnsiTheme="majorHAnsi" w:cstheme="majorBidi"/>
      <w:color w:val="0071A1" w:themeColor="text1" w:themeTint="D8"/>
      <w:sz w:val="21"/>
      <w:szCs w:val="21"/>
    </w:rPr>
  </w:style>
  <w:style w:type="paragraph" w:styleId="Heading9">
    <w:name w:val="heading 9"/>
    <w:basedOn w:val="Normal"/>
    <w:next w:val="Normal"/>
    <w:link w:val="Heading9Char"/>
    <w:uiPriority w:val="9"/>
    <w:unhideWhenUsed/>
    <w:qFormat/>
    <w:rsid w:val="00D40D63"/>
    <w:pPr>
      <w:keepNext/>
      <w:keepLines/>
      <w:numPr>
        <w:ilvl w:val="8"/>
        <w:numId w:val="26"/>
      </w:numPr>
      <w:spacing w:before="40"/>
      <w:outlineLvl w:val="8"/>
    </w:pPr>
    <w:rPr>
      <w:rFonts w:asciiTheme="majorHAnsi" w:eastAsiaTheme="majorEastAsia" w:hAnsiTheme="majorHAnsi" w:cstheme="majorBidi"/>
      <w:i/>
      <w:iCs/>
      <w:color w:val="0071A1"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4367"/>
    <w:pPr>
      <w:tabs>
        <w:tab w:val="center" w:pos="4513"/>
        <w:tab w:val="right" w:pos="9026"/>
      </w:tabs>
      <w:spacing w:before="0" w:line="240" w:lineRule="auto"/>
      <w:ind w:left="-1701" w:right="-1202" w:firstLine="1701"/>
    </w:pPr>
    <w:rPr>
      <w:rFonts w:ascii="Open Sans Semibold" w:hAnsi="Open Sans Semibold"/>
      <w:color w:val="006991"/>
      <w:sz w:val="14"/>
    </w:rPr>
  </w:style>
  <w:style w:type="character" w:customStyle="1" w:styleId="HeaderChar">
    <w:name w:val="Header Char"/>
    <w:basedOn w:val="DefaultParagraphFont"/>
    <w:link w:val="Header"/>
    <w:uiPriority w:val="99"/>
    <w:rsid w:val="001F4367"/>
    <w:rPr>
      <w:rFonts w:ascii="Open Sans Semibold" w:hAnsi="Open Sans Semibold"/>
      <w:color w:val="006991"/>
      <w:sz w:val="14"/>
      <w:szCs w:val="22"/>
    </w:rPr>
  </w:style>
  <w:style w:type="paragraph" w:styleId="Footer">
    <w:name w:val="footer"/>
    <w:basedOn w:val="Normal"/>
    <w:link w:val="FooterChar"/>
    <w:uiPriority w:val="99"/>
    <w:unhideWhenUsed/>
    <w:rsid w:val="005C0550"/>
    <w:pPr>
      <w:tabs>
        <w:tab w:val="center" w:pos="4513"/>
        <w:tab w:val="right" w:pos="9026"/>
      </w:tabs>
    </w:pPr>
  </w:style>
  <w:style w:type="character" w:customStyle="1" w:styleId="FooterChar">
    <w:name w:val="Footer Char"/>
    <w:basedOn w:val="DefaultParagraphFont"/>
    <w:link w:val="Footer"/>
    <w:uiPriority w:val="99"/>
    <w:rsid w:val="005C0550"/>
  </w:style>
  <w:style w:type="paragraph" w:styleId="Caption">
    <w:name w:val="caption"/>
    <w:basedOn w:val="Normal"/>
    <w:next w:val="Normal"/>
    <w:link w:val="CaptionChar"/>
    <w:qFormat/>
    <w:rsid w:val="0071146B"/>
    <w:pPr>
      <w:keepNext/>
      <w:keepLines/>
      <w:tabs>
        <w:tab w:val="clear" w:pos="567"/>
        <w:tab w:val="left" w:pos="1134"/>
        <w:tab w:val="left" w:pos="1418"/>
      </w:tabs>
      <w:spacing w:before="240" w:after="120" w:line="240" w:lineRule="auto"/>
      <w:ind w:left="1134" w:hanging="1134"/>
    </w:pPr>
    <w:rPr>
      <w:b/>
      <w:bCs/>
      <w:sz w:val="24"/>
      <w:szCs w:val="24"/>
    </w:rPr>
  </w:style>
  <w:style w:type="character" w:customStyle="1" w:styleId="CaptionChar">
    <w:name w:val="Caption Char"/>
    <w:basedOn w:val="DefaultParagraphFont"/>
    <w:link w:val="Caption"/>
    <w:rsid w:val="0071146B"/>
    <w:rPr>
      <w:rFonts w:ascii="Work Sans" w:hAnsi="Work Sans"/>
      <w:b/>
      <w:bCs/>
    </w:rPr>
  </w:style>
  <w:style w:type="paragraph" w:customStyle="1" w:styleId="CGCTablenote">
    <w:name w:val="CGC Table note"/>
    <w:basedOn w:val="Normal"/>
    <w:next w:val="Normal"/>
    <w:qFormat/>
    <w:rsid w:val="005C0550"/>
    <w:pPr>
      <w:tabs>
        <w:tab w:val="left" w:pos="680"/>
      </w:tabs>
      <w:spacing w:before="40" w:line="240" w:lineRule="auto"/>
      <w:ind w:left="340" w:hanging="227"/>
    </w:pPr>
    <w:rPr>
      <w:sz w:val="14"/>
    </w:rPr>
  </w:style>
  <w:style w:type="paragraph" w:styleId="BodyText">
    <w:name w:val="Body Text"/>
    <w:link w:val="BodyTextChar"/>
    <w:qFormat/>
    <w:rsid w:val="00643F32"/>
    <w:pPr>
      <w:spacing w:before="240" w:line="300" w:lineRule="atLeast"/>
      <w:jc w:val="both"/>
    </w:pPr>
    <w:rPr>
      <w:rFonts w:ascii="Open Sans Light" w:eastAsia="Times New Roman" w:hAnsi="Open Sans Light" w:cs="Times New Roman"/>
      <w:sz w:val="20"/>
      <w:szCs w:val="20"/>
      <w:lang w:eastAsia="en-AU"/>
    </w:rPr>
  </w:style>
  <w:style w:type="character" w:customStyle="1" w:styleId="BodyTextChar">
    <w:name w:val="Body Text Char"/>
    <w:basedOn w:val="DefaultParagraphFont"/>
    <w:link w:val="BodyText"/>
    <w:rsid w:val="00643F32"/>
    <w:rPr>
      <w:rFonts w:ascii="Open Sans Light" w:eastAsia="Times New Roman" w:hAnsi="Open Sans Light" w:cs="Times New Roman"/>
      <w:sz w:val="20"/>
      <w:szCs w:val="20"/>
      <w:lang w:eastAsia="en-AU"/>
    </w:rPr>
  </w:style>
  <w:style w:type="character" w:customStyle="1" w:styleId="normaltextrun">
    <w:name w:val="normaltextrun"/>
    <w:basedOn w:val="DefaultParagraphFont"/>
    <w:rsid w:val="005C0550"/>
  </w:style>
  <w:style w:type="paragraph" w:customStyle="1" w:styleId="CGCBodyCopy">
    <w:name w:val="CGC Body Copy"/>
    <w:basedOn w:val="Normal"/>
    <w:autoRedefine/>
    <w:qFormat/>
    <w:rsid w:val="001F4367"/>
    <w:pPr>
      <w:jc w:val="both"/>
    </w:pPr>
    <w:rPr>
      <w:rFonts w:cs="Cambria Math"/>
      <w:color w:val="000000"/>
      <w:szCs w:val="21"/>
      <w:shd w:val="clear" w:color="auto" w:fill="FFFFFF"/>
      <w14:shadow w14:blurRad="50800" w14:dist="50800" w14:dir="5400000" w14:sx="0" w14:sy="0" w14:kx="0" w14:ky="0" w14:algn="ctr">
        <w14:srgbClr w14:val="000000">
          <w14:alpha w14:val="1000"/>
        </w14:srgbClr>
      </w14:shadow>
    </w:rPr>
  </w:style>
  <w:style w:type="paragraph" w:customStyle="1" w:styleId="CGCSubHead">
    <w:name w:val="CGC Sub Head"/>
    <w:next w:val="CGCBodyCopy"/>
    <w:autoRedefine/>
    <w:qFormat/>
    <w:rsid w:val="005C2025"/>
    <w:pPr>
      <w:spacing w:before="240" w:after="200" w:line="276" w:lineRule="auto"/>
    </w:pPr>
    <w:rPr>
      <w:rFonts w:ascii="Work Sans" w:eastAsiaTheme="majorEastAsia" w:hAnsi="Work Sans" w:cs="Open Sans"/>
      <w:b/>
      <w:bCs/>
      <w:color w:val="006991"/>
      <w:sz w:val="28"/>
      <w:szCs w:val="28"/>
    </w:rPr>
  </w:style>
  <w:style w:type="character" w:styleId="Hyperlink">
    <w:name w:val="Hyperlink"/>
    <w:basedOn w:val="DefaultParagraphFont"/>
    <w:uiPriority w:val="99"/>
    <w:unhideWhenUsed/>
    <w:rsid w:val="008B3F9B"/>
    <w:rPr>
      <w:color w:val="006991" w:themeColor="hyperlink"/>
      <w:u w:val="single"/>
    </w:rPr>
  </w:style>
  <w:style w:type="character" w:styleId="UnresolvedMention">
    <w:name w:val="Unresolved Mention"/>
    <w:basedOn w:val="DefaultParagraphFont"/>
    <w:uiPriority w:val="99"/>
    <w:semiHidden/>
    <w:unhideWhenUsed/>
    <w:rsid w:val="008B3F9B"/>
    <w:rPr>
      <w:color w:val="605E5C"/>
      <w:shd w:val="clear" w:color="auto" w:fill="E1DFDD"/>
    </w:rPr>
  </w:style>
  <w:style w:type="character" w:styleId="PageNumber">
    <w:name w:val="page number"/>
    <w:basedOn w:val="DefaultParagraphFont"/>
    <w:uiPriority w:val="99"/>
    <w:semiHidden/>
    <w:unhideWhenUsed/>
    <w:rsid w:val="008B3F9B"/>
  </w:style>
  <w:style w:type="character" w:customStyle="1" w:styleId="Heading1Char">
    <w:name w:val="Heading 1 Char"/>
    <w:basedOn w:val="DefaultParagraphFont"/>
    <w:link w:val="Heading1"/>
    <w:uiPriority w:val="9"/>
    <w:rsid w:val="00773471"/>
    <w:rPr>
      <w:rFonts w:ascii="Work Sans" w:eastAsiaTheme="majorEastAsia" w:hAnsi="Work Sans" w:cs="Open Sans"/>
      <w:bCs/>
      <w:color w:val="006991"/>
      <w:sz w:val="40"/>
      <w:szCs w:val="40"/>
    </w:rPr>
  </w:style>
  <w:style w:type="character" w:customStyle="1" w:styleId="Heading2Char">
    <w:name w:val="Heading 2 Char"/>
    <w:basedOn w:val="DefaultParagraphFont"/>
    <w:link w:val="Heading2"/>
    <w:uiPriority w:val="9"/>
    <w:rsid w:val="006D6A98"/>
    <w:rPr>
      <w:rFonts w:ascii="Open Sans Semibold" w:eastAsiaTheme="majorEastAsia" w:hAnsi="Open Sans Semibold" w:cs="Open Sans"/>
      <w:bCs/>
      <w:color w:val="006991"/>
      <w:sz w:val="26"/>
      <w:szCs w:val="36"/>
    </w:rPr>
  </w:style>
  <w:style w:type="character" w:customStyle="1" w:styleId="Heading3Char">
    <w:name w:val="Heading 3 Char"/>
    <w:basedOn w:val="DefaultParagraphFont"/>
    <w:link w:val="Heading3"/>
    <w:uiPriority w:val="9"/>
    <w:rsid w:val="006C0639"/>
    <w:rPr>
      <w:rFonts w:ascii="Open Sans Semibold" w:eastAsiaTheme="majorEastAsia" w:hAnsi="Open Sans Semibold" w:cs="Open Sans"/>
      <w:bCs/>
      <w:sz w:val="22"/>
      <w:szCs w:val="28"/>
    </w:rPr>
  </w:style>
  <w:style w:type="paragraph" w:styleId="NormalWeb">
    <w:name w:val="Normal (Web)"/>
    <w:basedOn w:val="Normal"/>
    <w:uiPriority w:val="99"/>
    <w:unhideWhenUsed/>
    <w:rsid w:val="00C87C4C"/>
    <w:pPr>
      <w:tabs>
        <w:tab w:val="clear" w:pos="567"/>
      </w:tabs>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FootnoteText">
    <w:name w:val="footnote text"/>
    <w:basedOn w:val="Normal"/>
    <w:link w:val="FootnoteTextChar"/>
    <w:uiPriority w:val="99"/>
    <w:unhideWhenUsed/>
    <w:qFormat/>
    <w:rsid w:val="00D21542"/>
    <w:pPr>
      <w:spacing w:before="0" w:line="240" w:lineRule="auto"/>
    </w:pPr>
    <w:rPr>
      <w:szCs w:val="20"/>
    </w:rPr>
  </w:style>
  <w:style w:type="character" w:customStyle="1" w:styleId="FootnoteTextChar">
    <w:name w:val="Footnote Text Char"/>
    <w:basedOn w:val="DefaultParagraphFont"/>
    <w:link w:val="FootnoteText"/>
    <w:uiPriority w:val="99"/>
    <w:rsid w:val="00D21542"/>
    <w:rPr>
      <w:rFonts w:ascii="Open Sans Light" w:hAnsi="Open Sans Light"/>
      <w:sz w:val="20"/>
      <w:szCs w:val="20"/>
    </w:rPr>
  </w:style>
  <w:style w:type="character" w:styleId="FootnoteReference">
    <w:name w:val="footnote reference"/>
    <w:unhideWhenUsed/>
    <w:qFormat/>
    <w:rsid w:val="00143AA2"/>
    <w:rPr>
      <w:rFonts w:ascii="Work Sans" w:hAnsi="Work Sans"/>
      <w:sz w:val="16"/>
      <w:szCs w:val="16"/>
    </w:rPr>
  </w:style>
  <w:style w:type="paragraph" w:styleId="ListParagraph">
    <w:name w:val="List Paragraph"/>
    <w:basedOn w:val="ListBullet"/>
    <w:uiPriority w:val="34"/>
    <w:qFormat/>
    <w:rsid w:val="00497C68"/>
    <w:pPr>
      <w:spacing w:before="60" w:line="312" w:lineRule="auto"/>
      <w:ind w:left="584" w:hanging="227"/>
    </w:pPr>
  </w:style>
  <w:style w:type="table" w:styleId="TableGrid">
    <w:name w:val="Table Grid"/>
    <w:basedOn w:val="TableNormal"/>
    <w:uiPriority w:val="39"/>
    <w:rsid w:val="00E079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634ED"/>
    <w:pPr>
      <w:keepNext/>
      <w:keepLines/>
      <w:spacing w:before="240" w:after="0" w:line="259" w:lineRule="auto"/>
      <w:outlineLvl w:val="9"/>
    </w:pPr>
    <w:rPr>
      <w:rFonts w:asciiTheme="majorHAnsi" w:hAnsiTheme="majorHAnsi" w:cstheme="majorBidi"/>
      <w:b/>
      <w:bCs w:val="0"/>
      <w:color w:val="00334A" w:themeColor="accent1" w:themeShade="BF"/>
      <w:sz w:val="32"/>
      <w:szCs w:val="32"/>
      <w:lang w:val="en-US"/>
    </w:rPr>
  </w:style>
  <w:style w:type="paragraph" w:styleId="TOC1">
    <w:name w:val="toc 1"/>
    <w:basedOn w:val="Normal"/>
    <w:next w:val="Normal"/>
    <w:autoRedefine/>
    <w:uiPriority w:val="39"/>
    <w:unhideWhenUsed/>
    <w:rsid w:val="00E20B7F"/>
    <w:pPr>
      <w:tabs>
        <w:tab w:val="clear" w:pos="567"/>
      </w:tabs>
      <w:spacing w:after="100"/>
    </w:pPr>
    <w:rPr>
      <w:rFonts w:ascii="Work Sans SemiBold" w:hAnsi="Work Sans SemiBold"/>
    </w:rPr>
  </w:style>
  <w:style w:type="paragraph" w:styleId="TOC2">
    <w:name w:val="toc 2"/>
    <w:basedOn w:val="Normal"/>
    <w:next w:val="Normal"/>
    <w:autoRedefine/>
    <w:uiPriority w:val="39"/>
    <w:unhideWhenUsed/>
    <w:rsid w:val="00D634ED"/>
    <w:pPr>
      <w:tabs>
        <w:tab w:val="clear" w:pos="567"/>
      </w:tabs>
      <w:spacing w:after="100"/>
      <w:ind w:left="200"/>
    </w:pPr>
  </w:style>
  <w:style w:type="paragraph" w:styleId="TOC3">
    <w:name w:val="toc 3"/>
    <w:basedOn w:val="Normal"/>
    <w:next w:val="Normal"/>
    <w:autoRedefine/>
    <w:uiPriority w:val="39"/>
    <w:unhideWhenUsed/>
    <w:rsid w:val="00D634ED"/>
    <w:pPr>
      <w:tabs>
        <w:tab w:val="clear" w:pos="567"/>
      </w:tabs>
      <w:spacing w:after="100"/>
      <w:ind w:left="400"/>
    </w:pPr>
  </w:style>
  <w:style w:type="paragraph" w:styleId="Subtitle">
    <w:name w:val="Subtitle"/>
    <w:basedOn w:val="Normal"/>
    <w:next w:val="Normal"/>
    <w:link w:val="SubtitleChar"/>
    <w:uiPriority w:val="11"/>
    <w:qFormat/>
    <w:rsid w:val="00D40D63"/>
    <w:pPr>
      <w:numPr>
        <w:ilvl w:val="1"/>
      </w:numPr>
      <w:spacing w:after="160"/>
    </w:pPr>
    <w:rPr>
      <w:rFonts w:asciiTheme="minorHAnsi" w:eastAsiaTheme="minorEastAsia" w:hAnsiTheme="minorHAnsi"/>
      <w:color w:val="00AAF3" w:themeColor="text1" w:themeTint="A5"/>
      <w:spacing w:val="15"/>
      <w:sz w:val="22"/>
    </w:rPr>
  </w:style>
  <w:style w:type="character" w:customStyle="1" w:styleId="SubtitleChar">
    <w:name w:val="Subtitle Char"/>
    <w:basedOn w:val="DefaultParagraphFont"/>
    <w:link w:val="Subtitle"/>
    <w:uiPriority w:val="11"/>
    <w:rsid w:val="00D40D63"/>
    <w:rPr>
      <w:rFonts w:eastAsiaTheme="minorEastAsia"/>
      <w:color w:val="00AAF3" w:themeColor="text1" w:themeTint="A5"/>
      <w:spacing w:val="15"/>
      <w:sz w:val="22"/>
      <w:szCs w:val="22"/>
    </w:rPr>
  </w:style>
  <w:style w:type="character" w:styleId="SubtleReference">
    <w:name w:val="Subtle Reference"/>
    <w:basedOn w:val="DefaultParagraphFont"/>
    <w:uiPriority w:val="31"/>
    <w:qFormat/>
    <w:rsid w:val="00D40D63"/>
    <w:rPr>
      <w:smallCaps/>
      <w:color w:val="00AAF3" w:themeColor="text1" w:themeTint="A5"/>
    </w:rPr>
  </w:style>
  <w:style w:type="character" w:styleId="IntenseReference">
    <w:name w:val="Intense Reference"/>
    <w:basedOn w:val="DefaultParagraphFont"/>
    <w:uiPriority w:val="32"/>
    <w:qFormat/>
    <w:rsid w:val="00D40D63"/>
    <w:rPr>
      <w:b/>
      <w:bCs/>
      <w:smallCaps/>
      <w:color w:val="004563" w:themeColor="accent1"/>
      <w:spacing w:val="5"/>
    </w:rPr>
  </w:style>
  <w:style w:type="character" w:styleId="BookTitle">
    <w:name w:val="Book Title"/>
    <w:basedOn w:val="DefaultParagraphFont"/>
    <w:uiPriority w:val="33"/>
    <w:qFormat/>
    <w:rsid w:val="00D40D63"/>
    <w:rPr>
      <w:b/>
      <w:bCs/>
      <w:i/>
      <w:iCs/>
      <w:spacing w:val="5"/>
    </w:rPr>
  </w:style>
  <w:style w:type="character" w:styleId="Strong">
    <w:name w:val="Strong"/>
    <w:basedOn w:val="DefaultParagraphFont"/>
    <w:uiPriority w:val="22"/>
    <w:qFormat/>
    <w:rsid w:val="00D40D63"/>
    <w:rPr>
      <w:b/>
      <w:bCs/>
    </w:rPr>
  </w:style>
  <w:style w:type="character" w:styleId="IntenseEmphasis">
    <w:name w:val="Intense Emphasis"/>
    <w:basedOn w:val="DefaultParagraphFont"/>
    <w:uiPriority w:val="21"/>
    <w:qFormat/>
    <w:rsid w:val="00D40D63"/>
    <w:rPr>
      <w:i/>
      <w:iCs/>
      <w:color w:val="004563" w:themeColor="accent1"/>
    </w:rPr>
  </w:style>
  <w:style w:type="character" w:styleId="Emphasis">
    <w:name w:val="Emphasis"/>
    <w:basedOn w:val="DefaultParagraphFont"/>
    <w:uiPriority w:val="20"/>
    <w:qFormat/>
    <w:rsid w:val="00D40D63"/>
    <w:rPr>
      <w:i/>
      <w:iCs/>
    </w:rPr>
  </w:style>
  <w:style w:type="character" w:styleId="SubtleEmphasis">
    <w:name w:val="Subtle Emphasis"/>
    <w:basedOn w:val="DefaultParagraphFont"/>
    <w:uiPriority w:val="19"/>
    <w:qFormat/>
    <w:rsid w:val="00D40D63"/>
    <w:rPr>
      <w:i/>
      <w:iCs/>
      <w:color w:val="008DC9" w:themeColor="text1" w:themeTint="BF"/>
    </w:rPr>
  </w:style>
  <w:style w:type="paragraph" w:styleId="Title">
    <w:name w:val="Title"/>
    <w:basedOn w:val="Normal"/>
    <w:next w:val="Normal"/>
    <w:link w:val="TitleChar"/>
    <w:uiPriority w:val="10"/>
    <w:qFormat/>
    <w:rsid w:val="00D40D63"/>
    <w:pPr>
      <w:spacing w:before="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40D63"/>
    <w:rPr>
      <w:rFonts w:asciiTheme="majorHAnsi" w:eastAsiaTheme="majorEastAsia" w:hAnsiTheme="majorHAnsi" w:cstheme="majorBidi"/>
      <w:spacing w:val="-10"/>
      <w:kern w:val="28"/>
      <w:sz w:val="56"/>
      <w:szCs w:val="56"/>
    </w:rPr>
  </w:style>
  <w:style w:type="character" w:customStyle="1" w:styleId="Heading4Char">
    <w:name w:val="Heading 4 Char"/>
    <w:basedOn w:val="DefaultParagraphFont"/>
    <w:link w:val="Heading4"/>
    <w:uiPriority w:val="9"/>
    <w:rsid w:val="00F60F21"/>
    <w:rPr>
      <w:rFonts w:ascii="Open Sans Semibold" w:eastAsiaTheme="majorEastAsia" w:hAnsi="Open Sans Semibold" w:cstheme="majorBidi"/>
      <w:iCs/>
      <w:sz w:val="19"/>
      <w:szCs w:val="22"/>
    </w:rPr>
  </w:style>
  <w:style w:type="character" w:customStyle="1" w:styleId="Heading5Char">
    <w:name w:val="Heading 5 Char"/>
    <w:basedOn w:val="DefaultParagraphFont"/>
    <w:link w:val="Heading5"/>
    <w:uiPriority w:val="9"/>
    <w:rsid w:val="00D40D63"/>
    <w:rPr>
      <w:rFonts w:asciiTheme="majorHAnsi" w:eastAsiaTheme="majorEastAsia" w:hAnsiTheme="majorHAnsi" w:cstheme="majorBidi"/>
      <w:color w:val="00334A" w:themeColor="accent1" w:themeShade="BF"/>
      <w:sz w:val="20"/>
      <w:szCs w:val="22"/>
    </w:rPr>
  </w:style>
  <w:style w:type="character" w:customStyle="1" w:styleId="Heading6Char">
    <w:name w:val="Heading 6 Char"/>
    <w:basedOn w:val="DefaultParagraphFont"/>
    <w:link w:val="Heading6"/>
    <w:uiPriority w:val="9"/>
    <w:rsid w:val="00D40D63"/>
    <w:rPr>
      <w:rFonts w:asciiTheme="majorHAnsi" w:eastAsiaTheme="majorEastAsia" w:hAnsiTheme="majorHAnsi" w:cstheme="majorBidi"/>
      <w:color w:val="002231" w:themeColor="accent1" w:themeShade="7F"/>
      <w:sz w:val="20"/>
      <w:szCs w:val="22"/>
    </w:rPr>
  </w:style>
  <w:style w:type="character" w:customStyle="1" w:styleId="Heading7Char">
    <w:name w:val="Heading 7 Char"/>
    <w:basedOn w:val="DefaultParagraphFont"/>
    <w:link w:val="Heading7"/>
    <w:uiPriority w:val="9"/>
    <w:rsid w:val="00D40D63"/>
    <w:rPr>
      <w:rFonts w:asciiTheme="majorHAnsi" w:eastAsiaTheme="majorEastAsia" w:hAnsiTheme="majorHAnsi" w:cstheme="majorBidi"/>
      <w:i/>
      <w:iCs/>
      <w:color w:val="002231" w:themeColor="accent1" w:themeShade="7F"/>
      <w:sz w:val="20"/>
      <w:szCs w:val="22"/>
    </w:rPr>
  </w:style>
  <w:style w:type="character" w:customStyle="1" w:styleId="Heading8Char">
    <w:name w:val="Heading 8 Char"/>
    <w:basedOn w:val="DefaultParagraphFont"/>
    <w:link w:val="Heading8"/>
    <w:uiPriority w:val="9"/>
    <w:rsid w:val="00D40D63"/>
    <w:rPr>
      <w:rFonts w:asciiTheme="majorHAnsi" w:eastAsiaTheme="majorEastAsia" w:hAnsiTheme="majorHAnsi" w:cstheme="majorBidi"/>
      <w:color w:val="0071A1" w:themeColor="text1" w:themeTint="D8"/>
      <w:sz w:val="21"/>
      <w:szCs w:val="21"/>
    </w:rPr>
  </w:style>
  <w:style w:type="character" w:customStyle="1" w:styleId="Heading9Char">
    <w:name w:val="Heading 9 Char"/>
    <w:basedOn w:val="DefaultParagraphFont"/>
    <w:link w:val="Heading9"/>
    <w:uiPriority w:val="9"/>
    <w:rsid w:val="00D40D63"/>
    <w:rPr>
      <w:rFonts w:asciiTheme="majorHAnsi" w:eastAsiaTheme="majorEastAsia" w:hAnsiTheme="majorHAnsi" w:cstheme="majorBidi"/>
      <w:i/>
      <w:iCs/>
      <w:color w:val="0071A1" w:themeColor="text1" w:themeTint="D8"/>
      <w:sz w:val="21"/>
      <w:szCs w:val="21"/>
    </w:rPr>
  </w:style>
  <w:style w:type="paragraph" w:customStyle="1" w:styleId="CGCTableHead">
    <w:name w:val="CGC Table Head"/>
    <w:basedOn w:val="CGCBodyCopy"/>
    <w:qFormat/>
    <w:rsid w:val="005A064C"/>
    <w:pPr>
      <w:spacing w:before="160" w:after="120" w:line="240" w:lineRule="auto"/>
    </w:pPr>
    <w:rPr>
      <w:rFonts w:ascii="Work Sans SemiBold" w:hAnsi="Work Sans SemiBold"/>
      <w:bCs/>
    </w:rPr>
  </w:style>
  <w:style w:type="paragraph" w:customStyle="1" w:styleId="Tableheading">
    <w:name w:val="Table heading"/>
    <w:basedOn w:val="BodyText"/>
    <w:rsid w:val="005A064C"/>
    <w:pPr>
      <w:spacing w:before="160" w:after="120" w:line="240" w:lineRule="auto"/>
    </w:pPr>
    <w:rPr>
      <w:rFonts w:ascii="Work Sans SemiBold" w:hAnsi="Work Sans SemiBold"/>
    </w:rPr>
  </w:style>
  <w:style w:type="paragraph" w:customStyle="1" w:styleId="Tablefootnote">
    <w:name w:val="Table footnote"/>
    <w:basedOn w:val="CGCTablenote"/>
    <w:next w:val="BodyText"/>
    <w:rsid w:val="006D6A98"/>
  </w:style>
  <w:style w:type="paragraph" w:styleId="ListBullet">
    <w:name w:val="List Bullet"/>
    <w:basedOn w:val="Normal"/>
    <w:uiPriority w:val="99"/>
    <w:unhideWhenUsed/>
    <w:rsid w:val="00497C68"/>
    <w:pPr>
      <w:numPr>
        <w:numId w:val="5"/>
      </w:numPr>
      <w:contextualSpacing/>
    </w:pPr>
  </w:style>
  <w:style w:type="paragraph" w:customStyle="1" w:styleId="BulletPoints">
    <w:name w:val="Bullet Points"/>
    <w:basedOn w:val="Normal"/>
    <w:qFormat/>
    <w:rsid w:val="00521024"/>
    <w:pPr>
      <w:numPr>
        <w:numId w:val="7"/>
      </w:numPr>
      <w:tabs>
        <w:tab w:val="clear" w:pos="567"/>
      </w:tabs>
      <w:spacing w:before="60" w:line="276" w:lineRule="auto"/>
      <w:ind w:left="714" w:hanging="357"/>
    </w:pPr>
    <w:rPr>
      <w:rFonts w:eastAsia="Calibri" w:cs="Arial"/>
    </w:rPr>
  </w:style>
  <w:style w:type="paragraph" w:customStyle="1" w:styleId="BulletPoints-Level2">
    <w:name w:val="Bullet Points - Level 2"/>
    <w:basedOn w:val="Normal"/>
    <w:next w:val="BulletPoints"/>
    <w:rsid w:val="00492545"/>
    <w:pPr>
      <w:numPr>
        <w:numId w:val="8"/>
      </w:numPr>
    </w:pPr>
  </w:style>
  <w:style w:type="character" w:styleId="CommentReference">
    <w:name w:val="annotation reference"/>
    <w:basedOn w:val="DefaultParagraphFont"/>
    <w:uiPriority w:val="99"/>
    <w:semiHidden/>
    <w:unhideWhenUsed/>
    <w:rsid w:val="009C39BC"/>
    <w:rPr>
      <w:sz w:val="16"/>
      <w:szCs w:val="16"/>
    </w:rPr>
  </w:style>
  <w:style w:type="paragraph" w:styleId="CommentText">
    <w:name w:val="annotation text"/>
    <w:basedOn w:val="Normal"/>
    <w:link w:val="CommentTextChar"/>
    <w:uiPriority w:val="99"/>
    <w:unhideWhenUsed/>
    <w:rsid w:val="009C39BC"/>
    <w:pPr>
      <w:spacing w:line="240" w:lineRule="auto"/>
    </w:pPr>
    <w:rPr>
      <w:szCs w:val="20"/>
    </w:rPr>
  </w:style>
  <w:style w:type="character" w:customStyle="1" w:styleId="CommentTextChar">
    <w:name w:val="Comment Text Char"/>
    <w:basedOn w:val="DefaultParagraphFont"/>
    <w:link w:val="CommentText"/>
    <w:uiPriority w:val="99"/>
    <w:rsid w:val="009C39BC"/>
    <w:rPr>
      <w:rFonts w:ascii="Work Sans" w:hAnsi="Work Sans"/>
      <w:sz w:val="20"/>
      <w:szCs w:val="20"/>
    </w:rPr>
  </w:style>
  <w:style w:type="paragraph" w:styleId="CommentSubject">
    <w:name w:val="annotation subject"/>
    <w:basedOn w:val="CommentText"/>
    <w:next w:val="CommentText"/>
    <w:link w:val="CommentSubjectChar"/>
    <w:uiPriority w:val="99"/>
    <w:semiHidden/>
    <w:unhideWhenUsed/>
    <w:rsid w:val="009C39BC"/>
    <w:rPr>
      <w:b/>
      <w:bCs/>
    </w:rPr>
  </w:style>
  <w:style w:type="character" w:customStyle="1" w:styleId="CommentSubjectChar">
    <w:name w:val="Comment Subject Char"/>
    <w:basedOn w:val="CommentTextChar"/>
    <w:link w:val="CommentSubject"/>
    <w:uiPriority w:val="99"/>
    <w:semiHidden/>
    <w:rsid w:val="009C39BC"/>
    <w:rPr>
      <w:rFonts w:ascii="Work Sans" w:hAnsi="Work Sans"/>
      <w:b/>
      <w:bCs/>
      <w:sz w:val="20"/>
      <w:szCs w:val="20"/>
    </w:rPr>
  </w:style>
  <w:style w:type="character" w:styleId="Mention">
    <w:name w:val="Mention"/>
    <w:basedOn w:val="DefaultParagraphFont"/>
    <w:uiPriority w:val="99"/>
    <w:unhideWhenUsed/>
    <w:rsid w:val="009C39BC"/>
    <w:rPr>
      <w:color w:val="2B579A"/>
      <w:shd w:val="clear" w:color="auto" w:fill="E1DFDD"/>
    </w:rPr>
  </w:style>
  <w:style w:type="character" w:customStyle="1" w:styleId="ui-provider">
    <w:name w:val="ui-provider"/>
    <w:basedOn w:val="DefaultParagraphFont"/>
    <w:rsid w:val="000D06E3"/>
  </w:style>
  <w:style w:type="paragraph" w:styleId="Revision">
    <w:name w:val="Revision"/>
    <w:hidden/>
    <w:uiPriority w:val="99"/>
    <w:semiHidden/>
    <w:rsid w:val="00832D95"/>
    <w:rPr>
      <w:rFonts w:ascii="Work Sans" w:hAnsi="Work Sans"/>
      <w:sz w:val="20"/>
      <w:szCs w:val="22"/>
    </w:rPr>
  </w:style>
  <w:style w:type="character" w:customStyle="1" w:styleId="cf01">
    <w:name w:val="cf01"/>
    <w:basedOn w:val="DefaultParagraphFont"/>
    <w:rsid w:val="00832D95"/>
    <w:rPr>
      <w:rFonts w:ascii="Segoe UI" w:hAnsi="Segoe UI" w:cs="Segoe UI" w:hint="default"/>
      <w:sz w:val="18"/>
      <w:szCs w:val="18"/>
    </w:rPr>
  </w:style>
  <w:style w:type="character" w:styleId="FollowedHyperlink">
    <w:name w:val="FollowedHyperlink"/>
    <w:basedOn w:val="DefaultParagraphFont"/>
    <w:uiPriority w:val="99"/>
    <w:semiHidden/>
    <w:unhideWhenUsed/>
    <w:rsid w:val="00012175"/>
    <w:rPr>
      <w:color w:val="93EA9E" w:themeColor="followedHyperlink"/>
      <w:u w:val="single"/>
    </w:rPr>
  </w:style>
  <w:style w:type="paragraph" w:customStyle="1" w:styleId="Footer1">
    <w:name w:val="Footer 1"/>
    <w:basedOn w:val="Normal"/>
    <w:qFormat/>
    <w:rsid w:val="001A4E47"/>
    <w:pPr>
      <w:spacing w:before="0"/>
      <w:jc w:val="both"/>
    </w:pPr>
    <w:rPr>
      <w:rFonts w:cs="Open Sans Light"/>
      <w:color w:val="000000"/>
      <w:sz w:val="14"/>
      <w:szCs w:val="16"/>
      <w:shd w:val="clear" w:color="auto" w:fill="FFFFFF"/>
    </w:rPr>
  </w:style>
  <w:style w:type="paragraph" w:customStyle="1" w:styleId="ListNumberedlvl1">
    <w:name w:val="List Numbered lvl 1"/>
    <w:basedOn w:val="Normal"/>
    <w:qFormat/>
    <w:rsid w:val="0062232B"/>
    <w:pPr>
      <w:numPr>
        <w:numId w:val="31"/>
      </w:numPr>
      <w:tabs>
        <w:tab w:val="clear" w:pos="567"/>
      </w:tabs>
      <w:spacing w:after="120" w:line="312" w:lineRule="auto"/>
    </w:pPr>
    <w:rPr>
      <w:rFonts w:eastAsia="Calibri" w:cs="Arial"/>
    </w:rPr>
  </w:style>
  <w:style w:type="paragraph" w:customStyle="1" w:styleId="ListNumberedlvl2">
    <w:name w:val="List Numbered lvl 2"/>
    <w:basedOn w:val="Normal"/>
    <w:qFormat/>
    <w:rsid w:val="0062232B"/>
    <w:pPr>
      <w:numPr>
        <w:ilvl w:val="1"/>
        <w:numId w:val="31"/>
      </w:numPr>
      <w:tabs>
        <w:tab w:val="clear" w:pos="567"/>
      </w:tabs>
      <w:spacing w:after="120" w:line="312" w:lineRule="auto"/>
    </w:pPr>
    <w:rPr>
      <w:rFonts w:eastAsia="Calibri" w:cs="Arial"/>
    </w:rPr>
  </w:style>
  <w:style w:type="paragraph" w:customStyle="1" w:styleId="ListNumberedlvl3">
    <w:name w:val="List Numbered lvl 3"/>
    <w:basedOn w:val="Normal"/>
    <w:qFormat/>
    <w:rsid w:val="0062232B"/>
    <w:pPr>
      <w:numPr>
        <w:ilvl w:val="2"/>
        <w:numId w:val="31"/>
      </w:numPr>
      <w:tabs>
        <w:tab w:val="clear" w:pos="567"/>
      </w:tabs>
      <w:spacing w:after="120" w:line="312" w:lineRule="auto"/>
    </w:pPr>
    <w:rPr>
      <w:rFonts w:eastAsia="Calibri" w:cs="Arial"/>
    </w:rPr>
  </w:style>
  <w:style w:type="paragraph" w:customStyle="1" w:styleId="ListNumberedlvl4">
    <w:name w:val="List Numbered lvl 4"/>
    <w:basedOn w:val="Normal"/>
    <w:qFormat/>
    <w:rsid w:val="0062232B"/>
    <w:pPr>
      <w:numPr>
        <w:ilvl w:val="3"/>
        <w:numId w:val="31"/>
      </w:numPr>
      <w:tabs>
        <w:tab w:val="clear" w:pos="567"/>
      </w:tabs>
      <w:spacing w:after="120" w:line="312" w:lineRule="auto"/>
    </w:pPr>
    <w:rPr>
      <w:rFonts w:eastAsia="Calibri" w:cs="Arial"/>
    </w:rPr>
  </w:style>
  <w:style w:type="paragraph" w:customStyle="1" w:styleId="ListNumberedlvl5">
    <w:name w:val="List Numbered lvl 5"/>
    <w:basedOn w:val="Normal"/>
    <w:qFormat/>
    <w:rsid w:val="0062232B"/>
    <w:pPr>
      <w:numPr>
        <w:ilvl w:val="4"/>
        <w:numId w:val="31"/>
      </w:numPr>
      <w:tabs>
        <w:tab w:val="clear" w:pos="567"/>
      </w:tabs>
      <w:spacing w:after="120" w:line="312" w:lineRule="auto"/>
    </w:pPr>
    <w:rPr>
      <w:rFonts w:eastAsia="Calibri" w:cs="Arial"/>
    </w:rPr>
  </w:style>
  <w:style w:type="paragraph" w:customStyle="1" w:styleId="ListNumberedlvl6">
    <w:name w:val="List Numbered lvl 6"/>
    <w:basedOn w:val="Normal"/>
    <w:qFormat/>
    <w:rsid w:val="0062232B"/>
    <w:pPr>
      <w:numPr>
        <w:ilvl w:val="5"/>
        <w:numId w:val="31"/>
      </w:numPr>
      <w:tabs>
        <w:tab w:val="clear" w:pos="567"/>
      </w:tabs>
      <w:spacing w:after="120" w:line="312" w:lineRule="auto"/>
    </w:pPr>
    <w:rPr>
      <w:rFonts w:eastAsia="Calibri" w:cs="Arial"/>
    </w:rPr>
  </w:style>
  <w:style w:type="paragraph" w:customStyle="1" w:styleId="ListNumberedlvl7">
    <w:name w:val="List Numbered lvl 7"/>
    <w:basedOn w:val="Normal"/>
    <w:qFormat/>
    <w:rsid w:val="0062232B"/>
    <w:pPr>
      <w:numPr>
        <w:ilvl w:val="6"/>
        <w:numId w:val="31"/>
      </w:numPr>
      <w:tabs>
        <w:tab w:val="clear" w:pos="567"/>
      </w:tabs>
      <w:spacing w:after="120" w:line="312" w:lineRule="auto"/>
    </w:pPr>
    <w:rPr>
      <w:rFonts w:eastAsia="Calibri" w:cs="Arial"/>
    </w:rPr>
  </w:style>
  <w:style w:type="paragraph" w:customStyle="1" w:styleId="ListNumberedlvl8">
    <w:name w:val="List Numbered lvl 8"/>
    <w:basedOn w:val="Normal"/>
    <w:qFormat/>
    <w:rsid w:val="0062232B"/>
    <w:pPr>
      <w:numPr>
        <w:ilvl w:val="7"/>
        <w:numId w:val="31"/>
      </w:numPr>
      <w:tabs>
        <w:tab w:val="clear" w:pos="567"/>
      </w:tabs>
      <w:spacing w:after="120" w:line="312" w:lineRule="auto"/>
    </w:pPr>
    <w:rPr>
      <w:rFonts w:eastAsia="Calibri" w:cs="Arial"/>
    </w:rPr>
  </w:style>
  <w:style w:type="paragraph" w:customStyle="1" w:styleId="ListNumberedlvl9">
    <w:name w:val="List Numbered lvl 9"/>
    <w:basedOn w:val="Normal"/>
    <w:qFormat/>
    <w:rsid w:val="0062232B"/>
    <w:pPr>
      <w:numPr>
        <w:ilvl w:val="8"/>
        <w:numId w:val="31"/>
      </w:numPr>
      <w:tabs>
        <w:tab w:val="clear" w:pos="567"/>
      </w:tabs>
      <w:spacing w:after="120" w:line="312" w:lineRule="auto"/>
    </w:pPr>
    <w:rPr>
      <w:rFonts w:eastAsia="Calibri"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81123">
      <w:bodyDiv w:val="1"/>
      <w:marLeft w:val="0"/>
      <w:marRight w:val="0"/>
      <w:marTop w:val="0"/>
      <w:marBottom w:val="0"/>
      <w:divBdr>
        <w:top w:val="none" w:sz="0" w:space="0" w:color="auto"/>
        <w:left w:val="none" w:sz="0" w:space="0" w:color="auto"/>
        <w:bottom w:val="none" w:sz="0" w:space="0" w:color="auto"/>
        <w:right w:val="none" w:sz="0" w:space="0" w:color="auto"/>
      </w:divBdr>
    </w:div>
    <w:div w:id="25833843">
      <w:bodyDiv w:val="1"/>
      <w:marLeft w:val="0"/>
      <w:marRight w:val="0"/>
      <w:marTop w:val="0"/>
      <w:marBottom w:val="0"/>
      <w:divBdr>
        <w:top w:val="none" w:sz="0" w:space="0" w:color="auto"/>
        <w:left w:val="none" w:sz="0" w:space="0" w:color="auto"/>
        <w:bottom w:val="none" w:sz="0" w:space="0" w:color="auto"/>
        <w:right w:val="none" w:sz="0" w:space="0" w:color="auto"/>
      </w:divBdr>
    </w:div>
    <w:div w:id="34737901">
      <w:bodyDiv w:val="1"/>
      <w:marLeft w:val="0"/>
      <w:marRight w:val="0"/>
      <w:marTop w:val="0"/>
      <w:marBottom w:val="0"/>
      <w:divBdr>
        <w:top w:val="none" w:sz="0" w:space="0" w:color="auto"/>
        <w:left w:val="none" w:sz="0" w:space="0" w:color="auto"/>
        <w:bottom w:val="none" w:sz="0" w:space="0" w:color="auto"/>
        <w:right w:val="none" w:sz="0" w:space="0" w:color="auto"/>
      </w:divBdr>
    </w:div>
    <w:div w:id="55318380">
      <w:bodyDiv w:val="1"/>
      <w:marLeft w:val="0"/>
      <w:marRight w:val="0"/>
      <w:marTop w:val="0"/>
      <w:marBottom w:val="0"/>
      <w:divBdr>
        <w:top w:val="none" w:sz="0" w:space="0" w:color="auto"/>
        <w:left w:val="none" w:sz="0" w:space="0" w:color="auto"/>
        <w:bottom w:val="none" w:sz="0" w:space="0" w:color="auto"/>
        <w:right w:val="none" w:sz="0" w:space="0" w:color="auto"/>
      </w:divBdr>
    </w:div>
    <w:div w:id="75634793">
      <w:bodyDiv w:val="1"/>
      <w:marLeft w:val="0"/>
      <w:marRight w:val="0"/>
      <w:marTop w:val="0"/>
      <w:marBottom w:val="0"/>
      <w:divBdr>
        <w:top w:val="none" w:sz="0" w:space="0" w:color="auto"/>
        <w:left w:val="none" w:sz="0" w:space="0" w:color="auto"/>
        <w:bottom w:val="none" w:sz="0" w:space="0" w:color="auto"/>
        <w:right w:val="none" w:sz="0" w:space="0" w:color="auto"/>
      </w:divBdr>
    </w:div>
    <w:div w:id="142359282">
      <w:bodyDiv w:val="1"/>
      <w:marLeft w:val="0"/>
      <w:marRight w:val="0"/>
      <w:marTop w:val="0"/>
      <w:marBottom w:val="0"/>
      <w:divBdr>
        <w:top w:val="none" w:sz="0" w:space="0" w:color="auto"/>
        <w:left w:val="none" w:sz="0" w:space="0" w:color="auto"/>
        <w:bottom w:val="none" w:sz="0" w:space="0" w:color="auto"/>
        <w:right w:val="none" w:sz="0" w:space="0" w:color="auto"/>
      </w:divBdr>
    </w:div>
    <w:div w:id="151218371">
      <w:bodyDiv w:val="1"/>
      <w:marLeft w:val="0"/>
      <w:marRight w:val="0"/>
      <w:marTop w:val="0"/>
      <w:marBottom w:val="0"/>
      <w:divBdr>
        <w:top w:val="none" w:sz="0" w:space="0" w:color="auto"/>
        <w:left w:val="none" w:sz="0" w:space="0" w:color="auto"/>
        <w:bottom w:val="none" w:sz="0" w:space="0" w:color="auto"/>
        <w:right w:val="none" w:sz="0" w:space="0" w:color="auto"/>
      </w:divBdr>
    </w:div>
    <w:div w:id="193271925">
      <w:bodyDiv w:val="1"/>
      <w:marLeft w:val="0"/>
      <w:marRight w:val="0"/>
      <w:marTop w:val="0"/>
      <w:marBottom w:val="0"/>
      <w:divBdr>
        <w:top w:val="none" w:sz="0" w:space="0" w:color="auto"/>
        <w:left w:val="none" w:sz="0" w:space="0" w:color="auto"/>
        <w:bottom w:val="none" w:sz="0" w:space="0" w:color="auto"/>
        <w:right w:val="none" w:sz="0" w:space="0" w:color="auto"/>
      </w:divBdr>
    </w:div>
    <w:div w:id="220406586">
      <w:bodyDiv w:val="1"/>
      <w:marLeft w:val="0"/>
      <w:marRight w:val="0"/>
      <w:marTop w:val="0"/>
      <w:marBottom w:val="0"/>
      <w:divBdr>
        <w:top w:val="none" w:sz="0" w:space="0" w:color="auto"/>
        <w:left w:val="none" w:sz="0" w:space="0" w:color="auto"/>
        <w:bottom w:val="none" w:sz="0" w:space="0" w:color="auto"/>
        <w:right w:val="none" w:sz="0" w:space="0" w:color="auto"/>
      </w:divBdr>
    </w:div>
    <w:div w:id="220949614">
      <w:bodyDiv w:val="1"/>
      <w:marLeft w:val="0"/>
      <w:marRight w:val="0"/>
      <w:marTop w:val="0"/>
      <w:marBottom w:val="0"/>
      <w:divBdr>
        <w:top w:val="none" w:sz="0" w:space="0" w:color="auto"/>
        <w:left w:val="none" w:sz="0" w:space="0" w:color="auto"/>
        <w:bottom w:val="none" w:sz="0" w:space="0" w:color="auto"/>
        <w:right w:val="none" w:sz="0" w:space="0" w:color="auto"/>
      </w:divBdr>
    </w:div>
    <w:div w:id="290745327">
      <w:bodyDiv w:val="1"/>
      <w:marLeft w:val="0"/>
      <w:marRight w:val="0"/>
      <w:marTop w:val="0"/>
      <w:marBottom w:val="0"/>
      <w:divBdr>
        <w:top w:val="none" w:sz="0" w:space="0" w:color="auto"/>
        <w:left w:val="none" w:sz="0" w:space="0" w:color="auto"/>
        <w:bottom w:val="none" w:sz="0" w:space="0" w:color="auto"/>
        <w:right w:val="none" w:sz="0" w:space="0" w:color="auto"/>
      </w:divBdr>
    </w:div>
    <w:div w:id="308167024">
      <w:bodyDiv w:val="1"/>
      <w:marLeft w:val="0"/>
      <w:marRight w:val="0"/>
      <w:marTop w:val="0"/>
      <w:marBottom w:val="0"/>
      <w:divBdr>
        <w:top w:val="none" w:sz="0" w:space="0" w:color="auto"/>
        <w:left w:val="none" w:sz="0" w:space="0" w:color="auto"/>
        <w:bottom w:val="none" w:sz="0" w:space="0" w:color="auto"/>
        <w:right w:val="none" w:sz="0" w:space="0" w:color="auto"/>
      </w:divBdr>
    </w:div>
    <w:div w:id="325480847">
      <w:bodyDiv w:val="1"/>
      <w:marLeft w:val="0"/>
      <w:marRight w:val="0"/>
      <w:marTop w:val="0"/>
      <w:marBottom w:val="0"/>
      <w:divBdr>
        <w:top w:val="none" w:sz="0" w:space="0" w:color="auto"/>
        <w:left w:val="none" w:sz="0" w:space="0" w:color="auto"/>
        <w:bottom w:val="none" w:sz="0" w:space="0" w:color="auto"/>
        <w:right w:val="none" w:sz="0" w:space="0" w:color="auto"/>
      </w:divBdr>
    </w:div>
    <w:div w:id="344678003">
      <w:bodyDiv w:val="1"/>
      <w:marLeft w:val="0"/>
      <w:marRight w:val="0"/>
      <w:marTop w:val="0"/>
      <w:marBottom w:val="0"/>
      <w:divBdr>
        <w:top w:val="none" w:sz="0" w:space="0" w:color="auto"/>
        <w:left w:val="none" w:sz="0" w:space="0" w:color="auto"/>
        <w:bottom w:val="none" w:sz="0" w:space="0" w:color="auto"/>
        <w:right w:val="none" w:sz="0" w:space="0" w:color="auto"/>
      </w:divBdr>
    </w:div>
    <w:div w:id="350226886">
      <w:bodyDiv w:val="1"/>
      <w:marLeft w:val="0"/>
      <w:marRight w:val="0"/>
      <w:marTop w:val="0"/>
      <w:marBottom w:val="0"/>
      <w:divBdr>
        <w:top w:val="none" w:sz="0" w:space="0" w:color="auto"/>
        <w:left w:val="none" w:sz="0" w:space="0" w:color="auto"/>
        <w:bottom w:val="none" w:sz="0" w:space="0" w:color="auto"/>
        <w:right w:val="none" w:sz="0" w:space="0" w:color="auto"/>
      </w:divBdr>
    </w:div>
    <w:div w:id="372971316">
      <w:bodyDiv w:val="1"/>
      <w:marLeft w:val="0"/>
      <w:marRight w:val="0"/>
      <w:marTop w:val="0"/>
      <w:marBottom w:val="0"/>
      <w:divBdr>
        <w:top w:val="none" w:sz="0" w:space="0" w:color="auto"/>
        <w:left w:val="none" w:sz="0" w:space="0" w:color="auto"/>
        <w:bottom w:val="none" w:sz="0" w:space="0" w:color="auto"/>
        <w:right w:val="none" w:sz="0" w:space="0" w:color="auto"/>
      </w:divBdr>
    </w:div>
    <w:div w:id="412048395">
      <w:bodyDiv w:val="1"/>
      <w:marLeft w:val="0"/>
      <w:marRight w:val="0"/>
      <w:marTop w:val="0"/>
      <w:marBottom w:val="0"/>
      <w:divBdr>
        <w:top w:val="none" w:sz="0" w:space="0" w:color="auto"/>
        <w:left w:val="none" w:sz="0" w:space="0" w:color="auto"/>
        <w:bottom w:val="none" w:sz="0" w:space="0" w:color="auto"/>
        <w:right w:val="none" w:sz="0" w:space="0" w:color="auto"/>
      </w:divBdr>
    </w:div>
    <w:div w:id="454954924">
      <w:bodyDiv w:val="1"/>
      <w:marLeft w:val="0"/>
      <w:marRight w:val="0"/>
      <w:marTop w:val="0"/>
      <w:marBottom w:val="0"/>
      <w:divBdr>
        <w:top w:val="none" w:sz="0" w:space="0" w:color="auto"/>
        <w:left w:val="none" w:sz="0" w:space="0" w:color="auto"/>
        <w:bottom w:val="none" w:sz="0" w:space="0" w:color="auto"/>
        <w:right w:val="none" w:sz="0" w:space="0" w:color="auto"/>
      </w:divBdr>
    </w:div>
    <w:div w:id="455609304">
      <w:bodyDiv w:val="1"/>
      <w:marLeft w:val="0"/>
      <w:marRight w:val="0"/>
      <w:marTop w:val="0"/>
      <w:marBottom w:val="0"/>
      <w:divBdr>
        <w:top w:val="none" w:sz="0" w:space="0" w:color="auto"/>
        <w:left w:val="none" w:sz="0" w:space="0" w:color="auto"/>
        <w:bottom w:val="none" w:sz="0" w:space="0" w:color="auto"/>
        <w:right w:val="none" w:sz="0" w:space="0" w:color="auto"/>
      </w:divBdr>
    </w:div>
    <w:div w:id="460224664">
      <w:bodyDiv w:val="1"/>
      <w:marLeft w:val="0"/>
      <w:marRight w:val="0"/>
      <w:marTop w:val="0"/>
      <w:marBottom w:val="0"/>
      <w:divBdr>
        <w:top w:val="none" w:sz="0" w:space="0" w:color="auto"/>
        <w:left w:val="none" w:sz="0" w:space="0" w:color="auto"/>
        <w:bottom w:val="none" w:sz="0" w:space="0" w:color="auto"/>
        <w:right w:val="none" w:sz="0" w:space="0" w:color="auto"/>
      </w:divBdr>
    </w:div>
    <w:div w:id="463042362">
      <w:bodyDiv w:val="1"/>
      <w:marLeft w:val="0"/>
      <w:marRight w:val="0"/>
      <w:marTop w:val="0"/>
      <w:marBottom w:val="0"/>
      <w:divBdr>
        <w:top w:val="none" w:sz="0" w:space="0" w:color="auto"/>
        <w:left w:val="none" w:sz="0" w:space="0" w:color="auto"/>
        <w:bottom w:val="none" w:sz="0" w:space="0" w:color="auto"/>
        <w:right w:val="none" w:sz="0" w:space="0" w:color="auto"/>
      </w:divBdr>
    </w:div>
    <w:div w:id="463427489">
      <w:bodyDiv w:val="1"/>
      <w:marLeft w:val="0"/>
      <w:marRight w:val="0"/>
      <w:marTop w:val="0"/>
      <w:marBottom w:val="0"/>
      <w:divBdr>
        <w:top w:val="none" w:sz="0" w:space="0" w:color="auto"/>
        <w:left w:val="none" w:sz="0" w:space="0" w:color="auto"/>
        <w:bottom w:val="none" w:sz="0" w:space="0" w:color="auto"/>
        <w:right w:val="none" w:sz="0" w:space="0" w:color="auto"/>
      </w:divBdr>
    </w:div>
    <w:div w:id="469708660">
      <w:bodyDiv w:val="1"/>
      <w:marLeft w:val="0"/>
      <w:marRight w:val="0"/>
      <w:marTop w:val="0"/>
      <w:marBottom w:val="0"/>
      <w:divBdr>
        <w:top w:val="none" w:sz="0" w:space="0" w:color="auto"/>
        <w:left w:val="none" w:sz="0" w:space="0" w:color="auto"/>
        <w:bottom w:val="none" w:sz="0" w:space="0" w:color="auto"/>
        <w:right w:val="none" w:sz="0" w:space="0" w:color="auto"/>
      </w:divBdr>
    </w:div>
    <w:div w:id="510025164">
      <w:bodyDiv w:val="1"/>
      <w:marLeft w:val="0"/>
      <w:marRight w:val="0"/>
      <w:marTop w:val="0"/>
      <w:marBottom w:val="0"/>
      <w:divBdr>
        <w:top w:val="none" w:sz="0" w:space="0" w:color="auto"/>
        <w:left w:val="none" w:sz="0" w:space="0" w:color="auto"/>
        <w:bottom w:val="none" w:sz="0" w:space="0" w:color="auto"/>
        <w:right w:val="none" w:sz="0" w:space="0" w:color="auto"/>
      </w:divBdr>
    </w:div>
    <w:div w:id="529299229">
      <w:bodyDiv w:val="1"/>
      <w:marLeft w:val="0"/>
      <w:marRight w:val="0"/>
      <w:marTop w:val="0"/>
      <w:marBottom w:val="0"/>
      <w:divBdr>
        <w:top w:val="none" w:sz="0" w:space="0" w:color="auto"/>
        <w:left w:val="none" w:sz="0" w:space="0" w:color="auto"/>
        <w:bottom w:val="none" w:sz="0" w:space="0" w:color="auto"/>
        <w:right w:val="none" w:sz="0" w:space="0" w:color="auto"/>
      </w:divBdr>
    </w:div>
    <w:div w:id="535431885">
      <w:bodyDiv w:val="1"/>
      <w:marLeft w:val="0"/>
      <w:marRight w:val="0"/>
      <w:marTop w:val="0"/>
      <w:marBottom w:val="0"/>
      <w:divBdr>
        <w:top w:val="none" w:sz="0" w:space="0" w:color="auto"/>
        <w:left w:val="none" w:sz="0" w:space="0" w:color="auto"/>
        <w:bottom w:val="none" w:sz="0" w:space="0" w:color="auto"/>
        <w:right w:val="none" w:sz="0" w:space="0" w:color="auto"/>
      </w:divBdr>
    </w:div>
    <w:div w:id="555316797">
      <w:bodyDiv w:val="1"/>
      <w:marLeft w:val="0"/>
      <w:marRight w:val="0"/>
      <w:marTop w:val="0"/>
      <w:marBottom w:val="0"/>
      <w:divBdr>
        <w:top w:val="none" w:sz="0" w:space="0" w:color="auto"/>
        <w:left w:val="none" w:sz="0" w:space="0" w:color="auto"/>
        <w:bottom w:val="none" w:sz="0" w:space="0" w:color="auto"/>
        <w:right w:val="none" w:sz="0" w:space="0" w:color="auto"/>
      </w:divBdr>
    </w:div>
    <w:div w:id="601453348">
      <w:bodyDiv w:val="1"/>
      <w:marLeft w:val="0"/>
      <w:marRight w:val="0"/>
      <w:marTop w:val="0"/>
      <w:marBottom w:val="0"/>
      <w:divBdr>
        <w:top w:val="none" w:sz="0" w:space="0" w:color="auto"/>
        <w:left w:val="none" w:sz="0" w:space="0" w:color="auto"/>
        <w:bottom w:val="none" w:sz="0" w:space="0" w:color="auto"/>
        <w:right w:val="none" w:sz="0" w:space="0" w:color="auto"/>
      </w:divBdr>
    </w:div>
    <w:div w:id="619804819">
      <w:bodyDiv w:val="1"/>
      <w:marLeft w:val="0"/>
      <w:marRight w:val="0"/>
      <w:marTop w:val="0"/>
      <w:marBottom w:val="0"/>
      <w:divBdr>
        <w:top w:val="none" w:sz="0" w:space="0" w:color="auto"/>
        <w:left w:val="none" w:sz="0" w:space="0" w:color="auto"/>
        <w:bottom w:val="none" w:sz="0" w:space="0" w:color="auto"/>
        <w:right w:val="none" w:sz="0" w:space="0" w:color="auto"/>
      </w:divBdr>
    </w:div>
    <w:div w:id="621574213">
      <w:bodyDiv w:val="1"/>
      <w:marLeft w:val="0"/>
      <w:marRight w:val="0"/>
      <w:marTop w:val="0"/>
      <w:marBottom w:val="0"/>
      <w:divBdr>
        <w:top w:val="none" w:sz="0" w:space="0" w:color="auto"/>
        <w:left w:val="none" w:sz="0" w:space="0" w:color="auto"/>
        <w:bottom w:val="none" w:sz="0" w:space="0" w:color="auto"/>
        <w:right w:val="none" w:sz="0" w:space="0" w:color="auto"/>
      </w:divBdr>
    </w:div>
    <w:div w:id="629214326">
      <w:bodyDiv w:val="1"/>
      <w:marLeft w:val="0"/>
      <w:marRight w:val="0"/>
      <w:marTop w:val="0"/>
      <w:marBottom w:val="0"/>
      <w:divBdr>
        <w:top w:val="none" w:sz="0" w:space="0" w:color="auto"/>
        <w:left w:val="none" w:sz="0" w:space="0" w:color="auto"/>
        <w:bottom w:val="none" w:sz="0" w:space="0" w:color="auto"/>
        <w:right w:val="none" w:sz="0" w:space="0" w:color="auto"/>
      </w:divBdr>
    </w:div>
    <w:div w:id="643659907">
      <w:bodyDiv w:val="1"/>
      <w:marLeft w:val="0"/>
      <w:marRight w:val="0"/>
      <w:marTop w:val="0"/>
      <w:marBottom w:val="0"/>
      <w:divBdr>
        <w:top w:val="none" w:sz="0" w:space="0" w:color="auto"/>
        <w:left w:val="none" w:sz="0" w:space="0" w:color="auto"/>
        <w:bottom w:val="none" w:sz="0" w:space="0" w:color="auto"/>
        <w:right w:val="none" w:sz="0" w:space="0" w:color="auto"/>
      </w:divBdr>
    </w:div>
    <w:div w:id="661935730">
      <w:bodyDiv w:val="1"/>
      <w:marLeft w:val="0"/>
      <w:marRight w:val="0"/>
      <w:marTop w:val="0"/>
      <w:marBottom w:val="0"/>
      <w:divBdr>
        <w:top w:val="none" w:sz="0" w:space="0" w:color="auto"/>
        <w:left w:val="none" w:sz="0" w:space="0" w:color="auto"/>
        <w:bottom w:val="none" w:sz="0" w:space="0" w:color="auto"/>
        <w:right w:val="none" w:sz="0" w:space="0" w:color="auto"/>
      </w:divBdr>
    </w:div>
    <w:div w:id="681787928">
      <w:bodyDiv w:val="1"/>
      <w:marLeft w:val="0"/>
      <w:marRight w:val="0"/>
      <w:marTop w:val="0"/>
      <w:marBottom w:val="0"/>
      <w:divBdr>
        <w:top w:val="none" w:sz="0" w:space="0" w:color="auto"/>
        <w:left w:val="none" w:sz="0" w:space="0" w:color="auto"/>
        <w:bottom w:val="none" w:sz="0" w:space="0" w:color="auto"/>
        <w:right w:val="none" w:sz="0" w:space="0" w:color="auto"/>
      </w:divBdr>
    </w:div>
    <w:div w:id="704134667">
      <w:bodyDiv w:val="1"/>
      <w:marLeft w:val="0"/>
      <w:marRight w:val="0"/>
      <w:marTop w:val="0"/>
      <w:marBottom w:val="0"/>
      <w:divBdr>
        <w:top w:val="none" w:sz="0" w:space="0" w:color="auto"/>
        <w:left w:val="none" w:sz="0" w:space="0" w:color="auto"/>
        <w:bottom w:val="none" w:sz="0" w:space="0" w:color="auto"/>
        <w:right w:val="none" w:sz="0" w:space="0" w:color="auto"/>
      </w:divBdr>
    </w:div>
    <w:div w:id="764038316">
      <w:bodyDiv w:val="1"/>
      <w:marLeft w:val="0"/>
      <w:marRight w:val="0"/>
      <w:marTop w:val="0"/>
      <w:marBottom w:val="0"/>
      <w:divBdr>
        <w:top w:val="none" w:sz="0" w:space="0" w:color="auto"/>
        <w:left w:val="none" w:sz="0" w:space="0" w:color="auto"/>
        <w:bottom w:val="none" w:sz="0" w:space="0" w:color="auto"/>
        <w:right w:val="none" w:sz="0" w:space="0" w:color="auto"/>
      </w:divBdr>
    </w:div>
    <w:div w:id="779030521">
      <w:bodyDiv w:val="1"/>
      <w:marLeft w:val="0"/>
      <w:marRight w:val="0"/>
      <w:marTop w:val="0"/>
      <w:marBottom w:val="0"/>
      <w:divBdr>
        <w:top w:val="none" w:sz="0" w:space="0" w:color="auto"/>
        <w:left w:val="none" w:sz="0" w:space="0" w:color="auto"/>
        <w:bottom w:val="none" w:sz="0" w:space="0" w:color="auto"/>
        <w:right w:val="none" w:sz="0" w:space="0" w:color="auto"/>
      </w:divBdr>
    </w:div>
    <w:div w:id="782967228">
      <w:bodyDiv w:val="1"/>
      <w:marLeft w:val="0"/>
      <w:marRight w:val="0"/>
      <w:marTop w:val="0"/>
      <w:marBottom w:val="0"/>
      <w:divBdr>
        <w:top w:val="none" w:sz="0" w:space="0" w:color="auto"/>
        <w:left w:val="none" w:sz="0" w:space="0" w:color="auto"/>
        <w:bottom w:val="none" w:sz="0" w:space="0" w:color="auto"/>
        <w:right w:val="none" w:sz="0" w:space="0" w:color="auto"/>
      </w:divBdr>
    </w:div>
    <w:div w:id="792402191">
      <w:bodyDiv w:val="1"/>
      <w:marLeft w:val="0"/>
      <w:marRight w:val="0"/>
      <w:marTop w:val="0"/>
      <w:marBottom w:val="0"/>
      <w:divBdr>
        <w:top w:val="none" w:sz="0" w:space="0" w:color="auto"/>
        <w:left w:val="none" w:sz="0" w:space="0" w:color="auto"/>
        <w:bottom w:val="none" w:sz="0" w:space="0" w:color="auto"/>
        <w:right w:val="none" w:sz="0" w:space="0" w:color="auto"/>
      </w:divBdr>
    </w:div>
    <w:div w:id="793056228">
      <w:bodyDiv w:val="1"/>
      <w:marLeft w:val="0"/>
      <w:marRight w:val="0"/>
      <w:marTop w:val="0"/>
      <w:marBottom w:val="0"/>
      <w:divBdr>
        <w:top w:val="none" w:sz="0" w:space="0" w:color="auto"/>
        <w:left w:val="none" w:sz="0" w:space="0" w:color="auto"/>
        <w:bottom w:val="none" w:sz="0" w:space="0" w:color="auto"/>
        <w:right w:val="none" w:sz="0" w:space="0" w:color="auto"/>
      </w:divBdr>
    </w:div>
    <w:div w:id="840655780">
      <w:bodyDiv w:val="1"/>
      <w:marLeft w:val="0"/>
      <w:marRight w:val="0"/>
      <w:marTop w:val="0"/>
      <w:marBottom w:val="0"/>
      <w:divBdr>
        <w:top w:val="none" w:sz="0" w:space="0" w:color="auto"/>
        <w:left w:val="none" w:sz="0" w:space="0" w:color="auto"/>
        <w:bottom w:val="none" w:sz="0" w:space="0" w:color="auto"/>
        <w:right w:val="none" w:sz="0" w:space="0" w:color="auto"/>
      </w:divBdr>
    </w:div>
    <w:div w:id="861556707">
      <w:bodyDiv w:val="1"/>
      <w:marLeft w:val="0"/>
      <w:marRight w:val="0"/>
      <w:marTop w:val="0"/>
      <w:marBottom w:val="0"/>
      <w:divBdr>
        <w:top w:val="none" w:sz="0" w:space="0" w:color="auto"/>
        <w:left w:val="none" w:sz="0" w:space="0" w:color="auto"/>
        <w:bottom w:val="none" w:sz="0" w:space="0" w:color="auto"/>
        <w:right w:val="none" w:sz="0" w:space="0" w:color="auto"/>
      </w:divBdr>
    </w:div>
    <w:div w:id="861826121">
      <w:bodyDiv w:val="1"/>
      <w:marLeft w:val="0"/>
      <w:marRight w:val="0"/>
      <w:marTop w:val="0"/>
      <w:marBottom w:val="0"/>
      <w:divBdr>
        <w:top w:val="none" w:sz="0" w:space="0" w:color="auto"/>
        <w:left w:val="none" w:sz="0" w:space="0" w:color="auto"/>
        <w:bottom w:val="none" w:sz="0" w:space="0" w:color="auto"/>
        <w:right w:val="none" w:sz="0" w:space="0" w:color="auto"/>
      </w:divBdr>
    </w:div>
    <w:div w:id="880702615">
      <w:bodyDiv w:val="1"/>
      <w:marLeft w:val="0"/>
      <w:marRight w:val="0"/>
      <w:marTop w:val="0"/>
      <w:marBottom w:val="0"/>
      <w:divBdr>
        <w:top w:val="none" w:sz="0" w:space="0" w:color="auto"/>
        <w:left w:val="none" w:sz="0" w:space="0" w:color="auto"/>
        <w:bottom w:val="none" w:sz="0" w:space="0" w:color="auto"/>
        <w:right w:val="none" w:sz="0" w:space="0" w:color="auto"/>
      </w:divBdr>
    </w:div>
    <w:div w:id="906305453">
      <w:bodyDiv w:val="1"/>
      <w:marLeft w:val="0"/>
      <w:marRight w:val="0"/>
      <w:marTop w:val="0"/>
      <w:marBottom w:val="0"/>
      <w:divBdr>
        <w:top w:val="none" w:sz="0" w:space="0" w:color="auto"/>
        <w:left w:val="none" w:sz="0" w:space="0" w:color="auto"/>
        <w:bottom w:val="none" w:sz="0" w:space="0" w:color="auto"/>
        <w:right w:val="none" w:sz="0" w:space="0" w:color="auto"/>
      </w:divBdr>
    </w:div>
    <w:div w:id="933705369">
      <w:bodyDiv w:val="1"/>
      <w:marLeft w:val="0"/>
      <w:marRight w:val="0"/>
      <w:marTop w:val="0"/>
      <w:marBottom w:val="0"/>
      <w:divBdr>
        <w:top w:val="none" w:sz="0" w:space="0" w:color="auto"/>
        <w:left w:val="none" w:sz="0" w:space="0" w:color="auto"/>
        <w:bottom w:val="none" w:sz="0" w:space="0" w:color="auto"/>
        <w:right w:val="none" w:sz="0" w:space="0" w:color="auto"/>
      </w:divBdr>
    </w:div>
    <w:div w:id="936598702">
      <w:bodyDiv w:val="1"/>
      <w:marLeft w:val="0"/>
      <w:marRight w:val="0"/>
      <w:marTop w:val="0"/>
      <w:marBottom w:val="0"/>
      <w:divBdr>
        <w:top w:val="none" w:sz="0" w:space="0" w:color="auto"/>
        <w:left w:val="none" w:sz="0" w:space="0" w:color="auto"/>
        <w:bottom w:val="none" w:sz="0" w:space="0" w:color="auto"/>
        <w:right w:val="none" w:sz="0" w:space="0" w:color="auto"/>
      </w:divBdr>
    </w:div>
    <w:div w:id="944384184">
      <w:bodyDiv w:val="1"/>
      <w:marLeft w:val="0"/>
      <w:marRight w:val="0"/>
      <w:marTop w:val="0"/>
      <w:marBottom w:val="0"/>
      <w:divBdr>
        <w:top w:val="none" w:sz="0" w:space="0" w:color="auto"/>
        <w:left w:val="none" w:sz="0" w:space="0" w:color="auto"/>
        <w:bottom w:val="none" w:sz="0" w:space="0" w:color="auto"/>
        <w:right w:val="none" w:sz="0" w:space="0" w:color="auto"/>
      </w:divBdr>
    </w:div>
    <w:div w:id="955988049">
      <w:bodyDiv w:val="1"/>
      <w:marLeft w:val="0"/>
      <w:marRight w:val="0"/>
      <w:marTop w:val="0"/>
      <w:marBottom w:val="0"/>
      <w:divBdr>
        <w:top w:val="none" w:sz="0" w:space="0" w:color="auto"/>
        <w:left w:val="none" w:sz="0" w:space="0" w:color="auto"/>
        <w:bottom w:val="none" w:sz="0" w:space="0" w:color="auto"/>
        <w:right w:val="none" w:sz="0" w:space="0" w:color="auto"/>
      </w:divBdr>
    </w:div>
    <w:div w:id="960841168">
      <w:bodyDiv w:val="1"/>
      <w:marLeft w:val="0"/>
      <w:marRight w:val="0"/>
      <w:marTop w:val="0"/>
      <w:marBottom w:val="0"/>
      <w:divBdr>
        <w:top w:val="none" w:sz="0" w:space="0" w:color="auto"/>
        <w:left w:val="none" w:sz="0" w:space="0" w:color="auto"/>
        <w:bottom w:val="none" w:sz="0" w:space="0" w:color="auto"/>
        <w:right w:val="none" w:sz="0" w:space="0" w:color="auto"/>
      </w:divBdr>
    </w:div>
    <w:div w:id="983436263">
      <w:bodyDiv w:val="1"/>
      <w:marLeft w:val="0"/>
      <w:marRight w:val="0"/>
      <w:marTop w:val="0"/>
      <w:marBottom w:val="0"/>
      <w:divBdr>
        <w:top w:val="none" w:sz="0" w:space="0" w:color="auto"/>
        <w:left w:val="none" w:sz="0" w:space="0" w:color="auto"/>
        <w:bottom w:val="none" w:sz="0" w:space="0" w:color="auto"/>
        <w:right w:val="none" w:sz="0" w:space="0" w:color="auto"/>
      </w:divBdr>
    </w:div>
    <w:div w:id="1053582215">
      <w:bodyDiv w:val="1"/>
      <w:marLeft w:val="0"/>
      <w:marRight w:val="0"/>
      <w:marTop w:val="0"/>
      <w:marBottom w:val="0"/>
      <w:divBdr>
        <w:top w:val="none" w:sz="0" w:space="0" w:color="auto"/>
        <w:left w:val="none" w:sz="0" w:space="0" w:color="auto"/>
        <w:bottom w:val="none" w:sz="0" w:space="0" w:color="auto"/>
        <w:right w:val="none" w:sz="0" w:space="0" w:color="auto"/>
      </w:divBdr>
    </w:div>
    <w:div w:id="1055816273">
      <w:bodyDiv w:val="1"/>
      <w:marLeft w:val="0"/>
      <w:marRight w:val="0"/>
      <w:marTop w:val="0"/>
      <w:marBottom w:val="0"/>
      <w:divBdr>
        <w:top w:val="none" w:sz="0" w:space="0" w:color="auto"/>
        <w:left w:val="none" w:sz="0" w:space="0" w:color="auto"/>
        <w:bottom w:val="none" w:sz="0" w:space="0" w:color="auto"/>
        <w:right w:val="none" w:sz="0" w:space="0" w:color="auto"/>
      </w:divBdr>
    </w:div>
    <w:div w:id="1056079338">
      <w:bodyDiv w:val="1"/>
      <w:marLeft w:val="0"/>
      <w:marRight w:val="0"/>
      <w:marTop w:val="0"/>
      <w:marBottom w:val="0"/>
      <w:divBdr>
        <w:top w:val="none" w:sz="0" w:space="0" w:color="auto"/>
        <w:left w:val="none" w:sz="0" w:space="0" w:color="auto"/>
        <w:bottom w:val="none" w:sz="0" w:space="0" w:color="auto"/>
        <w:right w:val="none" w:sz="0" w:space="0" w:color="auto"/>
      </w:divBdr>
    </w:div>
    <w:div w:id="1080522935">
      <w:bodyDiv w:val="1"/>
      <w:marLeft w:val="0"/>
      <w:marRight w:val="0"/>
      <w:marTop w:val="0"/>
      <w:marBottom w:val="0"/>
      <w:divBdr>
        <w:top w:val="none" w:sz="0" w:space="0" w:color="auto"/>
        <w:left w:val="none" w:sz="0" w:space="0" w:color="auto"/>
        <w:bottom w:val="none" w:sz="0" w:space="0" w:color="auto"/>
        <w:right w:val="none" w:sz="0" w:space="0" w:color="auto"/>
      </w:divBdr>
    </w:div>
    <w:div w:id="1088885897">
      <w:bodyDiv w:val="1"/>
      <w:marLeft w:val="0"/>
      <w:marRight w:val="0"/>
      <w:marTop w:val="0"/>
      <w:marBottom w:val="0"/>
      <w:divBdr>
        <w:top w:val="none" w:sz="0" w:space="0" w:color="auto"/>
        <w:left w:val="none" w:sz="0" w:space="0" w:color="auto"/>
        <w:bottom w:val="none" w:sz="0" w:space="0" w:color="auto"/>
        <w:right w:val="none" w:sz="0" w:space="0" w:color="auto"/>
      </w:divBdr>
    </w:div>
    <w:div w:id="1101951876">
      <w:bodyDiv w:val="1"/>
      <w:marLeft w:val="0"/>
      <w:marRight w:val="0"/>
      <w:marTop w:val="0"/>
      <w:marBottom w:val="0"/>
      <w:divBdr>
        <w:top w:val="none" w:sz="0" w:space="0" w:color="auto"/>
        <w:left w:val="none" w:sz="0" w:space="0" w:color="auto"/>
        <w:bottom w:val="none" w:sz="0" w:space="0" w:color="auto"/>
        <w:right w:val="none" w:sz="0" w:space="0" w:color="auto"/>
      </w:divBdr>
    </w:div>
    <w:div w:id="1161383929">
      <w:bodyDiv w:val="1"/>
      <w:marLeft w:val="0"/>
      <w:marRight w:val="0"/>
      <w:marTop w:val="0"/>
      <w:marBottom w:val="0"/>
      <w:divBdr>
        <w:top w:val="none" w:sz="0" w:space="0" w:color="auto"/>
        <w:left w:val="none" w:sz="0" w:space="0" w:color="auto"/>
        <w:bottom w:val="none" w:sz="0" w:space="0" w:color="auto"/>
        <w:right w:val="none" w:sz="0" w:space="0" w:color="auto"/>
      </w:divBdr>
    </w:div>
    <w:div w:id="1165508456">
      <w:bodyDiv w:val="1"/>
      <w:marLeft w:val="0"/>
      <w:marRight w:val="0"/>
      <w:marTop w:val="0"/>
      <w:marBottom w:val="0"/>
      <w:divBdr>
        <w:top w:val="none" w:sz="0" w:space="0" w:color="auto"/>
        <w:left w:val="none" w:sz="0" w:space="0" w:color="auto"/>
        <w:bottom w:val="none" w:sz="0" w:space="0" w:color="auto"/>
        <w:right w:val="none" w:sz="0" w:space="0" w:color="auto"/>
      </w:divBdr>
    </w:div>
    <w:div w:id="1193494337">
      <w:bodyDiv w:val="1"/>
      <w:marLeft w:val="0"/>
      <w:marRight w:val="0"/>
      <w:marTop w:val="0"/>
      <w:marBottom w:val="0"/>
      <w:divBdr>
        <w:top w:val="none" w:sz="0" w:space="0" w:color="auto"/>
        <w:left w:val="none" w:sz="0" w:space="0" w:color="auto"/>
        <w:bottom w:val="none" w:sz="0" w:space="0" w:color="auto"/>
        <w:right w:val="none" w:sz="0" w:space="0" w:color="auto"/>
      </w:divBdr>
    </w:div>
    <w:div w:id="1203441418">
      <w:bodyDiv w:val="1"/>
      <w:marLeft w:val="0"/>
      <w:marRight w:val="0"/>
      <w:marTop w:val="0"/>
      <w:marBottom w:val="0"/>
      <w:divBdr>
        <w:top w:val="none" w:sz="0" w:space="0" w:color="auto"/>
        <w:left w:val="none" w:sz="0" w:space="0" w:color="auto"/>
        <w:bottom w:val="none" w:sz="0" w:space="0" w:color="auto"/>
        <w:right w:val="none" w:sz="0" w:space="0" w:color="auto"/>
      </w:divBdr>
    </w:div>
    <w:div w:id="1210146312">
      <w:bodyDiv w:val="1"/>
      <w:marLeft w:val="0"/>
      <w:marRight w:val="0"/>
      <w:marTop w:val="0"/>
      <w:marBottom w:val="0"/>
      <w:divBdr>
        <w:top w:val="none" w:sz="0" w:space="0" w:color="auto"/>
        <w:left w:val="none" w:sz="0" w:space="0" w:color="auto"/>
        <w:bottom w:val="none" w:sz="0" w:space="0" w:color="auto"/>
        <w:right w:val="none" w:sz="0" w:space="0" w:color="auto"/>
      </w:divBdr>
    </w:div>
    <w:div w:id="1210532770">
      <w:bodyDiv w:val="1"/>
      <w:marLeft w:val="0"/>
      <w:marRight w:val="0"/>
      <w:marTop w:val="0"/>
      <w:marBottom w:val="0"/>
      <w:divBdr>
        <w:top w:val="none" w:sz="0" w:space="0" w:color="auto"/>
        <w:left w:val="none" w:sz="0" w:space="0" w:color="auto"/>
        <w:bottom w:val="none" w:sz="0" w:space="0" w:color="auto"/>
        <w:right w:val="none" w:sz="0" w:space="0" w:color="auto"/>
      </w:divBdr>
    </w:div>
    <w:div w:id="1221289967">
      <w:bodyDiv w:val="1"/>
      <w:marLeft w:val="0"/>
      <w:marRight w:val="0"/>
      <w:marTop w:val="0"/>
      <w:marBottom w:val="0"/>
      <w:divBdr>
        <w:top w:val="none" w:sz="0" w:space="0" w:color="auto"/>
        <w:left w:val="none" w:sz="0" w:space="0" w:color="auto"/>
        <w:bottom w:val="none" w:sz="0" w:space="0" w:color="auto"/>
        <w:right w:val="none" w:sz="0" w:space="0" w:color="auto"/>
      </w:divBdr>
    </w:div>
    <w:div w:id="1234702120">
      <w:bodyDiv w:val="1"/>
      <w:marLeft w:val="0"/>
      <w:marRight w:val="0"/>
      <w:marTop w:val="0"/>
      <w:marBottom w:val="0"/>
      <w:divBdr>
        <w:top w:val="none" w:sz="0" w:space="0" w:color="auto"/>
        <w:left w:val="none" w:sz="0" w:space="0" w:color="auto"/>
        <w:bottom w:val="none" w:sz="0" w:space="0" w:color="auto"/>
        <w:right w:val="none" w:sz="0" w:space="0" w:color="auto"/>
      </w:divBdr>
    </w:div>
    <w:div w:id="1262101538">
      <w:bodyDiv w:val="1"/>
      <w:marLeft w:val="0"/>
      <w:marRight w:val="0"/>
      <w:marTop w:val="0"/>
      <w:marBottom w:val="0"/>
      <w:divBdr>
        <w:top w:val="none" w:sz="0" w:space="0" w:color="auto"/>
        <w:left w:val="none" w:sz="0" w:space="0" w:color="auto"/>
        <w:bottom w:val="none" w:sz="0" w:space="0" w:color="auto"/>
        <w:right w:val="none" w:sz="0" w:space="0" w:color="auto"/>
      </w:divBdr>
    </w:div>
    <w:div w:id="1279602360">
      <w:bodyDiv w:val="1"/>
      <w:marLeft w:val="0"/>
      <w:marRight w:val="0"/>
      <w:marTop w:val="0"/>
      <w:marBottom w:val="0"/>
      <w:divBdr>
        <w:top w:val="none" w:sz="0" w:space="0" w:color="auto"/>
        <w:left w:val="none" w:sz="0" w:space="0" w:color="auto"/>
        <w:bottom w:val="none" w:sz="0" w:space="0" w:color="auto"/>
        <w:right w:val="none" w:sz="0" w:space="0" w:color="auto"/>
      </w:divBdr>
    </w:div>
    <w:div w:id="1295137293">
      <w:bodyDiv w:val="1"/>
      <w:marLeft w:val="0"/>
      <w:marRight w:val="0"/>
      <w:marTop w:val="0"/>
      <w:marBottom w:val="0"/>
      <w:divBdr>
        <w:top w:val="none" w:sz="0" w:space="0" w:color="auto"/>
        <w:left w:val="none" w:sz="0" w:space="0" w:color="auto"/>
        <w:bottom w:val="none" w:sz="0" w:space="0" w:color="auto"/>
        <w:right w:val="none" w:sz="0" w:space="0" w:color="auto"/>
      </w:divBdr>
    </w:div>
    <w:div w:id="1298217620">
      <w:bodyDiv w:val="1"/>
      <w:marLeft w:val="0"/>
      <w:marRight w:val="0"/>
      <w:marTop w:val="0"/>
      <w:marBottom w:val="0"/>
      <w:divBdr>
        <w:top w:val="none" w:sz="0" w:space="0" w:color="auto"/>
        <w:left w:val="none" w:sz="0" w:space="0" w:color="auto"/>
        <w:bottom w:val="none" w:sz="0" w:space="0" w:color="auto"/>
        <w:right w:val="none" w:sz="0" w:space="0" w:color="auto"/>
      </w:divBdr>
    </w:div>
    <w:div w:id="1301885970">
      <w:bodyDiv w:val="1"/>
      <w:marLeft w:val="0"/>
      <w:marRight w:val="0"/>
      <w:marTop w:val="0"/>
      <w:marBottom w:val="0"/>
      <w:divBdr>
        <w:top w:val="none" w:sz="0" w:space="0" w:color="auto"/>
        <w:left w:val="none" w:sz="0" w:space="0" w:color="auto"/>
        <w:bottom w:val="none" w:sz="0" w:space="0" w:color="auto"/>
        <w:right w:val="none" w:sz="0" w:space="0" w:color="auto"/>
      </w:divBdr>
    </w:div>
    <w:div w:id="1308128125">
      <w:bodyDiv w:val="1"/>
      <w:marLeft w:val="0"/>
      <w:marRight w:val="0"/>
      <w:marTop w:val="0"/>
      <w:marBottom w:val="0"/>
      <w:divBdr>
        <w:top w:val="none" w:sz="0" w:space="0" w:color="auto"/>
        <w:left w:val="none" w:sz="0" w:space="0" w:color="auto"/>
        <w:bottom w:val="none" w:sz="0" w:space="0" w:color="auto"/>
        <w:right w:val="none" w:sz="0" w:space="0" w:color="auto"/>
      </w:divBdr>
    </w:div>
    <w:div w:id="1309555261">
      <w:bodyDiv w:val="1"/>
      <w:marLeft w:val="0"/>
      <w:marRight w:val="0"/>
      <w:marTop w:val="0"/>
      <w:marBottom w:val="0"/>
      <w:divBdr>
        <w:top w:val="none" w:sz="0" w:space="0" w:color="auto"/>
        <w:left w:val="none" w:sz="0" w:space="0" w:color="auto"/>
        <w:bottom w:val="none" w:sz="0" w:space="0" w:color="auto"/>
        <w:right w:val="none" w:sz="0" w:space="0" w:color="auto"/>
      </w:divBdr>
    </w:div>
    <w:div w:id="1356465228">
      <w:bodyDiv w:val="1"/>
      <w:marLeft w:val="0"/>
      <w:marRight w:val="0"/>
      <w:marTop w:val="0"/>
      <w:marBottom w:val="0"/>
      <w:divBdr>
        <w:top w:val="none" w:sz="0" w:space="0" w:color="auto"/>
        <w:left w:val="none" w:sz="0" w:space="0" w:color="auto"/>
        <w:bottom w:val="none" w:sz="0" w:space="0" w:color="auto"/>
        <w:right w:val="none" w:sz="0" w:space="0" w:color="auto"/>
      </w:divBdr>
    </w:div>
    <w:div w:id="1369143908">
      <w:bodyDiv w:val="1"/>
      <w:marLeft w:val="0"/>
      <w:marRight w:val="0"/>
      <w:marTop w:val="0"/>
      <w:marBottom w:val="0"/>
      <w:divBdr>
        <w:top w:val="none" w:sz="0" w:space="0" w:color="auto"/>
        <w:left w:val="none" w:sz="0" w:space="0" w:color="auto"/>
        <w:bottom w:val="none" w:sz="0" w:space="0" w:color="auto"/>
        <w:right w:val="none" w:sz="0" w:space="0" w:color="auto"/>
      </w:divBdr>
    </w:div>
    <w:div w:id="1428116981">
      <w:bodyDiv w:val="1"/>
      <w:marLeft w:val="0"/>
      <w:marRight w:val="0"/>
      <w:marTop w:val="0"/>
      <w:marBottom w:val="0"/>
      <w:divBdr>
        <w:top w:val="none" w:sz="0" w:space="0" w:color="auto"/>
        <w:left w:val="none" w:sz="0" w:space="0" w:color="auto"/>
        <w:bottom w:val="none" w:sz="0" w:space="0" w:color="auto"/>
        <w:right w:val="none" w:sz="0" w:space="0" w:color="auto"/>
      </w:divBdr>
    </w:div>
    <w:div w:id="1428842934">
      <w:bodyDiv w:val="1"/>
      <w:marLeft w:val="0"/>
      <w:marRight w:val="0"/>
      <w:marTop w:val="0"/>
      <w:marBottom w:val="0"/>
      <w:divBdr>
        <w:top w:val="none" w:sz="0" w:space="0" w:color="auto"/>
        <w:left w:val="none" w:sz="0" w:space="0" w:color="auto"/>
        <w:bottom w:val="none" w:sz="0" w:space="0" w:color="auto"/>
        <w:right w:val="none" w:sz="0" w:space="0" w:color="auto"/>
      </w:divBdr>
    </w:div>
    <w:div w:id="1434861677">
      <w:bodyDiv w:val="1"/>
      <w:marLeft w:val="0"/>
      <w:marRight w:val="0"/>
      <w:marTop w:val="0"/>
      <w:marBottom w:val="0"/>
      <w:divBdr>
        <w:top w:val="none" w:sz="0" w:space="0" w:color="auto"/>
        <w:left w:val="none" w:sz="0" w:space="0" w:color="auto"/>
        <w:bottom w:val="none" w:sz="0" w:space="0" w:color="auto"/>
        <w:right w:val="none" w:sz="0" w:space="0" w:color="auto"/>
      </w:divBdr>
    </w:div>
    <w:div w:id="1444693771">
      <w:bodyDiv w:val="1"/>
      <w:marLeft w:val="0"/>
      <w:marRight w:val="0"/>
      <w:marTop w:val="0"/>
      <w:marBottom w:val="0"/>
      <w:divBdr>
        <w:top w:val="none" w:sz="0" w:space="0" w:color="auto"/>
        <w:left w:val="none" w:sz="0" w:space="0" w:color="auto"/>
        <w:bottom w:val="none" w:sz="0" w:space="0" w:color="auto"/>
        <w:right w:val="none" w:sz="0" w:space="0" w:color="auto"/>
      </w:divBdr>
    </w:div>
    <w:div w:id="1452364622">
      <w:bodyDiv w:val="1"/>
      <w:marLeft w:val="0"/>
      <w:marRight w:val="0"/>
      <w:marTop w:val="0"/>
      <w:marBottom w:val="0"/>
      <w:divBdr>
        <w:top w:val="none" w:sz="0" w:space="0" w:color="auto"/>
        <w:left w:val="none" w:sz="0" w:space="0" w:color="auto"/>
        <w:bottom w:val="none" w:sz="0" w:space="0" w:color="auto"/>
        <w:right w:val="none" w:sz="0" w:space="0" w:color="auto"/>
      </w:divBdr>
    </w:div>
    <w:div w:id="1462770424">
      <w:bodyDiv w:val="1"/>
      <w:marLeft w:val="0"/>
      <w:marRight w:val="0"/>
      <w:marTop w:val="0"/>
      <w:marBottom w:val="0"/>
      <w:divBdr>
        <w:top w:val="none" w:sz="0" w:space="0" w:color="auto"/>
        <w:left w:val="none" w:sz="0" w:space="0" w:color="auto"/>
        <w:bottom w:val="none" w:sz="0" w:space="0" w:color="auto"/>
        <w:right w:val="none" w:sz="0" w:space="0" w:color="auto"/>
      </w:divBdr>
    </w:div>
    <w:div w:id="1469083155">
      <w:bodyDiv w:val="1"/>
      <w:marLeft w:val="0"/>
      <w:marRight w:val="0"/>
      <w:marTop w:val="0"/>
      <w:marBottom w:val="0"/>
      <w:divBdr>
        <w:top w:val="none" w:sz="0" w:space="0" w:color="auto"/>
        <w:left w:val="none" w:sz="0" w:space="0" w:color="auto"/>
        <w:bottom w:val="none" w:sz="0" w:space="0" w:color="auto"/>
        <w:right w:val="none" w:sz="0" w:space="0" w:color="auto"/>
      </w:divBdr>
    </w:div>
    <w:div w:id="1531144447">
      <w:bodyDiv w:val="1"/>
      <w:marLeft w:val="0"/>
      <w:marRight w:val="0"/>
      <w:marTop w:val="0"/>
      <w:marBottom w:val="0"/>
      <w:divBdr>
        <w:top w:val="none" w:sz="0" w:space="0" w:color="auto"/>
        <w:left w:val="none" w:sz="0" w:space="0" w:color="auto"/>
        <w:bottom w:val="none" w:sz="0" w:space="0" w:color="auto"/>
        <w:right w:val="none" w:sz="0" w:space="0" w:color="auto"/>
      </w:divBdr>
    </w:div>
    <w:div w:id="1543325991">
      <w:bodyDiv w:val="1"/>
      <w:marLeft w:val="0"/>
      <w:marRight w:val="0"/>
      <w:marTop w:val="0"/>
      <w:marBottom w:val="0"/>
      <w:divBdr>
        <w:top w:val="none" w:sz="0" w:space="0" w:color="auto"/>
        <w:left w:val="none" w:sz="0" w:space="0" w:color="auto"/>
        <w:bottom w:val="none" w:sz="0" w:space="0" w:color="auto"/>
        <w:right w:val="none" w:sz="0" w:space="0" w:color="auto"/>
      </w:divBdr>
    </w:div>
    <w:div w:id="1570115724">
      <w:bodyDiv w:val="1"/>
      <w:marLeft w:val="0"/>
      <w:marRight w:val="0"/>
      <w:marTop w:val="0"/>
      <w:marBottom w:val="0"/>
      <w:divBdr>
        <w:top w:val="none" w:sz="0" w:space="0" w:color="auto"/>
        <w:left w:val="none" w:sz="0" w:space="0" w:color="auto"/>
        <w:bottom w:val="none" w:sz="0" w:space="0" w:color="auto"/>
        <w:right w:val="none" w:sz="0" w:space="0" w:color="auto"/>
      </w:divBdr>
    </w:div>
    <w:div w:id="1593123175">
      <w:bodyDiv w:val="1"/>
      <w:marLeft w:val="0"/>
      <w:marRight w:val="0"/>
      <w:marTop w:val="0"/>
      <w:marBottom w:val="0"/>
      <w:divBdr>
        <w:top w:val="none" w:sz="0" w:space="0" w:color="auto"/>
        <w:left w:val="none" w:sz="0" w:space="0" w:color="auto"/>
        <w:bottom w:val="none" w:sz="0" w:space="0" w:color="auto"/>
        <w:right w:val="none" w:sz="0" w:space="0" w:color="auto"/>
      </w:divBdr>
    </w:div>
    <w:div w:id="1624732453">
      <w:bodyDiv w:val="1"/>
      <w:marLeft w:val="0"/>
      <w:marRight w:val="0"/>
      <w:marTop w:val="0"/>
      <w:marBottom w:val="0"/>
      <w:divBdr>
        <w:top w:val="none" w:sz="0" w:space="0" w:color="auto"/>
        <w:left w:val="none" w:sz="0" w:space="0" w:color="auto"/>
        <w:bottom w:val="none" w:sz="0" w:space="0" w:color="auto"/>
        <w:right w:val="none" w:sz="0" w:space="0" w:color="auto"/>
      </w:divBdr>
    </w:div>
    <w:div w:id="1625113051">
      <w:bodyDiv w:val="1"/>
      <w:marLeft w:val="0"/>
      <w:marRight w:val="0"/>
      <w:marTop w:val="0"/>
      <w:marBottom w:val="0"/>
      <w:divBdr>
        <w:top w:val="none" w:sz="0" w:space="0" w:color="auto"/>
        <w:left w:val="none" w:sz="0" w:space="0" w:color="auto"/>
        <w:bottom w:val="none" w:sz="0" w:space="0" w:color="auto"/>
        <w:right w:val="none" w:sz="0" w:space="0" w:color="auto"/>
      </w:divBdr>
    </w:div>
    <w:div w:id="1639842067">
      <w:bodyDiv w:val="1"/>
      <w:marLeft w:val="0"/>
      <w:marRight w:val="0"/>
      <w:marTop w:val="0"/>
      <w:marBottom w:val="0"/>
      <w:divBdr>
        <w:top w:val="none" w:sz="0" w:space="0" w:color="auto"/>
        <w:left w:val="none" w:sz="0" w:space="0" w:color="auto"/>
        <w:bottom w:val="none" w:sz="0" w:space="0" w:color="auto"/>
        <w:right w:val="none" w:sz="0" w:space="0" w:color="auto"/>
      </w:divBdr>
    </w:div>
    <w:div w:id="1643346258">
      <w:bodyDiv w:val="1"/>
      <w:marLeft w:val="0"/>
      <w:marRight w:val="0"/>
      <w:marTop w:val="0"/>
      <w:marBottom w:val="0"/>
      <w:divBdr>
        <w:top w:val="none" w:sz="0" w:space="0" w:color="auto"/>
        <w:left w:val="none" w:sz="0" w:space="0" w:color="auto"/>
        <w:bottom w:val="none" w:sz="0" w:space="0" w:color="auto"/>
        <w:right w:val="none" w:sz="0" w:space="0" w:color="auto"/>
      </w:divBdr>
    </w:div>
    <w:div w:id="1655180139">
      <w:bodyDiv w:val="1"/>
      <w:marLeft w:val="0"/>
      <w:marRight w:val="0"/>
      <w:marTop w:val="0"/>
      <w:marBottom w:val="0"/>
      <w:divBdr>
        <w:top w:val="none" w:sz="0" w:space="0" w:color="auto"/>
        <w:left w:val="none" w:sz="0" w:space="0" w:color="auto"/>
        <w:bottom w:val="none" w:sz="0" w:space="0" w:color="auto"/>
        <w:right w:val="none" w:sz="0" w:space="0" w:color="auto"/>
      </w:divBdr>
    </w:div>
    <w:div w:id="1656838196">
      <w:bodyDiv w:val="1"/>
      <w:marLeft w:val="0"/>
      <w:marRight w:val="0"/>
      <w:marTop w:val="0"/>
      <w:marBottom w:val="0"/>
      <w:divBdr>
        <w:top w:val="none" w:sz="0" w:space="0" w:color="auto"/>
        <w:left w:val="none" w:sz="0" w:space="0" w:color="auto"/>
        <w:bottom w:val="none" w:sz="0" w:space="0" w:color="auto"/>
        <w:right w:val="none" w:sz="0" w:space="0" w:color="auto"/>
      </w:divBdr>
    </w:div>
    <w:div w:id="1658218301">
      <w:bodyDiv w:val="1"/>
      <w:marLeft w:val="0"/>
      <w:marRight w:val="0"/>
      <w:marTop w:val="0"/>
      <w:marBottom w:val="0"/>
      <w:divBdr>
        <w:top w:val="none" w:sz="0" w:space="0" w:color="auto"/>
        <w:left w:val="none" w:sz="0" w:space="0" w:color="auto"/>
        <w:bottom w:val="none" w:sz="0" w:space="0" w:color="auto"/>
        <w:right w:val="none" w:sz="0" w:space="0" w:color="auto"/>
      </w:divBdr>
    </w:div>
    <w:div w:id="1658613615">
      <w:bodyDiv w:val="1"/>
      <w:marLeft w:val="0"/>
      <w:marRight w:val="0"/>
      <w:marTop w:val="0"/>
      <w:marBottom w:val="0"/>
      <w:divBdr>
        <w:top w:val="none" w:sz="0" w:space="0" w:color="auto"/>
        <w:left w:val="none" w:sz="0" w:space="0" w:color="auto"/>
        <w:bottom w:val="none" w:sz="0" w:space="0" w:color="auto"/>
        <w:right w:val="none" w:sz="0" w:space="0" w:color="auto"/>
      </w:divBdr>
    </w:div>
    <w:div w:id="1660186122">
      <w:bodyDiv w:val="1"/>
      <w:marLeft w:val="0"/>
      <w:marRight w:val="0"/>
      <w:marTop w:val="0"/>
      <w:marBottom w:val="0"/>
      <w:divBdr>
        <w:top w:val="none" w:sz="0" w:space="0" w:color="auto"/>
        <w:left w:val="none" w:sz="0" w:space="0" w:color="auto"/>
        <w:bottom w:val="none" w:sz="0" w:space="0" w:color="auto"/>
        <w:right w:val="none" w:sz="0" w:space="0" w:color="auto"/>
      </w:divBdr>
    </w:div>
    <w:div w:id="1674793112">
      <w:bodyDiv w:val="1"/>
      <w:marLeft w:val="0"/>
      <w:marRight w:val="0"/>
      <w:marTop w:val="0"/>
      <w:marBottom w:val="0"/>
      <w:divBdr>
        <w:top w:val="none" w:sz="0" w:space="0" w:color="auto"/>
        <w:left w:val="none" w:sz="0" w:space="0" w:color="auto"/>
        <w:bottom w:val="none" w:sz="0" w:space="0" w:color="auto"/>
        <w:right w:val="none" w:sz="0" w:space="0" w:color="auto"/>
      </w:divBdr>
    </w:div>
    <w:div w:id="1689214721">
      <w:bodyDiv w:val="1"/>
      <w:marLeft w:val="0"/>
      <w:marRight w:val="0"/>
      <w:marTop w:val="0"/>
      <w:marBottom w:val="0"/>
      <w:divBdr>
        <w:top w:val="none" w:sz="0" w:space="0" w:color="auto"/>
        <w:left w:val="none" w:sz="0" w:space="0" w:color="auto"/>
        <w:bottom w:val="none" w:sz="0" w:space="0" w:color="auto"/>
        <w:right w:val="none" w:sz="0" w:space="0" w:color="auto"/>
      </w:divBdr>
    </w:div>
    <w:div w:id="1695618496">
      <w:bodyDiv w:val="1"/>
      <w:marLeft w:val="0"/>
      <w:marRight w:val="0"/>
      <w:marTop w:val="0"/>
      <w:marBottom w:val="0"/>
      <w:divBdr>
        <w:top w:val="none" w:sz="0" w:space="0" w:color="auto"/>
        <w:left w:val="none" w:sz="0" w:space="0" w:color="auto"/>
        <w:bottom w:val="none" w:sz="0" w:space="0" w:color="auto"/>
        <w:right w:val="none" w:sz="0" w:space="0" w:color="auto"/>
      </w:divBdr>
    </w:div>
    <w:div w:id="1735348484">
      <w:bodyDiv w:val="1"/>
      <w:marLeft w:val="0"/>
      <w:marRight w:val="0"/>
      <w:marTop w:val="0"/>
      <w:marBottom w:val="0"/>
      <w:divBdr>
        <w:top w:val="none" w:sz="0" w:space="0" w:color="auto"/>
        <w:left w:val="none" w:sz="0" w:space="0" w:color="auto"/>
        <w:bottom w:val="none" w:sz="0" w:space="0" w:color="auto"/>
        <w:right w:val="none" w:sz="0" w:space="0" w:color="auto"/>
      </w:divBdr>
    </w:div>
    <w:div w:id="1746613053">
      <w:bodyDiv w:val="1"/>
      <w:marLeft w:val="0"/>
      <w:marRight w:val="0"/>
      <w:marTop w:val="0"/>
      <w:marBottom w:val="0"/>
      <w:divBdr>
        <w:top w:val="none" w:sz="0" w:space="0" w:color="auto"/>
        <w:left w:val="none" w:sz="0" w:space="0" w:color="auto"/>
        <w:bottom w:val="none" w:sz="0" w:space="0" w:color="auto"/>
        <w:right w:val="none" w:sz="0" w:space="0" w:color="auto"/>
      </w:divBdr>
    </w:div>
    <w:div w:id="1749689426">
      <w:bodyDiv w:val="1"/>
      <w:marLeft w:val="0"/>
      <w:marRight w:val="0"/>
      <w:marTop w:val="0"/>
      <w:marBottom w:val="0"/>
      <w:divBdr>
        <w:top w:val="none" w:sz="0" w:space="0" w:color="auto"/>
        <w:left w:val="none" w:sz="0" w:space="0" w:color="auto"/>
        <w:bottom w:val="none" w:sz="0" w:space="0" w:color="auto"/>
        <w:right w:val="none" w:sz="0" w:space="0" w:color="auto"/>
      </w:divBdr>
    </w:div>
    <w:div w:id="1797983479">
      <w:bodyDiv w:val="1"/>
      <w:marLeft w:val="0"/>
      <w:marRight w:val="0"/>
      <w:marTop w:val="0"/>
      <w:marBottom w:val="0"/>
      <w:divBdr>
        <w:top w:val="none" w:sz="0" w:space="0" w:color="auto"/>
        <w:left w:val="none" w:sz="0" w:space="0" w:color="auto"/>
        <w:bottom w:val="none" w:sz="0" w:space="0" w:color="auto"/>
        <w:right w:val="none" w:sz="0" w:space="0" w:color="auto"/>
      </w:divBdr>
    </w:div>
    <w:div w:id="1798837207">
      <w:bodyDiv w:val="1"/>
      <w:marLeft w:val="0"/>
      <w:marRight w:val="0"/>
      <w:marTop w:val="0"/>
      <w:marBottom w:val="0"/>
      <w:divBdr>
        <w:top w:val="none" w:sz="0" w:space="0" w:color="auto"/>
        <w:left w:val="none" w:sz="0" w:space="0" w:color="auto"/>
        <w:bottom w:val="none" w:sz="0" w:space="0" w:color="auto"/>
        <w:right w:val="none" w:sz="0" w:space="0" w:color="auto"/>
      </w:divBdr>
    </w:div>
    <w:div w:id="1836796666">
      <w:bodyDiv w:val="1"/>
      <w:marLeft w:val="0"/>
      <w:marRight w:val="0"/>
      <w:marTop w:val="0"/>
      <w:marBottom w:val="0"/>
      <w:divBdr>
        <w:top w:val="none" w:sz="0" w:space="0" w:color="auto"/>
        <w:left w:val="none" w:sz="0" w:space="0" w:color="auto"/>
        <w:bottom w:val="none" w:sz="0" w:space="0" w:color="auto"/>
        <w:right w:val="none" w:sz="0" w:space="0" w:color="auto"/>
      </w:divBdr>
    </w:div>
    <w:div w:id="1850095547">
      <w:bodyDiv w:val="1"/>
      <w:marLeft w:val="0"/>
      <w:marRight w:val="0"/>
      <w:marTop w:val="0"/>
      <w:marBottom w:val="0"/>
      <w:divBdr>
        <w:top w:val="none" w:sz="0" w:space="0" w:color="auto"/>
        <w:left w:val="none" w:sz="0" w:space="0" w:color="auto"/>
        <w:bottom w:val="none" w:sz="0" w:space="0" w:color="auto"/>
        <w:right w:val="none" w:sz="0" w:space="0" w:color="auto"/>
      </w:divBdr>
    </w:div>
    <w:div w:id="1864905158">
      <w:bodyDiv w:val="1"/>
      <w:marLeft w:val="0"/>
      <w:marRight w:val="0"/>
      <w:marTop w:val="0"/>
      <w:marBottom w:val="0"/>
      <w:divBdr>
        <w:top w:val="none" w:sz="0" w:space="0" w:color="auto"/>
        <w:left w:val="none" w:sz="0" w:space="0" w:color="auto"/>
        <w:bottom w:val="none" w:sz="0" w:space="0" w:color="auto"/>
        <w:right w:val="none" w:sz="0" w:space="0" w:color="auto"/>
      </w:divBdr>
    </w:div>
    <w:div w:id="1960452053">
      <w:bodyDiv w:val="1"/>
      <w:marLeft w:val="0"/>
      <w:marRight w:val="0"/>
      <w:marTop w:val="0"/>
      <w:marBottom w:val="0"/>
      <w:divBdr>
        <w:top w:val="none" w:sz="0" w:space="0" w:color="auto"/>
        <w:left w:val="none" w:sz="0" w:space="0" w:color="auto"/>
        <w:bottom w:val="none" w:sz="0" w:space="0" w:color="auto"/>
        <w:right w:val="none" w:sz="0" w:space="0" w:color="auto"/>
      </w:divBdr>
    </w:div>
    <w:div w:id="1985700429">
      <w:bodyDiv w:val="1"/>
      <w:marLeft w:val="0"/>
      <w:marRight w:val="0"/>
      <w:marTop w:val="0"/>
      <w:marBottom w:val="0"/>
      <w:divBdr>
        <w:top w:val="none" w:sz="0" w:space="0" w:color="auto"/>
        <w:left w:val="none" w:sz="0" w:space="0" w:color="auto"/>
        <w:bottom w:val="none" w:sz="0" w:space="0" w:color="auto"/>
        <w:right w:val="none" w:sz="0" w:space="0" w:color="auto"/>
      </w:divBdr>
    </w:div>
    <w:div w:id="1997032661">
      <w:bodyDiv w:val="1"/>
      <w:marLeft w:val="0"/>
      <w:marRight w:val="0"/>
      <w:marTop w:val="0"/>
      <w:marBottom w:val="0"/>
      <w:divBdr>
        <w:top w:val="none" w:sz="0" w:space="0" w:color="auto"/>
        <w:left w:val="none" w:sz="0" w:space="0" w:color="auto"/>
        <w:bottom w:val="none" w:sz="0" w:space="0" w:color="auto"/>
        <w:right w:val="none" w:sz="0" w:space="0" w:color="auto"/>
      </w:divBdr>
    </w:div>
    <w:div w:id="2004163938">
      <w:bodyDiv w:val="1"/>
      <w:marLeft w:val="0"/>
      <w:marRight w:val="0"/>
      <w:marTop w:val="0"/>
      <w:marBottom w:val="0"/>
      <w:divBdr>
        <w:top w:val="none" w:sz="0" w:space="0" w:color="auto"/>
        <w:left w:val="none" w:sz="0" w:space="0" w:color="auto"/>
        <w:bottom w:val="none" w:sz="0" w:space="0" w:color="auto"/>
        <w:right w:val="none" w:sz="0" w:space="0" w:color="auto"/>
      </w:divBdr>
    </w:div>
    <w:div w:id="2020085561">
      <w:bodyDiv w:val="1"/>
      <w:marLeft w:val="0"/>
      <w:marRight w:val="0"/>
      <w:marTop w:val="0"/>
      <w:marBottom w:val="0"/>
      <w:divBdr>
        <w:top w:val="none" w:sz="0" w:space="0" w:color="auto"/>
        <w:left w:val="none" w:sz="0" w:space="0" w:color="auto"/>
        <w:bottom w:val="none" w:sz="0" w:space="0" w:color="auto"/>
        <w:right w:val="none" w:sz="0" w:space="0" w:color="auto"/>
      </w:divBdr>
    </w:div>
    <w:div w:id="2050570351">
      <w:bodyDiv w:val="1"/>
      <w:marLeft w:val="0"/>
      <w:marRight w:val="0"/>
      <w:marTop w:val="0"/>
      <w:marBottom w:val="0"/>
      <w:divBdr>
        <w:top w:val="none" w:sz="0" w:space="0" w:color="auto"/>
        <w:left w:val="none" w:sz="0" w:space="0" w:color="auto"/>
        <w:bottom w:val="none" w:sz="0" w:space="0" w:color="auto"/>
        <w:right w:val="none" w:sz="0" w:space="0" w:color="auto"/>
      </w:divBdr>
    </w:div>
    <w:div w:id="2055305548">
      <w:bodyDiv w:val="1"/>
      <w:marLeft w:val="0"/>
      <w:marRight w:val="0"/>
      <w:marTop w:val="0"/>
      <w:marBottom w:val="0"/>
      <w:divBdr>
        <w:top w:val="none" w:sz="0" w:space="0" w:color="auto"/>
        <w:left w:val="none" w:sz="0" w:space="0" w:color="auto"/>
        <w:bottom w:val="none" w:sz="0" w:space="0" w:color="auto"/>
        <w:right w:val="none" w:sz="0" w:space="0" w:color="auto"/>
      </w:divBdr>
    </w:div>
    <w:div w:id="2066948720">
      <w:bodyDiv w:val="1"/>
      <w:marLeft w:val="0"/>
      <w:marRight w:val="0"/>
      <w:marTop w:val="0"/>
      <w:marBottom w:val="0"/>
      <w:divBdr>
        <w:top w:val="none" w:sz="0" w:space="0" w:color="auto"/>
        <w:left w:val="none" w:sz="0" w:space="0" w:color="auto"/>
        <w:bottom w:val="none" w:sz="0" w:space="0" w:color="auto"/>
        <w:right w:val="none" w:sz="0" w:space="0" w:color="auto"/>
      </w:divBdr>
    </w:div>
    <w:div w:id="2073769493">
      <w:bodyDiv w:val="1"/>
      <w:marLeft w:val="0"/>
      <w:marRight w:val="0"/>
      <w:marTop w:val="0"/>
      <w:marBottom w:val="0"/>
      <w:divBdr>
        <w:top w:val="none" w:sz="0" w:space="0" w:color="auto"/>
        <w:left w:val="none" w:sz="0" w:space="0" w:color="auto"/>
        <w:bottom w:val="none" w:sz="0" w:space="0" w:color="auto"/>
        <w:right w:val="none" w:sz="0" w:space="0" w:color="auto"/>
      </w:divBdr>
    </w:div>
    <w:div w:id="2103336216">
      <w:bodyDiv w:val="1"/>
      <w:marLeft w:val="0"/>
      <w:marRight w:val="0"/>
      <w:marTop w:val="0"/>
      <w:marBottom w:val="0"/>
      <w:divBdr>
        <w:top w:val="none" w:sz="0" w:space="0" w:color="auto"/>
        <w:left w:val="none" w:sz="0" w:space="0" w:color="auto"/>
        <w:bottom w:val="none" w:sz="0" w:space="0" w:color="auto"/>
        <w:right w:val="none" w:sz="0" w:space="0" w:color="auto"/>
      </w:divBdr>
    </w:div>
    <w:div w:id="2124760470">
      <w:bodyDiv w:val="1"/>
      <w:marLeft w:val="0"/>
      <w:marRight w:val="0"/>
      <w:marTop w:val="0"/>
      <w:marBottom w:val="0"/>
      <w:divBdr>
        <w:top w:val="none" w:sz="0" w:space="0" w:color="auto"/>
        <w:left w:val="none" w:sz="0" w:space="0" w:color="auto"/>
        <w:bottom w:val="none" w:sz="0" w:space="0" w:color="auto"/>
        <w:right w:val="none" w:sz="0" w:space="0" w:color="auto"/>
      </w:divBdr>
    </w:div>
    <w:div w:id="2129926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reativecommons.org/licenses/by/4.0/legalcode" TargetMode="External"/><Relationship Id="rId18" Type="http://schemas.openxmlformats.org/officeDocument/2006/relationships/hyperlink" Target="https://www.cgc.gov.au" TargetMode="External"/><Relationship Id="rId26" Type="http://schemas.openxmlformats.org/officeDocument/2006/relationships/hyperlink" Target="https://budget.gov.au/content/myefo/download/myefo2023%E2%80%9324.pdf" TargetMode="External"/><Relationship Id="rId39" Type="http://schemas.openxmlformats.org/officeDocument/2006/relationships/image" Target="media/image14.emf"/><Relationship Id="rId21" Type="http://schemas.openxmlformats.org/officeDocument/2006/relationships/image" Target="media/image4.png"/><Relationship Id="rId34" Type="http://schemas.openxmlformats.org/officeDocument/2006/relationships/hyperlink" Target="https://budget.gov.au/content/myefo/download/myefo2023%E2%80%9324.pdf" TargetMode="External"/><Relationship Id="rId42" Type="http://schemas.openxmlformats.org/officeDocument/2006/relationships/image" Target="media/image17.emf"/><Relationship Id="rId47"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pmc.gov.au/government/commonwealth-coat-arms" TargetMode="External"/><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7.png"/><Relationship Id="rId37" Type="http://schemas.openxmlformats.org/officeDocument/2006/relationships/image" Target="media/image11.emf"/><Relationship Id="rId40" Type="http://schemas.openxmlformats.org/officeDocument/2006/relationships/image" Target="media/image15.emf"/><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https://www.pmc.gov.au/government/commonwealth-coat-arms/" TargetMode="External"/><Relationship Id="rId23" Type="http://schemas.openxmlformats.org/officeDocument/2006/relationships/image" Target="media/image6.png"/><Relationship Id="rId28" Type="http://schemas.openxmlformats.org/officeDocument/2006/relationships/hyperlink" Target="https://www.cgc.gov.au/reports-for-government/2024-update/consultation-new-issues" TargetMode="External"/><Relationship Id="rId36" Type="http://schemas.openxmlformats.org/officeDocument/2006/relationships/image" Target="media/image14.w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4" Type="http://schemas.openxmlformats.org/officeDocument/2006/relationships/hyperlink" Target="https://www.cgc.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5.png"/><Relationship Id="rId27" Type="http://schemas.openxmlformats.org/officeDocument/2006/relationships/image" Target="media/image8.emf"/><Relationship Id="rId35" Type="http://schemas.openxmlformats.org/officeDocument/2006/relationships/image" Target="media/image10.wmf"/><Relationship Id="rId43" Type="http://schemas.openxmlformats.org/officeDocument/2006/relationships/hyperlink" Target="https://www.cgc.gov.au/reports-for-government/2024-update" TargetMode="External"/><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hyperlink" Target="mailto:secretary@cgc.gov.au" TargetMode="External"/><Relationship Id="rId25" Type="http://schemas.openxmlformats.org/officeDocument/2006/relationships/hyperlink" Target="https://www.cgc.gov.au/reports-for-government/2024-update/consultation-new-issues" TargetMode="External"/><Relationship Id="rId33" Type="http://schemas.openxmlformats.org/officeDocument/2006/relationships/image" Target="media/image13.emf"/><Relationship Id="rId38" Type="http://schemas.openxmlformats.org/officeDocument/2006/relationships/image" Target="media/image12.emf"/><Relationship Id="rId46" Type="http://schemas.openxmlformats.org/officeDocument/2006/relationships/footer" Target="footer2.xml"/><Relationship Id="rId20" Type="http://schemas.openxmlformats.org/officeDocument/2006/relationships/hyperlink" Target="mailto:Mike.Callaghan@cgc.gov.au" TargetMode="External"/><Relationship Id="rId41" Type="http://schemas.openxmlformats.org/officeDocument/2006/relationships/image" Target="media/image16.emf"/></Relationships>
</file>

<file path=word/_rels/footnotes.xml.rels><?xml version="1.0" encoding="UTF-8" standalone="yes"?>
<Relationships xmlns="http://schemas.openxmlformats.org/package/2006/relationships"><Relationship Id="rId3" Type="http://schemas.openxmlformats.org/officeDocument/2006/relationships/hyperlink" Target="https://www.cgc.gov.au/publications/glossary" TargetMode="External"/><Relationship Id="rId2" Type="http://schemas.openxmlformats.org/officeDocument/2006/relationships/hyperlink" Target="https://budget.gov.au/content/myefo/index.htm" TargetMode="External"/><Relationship Id="rId1" Type="http://schemas.openxmlformats.org/officeDocument/2006/relationships/hyperlink" Target="https://www.pm.gov.au/media/meeting-national-cabinet-federation-working-australia" TargetMode="External"/><Relationship Id="rId4" Type="http://schemas.openxmlformats.org/officeDocument/2006/relationships/hyperlink" Target="https://www.cgc.gov.au/publications/occasional-paper-4-new-arrangements-distributing-gs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png"/><Relationship Id="rId2" Type="http://schemas.openxmlformats.org/officeDocument/2006/relationships/image" Target="media/image19.png"/><Relationship Id="rId1" Type="http://schemas.openxmlformats.org/officeDocument/2006/relationships/image" Target="media/image18.png"/><Relationship Id="rId4" Type="http://schemas.openxmlformats.org/officeDocument/2006/relationships/image" Target="media/image21.png"/></Relationships>
</file>

<file path=word/theme/theme1.xml><?xml version="1.0" encoding="utf-8"?>
<a:theme xmlns:a="http://schemas.openxmlformats.org/drawingml/2006/main" name="Office Theme">
  <a:themeElements>
    <a:clrScheme name="CGC Colour Themes">
      <a:dk1>
        <a:srgbClr val="004562"/>
      </a:dk1>
      <a:lt1>
        <a:srgbClr val="FFFFFF"/>
      </a:lt1>
      <a:dk2>
        <a:srgbClr val="004562"/>
      </a:dk2>
      <a:lt2>
        <a:srgbClr val="E7E6E6"/>
      </a:lt2>
      <a:accent1>
        <a:srgbClr val="004563"/>
      </a:accent1>
      <a:accent2>
        <a:srgbClr val="0092C8"/>
      </a:accent2>
      <a:accent3>
        <a:srgbClr val="CC5E12"/>
      </a:accent3>
      <a:accent4>
        <a:srgbClr val="EDAB16"/>
      </a:accent4>
      <a:accent5>
        <a:srgbClr val="008069"/>
      </a:accent5>
      <a:accent6>
        <a:srgbClr val="00CE87"/>
      </a:accent6>
      <a:hlink>
        <a:srgbClr val="006991"/>
      </a:hlink>
      <a:folHlink>
        <a:srgbClr val="93EA9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1f37280-f85a-44c5-9b22-991a1a1da086">
      <Terms xmlns="http://schemas.microsoft.com/office/infopath/2007/PartnerControls"/>
    </lcf76f155ced4ddcb4097134ff3c332f>
    <TaxCatchAll xmlns="199f48e7-77a2-4280-bd13-78cc6c8e9b3d" xsi:nil="true"/>
    <SharedWithUsers xmlns="199f48e7-77a2-4280-bd13-78cc6c8e9b3d">
      <UserInfo>
        <DisplayName>Jeremy Hill</DisplayName>
        <AccountId>38</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7E6CE0E6E4CC94697A9F68B1C3F36F2" ma:contentTypeVersion="14" ma:contentTypeDescription="Create a new document." ma:contentTypeScope="" ma:versionID="31ba00de3cb04b84972644064573591f">
  <xsd:schema xmlns:xsd="http://www.w3.org/2001/XMLSchema" xmlns:xs="http://www.w3.org/2001/XMLSchema" xmlns:p="http://schemas.microsoft.com/office/2006/metadata/properties" xmlns:ns2="c1f37280-f85a-44c5-9b22-991a1a1da086" xmlns:ns3="199f48e7-77a2-4280-bd13-78cc6c8e9b3d" targetNamespace="http://schemas.microsoft.com/office/2006/metadata/properties" ma:root="true" ma:fieldsID="8fc24e42f7a632b8fb35f3751a00328e" ns2:_="" ns3:_="">
    <xsd:import namespace="c1f37280-f85a-44c5-9b22-991a1a1da086"/>
    <xsd:import namespace="199f48e7-77a2-4280-bd13-78cc6c8e9b3d"/>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37280-f85a-44c5-9b22-991a1a1da0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c8a0b90d-15e3-4b68-b4ed-e1e0d46dd535"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99f48e7-77a2-4280-bd13-78cc6c8e9b3d"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3303d50f-ef4c-4537-9195-677643098889}" ma:internalName="TaxCatchAll" ma:showField="CatchAllData" ma:web="199f48e7-77a2-4280-bd13-78cc6c8e9b3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979382-591B-49F4-B835-508E57F947A4}">
  <ds:schemaRefs>
    <ds:schemaRef ds:uri="http://schemas.microsoft.com/office/2006/metadata/properties"/>
    <ds:schemaRef ds:uri="http://schemas.microsoft.com/office/infopath/2007/PartnerControls"/>
    <ds:schemaRef ds:uri="c1f37280-f85a-44c5-9b22-991a1a1da086"/>
    <ds:schemaRef ds:uri="199f48e7-77a2-4280-bd13-78cc6c8e9b3d"/>
  </ds:schemaRefs>
</ds:datastoreItem>
</file>

<file path=customXml/itemProps2.xml><?xml version="1.0" encoding="utf-8"?>
<ds:datastoreItem xmlns:ds="http://schemas.openxmlformats.org/officeDocument/2006/customXml" ds:itemID="{49494F84-814F-4EE2-B308-02A3D0AE89C4}">
  <ds:schemaRefs>
    <ds:schemaRef ds:uri="http://schemas.microsoft.com/sharepoint/v3/contenttype/forms"/>
  </ds:schemaRefs>
</ds:datastoreItem>
</file>

<file path=customXml/itemProps3.xml><?xml version="1.0" encoding="utf-8"?>
<ds:datastoreItem xmlns:ds="http://schemas.openxmlformats.org/officeDocument/2006/customXml" ds:itemID="{D5C34E72-D2FF-48D1-97FA-6AB796CA78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37280-f85a-44c5-9b22-991a1a1da086"/>
    <ds:schemaRef ds:uri="199f48e7-77a2-4280-bd13-78cc6c8e9b3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AFEE77-DB88-48B5-976E-1D87DFA759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679</TotalTime>
  <Pages>65</Pages>
  <Words>13952</Words>
  <Characters>79533</Characters>
  <Application>Microsoft Office Word</Application>
  <DocSecurity>0</DocSecurity>
  <Lines>662</Lines>
  <Paragraphs>186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93299</CharactersWithSpaces>
  <SharedDoc>false</SharedDoc>
  <HLinks>
    <vt:vector size="258" baseType="variant">
      <vt:variant>
        <vt:i4>3473456</vt:i4>
      </vt:variant>
      <vt:variant>
        <vt:i4>261</vt:i4>
      </vt:variant>
      <vt:variant>
        <vt:i4>0</vt:i4>
      </vt:variant>
      <vt:variant>
        <vt:i4>5</vt:i4>
      </vt:variant>
      <vt:variant>
        <vt:lpwstr>https://www.cgc.gov.au/</vt:lpwstr>
      </vt:variant>
      <vt:variant>
        <vt:lpwstr/>
      </vt:variant>
      <vt:variant>
        <vt:i4>786503</vt:i4>
      </vt:variant>
      <vt:variant>
        <vt:i4>258</vt:i4>
      </vt:variant>
      <vt:variant>
        <vt:i4>0</vt:i4>
      </vt:variant>
      <vt:variant>
        <vt:i4>5</vt:i4>
      </vt:variant>
      <vt:variant>
        <vt:lpwstr>https://www.cgc.gov.au/reports-for-government/2024-update</vt:lpwstr>
      </vt:variant>
      <vt:variant>
        <vt:lpwstr/>
      </vt:variant>
      <vt:variant>
        <vt:i4>7274536</vt:i4>
      </vt:variant>
      <vt:variant>
        <vt:i4>189</vt:i4>
      </vt:variant>
      <vt:variant>
        <vt:i4>0</vt:i4>
      </vt:variant>
      <vt:variant>
        <vt:i4>5</vt:i4>
      </vt:variant>
      <vt:variant>
        <vt:lpwstr/>
      </vt:variant>
      <vt:variant>
        <vt:lpwstr>Box_2_2</vt:lpwstr>
      </vt:variant>
      <vt:variant>
        <vt:i4>7274536</vt:i4>
      </vt:variant>
      <vt:variant>
        <vt:i4>184</vt:i4>
      </vt:variant>
      <vt:variant>
        <vt:i4>0</vt:i4>
      </vt:variant>
      <vt:variant>
        <vt:i4>5</vt:i4>
      </vt:variant>
      <vt:variant>
        <vt:lpwstr/>
      </vt:variant>
      <vt:variant>
        <vt:lpwstr>Box_2_2</vt:lpwstr>
      </vt:variant>
      <vt:variant>
        <vt:i4>1703981</vt:i4>
      </vt:variant>
      <vt:variant>
        <vt:i4>179</vt:i4>
      </vt:variant>
      <vt:variant>
        <vt:i4>0</vt:i4>
      </vt:variant>
      <vt:variant>
        <vt:i4>5</vt:i4>
      </vt:variant>
      <vt:variant>
        <vt:lpwstr/>
      </vt:variant>
      <vt:variant>
        <vt:lpwstr>_Box_2-2_2021</vt:lpwstr>
      </vt:variant>
      <vt:variant>
        <vt:i4>196734</vt:i4>
      </vt:variant>
      <vt:variant>
        <vt:i4>164</vt:i4>
      </vt:variant>
      <vt:variant>
        <vt:i4>0</vt:i4>
      </vt:variant>
      <vt:variant>
        <vt:i4>5</vt:i4>
      </vt:variant>
      <vt:variant>
        <vt:lpwstr/>
      </vt:variant>
      <vt:variant>
        <vt:lpwstr>_Attachment_A:_GST</vt:lpwstr>
      </vt:variant>
      <vt:variant>
        <vt:i4>1900561</vt:i4>
      </vt:variant>
      <vt:variant>
        <vt:i4>161</vt:i4>
      </vt:variant>
      <vt:variant>
        <vt:i4>0</vt:i4>
      </vt:variant>
      <vt:variant>
        <vt:i4>5</vt:i4>
      </vt:variant>
      <vt:variant>
        <vt:lpwstr>https://budget.gov.au/content/myefo/download/myefo2023%E2%80%9324.pdf</vt:lpwstr>
      </vt:variant>
      <vt:variant>
        <vt:lpwstr/>
      </vt:variant>
      <vt:variant>
        <vt:i4>458873</vt:i4>
      </vt:variant>
      <vt:variant>
        <vt:i4>155</vt:i4>
      </vt:variant>
      <vt:variant>
        <vt:i4>0</vt:i4>
      </vt:variant>
      <vt:variant>
        <vt:i4>5</vt:i4>
      </vt:variant>
      <vt:variant>
        <vt:lpwstr/>
      </vt:variant>
      <vt:variant>
        <vt:lpwstr>_Box_1-2_Application</vt:lpwstr>
      </vt:variant>
      <vt:variant>
        <vt:i4>4849764</vt:i4>
      </vt:variant>
      <vt:variant>
        <vt:i4>152</vt:i4>
      </vt:variant>
      <vt:variant>
        <vt:i4>0</vt:i4>
      </vt:variant>
      <vt:variant>
        <vt:i4>5</vt:i4>
      </vt:variant>
      <vt:variant>
        <vt:lpwstr/>
      </vt:variant>
      <vt:variant>
        <vt:lpwstr>_3._State_by</vt:lpwstr>
      </vt:variant>
      <vt:variant>
        <vt:i4>5767287</vt:i4>
      </vt:variant>
      <vt:variant>
        <vt:i4>149</vt:i4>
      </vt:variant>
      <vt:variant>
        <vt:i4>0</vt:i4>
      </vt:variant>
      <vt:variant>
        <vt:i4>5</vt:i4>
      </vt:variant>
      <vt:variant>
        <vt:lpwstr/>
      </vt:variant>
      <vt:variant>
        <vt:lpwstr>_Drivers_of_GST</vt:lpwstr>
      </vt:variant>
      <vt:variant>
        <vt:i4>393320</vt:i4>
      </vt:variant>
      <vt:variant>
        <vt:i4>144</vt:i4>
      </vt:variant>
      <vt:variant>
        <vt:i4>0</vt:i4>
      </vt:variant>
      <vt:variant>
        <vt:i4>5</vt:i4>
      </vt:variant>
      <vt:variant>
        <vt:lpwstr/>
      </vt:variant>
      <vt:variant>
        <vt:lpwstr>_Box_1-1_Calculation</vt:lpwstr>
      </vt:variant>
      <vt:variant>
        <vt:i4>1900561</vt:i4>
      </vt:variant>
      <vt:variant>
        <vt:i4>126</vt:i4>
      </vt:variant>
      <vt:variant>
        <vt:i4>0</vt:i4>
      </vt:variant>
      <vt:variant>
        <vt:i4>5</vt:i4>
      </vt:variant>
      <vt:variant>
        <vt:lpwstr>https://budget.gov.au/content/myefo/download/myefo2023%E2%80%9324.pdf</vt:lpwstr>
      </vt:variant>
      <vt:variant>
        <vt:lpwstr/>
      </vt:variant>
      <vt:variant>
        <vt:i4>4849764</vt:i4>
      </vt:variant>
      <vt:variant>
        <vt:i4>114</vt:i4>
      </vt:variant>
      <vt:variant>
        <vt:i4>0</vt:i4>
      </vt:variant>
      <vt:variant>
        <vt:i4>5</vt:i4>
      </vt:variant>
      <vt:variant>
        <vt:lpwstr/>
      </vt:variant>
      <vt:variant>
        <vt:lpwstr>_3._State_by</vt:lpwstr>
      </vt:variant>
      <vt:variant>
        <vt:i4>5767287</vt:i4>
      </vt:variant>
      <vt:variant>
        <vt:i4>111</vt:i4>
      </vt:variant>
      <vt:variant>
        <vt:i4>0</vt:i4>
      </vt:variant>
      <vt:variant>
        <vt:i4>5</vt:i4>
      </vt:variant>
      <vt:variant>
        <vt:lpwstr/>
      </vt:variant>
      <vt:variant>
        <vt:lpwstr>_Drivers_of_GST</vt:lpwstr>
      </vt:variant>
      <vt:variant>
        <vt:i4>458797</vt:i4>
      </vt:variant>
      <vt:variant>
        <vt:i4>108</vt:i4>
      </vt:variant>
      <vt:variant>
        <vt:i4>0</vt:i4>
      </vt:variant>
      <vt:variant>
        <vt:i4>5</vt:i4>
      </vt:variant>
      <vt:variant>
        <vt:lpwstr/>
      </vt:variant>
      <vt:variant>
        <vt:lpwstr>_Recommended_GST_relativities</vt:lpwstr>
      </vt:variant>
      <vt:variant>
        <vt:i4>393320</vt:i4>
      </vt:variant>
      <vt:variant>
        <vt:i4>102</vt:i4>
      </vt:variant>
      <vt:variant>
        <vt:i4>0</vt:i4>
      </vt:variant>
      <vt:variant>
        <vt:i4>5</vt:i4>
      </vt:variant>
      <vt:variant>
        <vt:lpwstr/>
      </vt:variant>
      <vt:variant>
        <vt:lpwstr>_Box_1-1_Calculation</vt:lpwstr>
      </vt:variant>
      <vt:variant>
        <vt:i4>1179710</vt:i4>
      </vt:variant>
      <vt:variant>
        <vt:i4>95</vt:i4>
      </vt:variant>
      <vt:variant>
        <vt:i4>0</vt:i4>
      </vt:variant>
      <vt:variant>
        <vt:i4>5</vt:i4>
      </vt:variant>
      <vt:variant>
        <vt:lpwstr/>
      </vt:variant>
      <vt:variant>
        <vt:lpwstr>_Toc159676109</vt:lpwstr>
      </vt:variant>
      <vt:variant>
        <vt:i4>1179710</vt:i4>
      </vt:variant>
      <vt:variant>
        <vt:i4>89</vt:i4>
      </vt:variant>
      <vt:variant>
        <vt:i4>0</vt:i4>
      </vt:variant>
      <vt:variant>
        <vt:i4>5</vt:i4>
      </vt:variant>
      <vt:variant>
        <vt:lpwstr/>
      </vt:variant>
      <vt:variant>
        <vt:lpwstr>_Toc159676108</vt:lpwstr>
      </vt:variant>
      <vt:variant>
        <vt:i4>1179710</vt:i4>
      </vt:variant>
      <vt:variant>
        <vt:i4>83</vt:i4>
      </vt:variant>
      <vt:variant>
        <vt:i4>0</vt:i4>
      </vt:variant>
      <vt:variant>
        <vt:i4>5</vt:i4>
      </vt:variant>
      <vt:variant>
        <vt:lpwstr/>
      </vt:variant>
      <vt:variant>
        <vt:lpwstr>_Toc159676107</vt:lpwstr>
      </vt:variant>
      <vt:variant>
        <vt:i4>1179710</vt:i4>
      </vt:variant>
      <vt:variant>
        <vt:i4>77</vt:i4>
      </vt:variant>
      <vt:variant>
        <vt:i4>0</vt:i4>
      </vt:variant>
      <vt:variant>
        <vt:i4>5</vt:i4>
      </vt:variant>
      <vt:variant>
        <vt:lpwstr/>
      </vt:variant>
      <vt:variant>
        <vt:lpwstr>_Toc159676106</vt:lpwstr>
      </vt:variant>
      <vt:variant>
        <vt:i4>1179710</vt:i4>
      </vt:variant>
      <vt:variant>
        <vt:i4>71</vt:i4>
      </vt:variant>
      <vt:variant>
        <vt:i4>0</vt:i4>
      </vt:variant>
      <vt:variant>
        <vt:i4>5</vt:i4>
      </vt:variant>
      <vt:variant>
        <vt:lpwstr/>
      </vt:variant>
      <vt:variant>
        <vt:lpwstr>_Toc159676105</vt:lpwstr>
      </vt:variant>
      <vt:variant>
        <vt:i4>1179710</vt:i4>
      </vt:variant>
      <vt:variant>
        <vt:i4>65</vt:i4>
      </vt:variant>
      <vt:variant>
        <vt:i4>0</vt:i4>
      </vt:variant>
      <vt:variant>
        <vt:i4>5</vt:i4>
      </vt:variant>
      <vt:variant>
        <vt:lpwstr/>
      </vt:variant>
      <vt:variant>
        <vt:lpwstr>_Toc159676104</vt:lpwstr>
      </vt:variant>
      <vt:variant>
        <vt:i4>1179710</vt:i4>
      </vt:variant>
      <vt:variant>
        <vt:i4>59</vt:i4>
      </vt:variant>
      <vt:variant>
        <vt:i4>0</vt:i4>
      </vt:variant>
      <vt:variant>
        <vt:i4>5</vt:i4>
      </vt:variant>
      <vt:variant>
        <vt:lpwstr/>
      </vt:variant>
      <vt:variant>
        <vt:lpwstr>_Toc159676103</vt:lpwstr>
      </vt:variant>
      <vt:variant>
        <vt:i4>1179710</vt:i4>
      </vt:variant>
      <vt:variant>
        <vt:i4>53</vt:i4>
      </vt:variant>
      <vt:variant>
        <vt:i4>0</vt:i4>
      </vt:variant>
      <vt:variant>
        <vt:i4>5</vt:i4>
      </vt:variant>
      <vt:variant>
        <vt:lpwstr/>
      </vt:variant>
      <vt:variant>
        <vt:lpwstr>_Toc159676102</vt:lpwstr>
      </vt:variant>
      <vt:variant>
        <vt:i4>1179710</vt:i4>
      </vt:variant>
      <vt:variant>
        <vt:i4>47</vt:i4>
      </vt:variant>
      <vt:variant>
        <vt:i4>0</vt:i4>
      </vt:variant>
      <vt:variant>
        <vt:i4>5</vt:i4>
      </vt:variant>
      <vt:variant>
        <vt:lpwstr/>
      </vt:variant>
      <vt:variant>
        <vt:lpwstr>_Toc159676101</vt:lpwstr>
      </vt:variant>
      <vt:variant>
        <vt:i4>1179710</vt:i4>
      </vt:variant>
      <vt:variant>
        <vt:i4>41</vt:i4>
      </vt:variant>
      <vt:variant>
        <vt:i4>0</vt:i4>
      </vt:variant>
      <vt:variant>
        <vt:i4>5</vt:i4>
      </vt:variant>
      <vt:variant>
        <vt:lpwstr/>
      </vt:variant>
      <vt:variant>
        <vt:lpwstr>_Toc159676100</vt:lpwstr>
      </vt:variant>
      <vt:variant>
        <vt:i4>1769535</vt:i4>
      </vt:variant>
      <vt:variant>
        <vt:i4>35</vt:i4>
      </vt:variant>
      <vt:variant>
        <vt:i4>0</vt:i4>
      </vt:variant>
      <vt:variant>
        <vt:i4>5</vt:i4>
      </vt:variant>
      <vt:variant>
        <vt:lpwstr/>
      </vt:variant>
      <vt:variant>
        <vt:lpwstr>_Toc159676099</vt:lpwstr>
      </vt:variant>
      <vt:variant>
        <vt:i4>1769535</vt:i4>
      </vt:variant>
      <vt:variant>
        <vt:i4>29</vt:i4>
      </vt:variant>
      <vt:variant>
        <vt:i4>0</vt:i4>
      </vt:variant>
      <vt:variant>
        <vt:i4>5</vt:i4>
      </vt:variant>
      <vt:variant>
        <vt:lpwstr/>
      </vt:variant>
      <vt:variant>
        <vt:lpwstr>_Toc159676098</vt:lpwstr>
      </vt:variant>
      <vt:variant>
        <vt:i4>1769535</vt:i4>
      </vt:variant>
      <vt:variant>
        <vt:i4>23</vt:i4>
      </vt:variant>
      <vt:variant>
        <vt:i4>0</vt:i4>
      </vt:variant>
      <vt:variant>
        <vt:i4>5</vt:i4>
      </vt:variant>
      <vt:variant>
        <vt:lpwstr/>
      </vt:variant>
      <vt:variant>
        <vt:lpwstr>_Toc159676097</vt:lpwstr>
      </vt:variant>
      <vt:variant>
        <vt:i4>8126558</vt:i4>
      </vt:variant>
      <vt:variant>
        <vt:i4>18</vt:i4>
      </vt:variant>
      <vt:variant>
        <vt:i4>0</vt:i4>
      </vt:variant>
      <vt:variant>
        <vt:i4>5</vt:i4>
      </vt:variant>
      <vt:variant>
        <vt:lpwstr>mailto:Mike.Callaghan@cgc.gov.au</vt:lpwstr>
      </vt:variant>
      <vt:variant>
        <vt:lpwstr/>
      </vt:variant>
      <vt:variant>
        <vt:i4>3473456</vt:i4>
      </vt:variant>
      <vt:variant>
        <vt:i4>15</vt:i4>
      </vt:variant>
      <vt:variant>
        <vt:i4>0</vt:i4>
      </vt:variant>
      <vt:variant>
        <vt:i4>5</vt:i4>
      </vt:variant>
      <vt:variant>
        <vt:lpwstr>https://www.cgc.gov.au/</vt:lpwstr>
      </vt:variant>
      <vt:variant>
        <vt:lpwstr/>
      </vt:variant>
      <vt:variant>
        <vt:i4>8323091</vt:i4>
      </vt:variant>
      <vt:variant>
        <vt:i4>12</vt:i4>
      </vt:variant>
      <vt:variant>
        <vt:i4>0</vt:i4>
      </vt:variant>
      <vt:variant>
        <vt:i4>5</vt:i4>
      </vt:variant>
      <vt:variant>
        <vt:lpwstr>mailto:secretary@cgc.gov.au</vt:lpwstr>
      </vt:variant>
      <vt:variant>
        <vt:lpwstr/>
      </vt:variant>
      <vt:variant>
        <vt:i4>5439552</vt:i4>
      </vt:variant>
      <vt:variant>
        <vt:i4>9</vt:i4>
      </vt:variant>
      <vt:variant>
        <vt:i4>0</vt:i4>
      </vt:variant>
      <vt:variant>
        <vt:i4>5</vt:i4>
      </vt:variant>
      <vt:variant>
        <vt:lpwstr>https://www.pmc.gov.au/government/commonwealth-coat-arms</vt:lpwstr>
      </vt:variant>
      <vt:variant>
        <vt:lpwstr/>
      </vt:variant>
      <vt:variant>
        <vt:i4>5439552</vt:i4>
      </vt:variant>
      <vt:variant>
        <vt:i4>6</vt:i4>
      </vt:variant>
      <vt:variant>
        <vt:i4>0</vt:i4>
      </vt:variant>
      <vt:variant>
        <vt:i4>5</vt:i4>
      </vt:variant>
      <vt:variant>
        <vt:lpwstr>https://www.pmc.gov.au/government/commonwealth-coat-arms/</vt:lpwstr>
      </vt:variant>
      <vt:variant>
        <vt:lpwstr/>
      </vt:variant>
      <vt:variant>
        <vt:i4>5373952</vt:i4>
      </vt:variant>
      <vt:variant>
        <vt:i4>3</vt:i4>
      </vt:variant>
      <vt:variant>
        <vt:i4>0</vt:i4>
      </vt:variant>
      <vt:variant>
        <vt:i4>5</vt:i4>
      </vt:variant>
      <vt:variant>
        <vt:lpwstr>https://creativecommons.org/licenses/by/4.0/legalcode</vt:lpwstr>
      </vt:variant>
      <vt:variant>
        <vt:lpwstr/>
      </vt:variant>
      <vt:variant>
        <vt:i4>5308424</vt:i4>
      </vt:variant>
      <vt:variant>
        <vt:i4>0</vt:i4>
      </vt:variant>
      <vt:variant>
        <vt:i4>0</vt:i4>
      </vt:variant>
      <vt:variant>
        <vt:i4>5</vt:i4>
      </vt:variant>
      <vt:variant>
        <vt:lpwstr>https://creativecommons.org/licenses/by/4.0/</vt:lpwstr>
      </vt:variant>
      <vt:variant>
        <vt:lpwstr/>
      </vt:variant>
      <vt:variant>
        <vt:i4>589914</vt:i4>
      </vt:variant>
      <vt:variant>
        <vt:i4>9</vt:i4>
      </vt:variant>
      <vt:variant>
        <vt:i4>0</vt:i4>
      </vt:variant>
      <vt:variant>
        <vt:i4>5</vt:i4>
      </vt:variant>
      <vt:variant>
        <vt:lpwstr>https://www.cgc.gov.au/publications/occasional-paper-4-new-arrangements-distributing-gst</vt:lpwstr>
      </vt:variant>
      <vt:variant>
        <vt:lpwstr/>
      </vt:variant>
      <vt:variant>
        <vt:i4>3145738</vt:i4>
      </vt:variant>
      <vt:variant>
        <vt:i4>6</vt:i4>
      </vt:variant>
      <vt:variant>
        <vt:i4>0</vt:i4>
      </vt:variant>
      <vt:variant>
        <vt:i4>5</vt:i4>
      </vt:variant>
      <vt:variant>
        <vt:lpwstr/>
      </vt:variant>
      <vt:variant>
        <vt:lpwstr>_Box_1-1:_Calculation</vt:lpwstr>
      </vt:variant>
      <vt:variant>
        <vt:i4>1245279</vt:i4>
      </vt:variant>
      <vt:variant>
        <vt:i4>3</vt:i4>
      </vt:variant>
      <vt:variant>
        <vt:i4>0</vt:i4>
      </vt:variant>
      <vt:variant>
        <vt:i4>5</vt:i4>
      </vt:variant>
      <vt:variant>
        <vt:lpwstr>https://budget.gov.au/content/myefo/index.htm</vt:lpwstr>
      </vt:variant>
      <vt:variant>
        <vt:lpwstr/>
      </vt:variant>
      <vt:variant>
        <vt:i4>1179740</vt:i4>
      </vt:variant>
      <vt:variant>
        <vt:i4>0</vt:i4>
      </vt:variant>
      <vt:variant>
        <vt:i4>0</vt:i4>
      </vt:variant>
      <vt:variant>
        <vt:i4>5</vt:i4>
      </vt:variant>
      <vt:variant>
        <vt:lpwstr>https://www.pm.gov.au/media/meeting-national-cabinet-federation-working-australia</vt:lpwstr>
      </vt:variant>
      <vt:variant>
        <vt:lpwstr/>
      </vt:variant>
      <vt:variant>
        <vt:i4>1703981</vt:i4>
      </vt:variant>
      <vt:variant>
        <vt:i4>6</vt:i4>
      </vt:variant>
      <vt:variant>
        <vt:i4>0</vt:i4>
      </vt:variant>
      <vt:variant>
        <vt:i4>5</vt:i4>
      </vt:variant>
      <vt:variant>
        <vt:lpwstr/>
      </vt:variant>
      <vt:variant>
        <vt:lpwstr>_Box_2-2_2021</vt:lpwstr>
      </vt:variant>
      <vt:variant>
        <vt:i4>1703981</vt:i4>
      </vt:variant>
      <vt:variant>
        <vt:i4>3</vt:i4>
      </vt:variant>
      <vt:variant>
        <vt:i4>0</vt:i4>
      </vt:variant>
      <vt:variant>
        <vt:i4>5</vt:i4>
      </vt:variant>
      <vt:variant>
        <vt:lpwstr/>
      </vt:variant>
      <vt:variant>
        <vt:lpwstr>_Box_2-2_2021</vt:lpwstr>
      </vt:variant>
      <vt:variant>
        <vt:i4>6553699</vt:i4>
      </vt:variant>
      <vt:variant>
        <vt:i4>0</vt:i4>
      </vt:variant>
      <vt:variant>
        <vt:i4>0</vt:i4>
      </vt:variant>
      <vt:variant>
        <vt:i4>5</vt:i4>
      </vt:variant>
      <vt:variant>
        <vt:lpwstr/>
      </vt:variant>
      <vt:variant>
        <vt:lpwstr>Recommend_GST_Relativities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Warder</dc:creator>
  <cp:keywords/>
  <dc:description/>
  <cp:lastModifiedBy>Prema, Aaron</cp:lastModifiedBy>
  <cp:revision>411</cp:revision>
  <cp:lastPrinted>2024-02-27T17:58:00Z</cp:lastPrinted>
  <dcterms:created xsi:type="dcterms:W3CDTF">2024-02-22T23:57:00Z</dcterms:created>
  <dcterms:modified xsi:type="dcterms:W3CDTF">2024-06-18T05:59:00Z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0x010100E7E6CE0E6E4CC94697A9F68B1C3F36F2</vt:lpwstr>
  </property>
  <property fmtid="{D5CDD505-2E9C-101B-9397-08002B2CF9AE}" pid="3" name="MediaServiceImageTags">
    <vt:lpwstr/>
  </property>
  <property fmtid="{D5CDD505-2E9C-101B-9397-08002B2CF9AE}" pid="4" name="Order">
    <vt:r8>119400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