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C5F6" w14:textId="3BAFA39C" w:rsidR="009F2AC9" w:rsidRDefault="001B58A9" w:rsidP="009F2AC9">
      <w:pPr>
        <w:pStyle w:val="Heading5"/>
        <w:rPr>
          <w:lang w:val="en-US"/>
        </w:rPr>
      </w:pPr>
      <w:r>
        <w:rPr>
          <w:lang w:val="en-US"/>
        </w:rPr>
        <w:t xml:space="preserve">U2024 </w:t>
      </w:r>
      <w:r w:rsidR="4FC16564" w:rsidRPr="4FC16564">
        <w:rPr>
          <w:lang w:val="en-US"/>
        </w:rPr>
        <w:t>Supporting information workbooks</w:t>
      </w:r>
    </w:p>
    <w:p w14:paraId="571C4416" w14:textId="77777777" w:rsidR="009F2AC9" w:rsidRPr="00047B1D" w:rsidRDefault="009F2AC9" w:rsidP="00B3203C">
      <w:pPr>
        <w:pStyle w:val="CGCTablenote"/>
        <w:rPr>
          <w:lang w:val="en-US"/>
        </w:rPr>
      </w:pPr>
    </w:p>
    <w:tbl>
      <w:tblPr>
        <w:tblW w:w="8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522"/>
        <w:gridCol w:w="11"/>
      </w:tblGrid>
      <w:tr w:rsidR="009F2AC9" w:rsidRPr="006C38FD" w14:paraId="4C100F6A" w14:textId="77777777" w:rsidTr="7375D34D">
        <w:trPr>
          <w:trHeight w:val="375"/>
          <w:tblHeader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00699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D209" w14:textId="77777777" w:rsidR="009F2AC9" w:rsidRPr="004E2C65" w:rsidRDefault="009F2AC9" w:rsidP="00CA512D">
            <w:pPr>
              <w:spacing w:before="0" w:line="240" w:lineRule="auto"/>
              <w:rPr>
                <w:rFonts w:ascii="Open Sans Semibold" w:hAnsi="Open Sans Semibold" w:cs="Open Sans Semibold"/>
                <w:color w:val="FFFFFF" w:themeColor="background1"/>
                <w:szCs w:val="20"/>
              </w:rPr>
            </w:pPr>
            <w:r w:rsidRPr="004E2C65">
              <w:rPr>
                <w:rFonts w:ascii="Open Sans Semibold" w:hAnsi="Open Sans Semibold" w:cs="Open Sans Semibold"/>
                <w:color w:val="FFFFFF" w:themeColor="background1"/>
                <w:szCs w:val="20"/>
              </w:rPr>
              <w:t xml:space="preserve">Workbook </w:t>
            </w:r>
          </w:p>
        </w:tc>
        <w:tc>
          <w:tcPr>
            <w:tcW w:w="7522" w:type="dxa"/>
            <w:tcBorders>
              <w:left w:val="nil"/>
              <w:right w:val="nil"/>
            </w:tcBorders>
            <w:shd w:val="clear" w:color="auto" w:fill="00699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9F80" w14:textId="77777777" w:rsidR="009F2AC9" w:rsidRPr="004E2C65" w:rsidRDefault="009F2AC9" w:rsidP="00CA512D">
            <w:pPr>
              <w:spacing w:before="0" w:line="240" w:lineRule="auto"/>
              <w:rPr>
                <w:rFonts w:ascii="Open Sans Semibold" w:hAnsi="Open Sans Semibold" w:cs="Open Sans Semibold"/>
                <w:color w:val="FFFFFF" w:themeColor="background1"/>
                <w:szCs w:val="20"/>
              </w:rPr>
            </w:pPr>
            <w:r w:rsidRPr="004E2C65">
              <w:rPr>
                <w:rFonts w:ascii="Open Sans Semibold" w:hAnsi="Open Sans Semibold" w:cs="Open Sans Semibold"/>
                <w:color w:val="FFFFFF" w:themeColor="background1"/>
                <w:szCs w:val="20"/>
                <w:lang w:eastAsia="en-AU"/>
              </w:rPr>
              <w:t>Table</w:t>
            </w:r>
          </w:p>
        </w:tc>
        <w:tc>
          <w:tcPr>
            <w:tcW w:w="11" w:type="dxa"/>
            <w:tcBorders>
              <w:left w:val="nil"/>
              <w:right w:val="nil"/>
            </w:tcBorders>
            <w:shd w:val="clear" w:color="auto" w:fill="006991"/>
          </w:tcPr>
          <w:p w14:paraId="6C6DD1A1" w14:textId="77777777" w:rsidR="009F2AC9" w:rsidRDefault="009F2AC9" w:rsidP="00CA512D">
            <w:pPr>
              <w:spacing w:before="0" w:line="240" w:lineRule="auto"/>
              <w:rPr>
                <w:rFonts w:ascii="Open Sans Semibold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tr w:rsidR="009F2AC9" w:rsidRPr="00CA1825" w14:paraId="1A7AD081" w14:textId="77777777" w:rsidTr="7375D34D">
        <w:trPr>
          <w:trHeight w:val="315"/>
        </w:trPr>
        <w:tc>
          <w:tcPr>
            <w:tcW w:w="8940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2E26" w14:textId="13C5DD52" w:rsidR="009F2AC9" w:rsidRPr="00CA1825" w:rsidRDefault="009F2AC9" w:rsidP="00CA512D">
            <w:pPr>
              <w:ind w:left="-107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S1 Population dat</w:t>
            </w:r>
            <w:r w:rsidR="006F0B44" w:rsidRPr="00CA1825">
              <w:rPr>
                <w:rFonts w:cs="Open Sans Light"/>
                <w:b/>
                <w:bCs/>
                <w:sz w:val="22"/>
              </w:rPr>
              <w:t>a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7CF33D12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4D945AA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AD2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2F53" w14:textId="5CC4D48E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S1-1 Estimated resident population for the assessment years and application year by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5B6961C9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8ACB80F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8F4E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0899D" w14:textId="5E6AFF64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S1-2 Population growth by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CBC238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D396B48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D724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42B0" w14:textId="2A8EB710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S1-3 Estimated resident population by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  <w:r w:rsidRPr="00F42375">
              <w:rPr>
                <w:rFonts w:cs="Open Sans Light"/>
                <w:sz w:val="18"/>
                <w:szCs w:val="18"/>
              </w:rPr>
              <w:t xml:space="preserve">, Indigenous </w:t>
            </w:r>
            <w:proofErr w:type="gramStart"/>
            <w:r w:rsidRPr="00F42375">
              <w:rPr>
                <w:rFonts w:cs="Open Sans Light"/>
                <w:sz w:val="18"/>
                <w:szCs w:val="18"/>
              </w:rPr>
              <w:t>status</w:t>
            </w:r>
            <w:proofErr w:type="gramEnd"/>
            <w:r w:rsidRPr="00F42375">
              <w:rPr>
                <w:rFonts w:cs="Open Sans Light"/>
                <w:sz w:val="18"/>
                <w:szCs w:val="18"/>
              </w:rPr>
              <w:t xml:space="preserve"> and socio-economic status 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47B24622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D7C1051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765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782B" w14:textId="00FF03B1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S1-4 Estimated resident population by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  <w:r w:rsidRPr="00F42375">
              <w:rPr>
                <w:rFonts w:cs="Open Sans Light"/>
                <w:sz w:val="18"/>
                <w:szCs w:val="18"/>
              </w:rPr>
              <w:t xml:space="preserve">, Indigenous </w:t>
            </w:r>
            <w:proofErr w:type="gramStart"/>
            <w:r w:rsidRPr="00F42375">
              <w:rPr>
                <w:rFonts w:cs="Open Sans Light"/>
                <w:sz w:val="18"/>
                <w:szCs w:val="18"/>
              </w:rPr>
              <w:t>status</w:t>
            </w:r>
            <w:proofErr w:type="gramEnd"/>
            <w:r w:rsidRPr="00F42375">
              <w:rPr>
                <w:rFonts w:cs="Open Sans Light"/>
                <w:sz w:val="18"/>
                <w:szCs w:val="18"/>
              </w:rPr>
              <w:t xml:space="preserve"> and remoteness area 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7F3C29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E077552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AC86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53E4" w14:textId="33040C29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S1-5 Estimated resident population by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  <w:r w:rsidRPr="00F42375">
              <w:rPr>
                <w:rFonts w:cs="Open Sans Light"/>
                <w:sz w:val="18"/>
                <w:szCs w:val="18"/>
              </w:rPr>
              <w:t xml:space="preserve">, Indigenous </w:t>
            </w:r>
            <w:proofErr w:type="gramStart"/>
            <w:r w:rsidRPr="00F42375">
              <w:rPr>
                <w:rFonts w:cs="Open Sans Light"/>
                <w:sz w:val="18"/>
                <w:szCs w:val="18"/>
              </w:rPr>
              <w:t>status</w:t>
            </w:r>
            <w:proofErr w:type="gramEnd"/>
            <w:r w:rsidRPr="00F42375">
              <w:rPr>
                <w:rFonts w:cs="Open Sans Light"/>
                <w:sz w:val="18"/>
                <w:szCs w:val="18"/>
              </w:rPr>
              <w:t xml:space="preserve"> and age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4AE4290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D105076" w14:textId="77777777" w:rsidTr="7375D34D">
        <w:trPr>
          <w:trHeight w:val="315"/>
        </w:trPr>
        <w:tc>
          <w:tcPr>
            <w:tcW w:w="8940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9AF6" w14:textId="77777777" w:rsidR="009F2AC9" w:rsidRPr="00CA1825" w:rsidRDefault="009F2AC9" w:rsidP="00CA512D">
            <w:pPr>
              <w:ind w:left="-107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S2 Adjusted budget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1D41B6D8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1C5CF5C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B07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606D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S2-1 Adjusted budget summary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60C93367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5353CA27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C733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D401" w14:textId="0AC6F82A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S2-2 Actual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  <w:r w:rsidRPr="00F42375">
              <w:rPr>
                <w:rFonts w:cs="Open Sans Light"/>
                <w:sz w:val="18"/>
                <w:szCs w:val="18"/>
              </w:rPr>
              <w:t xml:space="preserve"> own-source revenue by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20901A7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53C1A85B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173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FCD7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S2-3 Actual operating expenses by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58B285BE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A2B7B44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9F33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2FD4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S2-4 Actual investment and net borrowing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7203E314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0FC767B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A31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1F7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S2-5 Commonwealth payments ('impact’ payments only)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53D6C2D0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79D0FC5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537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66D5" w14:textId="7B0BF3B0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S2-6 Commonwealth payments quarantined by </w:t>
            </w:r>
            <w:r w:rsidR="00647E92" w:rsidRPr="00F42375">
              <w:rPr>
                <w:rFonts w:cs="Open Sans Light"/>
                <w:sz w:val="18"/>
                <w:szCs w:val="18"/>
              </w:rPr>
              <w:t>t</w:t>
            </w:r>
            <w:r w:rsidRPr="00F42375">
              <w:rPr>
                <w:rFonts w:cs="Open Sans Light"/>
                <w:sz w:val="18"/>
                <w:szCs w:val="18"/>
              </w:rPr>
              <w:t xml:space="preserve">erms of </w:t>
            </w:r>
            <w:r w:rsidR="00647E92" w:rsidRPr="00F42375">
              <w:rPr>
                <w:rFonts w:cs="Open Sans Light"/>
                <w:sz w:val="18"/>
                <w:szCs w:val="18"/>
              </w:rPr>
              <w:t>r</w:t>
            </w:r>
            <w:r w:rsidRPr="00F42375">
              <w:rPr>
                <w:rFonts w:cs="Open Sans Light"/>
                <w:sz w:val="18"/>
                <w:szCs w:val="18"/>
              </w:rPr>
              <w:t>eference (</w:t>
            </w:r>
            <w:proofErr w:type="spellStart"/>
            <w:r w:rsidRPr="00F42375">
              <w:rPr>
                <w:rFonts w:cs="Open Sans Light"/>
                <w:sz w:val="18"/>
                <w:szCs w:val="18"/>
              </w:rPr>
              <w:t>ToR</w:t>
            </w:r>
            <w:proofErr w:type="spellEnd"/>
            <w:r w:rsidRPr="00F42375">
              <w:rPr>
                <w:rFonts w:cs="Open Sans Light"/>
                <w:sz w:val="18"/>
                <w:szCs w:val="18"/>
              </w:rPr>
              <w:t>)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1C12C85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40D9A5B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C1B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AE4A" w14:textId="5A275C12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S2-7 Commonwealth payments - Summary of treatment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20944AF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BE59945" w14:textId="77777777" w:rsidTr="7375D34D">
        <w:trPr>
          <w:trHeight w:val="315"/>
        </w:trPr>
        <w:tc>
          <w:tcPr>
            <w:tcW w:w="8940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9C14" w14:textId="77777777" w:rsidR="009F2AC9" w:rsidRPr="00CA1825" w:rsidRDefault="009F2AC9" w:rsidP="00CA512D">
            <w:pPr>
              <w:ind w:left="-107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S3 Assessed budget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785B9164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991E9F4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D44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0E33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S3-1 Assessed budget summary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0A1382E9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34272D3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1027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9232" w14:textId="27199034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S3-2 Assessed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  <w:r w:rsidRPr="00F42375">
              <w:rPr>
                <w:rFonts w:cs="Open Sans Light"/>
                <w:sz w:val="18"/>
                <w:szCs w:val="18"/>
              </w:rPr>
              <w:t xml:space="preserve"> own source revenue by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D5E3C77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B427BCE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017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F809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S3-3 Assessed operating expenses by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13AB3CA7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2089CFB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5CF6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1C03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S3-4 Assessed Investment and net borrowing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2CA28658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FD97998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402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9C8B" w14:textId="7698ACBA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S3-5 Commonwealth payments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76D7620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A3AB9CE" w14:textId="77777777" w:rsidTr="7375D34D">
        <w:trPr>
          <w:trHeight w:val="315"/>
        </w:trPr>
        <w:tc>
          <w:tcPr>
            <w:tcW w:w="8940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9337" w14:textId="52E68BC3" w:rsidR="009F2AC9" w:rsidRPr="00CA1825" w:rsidRDefault="009F2AC9" w:rsidP="00CA512D">
            <w:pPr>
              <w:ind w:left="-107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S4 Analysis of relativities (Difference from an EPC distribution of GST)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78E5409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A0E59D6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FA30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E1EC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S4-1 Contribution to redistribution by revenue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7B2FF67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2D697DA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72A3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F7D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S4-2 Contribution to redistribution by expense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5C071B2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8885C71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517F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6408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S4-3 Contribution to redistribution for investment and net borrowing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E4D5A27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BB5CA10" w14:textId="77777777" w:rsidTr="7375D34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1F7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C57E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S4-4 Contribution to redistribution for each Commonwealth payment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7831B29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63EB01A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9D4E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9CD8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S4-5 Net impact of Commonwealth payments by expense category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9CDC656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90E5C62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BC0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FF48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S4-6 Drivers of difference from an EPC distribution of GST 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2B29437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854163" w:rsidRPr="00CA1825" w14:paraId="07F1ED34" w14:textId="77777777" w:rsidTr="7375D34D">
        <w:trPr>
          <w:trHeight w:val="315"/>
        </w:trPr>
        <w:tc>
          <w:tcPr>
            <w:tcW w:w="8951" w:type="dxa"/>
            <w:gridSpan w:val="3"/>
            <w:tcBorders>
              <w:top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96D3" w14:textId="77777777" w:rsidR="00854163" w:rsidRPr="00CA1825" w:rsidRDefault="00854163" w:rsidP="00CA512D">
            <w:pPr>
              <w:ind w:left="-107"/>
              <w:rPr>
                <w:rFonts w:cs="Open Sans Light"/>
                <w:b/>
                <w:bCs/>
                <w:sz w:val="22"/>
              </w:rPr>
            </w:pPr>
          </w:p>
        </w:tc>
      </w:tr>
      <w:tr w:rsidR="00854163" w:rsidRPr="00CA1825" w14:paraId="69C7D92C" w14:textId="77777777" w:rsidTr="7375D34D">
        <w:trPr>
          <w:trHeight w:val="315"/>
        </w:trPr>
        <w:tc>
          <w:tcPr>
            <w:tcW w:w="895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E93F" w14:textId="77777777" w:rsidR="00854163" w:rsidRPr="00CA1825" w:rsidRDefault="00854163" w:rsidP="00CA512D">
            <w:pPr>
              <w:ind w:left="-107"/>
              <w:rPr>
                <w:rFonts w:cs="Open Sans Light"/>
                <w:b/>
                <w:bCs/>
                <w:sz w:val="22"/>
              </w:rPr>
            </w:pPr>
          </w:p>
        </w:tc>
      </w:tr>
      <w:tr w:rsidR="009F2AC9" w:rsidRPr="00CA1825" w14:paraId="4A9D1D0D" w14:textId="77777777" w:rsidTr="7375D34D">
        <w:trPr>
          <w:trHeight w:val="315"/>
        </w:trPr>
        <w:tc>
          <w:tcPr>
            <w:tcW w:w="8951" w:type="dxa"/>
            <w:gridSpan w:val="3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1D3A" w14:textId="17036E39" w:rsidR="009F2AC9" w:rsidRPr="00CA1825" w:rsidRDefault="009F2AC9" w:rsidP="7375D34D">
            <w:pPr>
              <w:ind w:left="-107"/>
              <w:rPr>
                <w:rFonts w:cs="Open Sans Light"/>
                <w:sz w:val="22"/>
              </w:rPr>
            </w:pPr>
            <w:r w:rsidRPr="7375D34D">
              <w:rPr>
                <w:rFonts w:cs="Open Sans Light"/>
                <w:b/>
                <w:bCs/>
                <w:sz w:val="22"/>
              </w:rPr>
              <w:lastRenderedPageBreak/>
              <w:t>S5 Analysis of change between the 20</w:t>
            </w:r>
            <w:r w:rsidR="00756458" w:rsidRPr="7375D34D">
              <w:rPr>
                <w:rFonts w:cs="Open Sans Light"/>
                <w:b/>
                <w:bCs/>
                <w:sz w:val="22"/>
              </w:rPr>
              <w:t>2</w:t>
            </w:r>
            <w:r w:rsidR="008B5A1F">
              <w:rPr>
                <w:rFonts w:cs="Open Sans Light"/>
                <w:b/>
                <w:bCs/>
                <w:sz w:val="22"/>
              </w:rPr>
              <w:t>3</w:t>
            </w:r>
            <w:r w:rsidR="004F15D3" w:rsidRPr="7375D34D">
              <w:rPr>
                <w:rFonts w:cs="Open Sans Light"/>
                <w:b/>
                <w:bCs/>
                <w:sz w:val="22"/>
              </w:rPr>
              <w:t xml:space="preserve"> Update </w:t>
            </w:r>
            <w:r w:rsidR="00031E89" w:rsidRPr="7375D34D">
              <w:rPr>
                <w:rFonts w:cs="Open Sans Light"/>
                <w:b/>
                <w:bCs/>
                <w:sz w:val="22"/>
              </w:rPr>
              <w:t xml:space="preserve">and </w:t>
            </w:r>
            <w:r w:rsidR="004F15D3" w:rsidRPr="7375D34D">
              <w:rPr>
                <w:rFonts w:cs="Open Sans Light"/>
                <w:b/>
                <w:bCs/>
                <w:sz w:val="22"/>
              </w:rPr>
              <w:t xml:space="preserve">the </w:t>
            </w:r>
            <w:r w:rsidR="00031E89" w:rsidRPr="7375D34D">
              <w:rPr>
                <w:rFonts w:cs="Open Sans Light"/>
                <w:b/>
                <w:bCs/>
                <w:sz w:val="22"/>
              </w:rPr>
              <w:t>202</w:t>
            </w:r>
            <w:r w:rsidR="008B5A1F">
              <w:rPr>
                <w:rFonts w:cs="Open Sans Light"/>
                <w:b/>
                <w:bCs/>
                <w:sz w:val="22"/>
              </w:rPr>
              <w:t>4</w:t>
            </w:r>
            <w:r w:rsidRPr="7375D34D">
              <w:rPr>
                <w:rFonts w:cs="Open Sans Light"/>
                <w:b/>
                <w:bCs/>
                <w:sz w:val="22"/>
              </w:rPr>
              <w:t xml:space="preserve"> Update </w:t>
            </w:r>
          </w:p>
        </w:tc>
      </w:tr>
      <w:tr w:rsidR="009F2AC9" w:rsidRPr="00CA1825" w14:paraId="2FDAF1F0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538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AA7A" w14:textId="2CD26588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S5-1 to S5-</w:t>
            </w:r>
            <w:r w:rsidR="00E9458D" w:rsidRPr="00F42375">
              <w:rPr>
                <w:rFonts w:cs="Open Sans Light"/>
                <w:sz w:val="18"/>
                <w:szCs w:val="18"/>
              </w:rPr>
              <w:t>6</w:t>
            </w:r>
            <w:r w:rsidRPr="00F42375">
              <w:rPr>
                <w:rFonts w:cs="Open Sans Light"/>
                <w:sz w:val="18"/>
                <w:szCs w:val="18"/>
              </w:rPr>
              <w:t xml:space="preserve"> Contribution to change by revenue category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A35DFE3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2EA452B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624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DCD8" w14:textId="34790D83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S5-</w:t>
            </w:r>
            <w:r w:rsidR="00E9458D" w:rsidRPr="00F42375">
              <w:rPr>
                <w:rFonts w:cs="Open Sans Light"/>
                <w:sz w:val="18"/>
                <w:szCs w:val="18"/>
              </w:rPr>
              <w:t>7</w:t>
            </w:r>
            <w:r w:rsidRPr="00F42375">
              <w:rPr>
                <w:rFonts w:cs="Open Sans Light"/>
                <w:sz w:val="18"/>
                <w:szCs w:val="18"/>
              </w:rPr>
              <w:t xml:space="preserve"> to S5-</w:t>
            </w:r>
            <w:r w:rsidR="00766938" w:rsidRPr="00F42375">
              <w:rPr>
                <w:rFonts w:cs="Open Sans Light"/>
                <w:sz w:val="18"/>
                <w:szCs w:val="18"/>
              </w:rPr>
              <w:t>1</w:t>
            </w:r>
            <w:r w:rsidR="00E9458D" w:rsidRPr="00F42375">
              <w:rPr>
                <w:rFonts w:cs="Open Sans Light"/>
                <w:sz w:val="18"/>
                <w:szCs w:val="18"/>
              </w:rPr>
              <w:t>2</w:t>
            </w:r>
            <w:r w:rsidRPr="00F42375">
              <w:rPr>
                <w:rFonts w:cs="Open Sans Light"/>
                <w:sz w:val="18"/>
                <w:szCs w:val="18"/>
              </w:rPr>
              <w:t xml:space="preserve"> Contribution to change by expense category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7CF01F36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A7870E8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417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1B19" w14:textId="0F0E7B2B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S5-</w:t>
            </w:r>
            <w:r w:rsidR="00766938" w:rsidRPr="00F42375">
              <w:rPr>
                <w:rFonts w:cs="Open Sans Light"/>
                <w:sz w:val="18"/>
                <w:szCs w:val="18"/>
              </w:rPr>
              <w:t>1</w:t>
            </w:r>
            <w:r w:rsidR="00E9458D" w:rsidRPr="00F42375">
              <w:rPr>
                <w:rFonts w:cs="Open Sans Light"/>
                <w:sz w:val="18"/>
                <w:szCs w:val="18"/>
              </w:rPr>
              <w:t>3</w:t>
            </w:r>
            <w:r w:rsidRPr="00F42375">
              <w:rPr>
                <w:rFonts w:cs="Open Sans Light"/>
                <w:sz w:val="18"/>
                <w:szCs w:val="18"/>
              </w:rPr>
              <w:t xml:space="preserve"> to S5-</w:t>
            </w:r>
            <w:r w:rsidR="00E9458D" w:rsidRPr="00F42375">
              <w:rPr>
                <w:rFonts w:cs="Open Sans Light"/>
                <w:sz w:val="18"/>
                <w:szCs w:val="18"/>
              </w:rPr>
              <w:t>18</w:t>
            </w:r>
            <w:r w:rsidRPr="00F42375">
              <w:rPr>
                <w:rFonts w:cs="Open Sans Light"/>
                <w:sz w:val="18"/>
                <w:szCs w:val="18"/>
              </w:rPr>
              <w:t xml:space="preserve"> Contribution to change for investment and net borrowing 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72315AE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65100C5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6832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1FEE" w14:textId="516E60F9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S5-</w:t>
            </w:r>
            <w:r w:rsidR="00CD7E21" w:rsidRPr="00F42375">
              <w:rPr>
                <w:rFonts w:cs="Open Sans Light"/>
                <w:sz w:val="18"/>
                <w:szCs w:val="18"/>
              </w:rPr>
              <w:t>19</w:t>
            </w:r>
            <w:r w:rsidR="00782D92" w:rsidRPr="00F42375">
              <w:rPr>
                <w:rFonts w:cs="Open Sans Light"/>
                <w:sz w:val="18"/>
                <w:szCs w:val="18"/>
              </w:rPr>
              <w:t xml:space="preserve"> to S5-</w:t>
            </w:r>
            <w:r w:rsidR="00E544D8" w:rsidRPr="00F42375">
              <w:rPr>
                <w:rFonts w:cs="Open Sans Light"/>
                <w:sz w:val="18"/>
                <w:szCs w:val="18"/>
              </w:rPr>
              <w:t>2</w:t>
            </w:r>
            <w:r w:rsidR="00CD7E21" w:rsidRPr="00F42375">
              <w:rPr>
                <w:rFonts w:cs="Open Sans Light"/>
                <w:sz w:val="18"/>
                <w:szCs w:val="18"/>
              </w:rPr>
              <w:t>1</w:t>
            </w:r>
            <w:r w:rsidRPr="00F42375">
              <w:rPr>
                <w:rFonts w:cs="Open Sans Light"/>
                <w:sz w:val="18"/>
                <w:szCs w:val="18"/>
              </w:rPr>
              <w:t xml:space="preserve"> Contribution to change of Commonwealth payments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DA7B82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4B40F07" w14:textId="77777777" w:rsidTr="7375D34D">
        <w:trPr>
          <w:trHeight w:val="315"/>
        </w:trPr>
        <w:tc>
          <w:tcPr>
            <w:tcW w:w="8940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536A" w14:textId="77777777" w:rsidR="009F2AC9" w:rsidRPr="00CA1825" w:rsidRDefault="009F2AC9" w:rsidP="00CA512D">
            <w:pPr>
              <w:ind w:left="-107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S6 Revenue and expense ratios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3467FF2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82FC0B1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3830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6F90" w14:textId="77777777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S6-1 Ratios of assessed to average revenue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055D74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03F183AA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53E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E52D" w14:textId="77777777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S6-2 Ratios of actual to assessed revenue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2AC5DE6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B241BB4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C25C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26B4" w14:textId="77777777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S6-3 Ratios of assessed to average expenses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382694B8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0DEDC720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9F74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27E5" w14:textId="77777777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S6-4 Ratios of actual to assessed expenses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7CB02E5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988B5D0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C71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1E49" w14:textId="77777777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S6-5 Ratios of assessed to average investment and net borrowing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2AE9E1D0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A87811" w:rsidRPr="00CA1825" w14:paraId="2D4B4E53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1853" w14:textId="77777777" w:rsidR="00A87811" w:rsidRPr="00CA1825" w:rsidRDefault="00A87811" w:rsidP="00A87811">
            <w:pPr>
              <w:rPr>
                <w:rFonts w:cs="Open Sans Light"/>
                <w:color w:val="000000" w:themeColor="text1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0C41" w14:textId="4C675281" w:rsidR="00A87811" w:rsidRPr="00604B79" w:rsidRDefault="00A87811" w:rsidP="00A87811">
            <w:pPr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604B79">
              <w:rPr>
                <w:rFonts w:cs="Open Sans Light"/>
                <w:color w:val="000000" w:themeColor="text1"/>
                <w:sz w:val="18"/>
                <w:szCs w:val="18"/>
              </w:rPr>
              <w:t>S6-6 Ratios of actual to a</w:t>
            </w:r>
            <w:r w:rsidR="00B82A68" w:rsidRPr="00604B79">
              <w:rPr>
                <w:rFonts w:cs="Open Sans Light"/>
                <w:color w:val="000000" w:themeColor="text1"/>
                <w:sz w:val="18"/>
                <w:szCs w:val="18"/>
              </w:rPr>
              <w:t>ssessed</w:t>
            </w:r>
            <w:r w:rsidRPr="00604B79">
              <w:rPr>
                <w:rFonts w:cs="Open Sans Light"/>
                <w:color w:val="000000" w:themeColor="text1"/>
                <w:sz w:val="18"/>
                <w:szCs w:val="18"/>
              </w:rPr>
              <w:t xml:space="preserve"> investment and net borrowing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71F0D3A" w14:textId="77777777" w:rsidR="00A87811" w:rsidRPr="00CA1825" w:rsidRDefault="00A87811" w:rsidP="00A87811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289DD8D" w14:textId="77777777" w:rsidTr="7375D34D">
        <w:trPr>
          <w:trHeight w:val="315"/>
        </w:trPr>
        <w:tc>
          <w:tcPr>
            <w:tcW w:w="8940" w:type="dxa"/>
            <w:gridSpan w:val="2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D0D1" w14:textId="77777777" w:rsidR="009F2AC9" w:rsidRPr="00CA1825" w:rsidRDefault="009F2AC9" w:rsidP="00CA512D">
            <w:pPr>
              <w:ind w:left="-107"/>
              <w:rPr>
                <w:rFonts w:cs="Open Sans Light"/>
                <w:b/>
                <w:bCs/>
                <w:color w:val="000000" w:themeColor="text1"/>
                <w:sz w:val="22"/>
              </w:rPr>
            </w:pPr>
            <w:r w:rsidRPr="00CA1825">
              <w:rPr>
                <w:rFonts w:cs="Open Sans Light"/>
                <w:b/>
                <w:bCs/>
                <w:color w:val="000000" w:themeColor="text1"/>
                <w:sz w:val="22"/>
              </w:rPr>
              <w:t>S7 Calculating relativities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595EBD1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65C6DC7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1FCC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AA14" w14:textId="6E828683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 xml:space="preserve">S7-1 to S7-3 Per capita relativities for </w:t>
            </w:r>
            <w:r w:rsidR="00CC7B75" w:rsidRPr="00604B79">
              <w:rPr>
                <w:rFonts w:cs="Open Sans Light"/>
                <w:sz w:val="18"/>
                <w:szCs w:val="18"/>
              </w:rPr>
              <w:t>assessment years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6069A5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EBCC403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212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3919" w14:textId="74C448F6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 xml:space="preserve">S7-4 to S7-6 Per capita relativities </w:t>
            </w:r>
            <w:r w:rsidR="00CC7B75" w:rsidRPr="00604B79">
              <w:rPr>
                <w:rFonts w:cs="Open Sans Light"/>
                <w:sz w:val="18"/>
                <w:szCs w:val="18"/>
              </w:rPr>
              <w:t>for assessment years</w:t>
            </w:r>
            <w:r w:rsidRPr="00604B79">
              <w:rPr>
                <w:rFonts w:cs="Open Sans Light"/>
                <w:sz w:val="18"/>
                <w:szCs w:val="18"/>
              </w:rPr>
              <w:t>, alternative presentation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AB8630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D55F7D" w:rsidRPr="00CA1825" w14:paraId="2D2BFD10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5E79" w14:textId="77777777" w:rsidR="00D55F7D" w:rsidRPr="00CA1825" w:rsidRDefault="00D55F7D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0326" w14:textId="10598F79" w:rsidR="00D55F7D" w:rsidRPr="00604B79" w:rsidRDefault="00D55F7D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</w:t>
            </w:r>
            <w:r w:rsidR="002F099E" w:rsidRPr="00604B79">
              <w:rPr>
                <w:rFonts w:cs="Open Sans Light"/>
                <w:sz w:val="18"/>
                <w:szCs w:val="18"/>
              </w:rPr>
              <w:t>7</w:t>
            </w:r>
            <w:r w:rsidR="00356D68" w:rsidRPr="00604B79">
              <w:rPr>
                <w:rFonts w:cs="Open Sans Light"/>
                <w:sz w:val="18"/>
                <w:szCs w:val="18"/>
              </w:rPr>
              <w:t>-</w:t>
            </w:r>
            <w:r w:rsidR="00B71DDB" w:rsidRPr="00604B79">
              <w:rPr>
                <w:rFonts w:cs="Open Sans Light"/>
                <w:sz w:val="18"/>
                <w:szCs w:val="18"/>
              </w:rPr>
              <w:t>7 to S7-12</w:t>
            </w:r>
            <w:r w:rsidR="00F73966" w:rsidRPr="00604B79">
              <w:rPr>
                <w:rFonts w:cs="Open Sans Light"/>
                <w:sz w:val="18"/>
                <w:szCs w:val="18"/>
              </w:rPr>
              <w:t xml:space="preserve"> Per capita assessed </w:t>
            </w:r>
            <w:r w:rsidR="009C5C3A" w:rsidRPr="00604B79">
              <w:rPr>
                <w:rFonts w:cs="Open Sans Light"/>
                <w:sz w:val="18"/>
                <w:szCs w:val="18"/>
              </w:rPr>
              <w:t>revenue and expenses by category</w:t>
            </w:r>
            <w:r w:rsidR="00854163">
              <w:rPr>
                <w:rFonts w:cs="Open Sans Light"/>
                <w:sz w:val="18"/>
                <w:szCs w:val="18"/>
              </w:rPr>
              <w:t xml:space="preserve">, </w:t>
            </w:r>
            <w:r w:rsidR="00CC7B75" w:rsidRPr="00604B79">
              <w:rPr>
                <w:rFonts w:cs="Open Sans Light"/>
                <w:sz w:val="18"/>
                <w:szCs w:val="18"/>
              </w:rPr>
              <w:t>assessment years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40FCCAE" w14:textId="77777777" w:rsidR="00D55F7D" w:rsidRPr="00CA1825" w:rsidRDefault="00D55F7D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0CE3F37A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7C3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E448" w14:textId="5E3B55B8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S7-</w:t>
            </w:r>
            <w:r w:rsidR="00D55F7D" w:rsidRPr="00604B79">
              <w:rPr>
                <w:rFonts w:cs="Open Sans Light"/>
                <w:sz w:val="18"/>
                <w:szCs w:val="18"/>
              </w:rPr>
              <w:t>13</w:t>
            </w:r>
            <w:r w:rsidR="00B414E5" w:rsidRPr="00604B79">
              <w:rPr>
                <w:rFonts w:cs="Open Sans Light"/>
                <w:sz w:val="18"/>
                <w:szCs w:val="18"/>
              </w:rPr>
              <w:t xml:space="preserve"> </w:t>
            </w:r>
            <w:r w:rsidRPr="00604B79">
              <w:rPr>
                <w:rFonts w:cs="Open Sans Light"/>
                <w:sz w:val="18"/>
                <w:szCs w:val="18"/>
              </w:rPr>
              <w:t>Assessed relativ</w:t>
            </w:r>
            <w:r w:rsidR="00124D27" w:rsidRPr="00604B79">
              <w:rPr>
                <w:rFonts w:cs="Open Sans Light"/>
                <w:sz w:val="18"/>
                <w:szCs w:val="18"/>
              </w:rPr>
              <w:t>ities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C1F6EA0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4F3798" w:rsidRPr="00CA1825" w14:paraId="4D213828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D7B8" w14:textId="77777777" w:rsidR="004F3798" w:rsidRPr="00CA1825" w:rsidRDefault="004F3798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53AF" w14:textId="114855B2" w:rsidR="004F3798" w:rsidRPr="00604B79" w:rsidRDefault="00F53528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S7-1</w:t>
            </w:r>
            <w:r w:rsidR="00094807" w:rsidRPr="00604B79">
              <w:rPr>
                <w:rFonts w:cs="Open Sans Light"/>
                <w:sz w:val="18"/>
                <w:szCs w:val="18"/>
              </w:rPr>
              <w:t>4</w:t>
            </w:r>
            <w:r w:rsidRPr="00604B79">
              <w:rPr>
                <w:rFonts w:cs="Open Sans Light"/>
                <w:sz w:val="18"/>
                <w:szCs w:val="18"/>
              </w:rPr>
              <w:t xml:space="preserve"> B</w:t>
            </w:r>
            <w:r w:rsidR="0019325C" w:rsidRPr="00604B79">
              <w:rPr>
                <w:rFonts w:cs="Open Sans Light"/>
                <w:sz w:val="18"/>
                <w:szCs w:val="18"/>
              </w:rPr>
              <w:t>l</w:t>
            </w:r>
            <w:r w:rsidRPr="00604B79">
              <w:rPr>
                <w:rFonts w:cs="Open Sans Light"/>
                <w:sz w:val="18"/>
                <w:szCs w:val="18"/>
              </w:rPr>
              <w:t>ending weights over transition years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023F3001" w14:textId="77777777" w:rsidR="004F3798" w:rsidRPr="00CA1825" w:rsidRDefault="004F3798" w:rsidP="00CA512D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4D5F638C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335D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78F0" w14:textId="3A290F74" w:rsidR="00E92219" w:rsidRPr="00604B79" w:rsidRDefault="00E92219" w:rsidP="00E92219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 xml:space="preserve">S7-15 </w:t>
            </w:r>
            <w:r w:rsidR="00827D7F" w:rsidRPr="00604B79">
              <w:rPr>
                <w:rFonts w:cs="Open Sans Light"/>
                <w:sz w:val="18"/>
                <w:szCs w:val="18"/>
              </w:rPr>
              <w:t>Blended relativities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1CB4564C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6E264756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8993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B561" w14:textId="2EA3F280" w:rsidR="00E92219" w:rsidRPr="00604B79" w:rsidRDefault="00E92219" w:rsidP="00E92219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 xml:space="preserve">S7-16 Recommended </w:t>
            </w:r>
            <w:r w:rsidR="00502400" w:rsidRPr="00604B79">
              <w:rPr>
                <w:rFonts w:cs="Open Sans Light"/>
                <w:sz w:val="18"/>
                <w:szCs w:val="18"/>
              </w:rPr>
              <w:t>relativities after applying the GST floor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C861025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286A1FA6" w14:textId="77777777" w:rsidTr="7375D34D">
        <w:trPr>
          <w:trHeight w:val="315"/>
        </w:trPr>
        <w:tc>
          <w:tcPr>
            <w:tcW w:w="8940" w:type="dxa"/>
            <w:gridSpan w:val="2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52D5" w14:textId="77777777" w:rsidR="00E92219" w:rsidRPr="00CA1825" w:rsidRDefault="00E92219" w:rsidP="00E92219">
            <w:pPr>
              <w:ind w:left="-107"/>
              <w:rPr>
                <w:rFonts w:cs="Open Sans Light"/>
                <w:b/>
                <w:bCs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 xml:space="preserve">S8 Relativities and population long-term time series 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776821B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2973EF39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F4FB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F436" w14:textId="6343C073" w:rsidR="00E92219" w:rsidRPr="00604B79" w:rsidRDefault="00E92219" w:rsidP="00E92219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S8-1 Relativities since 1981-82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6CB89D7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7E32BBD2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9AF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FF76" w14:textId="241F9978" w:rsidR="00E92219" w:rsidRPr="00604B79" w:rsidRDefault="00E92219" w:rsidP="00E92219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S8-2 GST relativities since 2000-01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53690006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7785ACC4" w14:textId="77777777" w:rsidTr="7375D34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58BA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D813" w14:textId="352D591D" w:rsidR="00E92219" w:rsidRPr="00604B79" w:rsidRDefault="00E92219" w:rsidP="00E92219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S8-3 Population used to distribute the GST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3AA21829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</w:tbl>
    <w:p w14:paraId="2B764785" w14:textId="77777777" w:rsidR="00DC0F02" w:rsidRPr="00CA1825" w:rsidRDefault="00DC0F02" w:rsidP="005729CB">
      <w:pPr>
        <w:pStyle w:val="CGCTablerow"/>
        <w:rPr>
          <w:rFonts w:cs="Open Sans Light"/>
          <w:sz w:val="22"/>
        </w:rPr>
      </w:pPr>
    </w:p>
    <w:sectPr w:rsidR="00DC0F02" w:rsidRPr="00CA1825" w:rsidSect="00D520FA">
      <w:footerReference w:type="default" r:id="rId11"/>
      <w:footerReference w:type="first" r:id="rId12"/>
      <w:pgSz w:w="11899" w:h="16838" w:code="9"/>
      <w:pgMar w:top="1418" w:right="1474" w:bottom="1418" w:left="1474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3AF6" w14:textId="77777777" w:rsidR="00732D1F" w:rsidRDefault="00732D1F">
      <w:r>
        <w:separator/>
      </w:r>
    </w:p>
  </w:endnote>
  <w:endnote w:type="continuationSeparator" w:id="0">
    <w:p w14:paraId="30E0E511" w14:textId="77777777" w:rsidR="00732D1F" w:rsidRDefault="00732D1F">
      <w:r>
        <w:continuationSeparator/>
      </w:r>
    </w:p>
  </w:endnote>
  <w:endnote w:type="continuationNotice" w:id="1">
    <w:p w14:paraId="7A496A55" w14:textId="77777777" w:rsidR="00732D1F" w:rsidRDefault="00732D1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A1D6" w14:textId="77777777" w:rsidR="00AB1A13" w:rsidRPr="0011178C" w:rsidRDefault="00F56813" w:rsidP="003929D2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94626F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6B1A" w14:textId="77777777" w:rsidR="00AB1A13" w:rsidRPr="007E487F" w:rsidRDefault="00AB1A13" w:rsidP="00D520FA">
    <w:pPr>
      <w:pStyle w:val="Footer"/>
    </w:pPr>
    <w:r>
      <w:tab/>
    </w:r>
    <w:r w:rsidR="00DC0F02">
      <w:tab/>
    </w:r>
    <w:r w:rsidR="00F56813">
      <w:fldChar w:fldCharType="begin"/>
    </w:r>
    <w:r w:rsidR="00F56813">
      <w:instrText xml:space="preserve"> PAGE   \* MERGEFORMAT </w:instrText>
    </w:r>
    <w:r w:rsidR="00F56813">
      <w:fldChar w:fldCharType="separate"/>
    </w:r>
    <w:r w:rsidR="00364DB3">
      <w:rPr>
        <w:noProof/>
      </w:rPr>
      <w:t>1</w:t>
    </w:r>
    <w:r w:rsidR="00F5681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001D" w14:textId="77777777" w:rsidR="00732D1F" w:rsidRPr="00201B3A" w:rsidRDefault="00732D1F">
      <w:pPr>
        <w:rPr>
          <w:color w:val="ADD6EA"/>
        </w:rPr>
      </w:pPr>
      <w:r w:rsidRPr="00201B3A">
        <w:rPr>
          <w:color w:val="ADD6EA"/>
        </w:rPr>
        <w:separator/>
      </w:r>
    </w:p>
  </w:footnote>
  <w:footnote w:type="continuationSeparator" w:id="0">
    <w:p w14:paraId="471149CC" w14:textId="77777777" w:rsidR="00732D1F" w:rsidRDefault="00732D1F">
      <w:r>
        <w:continuationSeparator/>
      </w:r>
    </w:p>
  </w:footnote>
  <w:footnote w:type="continuationNotice" w:id="1">
    <w:p w14:paraId="743BF5D5" w14:textId="77777777" w:rsidR="00732D1F" w:rsidRDefault="00732D1F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7E6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58F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54E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2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1CD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FAD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F61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686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ED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5161D"/>
    <w:multiLevelType w:val="hybridMultilevel"/>
    <w:tmpl w:val="522261EA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BF05D3"/>
    <w:multiLevelType w:val="hybridMultilevel"/>
    <w:tmpl w:val="BDDC239A"/>
    <w:lvl w:ilvl="0" w:tplc="51BAAD84">
      <w:start w:val="1"/>
      <w:numFmt w:val="bullet"/>
      <w:pStyle w:val="CGCBullet2"/>
      <w:lvlText w:val=""/>
      <w:lvlJc w:val="left"/>
      <w:pPr>
        <w:ind w:left="720" w:hanging="360"/>
      </w:pPr>
      <w:rPr>
        <w:rFonts w:ascii="Symbol" w:hAnsi="Symbol" w:hint="default"/>
        <w:b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05A2F29"/>
    <w:multiLevelType w:val="hybridMultilevel"/>
    <w:tmpl w:val="F50ED0E4"/>
    <w:lvl w:ilvl="0" w:tplc="245E7AAC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6023"/>
    <w:multiLevelType w:val="hybridMultilevel"/>
    <w:tmpl w:val="1262912E"/>
    <w:lvl w:ilvl="0" w:tplc="9B9083DC">
      <w:start w:val="1"/>
      <w:numFmt w:val="lowerRoman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B56961"/>
    <w:multiLevelType w:val="hybridMultilevel"/>
    <w:tmpl w:val="EC0A00E0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8" w15:restartNumberingAfterBreak="0">
    <w:nsid w:val="6D517EA6"/>
    <w:multiLevelType w:val="multilevel"/>
    <w:tmpl w:val="8CEE005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9" w15:restartNumberingAfterBreak="0">
    <w:nsid w:val="77D62F87"/>
    <w:multiLevelType w:val="hybridMultilevel"/>
    <w:tmpl w:val="E332B1EE"/>
    <w:lvl w:ilvl="0" w:tplc="7898E74C">
      <w:start w:val="1"/>
      <w:numFmt w:val="bulle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7876338">
    <w:abstractNumId w:val="11"/>
  </w:num>
  <w:num w:numId="2" w16cid:durableId="641808617">
    <w:abstractNumId w:val="14"/>
  </w:num>
  <w:num w:numId="3" w16cid:durableId="77559238">
    <w:abstractNumId w:val="18"/>
  </w:num>
  <w:num w:numId="4" w16cid:durableId="1979139616">
    <w:abstractNumId w:val="16"/>
  </w:num>
  <w:num w:numId="5" w16cid:durableId="2025594764">
    <w:abstractNumId w:val="19"/>
  </w:num>
  <w:num w:numId="6" w16cid:durableId="912816405">
    <w:abstractNumId w:val="15"/>
  </w:num>
  <w:num w:numId="7" w16cid:durableId="1133132416">
    <w:abstractNumId w:val="13"/>
  </w:num>
  <w:num w:numId="8" w16cid:durableId="557134173">
    <w:abstractNumId w:val="12"/>
  </w:num>
  <w:num w:numId="9" w16cid:durableId="827746185">
    <w:abstractNumId w:val="10"/>
  </w:num>
  <w:num w:numId="10" w16cid:durableId="1437794759">
    <w:abstractNumId w:val="17"/>
  </w:num>
  <w:num w:numId="11" w16cid:durableId="40641281">
    <w:abstractNumId w:val="15"/>
  </w:num>
  <w:num w:numId="12" w16cid:durableId="2021883663">
    <w:abstractNumId w:val="13"/>
  </w:num>
  <w:num w:numId="13" w16cid:durableId="231500990">
    <w:abstractNumId w:val="12"/>
  </w:num>
  <w:num w:numId="14" w16cid:durableId="222066342">
    <w:abstractNumId w:val="10"/>
  </w:num>
  <w:num w:numId="15" w16cid:durableId="751851639">
    <w:abstractNumId w:val="17"/>
  </w:num>
  <w:num w:numId="16" w16cid:durableId="1477451762">
    <w:abstractNumId w:val="15"/>
  </w:num>
  <w:num w:numId="17" w16cid:durableId="1832330162">
    <w:abstractNumId w:val="13"/>
  </w:num>
  <w:num w:numId="18" w16cid:durableId="1508015107">
    <w:abstractNumId w:val="12"/>
  </w:num>
  <w:num w:numId="19" w16cid:durableId="1186865670">
    <w:abstractNumId w:val="10"/>
  </w:num>
  <w:num w:numId="20" w16cid:durableId="1922257490">
    <w:abstractNumId w:val="17"/>
  </w:num>
  <w:num w:numId="21" w16cid:durableId="1333991327">
    <w:abstractNumId w:val="15"/>
  </w:num>
  <w:num w:numId="22" w16cid:durableId="1043870777">
    <w:abstractNumId w:val="13"/>
  </w:num>
  <w:num w:numId="23" w16cid:durableId="779225006">
    <w:abstractNumId w:val="12"/>
  </w:num>
  <w:num w:numId="24" w16cid:durableId="136650617">
    <w:abstractNumId w:val="10"/>
  </w:num>
  <w:num w:numId="25" w16cid:durableId="353072041">
    <w:abstractNumId w:val="17"/>
  </w:num>
  <w:num w:numId="26" w16cid:durableId="33778413">
    <w:abstractNumId w:val="9"/>
  </w:num>
  <w:num w:numId="27" w16cid:durableId="1785491634">
    <w:abstractNumId w:val="7"/>
  </w:num>
  <w:num w:numId="28" w16cid:durableId="971905039">
    <w:abstractNumId w:val="6"/>
  </w:num>
  <w:num w:numId="29" w16cid:durableId="1859347867">
    <w:abstractNumId w:val="5"/>
  </w:num>
  <w:num w:numId="30" w16cid:durableId="1050231729">
    <w:abstractNumId w:val="4"/>
  </w:num>
  <w:num w:numId="31" w16cid:durableId="750661869">
    <w:abstractNumId w:val="8"/>
  </w:num>
  <w:num w:numId="32" w16cid:durableId="1234124181">
    <w:abstractNumId w:val="3"/>
  </w:num>
  <w:num w:numId="33" w16cid:durableId="652291634">
    <w:abstractNumId w:val="2"/>
  </w:num>
  <w:num w:numId="34" w16cid:durableId="451703678">
    <w:abstractNumId w:val="1"/>
  </w:num>
  <w:num w:numId="35" w16cid:durableId="85014609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C9"/>
    <w:rsid w:val="00016FE0"/>
    <w:rsid w:val="00022EA9"/>
    <w:rsid w:val="00022F28"/>
    <w:rsid w:val="00024745"/>
    <w:rsid w:val="00031E89"/>
    <w:rsid w:val="00032F41"/>
    <w:rsid w:val="0004123E"/>
    <w:rsid w:val="00041664"/>
    <w:rsid w:val="00041748"/>
    <w:rsid w:val="00041E84"/>
    <w:rsid w:val="000424EA"/>
    <w:rsid w:val="000439A0"/>
    <w:rsid w:val="00056373"/>
    <w:rsid w:val="00061111"/>
    <w:rsid w:val="000624BB"/>
    <w:rsid w:val="000648E8"/>
    <w:rsid w:val="00093796"/>
    <w:rsid w:val="00094807"/>
    <w:rsid w:val="000A3898"/>
    <w:rsid w:val="000A52A1"/>
    <w:rsid w:val="000B2942"/>
    <w:rsid w:val="000B3557"/>
    <w:rsid w:val="000B64E3"/>
    <w:rsid w:val="000C1E16"/>
    <w:rsid w:val="000C4915"/>
    <w:rsid w:val="000D1354"/>
    <w:rsid w:val="000D54A6"/>
    <w:rsid w:val="000D7C54"/>
    <w:rsid w:val="000E0210"/>
    <w:rsid w:val="000E4EE3"/>
    <w:rsid w:val="000E6AA5"/>
    <w:rsid w:val="000E7F56"/>
    <w:rsid w:val="000F1CDA"/>
    <w:rsid w:val="001039C2"/>
    <w:rsid w:val="001040AD"/>
    <w:rsid w:val="0011178C"/>
    <w:rsid w:val="00112CF0"/>
    <w:rsid w:val="001130B7"/>
    <w:rsid w:val="001140F4"/>
    <w:rsid w:val="00115267"/>
    <w:rsid w:val="001211AB"/>
    <w:rsid w:val="001218B8"/>
    <w:rsid w:val="001224B4"/>
    <w:rsid w:val="001237FD"/>
    <w:rsid w:val="00124D27"/>
    <w:rsid w:val="00124ED1"/>
    <w:rsid w:val="00136497"/>
    <w:rsid w:val="00141BD1"/>
    <w:rsid w:val="00147115"/>
    <w:rsid w:val="001477CE"/>
    <w:rsid w:val="001560A8"/>
    <w:rsid w:val="00161EFB"/>
    <w:rsid w:val="0016723A"/>
    <w:rsid w:val="00171A05"/>
    <w:rsid w:val="00172F3A"/>
    <w:rsid w:val="001730FD"/>
    <w:rsid w:val="00173798"/>
    <w:rsid w:val="00173BE6"/>
    <w:rsid w:val="00173E72"/>
    <w:rsid w:val="001807C0"/>
    <w:rsid w:val="001811DE"/>
    <w:rsid w:val="00187145"/>
    <w:rsid w:val="001916ED"/>
    <w:rsid w:val="0019325C"/>
    <w:rsid w:val="001B0110"/>
    <w:rsid w:val="001B3048"/>
    <w:rsid w:val="001B58A9"/>
    <w:rsid w:val="001B696E"/>
    <w:rsid w:val="001B6A56"/>
    <w:rsid w:val="001C469B"/>
    <w:rsid w:val="001C6A71"/>
    <w:rsid w:val="001D638B"/>
    <w:rsid w:val="001D6DFA"/>
    <w:rsid w:val="001E6180"/>
    <w:rsid w:val="001E674B"/>
    <w:rsid w:val="001E68FC"/>
    <w:rsid w:val="00201B3A"/>
    <w:rsid w:val="00204026"/>
    <w:rsid w:val="00212948"/>
    <w:rsid w:val="00217839"/>
    <w:rsid w:val="00221DC6"/>
    <w:rsid w:val="00225A3B"/>
    <w:rsid w:val="0023081D"/>
    <w:rsid w:val="0023329C"/>
    <w:rsid w:val="00236DC0"/>
    <w:rsid w:val="002373A2"/>
    <w:rsid w:val="002376EA"/>
    <w:rsid w:val="00242517"/>
    <w:rsid w:val="0024260B"/>
    <w:rsid w:val="0024401F"/>
    <w:rsid w:val="0024569B"/>
    <w:rsid w:val="00255B5A"/>
    <w:rsid w:val="002671A2"/>
    <w:rsid w:val="00267496"/>
    <w:rsid w:val="00275B68"/>
    <w:rsid w:val="002845EA"/>
    <w:rsid w:val="00286EBE"/>
    <w:rsid w:val="00295B70"/>
    <w:rsid w:val="002A2A08"/>
    <w:rsid w:val="002A2D93"/>
    <w:rsid w:val="002A4E42"/>
    <w:rsid w:val="002A77C3"/>
    <w:rsid w:val="002B10B0"/>
    <w:rsid w:val="002B169C"/>
    <w:rsid w:val="002B42AD"/>
    <w:rsid w:val="002B5428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4275"/>
    <w:rsid w:val="002F04DE"/>
    <w:rsid w:val="002F099E"/>
    <w:rsid w:val="002F1CD3"/>
    <w:rsid w:val="002F6E28"/>
    <w:rsid w:val="002F7E68"/>
    <w:rsid w:val="00300C2D"/>
    <w:rsid w:val="003016DF"/>
    <w:rsid w:val="00302E5E"/>
    <w:rsid w:val="00307400"/>
    <w:rsid w:val="00307DEF"/>
    <w:rsid w:val="00311D33"/>
    <w:rsid w:val="00312BB6"/>
    <w:rsid w:val="00313664"/>
    <w:rsid w:val="00314F90"/>
    <w:rsid w:val="0033102E"/>
    <w:rsid w:val="00331401"/>
    <w:rsid w:val="00331E53"/>
    <w:rsid w:val="00333234"/>
    <w:rsid w:val="00335ED1"/>
    <w:rsid w:val="00337EF8"/>
    <w:rsid w:val="00340204"/>
    <w:rsid w:val="00342A60"/>
    <w:rsid w:val="0034379D"/>
    <w:rsid w:val="0034646D"/>
    <w:rsid w:val="00347BE5"/>
    <w:rsid w:val="003522E0"/>
    <w:rsid w:val="0035267F"/>
    <w:rsid w:val="0035580D"/>
    <w:rsid w:val="00356D68"/>
    <w:rsid w:val="003578AD"/>
    <w:rsid w:val="003639FB"/>
    <w:rsid w:val="00363BF7"/>
    <w:rsid w:val="00364DB3"/>
    <w:rsid w:val="00382AE5"/>
    <w:rsid w:val="0039274B"/>
    <w:rsid w:val="003929D2"/>
    <w:rsid w:val="00393FA5"/>
    <w:rsid w:val="00395DE6"/>
    <w:rsid w:val="003A27BB"/>
    <w:rsid w:val="003B124E"/>
    <w:rsid w:val="003B673D"/>
    <w:rsid w:val="003C2577"/>
    <w:rsid w:val="003C4448"/>
    <w:rsid w:val="003D3D91"/>
    <w:rsid w:val="003D4708"/>
    <w:rsid w:val="003D477A"/>
    <w:rsid w:val="003E6615"/>
    <w:rsid w:val="003E79F9"/>
    <w:rsid w:val="003F12E9"/>
    <w:rsid w:val="003F22D3"/>
    <w:rsid w:val="003F59F4"/>
    <w:rsid w:val="00401575"/>
    <w:rsid w:val="00404DCD"/>
    <w:rsid w:val="004077D6"/>
    <w:rsid w:val="004121E7"/>
    <w:rsid w:val="00414E51"/>
    <w:rsid w:val="00420F04"/>
    <w:rsid w:val="00423099"/>
    <w:rsid w:val="00424E79"/>
    <w:rsid w:val="0042661C"/>
    <w:rsid w:val="004274B3"/>
    <w:rsid w:val="00443EC1"/>
    <w:rsid w:val="00453264"/>
    <w:rsid w:val="0046225D"/>
    <w:rsid w:val="00462B54"/>
    <w:rsid w:val="00463064"/>
    <w:rsid w:val="00472461"/>
    <w:rsid w:val="004809B8"/>
    <w:rsid w:val="004821B9"/>
    <w:rsid w:val="004828FA"/>
    <w:rsid w:val="00491D88"/>
    <w:rsid w:val="0049605C"/>
    <w:rsid w:val="004965F7"/>
    <w:rsid w:val="004A7048"/>
    <w:rsid w:val="004B0A0A"/>
    <w:rsid w:val="004B1C4B"/>
    <w:rsid w:val="004B60CB"/>
    <w:rsid w:val="004C16AC"/>
    <w:rsid w:val="004C1CB5"/>
    <w:rsid w:val="004D4A90"/>
    <w:rsid w:val="004E2C65"/>
    <w:rsid w:val="004E769A"/>
    <w:rsid w:val="004F129E"/>
    <w:rsid w:val="004F15D3"/>
    <w:rsid w:val="004F3798"/>
    <w:rsid w:val="004F40BA"/>
    <w:rsid w:val="00500ACD"/>
    <w:rsid w:val="00502400"/>
    <w:rsid w:val="00504061"/>
    <w:rsid w:val="00505BAE"/>
    <w:rsid w:val="00506956"/>
    <w:rsid w:val="00515380"/>
    <w:rsid w:val="005176CA"/>
    <w:rsid w:val="005177E7"/>
    <w:rsid w:val="0052222C"/>
    <w:rsid w:val="00537A77"/>
    <w:rsid w:val="00541A14"/>
    <w:rsid w:val="00543F9C"/>
    <w:rsid w:val="00546D39"/>
    <w:rsid w:val="00550E84"/>
    <w:rsid w:val="00551368"/>
    <w:rsid w:val="005577B0"/>
    <w:rsid w:val="00562084"/>
    <w:rsid w:val="00570EED"/>
    <w:rsid w:val="005716FC"/>
    <w:rsid w:val="005729CB"/>
    <w:rsid w:val="00575DEF"/>
    <w:rsid w:val="00583A33"/>
    <w:rsid w:val="005867D2"/>
    <w:rsid w:val="00590368"/>
    <w:rsid w:val="00592669"/>
    <w:rsid w:val="005963CC"/>
    <w:rsid w:val="00596E19"/>
    <w:rsid w:val="005A241E"/>
    <w:rsid w:val="005A6217"/>
    <w:rsid w:val="005A6FED"/>
    <w:rsid w:val="005B1BC4"/>
    <w:rsid w:val="005B6559"/>
    <w:rsid w:val="005B6894"/>
    <w:rsid w:val="005C13B2"/>
    <w:rsid w:val="005C27E3"/>
    <w:rsid w:val="005C2E6B"/>
    <w:rsid w:val="005C2E8A"/>
    <w:rsid w:val="005C37CB"/>
    <w:rsid w:val="005C459C"/>
    <w:rsid w:val="005D1A9F"/>
    <w:rsid w:val="005D52FA"/>
    <w:rsid w:val="005E266F"/>
    <w:rsid w:val="005E5734"/>
    <w:rsid w:val="005E73CE"/>
    <w:rsid w:val="005F07DC"/>
    <w:rsid w:val="005F3022"/>
    <w:rsid w:val="005F64FB"/>
    <w:rsid w:val="0060251E"/>
    <w:rsid w:val="00602DDE"/>
    <w:rsid w:val="00604B79"/>
    <w:rsid w:val="0061136F"/>
    <w:rsid w:val="00611737"/>
    <w:rsid w:val="00614DE8"/>
    <w:rsid w:val="00622669"/>
    <w:rsid w:val="00622FE1"/>
    <w:rsid w:val="00625CE5"/>
    <w:rsid w:val="00635027"/>
    <w:rsid w:val="00644A7B"/>
    <w:rsid w:val="0064585F"/>
    <w:rsid w:val="00647E92"/>
    <w:rsid w:val="006556D9"/>
    <w:rsid w:val="00661C46"/>
    <w:rsid w:val="006652D3"/>
    <w:rsid w:val="00667CF3"/>
    <w:rsid w:val="006723C0"/>
    <w:rsid w:val="00674884"/>
    <w:rsid w:val="006769C4"/>
    <w:rsid w:val="00677627"/>
    <w:rsid w:val="00677BD5"/>
    <w:rsid w:val="0068025E"/>
    <w:rsid w:val="00681AFB"/>
    <w:rsid w:val="00693C87"/>
    <w:rsid w:val="006A05C7"/>
    <w:rsid w:val="006A607B"/>
    <w:rsid w:val="006A6E27"/>
    <w:rsid w:val="006A72B0"/>
    <w:rsid w:val="006B3E4D"/>
    <w:rsid w:val="006C52B9"/>
    <w:rsid w:val="006D1DFE"/>
    <w:rsid w:val="006E1B81"/>
    <w:rsid w:val="006E6BC2"/>
    <w:rsid w:val="006E77BB"/>
    <w:rsid w:val="006F0B44"/>
    <w:rsid w:val="0070150E"/>
    <w:rsid w:val="00705DB8"/>
    <w:rsid w:val="007120FA"/>
    <w:rsid w:val="00713225"/>
    <w:rsid w:val="0072512A"/>
    <w:rsid w:val="00726F4D"/>
    <w:rsid w:val="00731EE6"/>
    <w:rsid w:val="00732D1F"/>
    <w:rsid w:val="007355A6"/>
    <w:rsid w:val="00740A71"/>
    <w:rsid w:val="007477C5"/>
    <w:rsid w:val="00747938"/>
    <w:rsid w:val="00756458"/>
    <w:rsid w:val="00762AFB"/>
    <w:rsid w:val="00765BA8"/>
    <w:rsid w:val="00766007"/>
    <w:rsid w:val="00766938"/>
    <w:rsid w:val="00770A26"/>
    <w:rsid w:val="007728E5"/>
    <w:rsid w:val="00782D92"/>
    <w:rsid w:val="007A1364"/>
    <w:rsid w:val="007A201E"/>
    <w:rsid w:val="007A24A0"/>
    <w:rsid w:val="007A4AB2"/>
    <w:rsid w:val="007A5E68"/>
    <w:rsid w:val="007B1BF7"/>
    <w:rsid w:val="007C371B"/>
    <w:rsid w:val="007C404B"/>
    <w:rsid w:val="007C4BAE"/>
    <w:rsid w:val="007D1D3B"/>
    <w:rsid w:val="007D5960"/>
    <w:rsid w:val="007E114E"/>
    <w:rsid w:val="007E1E58"/>
    <w:rsid w:val="007E487F"/>
    <w:rsid w:val="007E4B2D"/>
    <w:rsid w:val="007E587D"/>
    <w:rsid w:val="007E71E9"/>
    <w:rsid w:val="007F1D06"/>
    <w:rsid w:val="008010D7"/>
    <w:rsid w:val="00803443"/>
    <w:rsid w:val="0080680D"/>
    <w:rsid w:val="00812C05"/>
    <w:rsid w:val="0081322A"/>
    <w:rsid w:val="008162AB"/>
    <w:rsid w:val="0082129C"/>
    <w:rsid w:val="00824CCD"/>
    <w:rsid w:val="00827D7F"/>
    <w:rsid w:val="008303F7"/>
    <w:rsid w:val="00830DB8"/>
    <w:rsid w:val="00843E6F"/>
    <w:rsid w:val="00846E4A"/>
    <w:rsid w:val="00851AF5"/>
    <w:rsid w:val="00851FB5"/>
    <w:rsid w:val="00854163"/>
    <w:rsid w:val="00854B36"/>
    <w:rsid w:val="008647DE"/>
    <w:rsid w:val="00864B95"/>
    <w:rsid w:val="008800D3"/>
    <w:rsid w:val="00886CDD"/>
    <w:rsid w:val="0089214D"/>
    <w:rsid w:val="0089393B"/>
    <w:rsid w:val="00893C0D"/>
    <w:rsid w:val="008979D5"/>
    <w:rsid w:val="008A20DA"/>
    <w:rsid w:val="008B5A1F"/>
    <w:rsid w:val="008B5C8F"/>
    <w:rsid w:val="008B5F16"/>
    <w:rsid w:val="008B7722"/>
    <w:rsid w:val="008C0E5C"/>
    <w:rsid w:val="008C7B48"/>
    <w:rsid w:val="008D348B"/>
    <w:rsid w:val="008E2BE4"/>
    <w:rsid w:val="008E6B4E"/>
    <w:rsid w:val="008E7970"/>
    <w:rsid w:val="008E7C34"/>
    <w:rsid w:val="008F0C36"/>
    <w:rsid w:val="008F377B"/>
    <w:rsid w:val="008F765F"/>
    <w:rsid w:val="00915512"/>
    <w:rsid w:val="009233CC"/>
    <w:rsid w:val="009240D8"/>
    <w:rsid w:val="00927577"/>
    <w:rsid w:val="009360D7"/>
    <w:rsid w:val="009362C9"/>
    <w:rsid w:val="00942387"/>
    <w:rsid w:val="0094626F"/>
    <w:rsid w:val="009462D2"/>
    <w:rsid w:val="009537FC"/>
    <w:rsid w:val="0096115E"/>
    <w:rsid w:val="009652D5"/>
    <w:rsid w:val="009677F8"/>
    <w:rsid w:val="00971146"/>
    <w:rsid w:val="00972A9A"/>
    <w:rsid w:val="00991675"/>
    <w:rsid w:val="00992008"/>
    <w:rsid w:val="00996409"/>
    <w:rsid w:val="00996D00"/>
    <w:rsid w:val="009A03DC"/>
    <w:rsid w:val="009A6CF3"/>
    <w:rsid w:val="009B43BF"/>
    <w:rsid w:val="009B4A2D"/>
    <w:rsid w:val="009C1E0B"/>
    <w:rsid w:val="009C3CC0"/>
    <w:rsid w:val="009C5C3A"/>
    <w:rsid w:val="009D545A"/>
    <w:rsid w:val="009D6D44"/>
    <w:rsid w:val="009E22FA"/>
    <w:rsid w:val="009E4744"/>
    <w:rsid w:val="009E4EC9"/>
    <w:rsid w:val="009E5D5A"/>
    <w:rsid w:val="009F13E5"/>
    <w:rsid w:val="009F2262"/>
    <w:rsid w:val="009F2AC9"/>
    <w:rsid w:val="009F4ADA"/>
    <w:rsid w:val="009F6A0D"/>
    <w:rsid w:val="00A07991"/>
    <w:rsid w:val="00A10CDE"/>
    <w:rsid w:val="00A1680D"/>
    <w:rsid w:val="00A23AB0"/>
    <w:rsid w:val="00A266C5"/>
    <w:rsid w:val="00A309C6"/>
    <w:rsid w:val="00A32E4E"/>
    <w:rsid w:val="00A45FCF"/>
    <w:rsid w:val="00A505DE"/>
    <w:rsid w:val="00A5327C"/>
    <w:rsid w:val="00A5721C"/>
    <w:rsid w:val="00A67913"/>
    <w:rsid w:val="00A71740"/>
    <w:rsid w:val="00A77827"/>
    <w:rsid w:val="00A81A94"/>
    <w:rsid w:val="00A87811"/>
    <w:rsid w:val="00A9681E"/>
    <w:rsid w:val="00AA007A"/>
    <w:rsid w:val="00AA007C"/>
    <w:rsid w:val="00AB073E"/>
    <w:rsid w:val="00AB1A13"/>
    <w:rsid w:val="00AB4E9F"/>
    <w:rsid w:val="00AC210F"/>
    <w:rsid w:val="00AC319E"/>
    <w:rsid w:val="00AE3A1E"/>
    <w:rsid w:val="00AE483E"/>
    <w:rsid w:val="00AE734F"/>
    <w:rsid w:val="00AF2656"/>
    <w:rsid w:val="00AF2A05"/>
    <w:rsid w:val="00AF6110"/>
    <w:rsid w:val="00AF6AC6"/>
    <w:rsid w:val="00B00611"/>
    <w:rsid w:val="00B02829"/>
    <w:rsid w:val="00B04354"/>
    <w:rsid w:val="00B21739"/>
    <w:rsid w:val="00B249FC"/>
    <w:rsid w:val="00B317E7"/>
    <w:rsid w:val="00B3203C"/>
    <w:rsid w:val="00B33A57"/>
    <w:rsid w:val="00B34083"/>
    <w:rsid w:val="00B37728"/>
    <w:rsid w:val="00B4122C"/>
    <w:rsid w:val="00B414E5"/>
    <w:rsid w:val="00B45C64"/>
    <w:rsid w:val="00B46A32"/>
    <w:rsid w:val="00B46B29"/>
    <w:rsid w:val="00B53547"/>
    <w:rsid w:val="00B53597"/>
    <w:rsid w:val="00B5372C"/>
    <w:rsid w:val="00B55D3E"/>
    <w:rsid w:val="00B62590"/>
    <w:rsid w:val="00B6729F"/>
    <w:rsid w:val="00B71DDB"/>
    <w:rsid w:val="00B82136"/>
    <w:rsid w:val="00B82627"/>
    <w:rsid w:val="00B82A68"/>
    <w:rsid w:val="00B90A07"/>
    <w:rsid w:val="00B90AA7"/>
    <w:rsid w:val="00B94335"/>
    <w:rsid w:val="00B94D55"/>
    <w:rsid w:val="00B9680C"/>
    <w:rsid w:val="00BA3AE9"/>
    <w:rsid w:val="00BA65E5"/>
    <w:rsid w:val="00BB09DF"/>
    <w:rsid w:val="00BB208F"/>
    <w:rsid w:val="00BB3FC5"/>
    <w:rsid w:val="00BC2B3B"/>
    <w:rsid w:val="00BC4579"/>
    <w:rsid w:val="00BC76B9"/>
    <w:rsid w:val="00BD3D24"/>
    <w:rsid w:val="00C0018A"/>
    <w:rsid w:val="00C00905"/>
    <w:rsid w:val="00C035B5"/>
    <w:rsid w:val="00C03C66"/>
    <w:rsid w:val="00C11ABD"/>
    <w:rsid w:val="00C14FB2"/>
    <w:rsid w:val="00C176AC"/>
    <w:rsid w:val="00C21EF9"/>
    <w:rsid w:val="00C222F7"/>
    <w:rsid w:val="00C24839"/>
    <w:rsid w:val="00C27C23"/>
    <w:rsid w:val="00C32851"/>
    <w:rsid w:val="00C41C84"/>
    <w:rsid w:val="00C43ACF"/>
    <w:rsid w:val="00C554D4"/>
    <w:rsid w:val="00C60AE3"/>
    <w:rsid w:val="00C61B02"/>
    <w:rsid w:val="00C719A2"/>
    <w:rsid w:val="00C71B3E"/>
    <w:rsid w:val="00C72165"/>
    <w:rsid w:val="00C728A7"/>
    <w:rsid w:val="00C72D4B"/>
    <w:rsid w:val="00C76172"/>
    <w:rsid w:val="00C83041"/>
    <w:rsid w:val="00C90B42"/>
    <w:rsid w:val="00C9475D"/>
    <w:rsid w:val="00C95056"/>
    <w:rsid w:val="00C951FD"/>
    <w:rsid w:val="00CA1104"/>
    <w:rsid w:val="00CA1825"/>
    <w:rsid w:val="00CA4C58"/>
    <w:rsid w:val="00CA512D"/>
    <w:rsid w:val="00CA7F28"/>
    <w:rsid w:val="00CB0768"/>
    <w:rsid w:val="00CB131F"/>
    <w:rsid w:val="00CB4DCD"/>
    <w:rsid w:val="00CB4F2D"/>
    <w:rsid w:val="00CC1690"/>
    <w:rsid w:val="00CC665A"/>
    <w:rsid w:val="00CC672F"/>
    <w:rsid w:val="00CC7B75"/>
    <w:rsid w:val="00CD7E21"/>
    <w:rsid w:val="00CE04A0"/>
    <w:rsid w:val="00CE34DC"/>
    <w:rsid w:val="00D04F18"/>
    <w:rsid w:val="00D07FB4"/>
    <w:rsid w:val="00D21FA8"/>
    <w:rsid w:val="00D236B7"/>
    <w:rsid w:val="00D23E48"/>
    <w:rsid w:val="00D244BE"/>
    <w:rsid w:val="00D26A87"/>
    <w:rsid w:val="00D43096"/>
    <w:rsid w:val="00D46AB2"/>
    <w:rsid w:val="00D46F93"/>
    <w:rsid w:val="00D47815"/>
    <w:rsid w:val="00D520FA"/>
    <w:rsid w:val="00D547D8"/>
    <w:rsid w:val="00D55F7D"/>
    <w:rsid w:val="00D656EB"/>
    <w:rsid w:val="00D667B7"/>
    <w:rsid w:val="00D771FD"/>
    <w:rsid w:val="00D7796D"/>
    <w:rsid w:val="00D81B18"/>
    <w:rsid w:val="00D83541"/>
    <w:rsid w:val="00D93A16"/>
    <w:rsid w:val="00D9496D"/>
    <w:rsid w:val="00DA0768"/>
    <w:rsid w:val="00DA161A"/>
    <w:rsid w:val="00DA5A94"/>
    <w:rsid w:val="00DB2355"/>
    <w:rsid w:val="00DB3BB4"/>
    <w:rsid w:val="00DC0F02"/>
    <w:rsid w:val="00DC0F8D"/>
    <w:rsid w:val="00DC2284"/>
    <w:rsid w:val="00DC3CA4"/>
    <w:rsid w:val="00DD428D"/>
    <w:rsid w:val="00DD45AE"/>
    <w:rsid w:val="00DE4578"/>
    <w:rsid w:val="00DF04EE"/>
    <w:rsid w:val="00DF3E35"/>
    <w:rsid w:val="00E03ED5"/>
    <w:rsid w:val="00E06243"/>
    <w:rsid w:val="00E07169"/>
    <w:rsid w:val="00E1688C"/>
    <w:rsid w:val="00E22665"/>
    <w:rsid w:val="00E30499"/>
    <w:rsid w:val="00E30B51"/>
    <w:rsid w:val="00E324BB"/>
    <w:rsid w:val="00E377E8"/>
    <w:rsid w:val="00E43464"/>
    <w:rsid w:val="00E47A69"/>
    <w:rsid w:val="00E544D8"/>
    <w:rsid w:val="00E555E6"/>
    <w:rsid w:val="00E571BB"/>
    <w:rsid w:val="00E616F0"/>
    <w:rsid w:val="00E61E03"/>
    <w:rsid w:val="00E74435"/>
    <w:rsid w:val="00E758AD"/>
    <w:rsid w:val="00E77D4E"/>
    <w:rsid w:val="00E855CC"/>
    <w:rsid w:val="00E91860"/>
    <w:rsid w:val="00E92219"/>
    <w:rsid w:val="00E93AF4"/>
    <w:rsid w:val="00E9458D"/>
    <w:rsid w:val="00E954B7"/>
    <w:rsid w:val="00E962DF"/>
    <w:rsid w:val="00E96FDB"/>
    <w:rsid w:val="00EA107B"/>
    <w:rsid w:val="00EA460D"/>
    <w:rsid w:val="00EC16F1"/>
    <w:rsid w:val="00ED05D6"/>
    <w:rsid w:val="00ED0C6F"/>
    <w:rsid w:val="00ED2FCC"/>
    <w:rsid w:val="00EE5F75"/>
    <w:rsid w:val="00EF2722"/>
    <w:rsid w:val="00EF42D1"/>
    <w:rsid w:val="00EF6805"/>
    <w:rsid w:val="00F00508"/>
    <w:rsid w:val="00F016B4"/>
    <w:rsid w:val="00F01E52"/>
    <w:rsid w:val="00F042DC"/>
    <w:rsid w:val="00F07099"/>
    <w:rsid w:val="00F105EA"/>
    <w:rsid w:val="00F11117"/>
    <w:rsid w:val="00F12541"/>
    <w:rsid w:val="00F13577"/>
    <w:rsid w:val="00F162D9"/>
    <w:rsid w:val="00F22035"/>
    <w:rsid w:val="00F22D18"/>
    <w:rsid w:val="00F30643"/>
    <w:rsid w:val="00F3399C"/>
    <w:rsid w:val="00F36C87"/>
    <w:rsid w:val="00F42375"/>
    <w:rsid w:val="00F46927"/>
    <w:rsid w:val="00F53528"/>
    <w:rsid w:val="00F55854"/>
    <w:rsid w:val="00F56813"/>
    <w:rsid w:val="00F61D16"/>
    <w:rsid w:val="00F70110"/>
    <w:rsid w:val="00F72C93"/>
    <w:rsid w:val="00F73966"/>
    <w:rsid w:val="00F80A88"/>
    <w:rsid w:val="00F823F5"/>
    <w:rsid w:val="00F873C6"/>
    <w:rsid w:val="00F9170D"/>
    <w:rsid w:val="00F94368"/>
    <w:rsid w:val="00F9494C"/>
    <w:rsid w:val="00FA15C8"/>
    <w:rsid w:val="00FA2D86"/>
    <w:rsid w:val="00FA348C"/>
    <w:rsid w:val="00FA7034"/>
    <w:rsid w:val="00FB0AD8"/>
    <w:rsid w:val="00FB4DBB"/>
    <w:rsid w:val="00FE2C17"/>
    <w:rsid w:val="00FF072F"/>
    <w:rsid w:val="00FF1C7C"/>
    <w:rsid w:val="05D5648D"/>
    <w:rsid w:val="23745855"/>
    <w:rsid w:val="3FE47E4F"/>
    <w:rsid w:val="4FC16564"/>
    <w:rsid w:val="7375D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C514B"/>
  <w15:chartTrackingRefBased/>
  <w15:docId w15:val="{07390461-6E0D-4254-938D-4CA143C6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AC9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93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D46F93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D46F93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D46F93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rsid w:val="00D46F93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D46F93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Heading5"/>
    <w:next w:val="Normal"/>
    <w:link w:val="Heading7Char"/>
    <w:uiPriority w:val="9"/>
    <w:semiHidden/>
    <w:rsid w:val="00201B3A"/>
    <w:pPr>
      <w:keepLines/>
      <w:spacing w:before="200"/>
      <w:outlineLvl w:val="6"/>
    </w:pPr>
    <w:rPr>
      <w:i/>
      <w:iCs/>
      <w:color w:val="939598"/>
      <w:sz w:val="20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1">
    <w:name w:val="Publication title 1"/>
    <w:basedOn w:val="Normal"/>
    <w:next w:val="Normal"/>
    <w:rsid w:val="00D520FA"/>
    <w:pPr>
      <w:spacing w:line="240" w:lineRule="auto"/>
      <w:jc w:val="center"/>
    </w:pPr>
    <w:rPr>
      <w:rFonts w:ascii="Montserrat Extra Bold" w:hAnsi="Montserrat Extra Bold"/>
      <w:color w:val="004563"/>
      <w:sz w:val="60"/>
    </w:rPr>
  </w:style>
  <w:style w:type="paragraph" w:styleId="Caption">
    <w:name w:val="caption"/>
    <w:basedOn w:val="Normal"/>
    <w:next w:val="Normal"/>
    <w:link w:val="CaptionChar"/>
    <w:qFormat/>
    <w:rsid w:val="006723C0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Publicationtitle2">
    <w:name w:val="Publication title 2"/>
    <w:basedOn w:val="Publicationtitle1"/>
    <w:next w:val="Normal"/>
    <w:rsid w:val="00D520FA"/>
    <w:pPr>
      <w:spacing w:before="0"/>
    </w:pPr>
    <w:rPr>
      <w:rFonts w:ascii="Montserrat Ultra Light" w:hAnsi="Montserrat Ultra Light"/>
      <w:b/>
      <w:color w:val="60B5D7"/>
      <w:sz w:val="52"/>
    </w:rPr>
  </w:style>
  <w:style w:type="paragraph" w:customStyle="1" w:styleId="Publicationtitle3">
    <w:name w:val="Publication title 3"/>
    <w:basedOn w:val="Publicationtitle2"/>
    <w:next w:val="Normal"/>
    <w:rsid w:val="00D520FA"/>
    <w:rPr>
      <w:b w:val="0"/>
      <w:color w:val="004563"/>
    </w:rPr>
  </w:style>
  <w:style w:type="paragraph" w:customStyle="1" w:styleId="CGCTableFootnote">
    <w:name w:val="CGC Table Footnote"/>
    <w:basedOn w:val="Normal"/>
    <w:next w:val="Normal"/>
    <w:rsid w:val="00D46F93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qFormat/>
    <w:rsid w:val="00E616F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customStyle="1" w:styleId="TableRowNormal">
    <w:name w:val="TableRowNormal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ink w:val="CGCTableStubChar"/>
    <w:rsid w:val="00D46F93"/>
    <w:pPr>
      <w:keepNext/>
      <w:keepLines/>
      <w:tabs>
        <w:tab w:val="left" w:pos="284"/>
      </w:tabs>
      <w:spacing w:before="60" w:after="60" w:line="200" w:lineRule="atLeast"/>
    </w:pPr>
    <w:rPr>
      <w:rFonts w:asciiTheme="minorHAnsi" w:hAnsiTheme="minorHAnsi"/>
      <w:szCs w:val="20"/>
    </w:rPr>
  </w:style>
  <w:style w:type="paragraph" w:customStyle="1" w:styleId="CGCTableheader">
    <w:name w:val="CGC Table header"/>
    <w:basedOn w:val="Normal"/>
    <w:next w:val="Normal"/>
    <w:rsid w:val="00364DB3"/>
    <w:pPr>
      <w:spacing w:before="0" w:line="240" w:lineRule="auto"/>
    </w:pPr>
    <w:rPr>
      <w:rFonts w:ascii="Open Sans Semibold" w:hAnsi="Open Sans Semibold" w:cs="Open Sans Semibold"/>
      <w:color w:val="FFFFFF" w:themeColor="background1"/>
      <w:sz w:val="16"/>
    </w:rPr>
  </w:style>
  <w:style w:type="character" w:styleId="FootnoteReference">
    <w:name w:val="footnote reference"/>
    <w:basedOn w:val="DefaultParagraphFont"/>
    <w:rsid w:val="00D46F93"/>
    <w:rPr>
      <w:vertAlign w:val="superscript"/>
    </w:rPr>
  </w:style>
  <w:style w:type="paragraph" w:customStyle="1" w:styleId="CGCTablesubhead1">
    <w:name w:val="CGC Table subhead1"/>
    <w:basedOn w:val="Normal"/>
    <w:rsid w:val="00364DB3"/>
    <w:pPr>
      <w:spacing w:before="0" w:line="240" w:lineRule="auto"/>
    </w:pPr>
    <w:rPr>
      <w:rFonts w:ascii="Open Sans Semibold" w:hAnsi="Open Sans Semibold"/>
      <w:sz w:val="16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ListParagraph">
    <w:name w:val="List Paragraph"/>
    <w:basedOn w:val="Normal"/>
    <w:uiPriority w:val="34"/>
    <w:rsid w:val="006E1B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20FA"/>
    <w:pPr>
      <w:tabs>
        <w:tab w:val="clear" w:pos="567"/>
        <w:tab w:val="center" w:pos="4513"/>
        <w:tab w:val="right" w:pos="9026"/>
      </w:tabs>
      <w:spacing w:before="0" w:line="240" w:lineRule="auto"/>
      <w:jc w:val="right"/>
    </w:pPr>
    <w:rPr>
      <w:rFonts w:ascii="Montserrat Ultra Light" w:hAnsi="Montserrat Ultra Light"/>
      <w:color w:val="004563"/>
    </w:rPr>
  </w:style>
  <w:style w:type="paragraph" w:styleId="FootnoteText">
    <w:name w:val="footnote text"/>
    <w:basedOn w:val="Normal"/>
    <w:link w:val="FootnoteTextChar"/>
    <w:qFormat/>
    <w:rsid w:val="00F3399C"/>
    <w:pPr>
      <w:tabs>
        <w:tab w:val="left" w:pos="680"/>
      </w:tabs>
      <w:spacing w:before="40" w:line="240" w:lineRule="auto"/>
      <w:ind w:left="113" w:hanging="113"/>
    </w:pPr>
    <w:rPr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99C"/>
    <w:pPr>
      <w:tabs>
        <w:tab w:val="clear" w:pos="567"/>
        <w:tab w:val="center" w:pos="4513"/>
        <w:tab w:val="right" w:pos="9026"/>
      </w:tabs>
      <w:spacing w:line="240" w:lineRule="auto"/>
    </w:pPr>
    <w:rPr>
      <w:rFonts w:ascii="Montserrat Ultra Light" w:hAnsi="Montserrat Ultra Light"/>
      <w:color w:val="004563"/>
    </w:rPr>
  </w:style>
  <w:style w:type="character" w:styleId="Hyperlink">
    <w:name w:val="Hyperlink"/>
    <w:basedOn w:val="DefaultParagraphFont"/>
    <w:uiPriority w:val="99"/>
    <w:unhideWhenUsed/>
    <w:qFormat/>
    <w:rsid w:val="00D46F93"/>
    <w:rPr>
      <w:color w:val="006991"/>
      <w:u w:val="single"/>
    </w:rPr>
  </w:style>
  <w:style w:type="paragraph" w:styleId="List">
    <w:name w:val="List"/>
    <w:basedOn w:val="Normal"/>
    <w:rsid w:val="003A27BB"/>
    <w:pPr>
      <w:spacing w:line="300" w:lineRule="atLeast"/>
    </w:pPr>
  </w:style>
  <w:style w:type="paragraph" w:styleId="MacroText">
    <w:name w:val="macro"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F3399C"/>
    <w:rPr>
      <w:rFonts w:ascii="Montserrat Ultra Light" w:hAnsi="Montserrat Ultra Light"/>
      <w:color w:val="004563"/>
      <w:sz w:val="20"/>
    </w:rPr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Tablesubhead2">
    <w:name w:val="CGC Table subhead2"/>
    <w:basedOn w:val="Normal"/>
    <w:rsid w:val="00364DB3"/>
    <w:pPr>
      <w:spacing w:before="0" w:line="240" w:lineRule="auto"/>
    </w:pPr>
    <w:rPr>
      <w:rFonts w:ascii="Open Sans Semibold" w:hAnsi="Open Sans Semibold"/>
      <w:sz w:val="16"/>
    </w:rPr>
  </w:style>
  <w:style w:type="paragraph" w:customStyle="1" w:styleId="TableRowUnits">
    <w:name w:val="TableRowUnit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rsid w:val="003A27BB"/>
    <w:rPr>
      <w:rFonts w:cs="Arial"/>
      <w:b/>
      <w:bCs/>
    </w:rPr>
  </w:style>
  <w:style w:type="paragraph" w:styleId="TOC1">
    <w:name w:val="toc 1"/>
    <w:basedOn w:val="Normal"/>
    <w:next w:val="Normal"/>
    <w:rsid w:val="00364DB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Normal"/>
    <w:next w:val="Normal"/>
    <w:rsid w:val="00364DB3"/>
    <w:pPr>
      <w:tabs>
        <w:tab w:val="clear" w:pos="567"/>
        <w:tab w:val="right" w:pos="8942"/>
      </w:tabs>
      <w:ind w:left="113"/>
    </w:pPr>
    <w:rPr>
      <w:rFonts w:ascii="Open Sans" w:hAnsi="Open Sans"/>
      <w:color w:val="636466"/>
      <w:szCs w:val="20"/>
    </w:rPr>
  </w:style>
  <w:style w:type="paragraph" w:styleId="TOC3">
    <w:name w:val="toc 3"/>
    <w:basedOn w:val="Normal"/>
    <w:next w:val="Normal"/>
    <w:rsid w:val="00364DB3"/>
    <w:pPr>
      <w:tabs>
        <w:tab w:val="clear" w:pos="567"/>
        <w:tab w:val="right" w:pos="8942"/>
      </w:tabs>
      <w:ind w:left="397"/>
    </w:pPr>
    <w:rPr>
      <w:iCs/>
      <w:color w:val="636466"/>
    </w:rPr>
  </w:style>
  <w:style w:type="paragraph" w:styleId="TOC4">
    <w:name w:val="toc 4"/>
    <w:basedOn w:val="Normal"/>
    <w:next w:val="Normal"/>
    <w:rsid w:val="00F3399C"/>
    <w:pPr>
      <w:tabs>
        <w:tab w:val="clear" w:pos="567"/>
        <w:tab w:val="right" w:pos="8942"/>
      </w:tabs>
      <w:spacing w:line="276" w:lineRule="auto"/>
      <w:ind w:left="680"/>
    </w:pPr>
    <w:rPr>
      <w:i/>
      <w:color w:val="636466"/>
    </w:rPr>
  </w:style>
  <w:style w:type="paragraph" w:styleId="TOC5">
    <w:name w:val="toc 5"/>
    <w:basedOn w:val="Normal"/>
    <w:next w:val="Normal"/>
    <w:rsid w:val="00F3399C"/>
    <w:pPr>
      <w:tabs>
        <w:tab w:val="clear" w:pos="567"/>
      </w:tabs>
      <w:ind w:left="964"/>
    </w:pPr>
    <w:rPr>
      <w:color w:val="636466"/>
      <w:sz w:val="18"/>
      <w:szCs w:val="18"/>
    </w:rPr>
  </w:style>
  <w:style w:type="paragraph" w:styleId="TOC6">
    <w:name w:val="toc 6"/>
    <w:basedOn w:val="Normal"/>
    <w:next w:val="Normal"/>
    <w:rsid w:val="00F3399C"/>
    <w:pPr>
      <w:tabs>
        <w:tab w:val="clear" w:pos="567"/>
      </w:tabs>
      <w:ind w:left="964"/>
    </w:pPr>
    <w:rPr>
      <w:i/>
      <w:color w:val="63646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F93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46F93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46F93"/>
    <w:rPr>
      <w:rFonts w:ascii="Montserrat Semi Bold" w:eastAsiaTheme="majorEastAsia" w:hAnsi="Montserrat Semi Bold" w:cstheme="majorBidi"/>
      <w:color w:val="63646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F93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520FA"/>
    <w:rPr>
      <w:rFonts w:ascii="Montserrat Ultra Light" w:hAnsi="Montserrat Ultra Light"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3399C"/>
    <w:rPr>
      <w:rFonts w:ascii="Montserrat Ultra Light" w:hAnsi="Montserrat Ultra Light"/>
      <w:color w:val="004563"/>
      <w:sz w:val="20"/>
      <w:lang w:val="en-US"/>
    </w:rPr>
  </w:style>
  <w:style w:type="paragraph" w:customStyle="1" w:styleId="CGCDataCaption">
    <w:name w:val="CGC Data Caption"/>
    <w:basedOn w:val="CGCTableFootnote"/>
    <w:next w:val="Normal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6723C0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3399C"/>
    <w:rPr>
      <w:rFonts w:ascii="Open Sans Light" w:hAnsi="Open Sans Light"/>
      <w:sz w:val="1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46F93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3A"/>
    <w:rPr>
      <w:rFonts w:ascii="Montserrat Semi Bold" w:eastAsiaTheme="majorEastAsia" w:hAnsi="Montserrat Semi Bold" w:cstheme="majorBidi"/>
      <w:i/>
      <w:iCs/>
      <w:color w:val="939598"/>
      <w:sz w:val="20"/>
    </w:rPr>
  </w:style>
  <w:style w:type="paragraph" w:customStyle="1" w:styleId="CGCParaNumber">
    <w:name w:val="CGC Para Number"/>
    <w:basedOn w:val="Normal"/>
    <w:qFormat/>
    <w:rsid w:val="00161EFB"/>
    <w:pPr>
      <w:numPr>
        <w:numId w:val="21"/>
      </w:numPr>
      <w:ind w:left="567" w:hanging="567"/>
    </w:pPr>
  </w:style>
  <w:style w:type="paragraph" w:customStyle="1" w:styleId="CGCBullet1">
    <w:name w:val="CGC Bullet 1"/>
    <w:basedOn w:val="Normal"/>
    <w:qFormat/>
    <w:rsid w:val="00364DB3"/>
    <w:pPr>
      <w:numPr>
        <w:numId w:val="22"/>
      </w:numPr>
      <w:ind w:left="924" w:hanging="357"/>
    </w:pPr>
  </w:style>
  <w:style w:type="paragraph" w:customStyle="1" w:styleId="CGCBullet2">
    <w:name w:val="CGC Bullet 2"/>
    <w:basedOn w:val="Normal"/>
    <w:autoRedefine/>
    <w:qFormat/>
    <w:rsid w:val="00161EFB"/>
    <w:pPr>
      <w:numPr>
        <w:numId w:val="23"/>
      </w:numPr>
      <w:ind w:left="1208" w:hanging="357"/>
    </w:pPr>
  </w:style>
  <w:style w:type="paragraph" w:customStyle="1" w:styleId="CGCBullet3">
    <w:name w:val="CGC Bullet 3"/>
    <w:basedOn w:val="Normal"/>
    <w:qFormat/>
    <w:rsid w:val="00401575"/>
    <w:pPr>
      <w:numPr>
        <w:numId w:val="24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F3399C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F3399C"/>
    <w:pPr>
      <w:numPr>
        <w:numId w:val="25"/>
      </w:numPr>
      <w:spacing w:after="0"/>
      <w:ind w:left="1775" w:right="1418" w:hanging="357"/>
    </w:pPr>
  </w:style>
  <w:style w:type="paragraph" w:customStyle="1" w:styleId="CGCTablerow">
    <w:name w:val="CGC Table row"/>
    <w:basedOn w:val="Normal"/>
    <w:qFormat/>
    <w:rsid w:val="00D46F93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qFormat/>
    <w:rsid w:val="00364DB3"/>
    <w:pPr>
      <w:tabs>
        <w:tab w:val="left" w:pos="680"/>
      </w:tabs>
      <w:spacing w:before="40" w:line="240" w:lineRule="auto"/>
      <w:ind w:left="680" w:hanging="56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E616F0"/>
    <w:rPr>
      <w:rFonts w:ascii="Montserrat Ultra Light" w:hAnsi="Montserrat Ultra Light"/>
      <w:b/>
      <w:sz w:val="20"/>
      <w:szCs w:val="20"/>
      <w:lang w:val="en-US"/>
    </w:rPr>
  </w:style>
  <w:style w:type="character" w:customStyle="1" w:styleId="CGCTableStubChar">
    <w:name w:val="CGC Table Stub Char"/>
    <w:basedOn w:val="DefaultParagraphFont"/>
    <w:link w:val="CGCTableStub"/>
    <w:rsid w:val="00D46F93"/>
    <w:rPr>
      <w:sz w:val="20"/>
      <w:szCs w:val="20"/>
    </w:rPr>
  </w:style>
  <w:style w:type="paragraph" w:styleId="NoSpacing">
    <w:name w:val="No Spacing"/>
    <w:link w:val="NoSpacingChar"/>
    <w:uiPriority w:val="1"/>
    <w:rsid w:val="00D46F93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6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6CE0E6E4CC94697A9F68B1C3F36F2" ma:contentTypeVersion="14" ma:contentTypeDescription="Create a new document." ma:contentTypeScope="" ma:versionID="31ba00de3cb04b84972644064573591f">
  <xsd:schema xmlns:xsd="http://www.w3.org/2001/XMLSchema" xmlns:xs="http://www.w3.org/2001/XMLSchema" xmlns:p="http://schemas.microsoft.com/office/2006/metadata/properties" xmlns:ns2="c1f37280-f85a-44c5-9b22-991a1a1da086" xmlns:ns3="199f48e7-77a2-4280-bd13-78cc6c8e9b3d" targetNamespace="http://schemas.microsoft.com/office/2006/metadata/properties" ma:root="true" ma:fieldsID="8fc24e42f7a632b8fb35f3751a00328e" ns2:_="" ns3:_="">
    <xsd:import namespace="c1f37280-f85a-44c5-9b22-991a1a1da086"/>
    <xsd:import namespace="199f48e7-77a2-4280-bd13-78cc6c8e9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7280-f85a-44c5-9b22-991a1a1da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0b90d-15e3-4b68-b4ed-e1e0d46dd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48e7-77a2-4280-bd13-78cc6c8e9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03d50f-ef4c-4537-9195-677643098889}" ma:internalName="TaxCatchAll" ma:showField="CatchAllData" ma:web="199f48e7-77a2-4280-bd13-78cc6c8e9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9f48e7-77a2-4280-bd13-78cc6c8e9b3d">
      <UserInfo>
        <DisplayName/>
        <AccountId xsi:nil="true"/>
        <AccountType/>
      </UserInfo>
    </SharedWithUsers>
    <MediaLengthInSeconds xmlns="c1f37280-f85a-44c5-9b22-991a1a1da086" xsi:nil="true"/>
    <TaxCatchAll xmlns="199f48e7-77a2-4280-bd13-78cc6c8e9b3d" xsi:nil="true"/>
    <lcf76f155ced4ddcb4097134ff3c332f xmlns="c1f37280-f85a-44c5-9b22-991a1a1da0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65393-22FC-49E4-8E78-1B43915EAEE5}"/>
</file>

<file path=customXml/itemProps2.xml><?xml version="1.0" encoding="utf-8"?>
<ds:datastoreItem xmlns:ds="http://schemas.openxmlformats.org/officeDocument/2006/customXml" ds:itemID="{745262C3-1739-4D6A-8BA8-7DB3412CEF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09AFC5-EFE1-4C81-A1CB-1CFB4B22D8E7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df07d85c-f1ef-4a2e-88ac-efaebb01227e"/>
    <ds:schemaRef ds:uri="847fcf36-1066-4f99-bf38-e70e9f2c42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ACA4FE-49D7-41F2-8306-1E19158D6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Madden</dc:creator>
  <cp:keywords/>
  <dc:description/>
  <cp:lastModifiedBy>Shannon Madden</cp:lastModifiedBy>
  <cp:revision>4</cp:revision>
  <dcterms:created xsi:type="dcterms:W3CDTF">2024-02-26T22:10:00Z</dcterms:created>
  <dcterms:modified xsi:type="dcterms:W3CDTF">2024-02-26T22:18:00Z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0x010100E7E6CE0E6E4CC94697A9F68B1C3F36F2</vt:lpwstr>
  </property>
  <property fmtid="{D5CDD505-2E9C-101B-9397-08002B2CF9AE}" pid="3" name="MediaServiceImageTags">
    <vt:lpwstr/>
  </property>
  <property fmtid="{D5CDD505-2E9C-101B-9397-08002B2CF9AE}" pid="4" name="Order">
    <vt:r8>85436700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