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C6846" w14:textId="4F831EDE" w:rsidR="004C78B6" w:rsidRDefault="00E1116C" w:rsidP="004C78B6">
      <w:r>
        <w:rPr>
          <w:noProof/>
        </w:rPr>
        <w:drawing>
          <wp:anchor distT="0" distB="0" distL="114300" distR="114300" simplePos="0" relativeHeight="251658245" behindDoc="1" locked="0" layoutInCell="1" allowOverlap="1" wp14:anchorId="10314E4F" wp14:editId="699A8142">
            <wp:simplePos x="0" y="0"/>
            <wp:positionH relativeFrom="column">
              <wp:posOffset>-1025847</wp:posOffset>
            </wp:positionH>
            <wp:positionV relativeFrom="paragraph">
              <wp:posOffset>-1492023</wp:posOffset>
            </wp:positionV>
            <wp:extent cx="7725410" cy="1092200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5410" cy="10922000"/>
                    </a:xfrm>
                    <a:prstGeom prst="rect">
                      <a:avLst/>
                    </a:prstGeom>
                  </pic:spPr>
                </pic:pic>
              </a:graphicData>
            </a:graphic>
            <wp14:sizeRelH relativeFrom="margin">
              <wp14:pctWidth>0</wp14:pctWidth>
            </wp14:sizeRelH>
            <wp14:sizeRelV relativeFrom="margin">
              <wp14:pctHeight>0</wp14:pctHeight>
            </wp14:sizeRelV>
          </wp:anchor>
        </w:drawing>
      </w:r>
      <w:r w:rsidR="004C78B6">
        <w:rPr>
          <w:noProof/>
        </w:rPr>
        <w:drawing>
          <wp:inline distT="0" distB="0" distL="0" distR="0" wp14:anchorId="53D88FA4" wp14:editId="37704882">
            <wp:extent cx="2441749" cy="460926"/>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2597" cy="496952"/>
                    </a:xfrm>
                    <a:prstGeom prst="rect">
                      <a:avLst/>
                    </a:prstGeom>
                  </pic:spPr>
                </pic:pic>
              </a:graphicData>
            </a:graphic>
          </wp:inline>
        </w:drawing>
      </w:r>
    </w:p>
    <w:p w14:paraId="56AA9408" w14:textId="68FDD22B" w:rsidR="004C78B6" w:rsidRPr="00962EFF" w:rsidRDefault="004C78B6" w:rsidP="00962EFF">
      <w:pPr>
        <w:rPr>
          <w:rFonts w:ascii="Work Sans" w:hAnsi="Work Sans"/>
        </w:rPr>
      </w:pPr>
    </w:p>
    <w:p w14:paraId="6C749E99" w14:textId="7E1F7331" w:rsidR="004C78B6" w:rsidRPr="00962EFF" w:rsidRDefault="004C78B6" w:rsidP="00962EFF">
      <w:pPr>
        <w:rPr>
          <w:rFonts w:ascii="Work Sans" w:hAnsi="Work Sans"/>
        </w:rPr>
      </w:pPr>
    </w:p>
    <w:p w14:paraId="00648F61" w14:textId="7627E11B" w:rsidR="00D838D7" w:rsidRPr="00962EFF" w:rsidRDefault="00D838D7" w:rsidP="00962EFF">
      <w:pPr>
        <w:rPr>
          <w:rFonts w:ascii="Work Sans" w:hAnsi="Work Sans"/>
        </w:rPr>
      </w:pPr>
    </w:p>
    <w:p w14:paraId="1CD4EF8B" w14:textId="77777777" w:rsidR="00AD53D2" w:rsidRPr="00962EFF" w:rsidRDefault="00AD53D2" w:rsidP="00962EFF">
      <w:pPr>
        <w:rPr>
          <w:rFonts w:ascii="Work Sans" w:hAnsi="Work Sans"/>
        </w:rPr>
      </w:pPr>
    </w:p>
    <w:p w14:paraId="1BD893EE" w14:textId="77777777" w:rsidR="00AD53D2" w:rsidRPr="00962EFF" w:rsidRDefault="00AD53D2" w:rsidP="00962EFF">
      <w:pPr>
        <w:rPr>
          <w:rFonts w:ascii="Work Sans" w:hAnsi="Work Sans"/>
        </w:rPr>
      </w:pPr>
    </w:p>
    <w:p w14:paraId="19848CF4" w14:textId="77777777" w:rsidR="00AD53D2" w:rsidRPr="00962EFF" w:rsidRDefault="00AD53D2" w:rsidP="00962EFF">
      <w:pPr>
        <w:rPr>
          <w:rFonts w:ascii="Work Sans" w:hAnsi="Work Sans"/>
        </w:rPr>
      </w:pPr>
    </w:p>
    <w:p w14:paraId="699217D6" w14:textId="087D47E4" w:rsidR="00AD53D2" w:rsidRPr="00962EFF" w:rsidRDefault="00EC0F01" w:rsidP="00962EFF">
      <w:pPr>
        <w:rPr>
          <w:rFonts w:ascii="Work Sans" w:hAnsi="Work Sans"/>
        </w:rPr>
      </w:pPr>
      <w:r w:rsidRPr="00962EFF">
        <w:rPr>
          <w:rFonts w:ascii="Work Sans" w:hAnsi="Work Sans"/>
          <w:noProof/>
        </w:rPr>
        <mc:AlternateContent>
          <mc:Choice Requires="wps">
            <w:drawing>
              <wp:anchor distT="0" distB="0" distL="114300" distR="114300" simplePos="0" relativeHeight="251658240" behindDoc="0" locked="0" layoutInCell="1" allowOverlap="1" wp14:anchorId="13874347" wp14:editId="77F00492">
                <wp:simplePos x="0" y="0"/>
                <wp:positionH relativeFrom="column">
                  <wp:posOffset>43658</wp:posOffset>
                </wp:positionH>
                <wp:positionV relativeFrom="paragraph">
                  <wp:posOffset>79260</wp:posOffset>
                </wp:positionV>
                <wp:extent cx="5183580" cy="894080"/>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5183580" cy="894080"/>
                        </a:xfrm>
                        <a:prstGeom prst="rect">
                          <a:avLst/>
                        </a:prstGeom>
                        <a:noFill/>
                        <a:ln w="6350">
                          <a:noFill/>
                        </a:ln>
                      </wps:spPr>
                      <wps:txbx>
                        <w:txbxContent>
                          <w:p w14:paraId="2B443CCE" w14:textId="4EA77BD3" w:rsidR="00AD53D2" w:rsidRPr="00B417A0" w:rsidRDefault="00962EFF" w:rsidP="00AD53D2">
                            <w:pPr>
                              <w:rPr>
                                <w:rFonts w:ascii="Work Sans" w:hAnsi="Work Sans" w:cs="Open Sans"/>
                                <w:b/>
                                <w:bCs/>
                                <w:color w:val="FFFFFF"/>
                                <w:sz w:val="84"/>
                                <w:szCs w:val="84"/>
                              </w:rPr>
                            </w:pPr>
                            <w:r>
                              <w:rPr>
                                <w:rFonts w:ascii="Work Sans" w:hAnsi="Work Sans" w:cs="Open Sans"/>
                                <w:b/>
                                <w:bCs/>
                                <w:color w:val="FFFFFF"/>
                                <w:sz w:val="84"/>
                                <w:szCs w:val="84"/>
                              </w:rPr>
                              <w:t>Occasional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74347" id="_x0000_t202" coordsize="21600,21600" o:spt="202" path="m,l,21600r21600,l21600,xe">
                <v:stroke joinstyle="miter"/>
                <v:path gradientshapeok="t" o:connecttype="rect"/>
              </v:shapetype>
              <v:shape id="Text Box 13" o:spid="_x0000_s1026" type="#_x0000_t202" style="position:absolute;margin-left:3.45pt;margin-top:6.25pt;width:408.15pt;height:7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" filled="f" stroked="f" strokeweight=".5pt">
                <v:textbox>
                  <w:txbxContent>
                    <w:p w14:paraId="2B443CCE" w14:textId="4EA77BD3" w:rsidR="00AD53D2" w:rsidRPr="00B417A0" w:rsidRDefault="00962EFF" w:rsidP="00AD53D2">
                      <w:pPr>
                        <w:rPr>
                          <w:rFonts w:ascii="Work Sans" w:hAnsi="Work Sans" w:cs="Open Sans"/>
                          <w:b/>
                          <w:bCs/>
                          <w:color w:val="FFFFFF"/>
                          <w:sz w:val="84"/>
                          <w:szCs w:val="84"/>
                        </w:rPr>
                      </w:pPr>
                      <w:r>
                        <w:rPr>
                          <w:rFonts w:ascii="Work Sans" w:hAnsi="Work Sans" w:cs="Open Sans"/>
                          <w:b/>
                          <w:bCs/>
                          <w:color w:val="FFFFFF"/>
                          <w:sz w:val="84"/>
                          <w:szCs w:val="84"/>
                        </w:rPr>
                        <w:t>Occasional Paper</w:t>
                      </w:r>
                    </w:p>
                  </w:txbxContent>
                </v:textbox>
              </v:shape>
            </w:pict>
          </mc:Fallback>
        </mc:AlternateContent>
      </w:r>
    </w:p>
    <w:p w14:paraId="45D6F931" w14:textId="13806892" w:rsidR="00AD53D2" w:rsidRPr="00962EFF" w:rsidRDefault="00AD53D2" w:rsidP="00962EFF">
      <w:pPr>
        <w:rPr>
          <w:rFonts w:ascii="Work Sans" w:hAnsi="Work Sans"/>
        </w:rPr>
      </w:pPr>
    </w:p>
    <w:p w14:paraId="0568BBED" w14:textId="40254B98" w:rsidR="00AD53D2" w:rsidRPr="00962EFF" w:rsidRDefault="00AD53D2" w:rsidP="00962EFF">
      <w:pPr>
        <w:rPr>
          <w:rFonts w:ascii="Work Sans" w:hAnsi="Work Sans"/>
        </w:rPr>
      </w:pPr>
    </w:p>
    <w:p w14:paraId="39A7AC3F" w14:textId="493BB66B" w:rsidR="00AD53D2" w:rsidRDefault="00AD53D2" w:rsidP="00962EFF">
      <w:pPr>
        <w:rPr>
          <w:rFonts w:ascii="Work Sans" w:hAnsi="Work Sans"/>
        </w:rPr>
      </w:pPr>
    </w:p>
    <w:p w14:paraId="12D1F061" w14:textId="1AFF73FC" w:rsidR="00962EFF" w:rsidRDefault="00962EFF" w:rsidP="00962EFF">
      <w:pPr>
        <w:rPr>
          <w:rFonts w:ascii="Work Sans" w:hAnsi="Work Sans"/>
        </w:rPr>
      </w:pPr>
    </w:p>
    <w:p w14:paraId="55114D9B" w14:textId="77777777" w:rsidR="00962EFF" w:rsidRPr="00962EFF" w:rsidRDefault="00962EFF" w:rsidP="00962EFF">
      <w:pPr>
        <w:rPr>
          <w:rFonts w:ascii="Work Sans" w:hAnsi="Work Sans"/>
        </w:rPr>
      </w:pPr>
    </w:p>
    <w:p w14:paraId="25834C5D" w14:textId="15C123A2" w:rsidR="00AD53D2" w:rsidRPr="00962EFF" w:rsidRDefault="00EC0F01" w:rsidP="00962EFF">
      <w:pPr>
        <w:rPr>
          <w:rFonts w:ascii="Work Sans" w:hAnsi="Work Sans"/>
        </w:rPr>
      </w:pPr>
      <w:r w:rsidRPr="00962EFF">
        <w:rPr>
          <w:rFonts w:ascii="Work Sans" w:hAnsi="Work Sans"/>
          <w:noProof/>
        </w:rPr>
        <mc:AlternateContent>
          <mc:Choice Requires="wps">
            <w:drawing>
              <wp:anchor distT="0" distB="0" distL="114300" distR="114300" simplePos="0" relativeHeight="251658241" behindDoc="0" locked="0" layoutInCell="1" allowOverlap="1" wp14:anchorId="17BEE366" wp14:editId="69E719B1">
                <wp:simplePos x="0" y="0"/>
                <wp:positionH relativeFrom="margin">
                  <wp:align>left</wp:align>
                </wp:positionH>
                <wp:positionV relativeFrom="paragraph">
                  <wp:posOffset>13335</wp:posOffset>
                </wp:positionV>
                <wp:extent cx="5636526" cy="1157844"/>
                <wp:effectExtent l="0" t="0" r="0" b="4445"/>
                <wp:wrapNone/>
                <wp:docPr id="14" name="Text Box 14"/>
                <wp:cNvGraphicFramePr/>
                <a:graphic xmlns:a="http://schemas.openxmlformats.org/drawingml/2006/main">
                  <a:graphicData uri="http://schemas.microsoft.com/office/word/2010/wordprocessingShape">
                    <wps:wsp>
                      <wps:cNvSpPr txBox="1"/>
                      <wps:spPr>
                        <a:xfrm>
                          <a:off x="0" y="0"/>
                          <a:ext cx="5636526" cy="1157844"/>
                        </a:xfrm>
                        <a:prstGeom prst="rect">
                          <a:avLst/>
                        </a:prstGeom>
                        <a:noFill/>
                        <a:ln w="6350">
                          <a:noFill/>
                        </a:ln>
                      </wps:spPr>
                      <wps:txbx>
                        <w:txbxContent>
                          <w:p w14:paraId="73DD6A39" w14:textId="5ACD9DF8" w:rsidR="00AD53D2" w:rsidRPr="00B417A0" w:rsidRDefault="00807417" w:rsidP="00AD53D2">
                            <w:pPr>
                              <w:rPr>
                                <w:rFonts w:ascii="Work Sans" w:hAnsi="Work Sans" w:cs="Open Sans"/>
                                <w:color w:val="FFFFFF"/>
                                <w:sz w:val="48"/>
                                <w:szCs w:val="48"/>
                              </w:rPr>
                            </w:pPr>
                            <w:r>
                              <w:rPr>
                                <w:rFonts w:ascii="Work Sans" w:hAnsi="Work Sans" w:cs="Open Sans"/>
                                <w:color w:val="FFFFFF"/>
                                <w:sz w:val="48"/>
                                <w:szCs w:val="48"/>
                              </w:rPr>
                              <w:t>No.</w:t>
                            </w:r>
                            <w:r w:rsidR="000A23A5">
                              <w:rPr>
                                <w:rFonts w:ascii="Work Sans" w:hAnsi="Work Sans" w:cs="Open Sans"/>
                                <w:color w:val="FFFFFF"/>
                                <w:sz w:val="48"/>
                                <w:szCs w:val="48"/>
                              </w:rPr>
                              <w:t>11</w:t>
                            </w:r>
                            <w:r w:rsidR="00C87C4C">
                              <w:rPr>
                                <w:rFonts w:ascii="Work Sans" w:hAnsi="Work Sans" w:cs="Open Sans"/>
                                <w:color w:val="FFFFFF"/>
                                <w:sz w:val="48"/>
                                <w:szCs w:val="48"/>
                              </w:rPr>
                              <w:t xml:space="preserve">: </w:t>
                            </w:r>
                            <w:r w:rsidR="0040341F">
                              <w:rPr>
                                <w:rFonts w:ascii="Work Sans" w:hAnsi="Work Sans" w:cs="Open Sans"/>
                                <w:color w:val="FFFFFF"/>
                                <w:sz w:val="48"/>
                                <w:szCs w:val="48"/>
                              </w:rPr>
                              <w:t>GST distribution to states and territories in 202</w:t>
                            </w:r>
                            <w:r w:rsidR="006D4567">
                              <w:rPr>
                                <w:rFonts w:ascii="Work Sans" w:hAnsi="Work Sans" w:cs="Open Sans"/>
                                <w:color w:val="FFFFFF"/>
                                <w:sz w:val="48"/>
                                <w:szCs w:val="48"/>
                              </w:rPr>
                              <w:t>4</w:t>
                            </w:r>
                            <w:r w:rsidR="007A001E">
                              <w:rPr>
                                <w:rFonts w:ascii="Work Sans" w:hAnsi="Work Sans" w:cs="Open Sans"/>
                                <w:color w:val="FFFFFF"/>
                                <w:sz w:val="48"/>
                                <w:szCs w:val="48"/>
                              </w:rPr>
                              <w:t>–</w:t>
                            </w:r>
                            <w:proofErr w:type="gramStart"/>
                            <w:r w:rsidR="0040341F">
                              <w:rPr>
                                <w:rFonts w:ascii="Work Sans" w:hAnsi="Work Sans" w:cs="Open Sans"/>
                                <w:color w:val="FFFFFF"/>
                                <w:sz w:val="48"/>
                                <w:szCs w:val="48"/>
                              </w:rPr>
                              <w:t>2</w:t>
                            </w:r>
                            <w:r w:rsidR="006D4567">
                              <w:rPr>
                                <w:rFonts w:ascii="Work Sans" w:hAnsi="Work Sans" w:cs="Open Sans"/>
                                <w:color w:val="FFFFFF"/>
                                <w:sz w:val="48"/>
                                <w:szCs w:val="48"/>
                              </w:rPr>
                              <w:t>5</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EE366" id="Text Box 14" o:spid="_x0000_s1027" type="#_x0000_t202" style="position:absolute;margin-left:0;margin-top:1.05pt;width:443.8pt;height:91.1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" filled="f" stroked="f" strokeweight=".5pt">
                <v:textbox>
                  <w:txbxContent>
                    <w:p w14:paraId="73DD6A39" w14:textId="5ACD9DF8" w:rsidR="00AD53D2" w:rsidRPr="00B417A0" w:rsidRDefault="00807417" w:rsidP="00AD53D2">
                      <w:pPr>
                        <w:rPr>
                          <w:rFonts w:ascii="Work Sans" w:hAnsi="Work Sans" w:cs="Open Sans"/>
                          <w:color w:val="FFFFFF"/>
                          <w:sz w:val="48"/>
                          <w:szCs w:val="48"/>
                        </w:rPr>
                      </w:pPr>
                      <w:r>
                        <w:rPr>
                          <w:rFonts w:ascii="Work Sans" w:hAnsi="Work Sans" w:cs="Open Sans"/>
                          <w:color w:val="FFFFFF"/>
                          <w:sz w:val="48"/>
                          <w:szCs w:val="48"/>
                        </w:rPr>
                        <w:t>No.</w:t>
                      </w:r>
                      <w:r w:rsidR="000A23A5">
                        <w:rPr>
                          <w:rFonts w:ascii="Work Sans" w:hAnsi="Work Sans" w:cs="Open Sans"/>
                          <w:color w:val="FFFFFF"/>
                          <w:sz w:val="48"/>
                          <w:szCs w:val="48"/>
                        </w:rPr>
                        <w:t>11</w:t>
                      </w:r>
                      <w:r w:rsidR="00C87C4C">
                        <w:rPr>
                          <w:rFonts w:ascii="Work Sans" w:hAnsi="Work Sans" w:cs="Open Sans"/>
                          <w:color w:val="FFFFFF"/>
                          <w:sz w:val="48"/>
                          <w:szCs w:val="48"/>
                        </w:rPr>
                        <w:t xml:space="preserve">: </w:t>
                      </w:r>
                      <w:r w:rsidR="0040341F">
                        <w:rPr>
                          <w:rFonts w:ascii="Work Sans" w:hAnsi="Work Sans" w:cs="Open Sans"/>
                          <w:color w:val="FFFFFF"/>
                          <w:sz w:val="48"/>
                          <w:szCs w:val="48"/>
                        </w:rPr>
                        <w:t>GST distribution to states and territories in 202</w:t>
                      </w:r>
                      <w:r w:rsidR="006D4567">
                        <w:rPr>
                          <w:rFonts w:ascii="Work Sans" w:hAnsi="Work Sans" w:cs="Open Sans"/>
                          <w:color w:val="FFFFFF"/>
                          <w:sz w:val="48"/>
                          <w:szCs w:val="48"/>
                        </w:rPr>
                        <w:t>4</w:t>
                      </w:r>
                      <w:r w:rsidR="007A001E">
                        <w:rPr>
                          <w:rFonts w:ascii="Work Sans" w:hAnsi="Work Sans" w:cs="Open Sans"/>
                          <w:color w:val="FFFFFF"/>
                          <w:sz w:val="48"/>
                          <w:szCs w:val="48"/>
                        </w:rPr>
                        <w:t>–</w:t>
                      </w:r>
                      <w:proofErr w:type="gramStart"/>
                      <w:r w:rsidR="0040341F">
                        <w:rPr>
                          <w:rFonts w:ascii="Work Sans" w:hAnsi="Work Sans" w:cs="Open Sans"/>
                          <w:color w:val="FFFFFF"/>
                          <w:sz w:val="48"/>
                          <w:szCs w:val="48"/>
                        </w:rPr>
                        <w:t>2</w:t>
                      </w:r>
                      <w:r w:rsidR="006D4567">
                        <w:rPr>
                          <w:rFonts w:ascii="Work Sans" w:hAnsi="Work Sans" w:cs="Open Sans"/>
                          <w:color w:val="FFFFFF"/>
                          <w:sz w:val="48"/>
                          <w:szCs w:val="48"/>
                        </w:rPr>
                        <w:t>5</w:t>
                      </w:r>
                      <w:proofErr w:type="gramEnd"/>
                    </w:p>
                  </w:txbxContent>
                </v:textbox>
                <w10:wrap anchorx="margin"/>
              </v:shape>
            </w:pict>
          </mc:Fallback>
        </mc:AlternateContent>
      </w:r>
    </w:p>
    <w:p w14:paraId="00E92AD7" w14:textId="5FF0A900" w:rsidR="00AD53D2" w:rsidRPr="00962EFF" w:rsidRDefault="00AD53D2" w:rsidP="00962EFF">
      <w:pPr>
        <w:rPr>
          <w:rFonts w:ascii="Work Sans" w:hAnsi="Work Sans"/>
        </w:rPr>
      </w:pPr>
    </w:p>
    <w:p w14:paraId="57BDAF8A" w14:textId="07F6A63B" w:rsidR="00AD53D2" w:rsidRPr="00962EFF" w:rsidRDefault="00AD53D2" w:rsidP="00962EFF">
      <w:pPr>
        <w:rPr>
          <w:rFonts w:ascii="Work Sans" w:hAnsi="Work Sans"/>
        </w:rPr>
      </w:pPr>
    </w:p>
    <w:p w14:paraId="7310BB9F" w14:textId="77777777" w:rsidR="00AD53D2" w:rsidRPr="00962EFF" w:rsidRDefault="00AD53D2" w:rsidP="00962EFF">
      <w:pPr>
        <w:rPr>
          <w:rFonts w:ascii="Work Sans" w:hAnsi="Work Sans"/>
        </w:rPr>
      </w:pPr>
    </w:p>
    <w:p w14:paraId="22A6B70E" w14:textId="77777777" w:rsidR="00AD53D2" w:rsidRPr="00962EFF" w:rsidRDefault="00AD53D2" w:rsidP="00962EFF">
      <w:pPr>
        <w:rPr>
          <w:rFonts w:ascii="Work Sans" w:hAnsi="Work Sans"/>
        </w:rPr>
      </w:pPr>
    </w:p>
    <w:p w14:paraId="6A754D7C" w14:textId="77777777" w:rsidR="00C87C4C" w:rsidRDefault="00C87C4C" w:rsidP="00962EFF">
      <w:pPr>
        <w:rPr>
          <w:rFonts w:ascii="Work Sans" w:hAnsi="Work Sans"/>
        </w:rPr>
      </w:pPr>
    </w:p>
    <w:p w14:paraId="436A3AEE" w14:textId="77777777" w:rsidR="00C87C4C" w:rsidRDefault="00C87C4C" w:rsidP="00962EFF">
      <w:pPr>
        <w:rPr>
          <w:rFonts w:ascii="Work Sans" w:hAnsi="Work Sans"/>
        </w:rPr>
      </w:pPr>
    </w:p>
    <w:p w14:paraId="4F92A4C4" w14:textId="77777777" w:rsidR="00C87C4C" w:rsidRDefault="00C87C4C" w:rsidP="00962EFF">
      <w:pPr>
        <w:rPr>
          <w:rFonts w:ascii="Work Sans" w:hAnsi="Work Sans"/>
        </w:rPr>
      </w:pPr>
    </w:p>
    <w:p w14:paraId="585F61AA" w14:textId="77777777" w:rsidR="00C87C4C" w:rsidRDefault="00C87C4C" w:rsidP="00962EFF">
      <w:pPr>
        <w:rPr>
          <w:rFonts w:ascii="Work Sans" w:hAnsi="Work Sans"/>
        </w:rPr>
      </w:pPr>
    </w:p>
    <w:p w14:paraId="57EA2C56" w14:textId="77777777" w:rsidR="00C87C4C" w:rsidRDefault="00C87C4C" w:rsidP="00962EFF">
      <w:pPr>
        <w:rPr>
          <w:rFonts w:ascii="Work Sans" w:hAnsi="Work Sans"/>
        </w:rPr>
      </w:pPr>
    </w:p>
    <w:p w14:paraId="02B92D57" w14:textId="77777777" w:rsidR="00C87C4C" w:rsidRDefault="00C87C4C" w:rsidP="00962EFF">
      <w:pPr>
        <w:rPr>
          <w:rFonts w:ascii="Work Sans" w:hAnsi="Work Sans"/>
        </w:rPr>
      </w:pPr>
    </w:p>
    <w:p w14:paraId="3134BF64" w14:textId="77777777" w:rsidR="00C87C4C" w:rsidRDefault="00C87C4C" w:rsidP="00962EFF">
      <w:pPr>
        <w:rPr>
          <w:rFonts w:ascii="Work Sans" w:hAnsi="Work Sans"/>
        </w:rPr>
      </w:pPr>
    </w:p>
    <w:p w14:paraId="75078E44" w14:textId="150D103D" w:rsidR="00AD53D2" w:rsidRPr="00962EFF" w:rsidRDefault="00F8305F" w:rsidP="00962EFF">
      <w:pPr>
        <w:rPr>
          <w:rFonts w:ascii="Work Sans" w:hAnsi="Work Sans"/>
        </w:rPr>
      </w:pPr>
      <w:r w:rsidRPr="00962EFF">
        <w:rPr>
          <w:rFonts w:ascii="Work Sans" w:hAnsi="Work Sans"/>
          <w:noProof/>
        </w:rPr>
        <mc:AlternateContent>
          <mc:Choice Requires="wps">
            <w:drawing>
              <wp:anchor distT="0" distB="0" distL="114300" distR="114300" simplePos="0" relativeHeight="251658242" behindDoc="0" locked="0" layoutInCell="1" allowOverlap="1" wp14:anchorId="0A5643A7" wp14:editId="7B26F898">
                <wp:simplePos x="0" y="0"/>
                <wp:positionH relativeFrom="margin">
                  <wp:align>left</wp:align>
                </wp:positionH>
                <wp:positionV relativeFrom="paragraph">
                  <wp:posOffset>73660</wp:posOffset>
                </wp:positionV>
                <wp:extent cx="1704975" cy="439387"/>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704975" cy="439387"/>
                        </a:xfrm>
                        <a:prstGeom prst="rect">
                          <a:avLst/>
                        </a:prstGeom>
                        <a:noFill/>
                        <a:ln w="6350">
                          <a:noFill/>
                        </a:ln>
                      </wps:spPr>
                      <wps:txbx>
                        <w:txbxContent>
                          <w:p w14:paraId="1041002D" w14:textId="7D280820" w:rsidR="00AD53D2" w:rsidRPr="00F8305F" w:rsidRDefault="00A575A8" w:rsidP="00AD53D2">
                            <w:pPr>
                              <w:rPr>
                                <w:rFonts w:ascii="Work Sans" w:hAnsi="Work Sans" w:cs="Open Sans"/>
                                <w:color w:val="FFFFFF"/>
                                <w:sz w:val="28"/>
                                <w:szCs w:val="28"/>
                              </w:rPr>
                            </w:pPr>
                            <w:r>
                              <w:rPr>
                                <w:rFonts w:ascii="Work Sans" w:hAnsi="Work Sans" w:cs="Open Sans"/>
                                <w:color w:val="FFFFFF"/>
                                <w:sz w:val="28"/>
                                <w:szCs w:val="28"/>
                              </w:rPr>
                              <w:t>March 202</w:t>
                            </w:r>
                            <w:r w:rsidR="00E74EB6">
                              <w:rPr>
                                <w:rFonts w:ascii="Work Sans" w:hAnsi="Work Sans" w:cs="Open Sans"/>
                                <w:color w:val="FFFFFF"/>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643A7" id="Text Box 15" o:spid="_x0000_s1028" type="#_x0000_t202" style="position:absolute;margin-left:0;margin-top:5.8pt;width:134.25pt;height:34.6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DXHAIAADM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" filled="f" stroked="f" strokeweight=".5pt">
                <v:textbox>
                  <w:txbxContent>
                    <w:p w14:paraId="1041002D" w14:textId="7D280820" w:rsidR="00AD53D2" w:rsidRPr="00F8305F" w:rsidRDefault="00A575A8" w:rsidP="00AD53D2">
                      <w:pPr>
                        <w:rPr>
                          <w:rFonts w:ascii="Work Sans" w:hAnsi="Work Sans" w:cs="Open Sans"/>
                          <w:color w:val="FFFFFF"/>
                          <w:sz w:val="28"/>
                          <w:szCs w:val="28"/>
                        </w:rPr>
                      </w:pPr>
                      <w:r>
                        <w:rPr>
                          <w:rFonts w:ascii="Work Sans" w:hAnsi="Work Sans" w:cs="Open Sans"/>
                          <w:color w:val="FFFFFF"/>
                          <w:sz w:val="28"/>
                          <w:szCs w:val="28"/>
                        </w:rPr>
                        <w:t>March 202</w:t>
                      </w:r>
                      <w:r w:rsidR="00E74EB6">
                        <w:rPr>
                          <w:rFonts w:ascii="Work Sans" w:hAnsi="Work Sans" w:cs="Open Sans"/>
                          <w:color w:val="FFFFFF"/>
                          <w:sz w:val="28"/>
                          <w:szCs w:val="28"/>
                        </w:rPr>
                        <w:t>4</w:t>
                      </w:r>
                    </w:p>
                  </w:txbxContent>
                </v:textbox>
                <w10:wrap anchorx="margin"/>
              </v:shape>
            </w:pict>
          </mc:Fallback>
        </mc:AlternateContent>
      </w:r>
    </w:p>
    <w:p w14:paraId="4AF9959E" w14:textId="77777777" w:rsidR="00AD53D2" w:rsidRPr="00962EFF" w:rsidRDefault="00AD53D2" w:rsidP="00962EFF">
      <w:pPr>
        <w:rPr>
          <w:rFonts w:ascii="Work Sans" w:hAnsi="Work Sans"/>
        </w:rPr>
      </w:pPr>
    </w:p>
    <w:p w14:paraId="2E172C72" w14:textId="77777777" w:rsidR="00AD53D2" w:rsidRPr="00962EFF" w:rsidRDefault="00AD53D2" w:rsidP="00962EFF">
      <w:pPr>
        <w:rPr>
          <w:rFonts w:ascii="Work Sans" w:hAnsi="Work Sans"/>
        </w:rPr>
      </w:pPr>
    </w:p>
    <w:p w14:paraId="06D8C5E2" w14:textId="77777777" w:rsidR="00AD53D2" w:rsidRPr="00962EFF" w:rsidRDefault="00AD53D2" w:rsidP="00962EFF">
      <w:pPr>
        <w:rPr>
          <w:rFonts w:ascii="Work Sans" w:hAnsi="Work Sans"/>
        </w:rPr>
      </w:pPr>
    </w:p>
    <w:p w14:paraId="493FF90D" w14:textId="77777777" w:rsidR="00AD53D2" w:rsidRPr="00962EFF" w:rsidRDefault="00AD53D2" w:rsidP="00962EFF">
      <w:pPr>
        <w:rPr>
          <w:rFonts w:ascii="Work Sans" w:hAnsi="Work Sans"/>
        </w:rPr>
      </w:pPr>
    </w:p>
    <w:p w14:paraId="24EE791A" w14:textId="77777777" w:rsidR="00AD53D2" w:rsidRPr="00962EFF" w:rsidRDefault="00AD53D2" w:rsidP="00962EFF">
      <w:pPr>
        <w:rPr>
          <w:rFonts w:ascii="Work Sans" w:hAnsi="Work Sans"/>
        </w:rPr>
      </w:pPr>
    </w:p>
    <w:p w14:paraId="3E6770BD" w14:textId="77777777" w:rsidR="00AD53D2" w:rsidRPr="00962EFF" w:rsidRDefault="00AD53D2" w:rsidP="00962EFF">
      <w:pPr>
        <w:rPr>
          <w:rFonts w:ascii="Work Sans" w:hAnsi="Work Sans"/>
        </w:rPr>
      </w:pPr>
    </w:p>
    <w:p w14:paraId="164D3A4A" w14:textId="5B388E40" w:rsidR="00D838D7" w:rsidRPr="00962EFF" w:rsidRDefault="00D838D7" w:rsidP="00962EFF">
      <w:pPr>
        <w:rPr>
          <w:rFonts w:ascii="Work Sans" w:hAnsi="Work Sans"/>
        </w:rPr>
      </w:pPr>
    </w:p>
    <w:p w14:paraId="52BF4008" w14:textId="77777777" w:rsidR="00C87C4C" w:rsidRDefault="00C87C4C" w:rsidP="00962EFF">
      <w:pPr>
        <w:rPr>
          <w:rFonts w:ascii="Work Sans" w:hAnsi="Work Sans"/>
        </w:rPr>
        <w:sectPr w:rsidR="00C87C4C" w:rsidSect="00035FB5">
          <w:headerReference w:type="default" r:id="rId13"/>
          <w:footerReference w:type="even" r:id="rId14"/>
          <w:footerReference w:type="default" r:id="rId15"/>
          <w:headerReference w:type="first" r:id="rId16"/>
          <w:pgSz w:w="11900" w:h="16840"/>
          <w:pgMar w:top="1985" w:right="1418" w:bottom="1418" w:left="1418" w:header="709" w:footer="284" w:gutter="0"/>
          <w:pgNumType w:start="1"/>
          <w:cols w:space="708"/>
          <w:docGrid w:linePitch="360"/>
        </w:sectPr>
      </w:pPr>
    </w:p>
    <w:p w14:paraId="73CF16B8" w14:textId="5649BFA3" w:rsidR="00C87C4C" w:rsidRDefault="00810D67" w:rsidP="00962EFF">
      <w:pPr>
        <w:rPr>
          <w:rFonts w:ascii="Work Sans" w:hAnsi="Work Sans"/>
        </w:rPr>
      </w:pPr>
      <w:r>
        <w:rPr>
          <w:noProof/>
        </w:rPr>
        <w:lastRenderedPageBreak/>
        <mc:AlternateContent>
          <mc:Choice Requires="wps">
            <w:drawing>
              <wp:anchor distT="0" distB="0" distL="114300" distR="114300" simplePos="0" relativeHeight="251658243" behindDoc="1" locked="0" layoutInCell="1" allowOverlap="1" wp14:anchorId="6649B36B" wp14:editId="5876F0D9">
                <wp:simplePos x="0" y="0"/>
                <wp:positionH relativeFrom="margin">
                  <wp:align>left</wp:align>
                </wp:positionH>
                <wp:positionV relativeFrom="paragraph">
                  <wp:posOffset>1943</wp:posOffset>
                </wp:positionV>
                <wp:extent cx="5848249" cy="1644555"/>
                <wp:effectExtent l="0" t="0" r="635"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249" cy="1644555"/>
                        </a:xfrm>
                        <a:prstGeom prst="rect">
                          <a:avLst/>
                        </a:prstGeom>
                        <a:solidFill>
                          <a:srgbClr val="E5F8FF"/>
                        </a:solidFill>
                        <a:ln>
                          <a:noFill/>
                        </a:ln>
                      </wps:spPr>
                      <wps:txbx>
                        <w:txbxContent>
                          <w:p w14:paraId="23239019" w14:textId="77777777" w:rsidR="00810D67" w:rsidRPr="00707B3A" w:rsidRDefault="00810D67" w:rsidP="00810D67">
                            <w:pPr>
                              <w:pStyle w:val="Heading2"/>
                            </w:pPr>
                            <w:r>
                              <w:t>Acknowledgement of Country</w:t>
                            </w:r>
                          </w:p>
                          <w:p w14:paraId="265BD405" w14:textId="77777777" w:rsidR="00810D67" w:rsidRPr="00203792" w:rsidRDefault="00810D67" w:rsidP="00807417">
                            <w:pPr>
                              <w:pStyle w:val="BodyText"/>
                              <w:numPr>
                                <w:ilvl w:val="0"/>
                                <w:numId w:val="0"/>
                              </w:numPr>
                            </w:pPr>
                            <w:r w:rsidRPr="00203792">
                              <w:t xml:space="preserve">The Commonwealth Grants Commission acknowledges the Traditional Owners of Country throughout Australia, and their continuing connection to land, </w:t>
                            </w:r>
                            <w:proofErr w:type="gramStart"/>
                            <w:r w:rsidRPr="00203792">
                              <w:t>water</w:t>
                            </w:r>
                            <w:proofErr w:type="gramEnd"/>
                            <w:r w:rsidRPr="00203792">
                              <w:t xml:space="preserve"> and community. We pay our respects to them and their cultures and to Elders both past and present.</w:t>
                            </w:r>
                          </w:p>
                          <w:p w14:paraId="2BE17B7D" w14:textId="77777777" w:rsidR="00810D67" w:rsidRPr="00F579A2" w:rsidRDefault="00810D67" w:rsidP="00810D67">
                            <w:pPr>
                              <w:spacing w:line="252" w:lineRule="auto"/>
                              <w:rPr>
                                <w:lang w:bidi="hi-I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49B36B" id="Rectangle 23" o:spid="_x0000_s1029" style="position:absolute;margin-left:0;margin-top:.15pt;width:460.5pt;height:129.5pt;z-index:-25165823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" fillcolor="#e5f8ff" stroked="f">
                <v:textbox>
                  <w:txbxContent>
                    <w:p w14:paraId="23239019" w14:textId="77777777" w:rsidR="00810D67" w:rsidRPr="00707B3A" w:rsidRDefault="00810D67" w:rsidP="00810D67">
                      <w:pPr>
                        <w:pStyle w:val="Heading2"/>
                      </w:pPr>
                      <w:r>
                        <w:t>Acknowledgement of Country</w:t>
                      </w:r>
                    </w:p>
                    <w:p w14:paraId="265BD405" w14:textId="77777777" w:rsidR="00810D67" w:rsidRPr="00203792" w:rsidRDefault="00810D67" w:rsidP="00807417">
                      <w:pPr>
                        <w:pStyle w:val="BodyText"/>
                        <w:numPr>
                          <w:ilvl w:val="0"/>
                          <w:numId w:val="0"/>
                        </w:numPr>
                      </w:pPr>
                      <w:r w:rsidRPr="00203792">
                        <w:t xml:space="preserve">The Commonwealth Grants Commission acknowledges the Traditional Owners of Country throughout Australia, and their continuing connection to land, </w:t>
                      </w:r>
                      <w:proofErr w:type="gramStart"/>
                      <w:r w:rsidRPr="00203792">
                        <w:t>water</w:t>
                      </w:r>
                      <w:proofErr w:type="gramEnd"/>
                      <w:r w:rsidRPr="00203792">
                        <w:t xml:space="preserve"> and community. We pay our respects to them and their cultures and to Elders both past and present.</w:t>
                      </w:r>
                    </w:p>
                    <w:p w14:paraId="2BE17B7D" w14:textId="77777777" w:rsidR="00810D67" w:rsidRPr="00F579A2" w:rsidRDefault="00810D67" w:rsidP="00810D67">
                      <w:pPr>
                        <w:spacing w:line="252" w:lineRule="auto"/>
                        <w:rPr>
                          <w:lang w:bidi="hi-IN"/>
                        </w:rPr>
                      </w:pPr>
                    </w:p>
                  </w:txbxContent>
                </v:textbox>
                <w10:wrap anchorx="margin"/>
              </v:rect>
            </w:pict>
          </mc:Fallback>
        </mc:AlternateContent>
      </w:r>
    </w:p>
    <w:p w14:paraId="39A808C7" w14:textId="7E659D32" w:rsidR="00C87C4C" w:rsidRDefault="00C87C4C" w:rsidP="00962EFF">
      <w:pPr>
        <w:rPr>
          <w:rFonts w:ascii="Work Sans" w:hAnsi="Work Sans"/>
        </w:rPr>
      </w:pPr>
    </w:p>
    <w:p w14:paraId="1B4C7E61" w14:textId="6099026A" w:rsidR="00C87C4C" w:rsidRDefault="00C87C4C" w:rsidP="00962EFF">
      <w:pPr>
        <w:rPr>
          <w:rFonts w:ascii="Work Sans" w:hAnsi="Work Sans"/>
        </w:rPr>
      </w:pPr>
    </w:p>
    <w:p w14:paraId="68FE78AB" w14:textId="05682200" w:rsidR="00C87C4C" w:rsidRDefault="00C87C4C" w:rsidP="00962EFF">
      <w:pPr>
        <w:rPr>
          <w:rFonts w:ascii="Work Sans" w:hAnsi="Work Sans"/>
        </w:rPr>
      </w:pPr>
    </w:p>
    <w:p w14:paraId="06ED005E" w14:textId="4D33C9A0" w:rsidR="00C87C4C" w:rsidRDefault="00C87C4C" w:rsidP="00962EFF">
      <w:pPr>
        <w:rPr>
          <w:rFonts w:ascii="Work Sans" w:hAnsi="Work Sans"/>
        </w:rPr>
      </w:pPr>
    </w:p>
    <w:p w14:paraId="56CAD0CC" w14:textId="3DB8FB80" w:rsidR="00C87C4C" w:rsidRDefault="00C87C4C" w:rsidP="00962EFF">
      <w:pPr>
        <w:rPr>
          <w:rFonts w:ascii="Work Sans" w:hAnsi="Work Sans"/>
        </w:rPr>
      </w:pPr>
    </w:p>
    <w:p w14:paraId="7C952BB9" w14:textId="01BB4A54" w:rsidR="00C87C4C" w:rsidRDefault="00C87C4C" w:rsidP="00962EFF">
      <w:pPr>
        <w:rPr>
          <w:rFonts w:ascii="Work Sans" w:hAnsi="Work Sans"/>
        </w:rPr>
      </w:pPr>
    </w:p>
    <w:p w14:paraId="08AE986B" w14:textId="1143EF59" w:rsidR="00C87C4C" w:rsidRDefault="00C87C4C" w:rsidP="00962EFF">
      <w:pPr>
        <w:rPr>
          <w:rFonts w:ascii="Work Sans" w:hAnsi="Work Sans"/>
          <w:szCs w:val="20"/>
        </w:rPr>
      </w:pPr>
    </w:p>
    <w:p w14:paraId="7641D337" w14:textId="5650D36C" w:rsidR="001C4DF3" w:rsidRDefault="001C4DF3" w:rsidP="00962EFF">
      <w:pPr>
        <w:rPr>
          <w:rFonts w:ascii="Work Sans" w:hAnsi="Work Sans"/>
          <w:szCs w:val="20"/>
        </w:rPr>
      </w:pPr>
    </w:p>
    <w:p w14:paraId="75CBCC8B" w14:textId="2672E96F" w:rsidR="001C4DF3" w:rsidRDefault="001C4DF3" w:rsidP="00962EFF">
      <w:pPr>
        <w:rPr>
          <w:rFonts w:ascii="Work Sans" w:hAnsi="Work Sans"/>
          <w:szCs w:val="20"/>
        </w:rPr>
      </w:pPr>
    </w:p>
    <w:p w14:paraId="21720165" w14:textId="2DAC50C4" w:rsidR="001C4DF3" w:rsidRDefault="001C4DF3" w:rsidP="00962EFF">
      <w:pPr>
        <w:rPr>
          <w:rFonts w:ascii="Work Sans" w:hAnsi="Work Sans"/>
          <w:szCs w:val="20"/>
        </w:rPr>
      </w:pPr>
    </w:p>
    <w:p w14:paraId="46A33736" w14:textId="7E89DB72" w:rsidR="001C4DF3" w:rsidRDefault="001C4DF3" w:rsidP="00962EFF">
      <w:pPr>
        <w:rPr>
          <w:rFonts w:ascii="Work Sans" w:hAnsi="Work Sans"/>
          <w:szCs w:val="20"/>
        </w:rPr>
      </w:pPr>
    </w:p>
    <w:p w14:paraId="09B49389" w14:textId="6F8CB0A1" w:rsidR="001C4DF3" w:rsidRDefault="001C4DF3" w:rsidP="00962EFF">
      <w:pPr>
        <w:rPr>
          <w:rFonts w:ascii="Work Sans" w:hAnsi="Work Sans"/>
          <w:szCs w:val="20"/>
        </w:rPr>
      </w:pPr>
    </w:p>
    <w:p w14:paraId="036103BB" w14:textId="3BD8DE7F" w:rsidR="001C4DF3" w:rsidRDefault="001C4DF3" w:rsidP="00962EFF">
      <w:pPr>
        <w:rPr>
          <w:rFonts w:ascii="Work Sans" w:hAnsi="Work Sans"/>
          <w:szCs w:val="20"/>
        </w:rPr>
      </w:pPr>
    </w:p>
    <w:p w14:paraId="02D13BC6" w14:textId="77777777" w:rsidR="001C4DF3" w:rsidRPr="001C4DF3" w:rsidRDefault="001C4DF3" w:rsidP="00962EFF">
      <w:pPr>
        <w:rPr>
          <w:rFonts w:ascii="Work Sans" w:hAnsi="Work Sans"/>
          <w:szCs w:val="20"/>
        </w:rPr>
      </w:pPr>
    </w:p>
    <w:p w14:paraId="6EC995FC" w14:textId="1E937709" w:rsidR="00C87C4C" w:rsidRPr="001C4DF3" w:rsidRDefault="00C87C4C" w:rsidP="00C87C4C">
      <w:pPr>
        <w:pStyle w:val="NormalWeb"/>
        <w:rPr>
          <w:rFonts w:ascii="Work Sans" w:hAnsi="Work Sans"/>
          <w:b/>
          <w:bCs/>
          <w:color w:val="000000"/>
          <w:sz w:val="20"/>
          <w:szCs w:val="20"/>
        </w:rPr>
      </w:pPr>
      <w:r w:rsidRPr="001C4DF3">
        <w:rPr>
          <w:rFonts w:ascii="Work Sans" w:hAnsi="Work Sans"/>
          <w:b/>
          <w:bCs/>
          <w:color w:val="000000"/>
          <w:sz w:val="20"/>
          <w:szCs w:val="20"/>
        </w:rPr>
        <w:t>Copyright</w:t>
      </w:r>
    </w:p>
    <w:p w14:paraId="468BC774" w14:textId="609CCC6E" w:rsidR="00C87C4C" w:rsidRPr="001C4DF3" w:rsidRDefault="00C87C4C" w:rsidP="00C87C4C">
      <w:pPr>
        <w:pStyle w:val="NormalWeb"/>
        <w:rPr>
          <w:rFonts w:ascii="Work Sans" w:hAnsi="Work Sans"/>
          <w:color w:val="000000"/>
          <w:sz w:val="20"/>
          <w:szCs w:val="20"/>
        </w:rPr>
      </w:pPr>
      <w:r w:rsidRPr="001C4DF3">
        <w:rPr>
          <w:rFonts w:ascii="Work Sans" w:hAnsi="Work Sans"/>
          <w:color w:val="000000"/>
          <w:sz w:val="20"/>
          <w:szCs w:val="20"/>
        </w:rPr>
        <w:t>© Commonwealth of Australia 202</w:t>
      </w:r>
      <w:r w:rsidR="00E74EB6">
        <w:rPr>
          <w:rFonts w:ascii="Work Sans" w:hAnsi="Work Sans"/>
          <w:color w:val="000000"/>
          <w:sz w:val="20"/>
          <w:szCs w:val="20"/>
        </w:rPr>
        <w:t>4</w:t>
      </w:r>
    </w:p>
    <w:p w14:paraId="7B6F7DFC" w14:textId="77777777" w:rsidR="00C87C4C" w:rsidRPr="001C4DF3" w:rsidRDefault="00C87C4C" w:rsidP="00C87C4C">
      <w:pPr>
        <w:pStyle w:val="NormalWeb"/>
        <w:rPr>
          <w:rFonts w:ascii="Work Sans" w:hAnsi="Work Sans"/>
          <w:color w:val="000000"/>
          <w:sz w:val="20"/>
          <w:szCs w:val="20"/>
        </w:rPr>
      </w:pPr>
      <w:proofErr w:type="gramStart"/>
      <w:r w:rsidRPr="001C4DF3">
        <w:rPr>
          <w:rFonts w:ascii="Work Sans" w:hAnsi="Work Sans"/>
          <w:color w:val="000000"/>
          <w:sz w:val="20"/>
          <w:szCs w:val="20"/>
        </w:rPr>
        <w:t>With the exception of</w:t>
      </w:r>
      <w:proofErr w:type="gramEnd"/>
      <w:r w:rsidRPr="001C4DF3">
        <w:rPr>
          <w:rFonts w:ascii="Work Sans" w:hAnsi="Work Sans"/>
          <w:color w:val="000000"/>
          <w:sz w:val="20"/>
          <w:szCs w:val="20"/>
        </w:rPr>
        <w:t xml:space="preserve"> the Commonwealth Coat of Arms, all material presented in this document is provided under Creative Commons Attribution 4.0 (https://creativecommons.org/licenses/by/4.0/) licence. The details of the relevant licence conditions are available on the Creative Commons website as is the full legal code for CC BY 4.0 International (</w:t>
      </w:r>
      <w:hyperlink r:id="rId17" w:history="1">
        <w:r w:rsidRPr="001C4DF3">
          <w:rPr>
            <w:rStyle w:val="Hyperlink"/>
            <w:rFonts w:ascii="Work Sans" w:hAnsi="Work Sans"/>
            <w:sz w:val="20"/>
            <w:szCs w:val="20"/>
          </w:rPr>
          <w:t>https://creativecommons.org/licenses/by/4.0/legalcode</w:t>
        </w:r>
      </w:hyperlink>
      <w:r w:rsidRPr="001C4DF3">
        <w:rPr>
          <w:rFonts w:ascii="Work Sans" w:hAnsi="Work Sans"/>
          <w:color w:val="000000"/>
          <w:sz w:val="20"/>
          <w:szCs w:val="20"/>
        </w:rPr>
        <w:t>).</w:t>
      </w:r>
    </w:p>
    <w:p w14:paraId="7F412C5F" w14:textId="77777777" w:rsidR="00C87C4C" w:rsidRPr="001C4DF3" w:rsidRDefault="00C87C4C" w:rsidP="00C87C4C">
      <w:pPr>
        <w:pStyle w:val="NormalWeb"/>
        <w:rPr>
          <w:rFonts w:ascii="Work Sans" w:hAnsi="Work Sans"/>
          <w:color w:val="000000"/>
          <w:sz w:val="20"/>
          <w:szCs w:val="20"/>
        </w:rPr>
      </w:pPr>
      <w:r w:rsidRPr="001C4DF3">
        <w:rPr>
          <w:noProof/>
          <w:sz w:val="20"/>
          <w:szCs w:val="20"/>
        </w:rPr>
        <w:drawing>
          <wp:inline distT="0" distB="0" distL="0" distR="0" wp14:anchorId="42DDAA01" wp14:editId="4CCFCC78">
            <wp:extent cx="828675" cy="295275"/>
            <wp:effectExtent l="19050" t="0" r="9525" b="0"/>
            <wp:docPr id="1" name="Picture 1" descr="Creative Commons -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8" cstate="print"/>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02503439" w14:textId="77777777" w:rsidR="00C87C4C" w:rsidRPr="001C4DF3" w:rsidRDefault="00C87C4C" w:rsidP="00C87C4C">
      <w:pPr>
        <w:pStyle w:val="NormalWeb"/>
        <w:rPr>
          <w:rFonts w:ascii="Work Sans" w:hAnsi="Work Sans"/>
          <w:b/>
          <w:bCs/>
          <w:color w:val="000000"/>
          <w:sz w:val="20"/>
          <w:szCs w:val="20"/>
        </w:rPr>
      </w:pPr>
      <w:r w:rsidRPr="001C4DF3">
        <w:rPr>
          <w:rFonts w:ascii="Work Sans" w:hAnsi="Work Sans"/>
          <w:b/>
          <w:bCs/>
          <w:color w:val="000000"/>
          <w:sz w:val="20"/>
          <w:szCs w:val="20"/>
        </w:rPr>
        <w:t>Attribution</w:t>
      </w:r>
    </w:p>
    <w:p w14:paraId="59F01DFC" w14:textId="4C8789F4" w:rsidR="00C87C4C" w:rsidRPr="001C4DF3" w:rsidRDefault="00C87C4C" w:rsidP="00C87C4C">
      <w:pPr>
        <w:pStyle w:val="NormalWeb"/>
        <w:rPr>
          <w:rFonts w:ascii="Work Sans" w:hAnsi="Work Sans"/>
          <w:color w:val="000000"/>
          <w:sz w:val="20"/>
          <w:szCs w:val="20"/>
        </w:rPr>
      </w:pPr>
      <w:r w:rsidRPr="001C4DF3">
        <w:rPr>
          <w:rFonts w:ascii="Work Sans" w:hAnsi="Work Sans"/>
          <w:color w:val="000000"/>
          <w:sz w:val="20"/>
          <w:szCs w:val="20"/>
        </w:rPr>
        <w:t xml:space="preserve">The recommended attribution for this document is Commonwealth Grants Commission, </w:t>
      </w:r>
      <w:r w:rsidRPr="00BA28C2">
        <w:rPr>
          <w:rFonts w:ascii="Work Sans" w:hAnsi="Work Sans"/>
          <w:color w:val="000000"/>
          <w:sz w:val="20"/>
          <w:szCs w:val="20"/>
        </w:rPr>
        <w:t xml:space="preserve">Occasional Paper No. </w:t>
      </w:r>
      <w:r w:rsidR="00E74EB6">
        <w:rPr>
          <w:rFonts w:ascii="Work Sans" w:hAnsi="Work Sans"/>
          <w:color w:val="000000"/>
          <w:sz w:val="20"/>
          <w:szCs w:val="20"/>
        </w:rPr>
        <w:t>11</w:t>
      </w:r>
      <w:r w:rsidRPr="00BA28C2">
        <w:rPr>
          <w:rFonts w:ascii="Work Sans" w:hAnsi="Work Sans"/>
          <w:color w:val="000000"/>
          <w:sz w:val="20"/>
          <w:szCs w:val="20"/>
        </w:rPr>
        <w:t>: GST distribution to states and territories in 202</w:t>
      </w:r>
      <w:r w:rsidR="00E74EB6">
        <w:rPr>
          <w:rFonts w:ascii="Work Sans" w:hAnsi="Work Sans"/>
          <w:color w:val="000000"/>
          <w:sz w:val="20"/>
          <w:szCs w:val="20"/>
        </w:rPr>
        <w:t>4</w:t>
      </w:r>
      <w:r w:rsidR="002D001A">
        <w:rPr>
          <w:rFonts w:ascii="Work Sans" w:hAnsi="Work Sans"/>
          <w:color w:val="000000"/>
          <w:sz w:val="20"/>
          <w:szCs w:val="20"/>
        </w:rPr>
        <w:t>–</w:t>
      </w:r>
      <w:r w:rsidRPr="00BA28C2">
        <w:rPr>
          <w:rFonts w:ascii="Work Sans" w:hAnsi="Work Sans"/>
          <w:color w:val="000000"/>
          <w:sz w:val="20"/>
          <w:szCs w:val="20"/>
        </w:rPr>
        <w:t>2</w:t>
      </w:r>
      <w:r w:rsidR="00E74EB6">
        <w:rPr>
          <w:rFonts w:ascii="Work Sans" w:hAnsi="Work Sans"/>
          <w:color w:val="000000"/>
          <w:sz w:val="20"/>
          <w:szCs w:val="20"/>
        </w:rPr>
        <w:t>5</w:t>
      </w:r>
      <w:r w:rsidRPr="00BA28C2">
        <w:rPr>
          <w:rFonts w:ascii="Work Sans" w:hAnsi="Work Sans"/>
          <w:color w:val="000000"/>
          <w:sz w:val="20"/>
          <w:szCs w:val="20"/>
        </w:rPr>
        <w:t>.</w:t>
      </w:r>
    </w:p>
    <w:p w14:paraId="6BBB3DFD" w14:textId="77777777" w:rsidR="00C87C4C" w:rsidRPr="001C4DF3" w:rsidRDefault="00C87C4C" w:rsidP="00C87C4C">
      <w:pPr>
        <w:pStyle w:val="NormalWeb"/>
        <w:rPr>
          <w:rFonts w:ascii="Work Sans" w:hAnsi="Work Sans"/>
          <w:color w:val="000000"/>
          <w:sz w:val="20"/>
          <w:szCs w:val="20"/>
        </w:rPr>
      </w:pPr>
      <w:r w:rsidRPr="001C4DF3">
        <w:rPr>
          <w:rFonts w:ascii="Work Sans" w:hAnsi="Work Sans"/>
          <w:b/>
          <w:bCs/>
          <w:color w:val="000000"/>
          <w:sz w:val="20"/>
          <w:szCs w:val="20"/>
        </w:rPr>
        <w:t xml:space="preserve">Contact </w:t>
      </w:r>
      <w:proofErr w:type="gramStart"/>
      <w:r w:rsidRPr="001C4DF3">
        <w:rPr>
          <w:rFonts w:ascii="Work Sans" w:hAnsi="Work Sans"/>
          <w:b/>
          <w:bCs/>
          <w:color w:val="000000"/>
          <w:sz w:val="20"/>
          <w:szCs w:val="20"/>
        </w:rPr>
        <w:t>us</w:t>
      </w:r>
      <w:proofErr w:type="gramEnd"/>
      <w:r w:rsidRPr="001C4DF3">
        <w:rPr>
          <w:rFonts w:ascii="Work Sans" w:hAnsi="Work Sans"/>
          <w:color w:val="000000"/>
          <w:sz w:val="20"/>
          <w:szCs w:val="20"/>
        </w:rPr>
        <w:t xml:space="preserve"> </w:t>
      </w:r>
    </w:p>
    <w:p w14:paraId="094603E8" w14:textId="77777777" w:rsidR="00C87C4C" w:rsidRPr="001C4DF3" w:rsidRDefault="00C87C4C" w:rsidP="00C87C4C">
      <w:pPr>
        <w:pStyle w:val="NormalWeb"/>
        <w:rPr>
          <w:rFonts w:ascii="Work Sans" w:hAnsi="Work Sans"/>
          <w:color w:val="000000"/>
          <w:sz w:val="20"/>
          <w:szCs w:val="20"/>
        </w:rPr>
      </w:pPr>
      <w:r w:rsidRPr="001C4DF3">
        <w:rPr>
          <w:rFonts w:ascii="Work Sans" w:hAnsi="Work Sans"/>
          <w:color w:val="000000"/>
          <w:sz w:val="20"/>
          <w:szCs w:val="20"/>
        </w:rPr>
        <w:t>Inquiries regarding the use of this document should be directed to secretary@cgc.gov.au.</w:t>
      </w:r>
    </w:p>
    <w:p w14:paraId="5E108B75" w14:textId="77777777" w:rsidR="00C87C4C" w:rsidRPr="001C4DF3" w:rsidRDefault="00C87C4C" w:rsidP="00C87C4C">
      <w:pPr>
        <w:pStyle w:val="NormalWeb"/>
        <w:rPr>
          <w:rFonts w:ascii="Work Sans" w:hAnsi="Work Sans"/>
          <w:b/>
          <w:bCs/>
          <w:color w:val="000000"/>
          <w:sz w:val="20"/>
          <w:szCs w:val="20"/>
        </w:rPr>
      </w:pPr>
      <w:r w:rsidRPr="001C4DF3">
        <w:rPr>
          <w:rFonts w:ascii="Work Sans" w:hAnsi="Work Sans"/>
          <w:b/>
          <w:bCs/>
          <w:color w:val="000000"/>
          <w:sz w:val="20"/>
          <w:szCs w:val="20"/>
        </w:rPr>
        <w:t xml:space="preserve">Internet </w:t>
      </w:r>
    </w:p>
    <w:p w14:paraId="05872600" w14:textId="1E58348C" w:rsidR="00C87C4C" w:rsidRDefault="00C87C4C" w:rsidP="00C87C4C">
      <w:pPr>
        <w:pStyle w:val="NormalWeb"/>
        <w:rPr>
          <w:rFonts w:ascii="Work Sans" w:hAnsi="Work Sans"/>
          <w:color w:val="000000"/>
          <w:sz w:val="20"/>
          <w:szCs w:val="20"/>
        </w:rPr>
      </w:pPr>
      <w:r w:rsidRPr="001C4DF3">
        <w:rPr>
          <w:rFonts w:ascii="Work Sans" w:hAnsi="Work Sans"/>
          <w:color w:val="000000"/>
          <w:sz w:val="20"/>
          <w:szCs w:val="20"/>
        </w:rPr>
        <w:t>A copy of this paper is available on the Commission’s website (</w:t>
      </w:r>
      <w:hyperlink r:id="rId19" w:history="1">
        <w:r w:rsidR="00A33CE3" w:rsidRPr="00CC45D6">
          <w:rPr>
            <w:rStyle w:val="Hyperlink"/>
            <w:rFonts w:ascii="Work Sans" w:hAnsi="Work Sans"/>
            <w:sz w:val="20"/>
            <w:szCs w:val="20"/>
          </w:rPr>
          <w:t>http://www.cgc.gov.au</w:t>
        </w:r>
      </w:hyperlink>
      <w:r w:rsidRPr="001C4DF3">
        <w:rPr>
          <w:rFonts w:ascii="Work Sans" w:hAnsi="Work Sans"/>
          <w:color w:val="000000"/>
          <w:sz w:val="20"/>
          <w:szCs w:val="20"/>
        </w:rPr>
        <w:t>).</w:t>
      </w:r>
    </w:p>
    <w:p w14:paraId="7C5D7D35" w14:textId="77777777" w:rsidR="00D92837" w:rsidRDefault="00D92837" w:rsidP="00A33CE3">
      <w:pPr>
        <w:pStyle w:val="NormalWeb"/>
        <w:rPr>
          <w:rFonts w:ascii="Work Sans" w:hAnsi="Work Sans"/>
          <w:color w:val="000000"/>
          <w:sz w:val="20"/>
          <w:szCs w:val="20"/>
        </w:rPr>
        <w:sectPr w:rsidR="00D92837" w:rsidSect="00035FB5">
          <w:footerReference w:type="default" r:id="rId20"/>
          <w:pgSz w:w="11900" w:h="16840"/>
          <w:pgMar w:top="1985" w:right="1418" w:bottom="1418" w:left="1418" w:header="709" w:footer="284" w:gutter="0"/>
          <w:pgNumType w:fmt="lowerRoman" w:start="1"/>
          <w:cols w:space="708"/>
          <w:docGrid w:linePitch="360"/>
        </w:sectPr>
      </w:pPr>
    </w:p>
    <w:p w14:paraId="30A74BF0" w14:textId="102CA203" w:rsidR="0063364C" w:rsidRDefault="000F0EB2" w:rsidP="000A4242">
      <w:pPr>
        <w:pStyle w:val="Heading1"/>
      </w:pPr>
      <w:r>
        <w:lastRenderedPageBreak/>
        <w:t xml:space="preserve">GST distribution to states and territories </w:t>
      </w:r>
      <w:r w:rsidR="00A9156A">
        <w:t>in 202</w:t>
      </w:r>
      <w:r w:rsidR="00E74EB6">
        <w:t>4</w:t>
      </w:r>
      <w:r w:rsidR="007521D9">
        <w:t>–</w:t>
      </w:r>
      <w:proofErr w:type="gramStart"/>
      <w:r w:rsidR="00A9156A">
        <w:t>2</w:t>
      </w:r>
      <w:r w:rsidR="00E74EB6">
        <w:t>5</w:t>
      </w:r>
      <w:proofErr w:type="gramEnd"/>
    </w:p>
    <w:p w14:paraId="26539540" w14:textId="28C6FF86" w:rsidR="00D67118" w:rsidRDefault="000F1AB0" w:rsidP="00435BC1">
      <w:pPr>
        <w:rPr>
          <w:rFonts w:ascii="Work Sans" w:eastAsiaTheme="majorEastAsia" w:hAnsi="Work Sans" w:cs="Open Sans"/>
          <w:b/>
          <w:bCs/>
          <w:color w:val="006991"/>
          <w:sz w:val="36"/>
          <w:szCs w:val="36"/>
        </w:rPr>
      </w:pPr>
      <w:r w:rsidRPr="001C4DF3">
        <w:rPr>
          <w:noProof/>
        </w:rPr>
        <mc:AlternateContent>
          <mc:Choice Requires="wps">
            <w:drawing>
              <wp:anchor distT="0" distB="0" distL="114300" distR="114300" simplePos="0" relativeHeight="251658244" behindDoc="1" locked="0" layoutInCell="1" allowOverlap="1" wp14:anchorId="263B418C" wp14:editId="5E0515B5">
                <wp:simplePos x="0" y="0"/>
                <wp:positionH relativeFrom="margin">
                  <wp:posOffset>61471</wp:posOffset>
                </wp:positionH>
                <wp:positionV relativeFrom="margin">
                  <wp:posOffset>871146</wp:posOffset>
                </wp:positionV>
                <wp:extent cx="5780405" cy="7914904"/>
                <wp:effectExtent l="0" t="0" r="0" b="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80405" cy="7914904"/>
                        </a:xfrm>
                        <a:prstGeom prst="rect">
                          <a:avLst/>
                        </a:prstGeom>
                        <a:solidFill>
                          <a:srgbClr val="E5F8FF"/>
                        </a:solidFill>
                        <a:ln w="25400" cap="flat" cmpd="sng" algn="ctr">
                          <a:noFill/>
                          <a:prstDash val="solid"/>
                        </a:ln>
                        <a:effectLst/>
                      </wps:spPr>
                      <wps:txbx>
                        <w:txbxContent>
                          <w:p w14:paraId="6FF08EB4" w14:textId="77777777" w:rsidR="0039005F" w:rsidRDefault="0039005F" w:rsidP="0039005F">
                            <w:pPr>
                              <w:pStyle w:val="Heading2"/>
                            </w:pPr>
                            <w:r>
                              <w:t>Summary</w:t>
                            </w:r>
                          </w:p>
                          <w:p w14:paraId="7A9F70A5" w14:textId="77777777" w:rsidR="0039005F" w:rsidRDefault="0039005F" w:rsidP="0039005F">
                            <w:pPr>
                              <w:pStyle w:val="BodyText"/>
                            </w:pPr>
                            <w:r w:rsidRPr="00AD2A15">
                              <w:t xml:space="preserve">The Commonwealth Grants Commission (the Commission) has released its report to the Commonwealth Treasurer – referred to as the </w:t>
                            </w:r>
                            <w:hyperlink r:id="rId21" w:history="1">
                              <w:r w:rsidRPr="00E13421">
                                <w:rPr>
                                  <w:rStyle w:val="Hyperlink"/>
                                </w:rPr>
                                <w:t>2024 Update</w:t>
                              </w:r>
                            </w:hyperlink>
                            <w:r w:rsidRPr="00AD2A15">
                              <w:t xml:space="preserve"> – which outlines its recommended relativities for GST distribution to the states and territories (states) in 202</w:t>
                            </w:r>
                            <w:r>
                              <w:t>4–</w:t>
                            </w:r>
                            <w:r w:rsidRPr="00AD2A15">
                              <w:t>2</w:t>
                            </w:r>
                            <w:r>
                              <w:t>5</w:t>
                            </w:r>
                            <w:r w:rsidRPr="00AD2A15">
                              <w:t>.</w:t>
                            </w:r>
                          </w:p>
                          <w:p w14:paraId="51B16FB0" w14:textId="77777777" w:rsidR="0039005F" w:rsidRPr="0063364C" w:rsidRDefault="0039005F" w:rsidP="0039005F">
                            <w:pPr>
                              <w:pStyle w:val="BodyText"/>
                            </w:pPr>
                            <w:r>
                              <w:t xml:space="preserve">The Commission’s starting point for calculating the GST </w:t>
                            </w:r>
                            <w:r w:rsidRPr="0063364C">
                              <w:t xml:space="preserve">relativities </w:t>
                            </w:r>
                            <w:r>
                              <w:t>is assessing</w:t>
                            </w:r>
                            <w:r w:rsidRPr="0063364C">
                              <w:t xml:space="preserve"> states’ different abilities to raise revenue and their different costs in providing services. </w:t>
                            </w:r>
                            <w:r>
                              <w:t>Each year the Commission updates the GST relativities to reflect developments influencing states’ fiscal capacities.</w:t>
                            </w:r>
                          </w:p>
                          <w:p w14:paraId="1F16959F" w14:textId="1525EAB7" w:rsidR="0039005F" w:rsidRDefault="0039005F" w:rsidP="0039005F">
                            <w:pPr>
                              <w:pStyle w:val="BodyText"/>
                            </w:pPr>
                            <w:r>
                              <w:t>Based on the Commission’s recommended GST relativities for 202</w:t>
                            </w:r>
                            <w:r w:rsidR="004577B7">
                              <w:t>4</w:t>
                            </w:r>
                            <w:r w:rsidR="00D25C22">
                              <w:t>–</w:t>
                            </w:r>
                            <w:r>
                              <w:t xml:space="preserve">25, Victoria would receive a significant increase in its GST distribution compared </w:t>
                            </w:r>
                            <w:r w:rsidR="00132AA0">
                              <w:t>with</w:t>
                            </w:r>
                            <w:r>
                              <w:t xml:space="preserve"> 2023</w:t>
                            </w:r>
                            <w:r w:rsidR="00D25C22">
                              <w:t>–</w:t>
                            </w:r>
                            <w:r w:rsidR="00132AA0">
                              <w:rPr>
                                <w:rFonts w:ascii="Times New Roman" w:hAnsi="Times New Roman" w:hint="eastAsia"/>
                                <w:rtl/>
                              </w:rPr>
                              <w:t>‍</w:t>
                            </w:r>
                            <w:r>
                              <w:t>24 (</w:t>
                            </w:r>
                            <w:r w:rsidR="006A0DE4">
                              <w:t xml:space="preserve">estimated </w:t>
                            </w:r>
                            <w:r w:rsidR="00656E51">
                              <w:t xml:space="preserve">to be </w:t>
                            </w:r>
                            <w:r>
                              <w:t>$3.7 billion). This is largely driven by its reduced capacity to raise mining revenue relative to other states as well as data revisions from the 2021 Census</w:t>
                            </w:r>
                            <w:r w:rsidR="00410D88">
                              <w:t>,</w:t>
                            </w:r>
                            <w:r>
                              <w:t xml:space="preserve"> which increased its urban population and urban density. The Northern Territory is estimated to receive the largest increase in per capita terms ($995 per capita). New South </w:t>
                            </w:r>
                            <w:proofErr w:type="spellStart"/>
                            <w:r>
                              <w:t>Wales</w:t>
                            </w:r>
                            <w:r w:rsidR="001B2181">
                              <w:t>’</w:t>
                            </w:r>
                            <w:proofErr w:type="spellEnd"/>
                            <w:r>
                              <w:t xml:space="preserve"> and Queensland</w:t>
                            </w:r>
                            <w:r w:rsidR="001B2181">
                              <w:t xml:space="preserve">’s GST distributions </w:t>
                            </w:r>
                            <w:r>
                              <w:t>are</w:t>
                            </w:r>
                            <w:r w:rsidDel="009A055D">
                              <w:t xml:space="preserve"> </w:t>
                            </w:r>
                            <w:r>
                              <w:t>estimated to</w:t>
                            </w:r>
                            <w:r w:rsidR="00E8764F">
                              <w:t xml:space="preserve"> fall,</w:t>
                            </w:r>
                            <w:r w:rsidR="00E8764F" w:rsidDel="00D45AB0">
                              <w:t xml:space="preserve"> </w:t>
                            </w:r>
                            <w:r>
                              <w:t>largely due to an increase in their relative revenue</w:t>
                            </w:r>
                            <w:r w:rsidR="000B1E92">
                              <w:t xml:space="preserve"> </w:t>
                            </w:r>
                            <w:r>
                              <w:t xml:space="preserve">raising capacities. </w:t>
                            </w:r>
                          </w:p>
                          <w:p w14:paraId="2465CF38" w14:textId="569D13F1" w:rsidR="0039005F" w:rsidRPr="008656F9" w:rsidRDefault="0039005F" w:rsidP="00A02256">
                            <w:pPr>
                              <w:pStyle w:val="BodyText"/>
                              <w:ind w:left="714" w:hanging="357"/>
                            </w:pPr>
                            <w:r w:rsidRPr="00692EEB">
                              <w:t>Western Australia’s GST distribution is estimated to increase in 2024</w:t>
                            </w:r>
                            <w:r w:rsidR="00A74775">
                              <w:t>–</w:t>
                            </w:r>
                            <w:r w:rsidRPr="00692EEB">
                              <w:t>25</w:t>
                            </w:r>
                            <w:r>
                              <w:t xml:space="preserve"> because of the operation of the GST relativity floor. Its relativity is set to the floor, which increased from 0.70 in 2023</w:t>
                            </w:r>
                            <w:r w:rsidR="004A3DA2">
                              <w:t>–</w:t>
                            </w:r>
                            <w:r>
                              <w:t>24 to 0.75 in 2024</w:t>
                            </w:r>
                            <w:r w:rsidR="004A3DA2">
                              <w:t>–</w:t>
                            </w:r>
                            <w:r>
                              <w:t>25</w:t>
                            </w:r>
                            <w:r w:rsidRPr="00692EEB">
                              <w:t xml:space="preserve">. </w:t>
                            </w:r>
                            <w:r>
                              <w:t>Western Australia</w:t>
                            </w:r>
                            <w:r w:rsidRPr="00692EEB">
                              <w:t xml:space="preserve"> continues to have a very strong fiscal capacity, driven by its capacity to raise iron ore </w:t>
                            </w:r>
                            <w:r w:rsidRPr="005C6997">
                              <w:t>royalties</w:t>
                            </w:r>
                            <w:r>
                              <w:t>.</w:t>
                            </w:r>
                            <w:r w:rsidRPr="005C6997">
                              <w:t xml:space="preserve"> However</w:t>
                            </w:r>
                            <w:r w:rsidRPr="00692EEB">
                              <w:t>, Western Australia’s relative fiscal capacity is estimated to be lower than last year, largely due to strong growth in coal royalties raising the fiscal capacit</w:t>
                            </w:r>
                            <w:r w:rsidR="00670D2E">
                              <w:t>ies</w:t>
                            </w:r>
                            <w:r w:rsidRPr="00692EEB">
                              <w:t xml:space="preserve"> of other states.</w:t>
                            </w:r>
                            <w:r w:rsidRPr="00517EDF">
                              <w:t xml:space="preserve"> </w:t>
                            </w:r>
                            <w:r w:rsidR="00676DE8" w:rsidRPr="00A8047A">
                              <w:t>Western Australia is estimated to receive $6.2</w:t>
                            </w:r>
                            <w:r w:rsidR="00837AC7" w:rsidRPr="00A8047A">
                              <w:t> </w:t>
                            </w:r>
                            <w:r w:rsidR="00676DE8" w:rsidRPr="00A8047A">
                              <w:t>billion more GST in 2024</w:t>
                            </w:r>
                            <w:r w:rsidR="005F7B93">
                              <w:t>–</w:t>
                            </w:r>
                            <w:r w:rsidR="00676DE8" w:rsidRPr="00A8047A">
                              <w:t>25 than it would have under the previous GST distribution arrangements.</w:t>
                            </w:r>
                            <w:r w:rsidR="00676DE8" w:rsidRPr="00AD1A1E">
                              <w:t>  </w:t>
                            </w:r>
                          </w:p>
                          <w:p w14:paraId="70CB6B69" w14:textId="089DD396" w:rsidR="0039005F" w:rsidRPr="00936199" w:rsidRDefault="0039005F" w:rsidP="0039005F">
                            <w:pPr>
                              <w:pStyle w:val="BodyText"/>
                            </w:pPr>
                            <w:r w:rsidRPr="00936199">
                              <w:t xml:space="preserve">The increase </w:t>
                            </w:r>
                            <w:r w:rsidR="00C45279">
                              <w:t xml:space="preserve">in </w:t>
                            </w:r>
                            <w:r w:rsidRPr="00936199">
                              <w:t xml:space="preserve">Western Australia’s GST relativity from the GST </w:t>
                            </w:r>
                            <w:r w:rsidR="004C0B59" w:rsidRPr="00936199">
                              <w:t xml:space="preserve">floor </w:t>
                            </w:r>
                            <w:r w:rsidRPr="00936199">
                              <w:t xml:space="preserve">lowers the GST relativities of </w:t>
                            </w:r>
                            <w:r w:rsidR="00B45F04" w:rsidRPr="00936199">
                              <w:t xml:space="preserve">the </w:t>
                            </w:r>
                            <w:r w:rsidRPr="00936199">
                              <w:t xml:space="preserve">other states. The Commonwealth Government’s top-up to the GST pool and no worse off payments </w:t>
                            </w:r>
                            <w:proofErr w:type="gramStart"/>
                            <w:r w:rsidRPr="00936199">
                              <w:t>ameliorate</w:t>
                            </w:r>
                            <w:proofErr w:type="gramEnd"/>
                            <w:r w:rsidRPr="00936199">
                              <w:t xml:space="preserve"> this impact.</w:t>
                            </w:r>
                          </w:p>
                          <w:p w14:paraId="46E493B4" w14:textId="538846B3" w:rsidR="0039005F" w:rsidRDefault="0039005F" w:rsidP="0039005F">
                            <w:pPr>
                              <w:pStyle w:val="BodyText"/>
                            </w:pPr>
                            <w:r w:rsidRPr="00563633">
                              <w:t xml:space="preserve">The GST pool is estimated to grow from </w:t>
                            </w:r>
                            <w:r w:rsidRPr="0068086C">
                              <w:t>around $85 billion in 2023–</w:t>
                            </w:r>
                            <w:r w:rsidRPr="0068086C">
                              <w:rPr>
                                <w:rFonts w:ascii="Times New Roman" w:hAnsi="Times New Roman"/>
                              </w:rPr>
                              <w:t>‍</w:t>
                            </w:r>
                            <w:r w:rsidRPr="0068086C">
                              <w:t>24 to around $89</w:t>
                            </w:r>
                            <w:r w:rsidR="006C0D9F">
                              <w:t> </w:t>
                            </w:r>
                            <w:r w:rsidRPr="0068086C">
                              <w:t>billion in 2024</w:t>
                            </w:r>
                            <w:r w:rsidRPr="0068086C">
                              <w:rPr>
                                <w:rFonts w:cs="Work Sans"/>
                              </w:rPr>
                              <w:t>–</w:t>
                            </w:r>
                            <w:r w:rsidRPr="0068086C">
                              <w:rPr>
                                <w:rFonts w:ascii="Times New Roman" w:hAnsi="Times New Roman"/>
                              </w:rPr>
                              <w:t>‍</w:t>
                            </w:r>
                            <w:r w:rsidRPr="0068086C">
                              <w:t xml:space="preserve">25. </w:t>
                            </w:r>
                            <w:r w:rsidRPr="008A10D1">
                              <w:t>All states, other than N</w:t>
                            </w:r>
                            <w:r>
                              <w:t xml:space="preserve">ew </w:t>
                            </w:r>
                            <w:r w:rsidRPr="008A10D1">
                              <w:t>S</w:t>
                            </w:r>
                            <w:r>
                              <w:t xml:space="preserve">outh </w:t>
                            </w:r>
                            <w:r w:rsidRPr="008A10D1">
                              <w:t>W</w:t>
                            </w:r>
                            <w:r>
                              <w:t>ales</w:t>
                            </w:r>
                            <w:r w:rsidRPr="008A10D1">
                              <w:t xml:space="preserve"> and Queensland, are estimated to receive more in total GST and no worse off payments than they received in 2023–24.</w:t>
                            </w:r>
                            <w:r>
                              <w:t xml:space="preserve"> </w:t>
                            </w:r>
                          </w:p>
                          <w:p w14:paraId="4A034445" w14:textId="77777777" w:rsidR="0039005F" w:rsidRPr="00F40687" w:rsidRDefault="0039005F" w:rsidP="00A938A7">
                            <w:pPr>
                              <w:pStyle w:val="BodyText"/>
                              <w:numPr>
                                <w:ilvl w:val="0"/>
                                <w:numId w:val="0"/>
                              </w:numPr>
                              <w:ind w:left="72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B418C" id="Rectangle 9" o:spid="_x0000_s1030" alt="&quot;&quot;" style="position:absolute;margin-left:4.85pt;margin-top:68.6pt;width:455.15pt;height:623.2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" fillcolor="#e5f8ff" stroked="f" strokeweight="2pt">
                <v:textbox>
                  <w:txbxContent>
                    <w:p w14:paraId="6FF08EB4" w14:textId="77777777" w:rsidR="0039005F" w:rsidRDefault="0039005F" w:rsidP="0039005F">
                      <w:pPr>
                        <w:pStyle w:val="Heading2"/>
                      </w:pPr>
                      <w:r>
                        <w:t>Summary</w:t>
                      </w:r>
                    </w:p>
                    <w:p w14:paraId="7A9F70A5" w14:textId="77777777" w:rsidR="0039005F" w:rsidRDefault="0039005F" w:rsidP="0039005F">
                      <w:pPr>
                        <w:pStyle w:val="BodyText"/>
                      </w:pPr>
                      <w:r w:rsidRPr="00AD2A15">
                        <w:t xml:space="preserve">The Commonwealth Grants Commission (the Commission) has released its report to the Commonwealth Treasurer – referred to as the </w:t>
                      </w:r>
                      <w:hyperlink r:id="rId22" w:history="1">
                        <w:r w:rsidRPr="00E13421">
                          <w:rPr>
                            <w:rStyle w:val="Hyperlink"/>
                          </w:rPr>
                          <w:t>2024 Update</w:t>
                        </w:r>
                      </w:hyperlink>
                      <w:r w:rsidRPr="00AD2A15">
                        <w:t xml:space="preserve"> – which outlines its recommended relativities for GST distribution to the states and territories (states) in 202</w:t>
                      </w:r>
                      <w:r>
                        <w:t>4–</w:t>
                      </w:r>
                      <w:r w:rsidRPr="00AD2A15">
                        <w:t>2</w:t>
                      </w:r>
                      <w:r>
                        <w:t>5</w:t>
                      </w:r>
                      <w:r w:rsidRPr="00AD2A15">
                        <w:t>.</w:t>
                      </w:r>
                    </w:p>
                    <w:p w14:paraId="51B16FB0" w14:textId="77777777" w:rsidR="0039005F" w:rsidRPr="0063364C" w:rsidRDefault="0039005F" w:rsidP="0039005F">
                      <w:pPr>
                        <w:pStyle w:val="BodyText"/>
                      </w:pPr>
                      <w:r>
                        <w:t xml:space="preserve">The Commission’s starting point for calculating the GST </w:t>
                      </w:r>
                      <w:r w:rsidRPr="0063364C">
                        <w:t xml:space="preserve">relativities </w:t>
                      </w:r>
                      <w:r>
                        <w:t>is assessing</w:t>
                      </w:r>
                      <w:r w:rsidRPr="0063364C">
                        <w:t xml:space="preserve"> states’ different abilities to raise revenue and their different costs in providing services. </w:t>
                      </w:r>
                      <w:r>
                        <w:t>Each year the Commission updates the GST relativities to reflect developments influencing states’ fiscal capacities.</w:t>
                      </w:r>
                    </w:p>
                    <w:p w14:paraId="1F16959F" w14:textId="1525EAB7" w:rsidR="0039005F" w:rsidRDefault="0039005F" w:rsidP="0039005F">
                      <w:pPr>
                        <w:pStyle w:val="BodyText"/>
                      </w:pPr>
                      <w:r>
                        <w:t>Based on the Commission’s recommended GST relativities for 202</w:t>
                      </w:r>
                      <w:r w:rsidR="004577B7">
                        <w:t>4</w:t>
                      </w:r>
                      <w:r w:rsidR="00D25C22">
                        <w:t>–</w:t>
                      </w:r>
                      <w:r>
                        <w:t xml:space="preserve">25, Victoria would receive a significant increase in its GST distribution compared </w:t>
                      </w:r>
                      <w:r w:rsidR="00132AA0">
                        <w:t>with</w:t>
                      </w:r>
                      <w:r>
                        <w:t xml:space="preserve"> 2023</w:t>
                      </w:r>
                      <w:r w:rsidR="00D25C22">
                        <w:t>–</w:t>
                      </w:r>
                      <w:r w:rsidR="00132AA0">
                        <w:rPr>
                          <w:rFonts w:ascii="Times New Roman" w:hAnsi="Times New Roman" w:hint="eastAsia"/>
                          <w:rtl/>
                        </w:rPr>
                        <w:t>‍</w:t>
                      </w:r>
                      <w:r>
                        <w:t>24 (</w:t>
                      </w:r>
                      <w:r w:rsidR="006A0DE4">
                        <w:t xml:space="preserve">estimated </w:t>
                      </w:r>
                      <w:r w:rsidR="00656E51">
                        <w:t xml:space="preserve">to be </w:t>
                      </w:r>
                      <w:r>
                        <w:t>$3.7 billion). This is largely driven by its reduced capacity to raise mining revenue relative to other states as well as data revisions from the 2021 Census</w:t>
                      </w:r>
                      <w:r w:rsidR="00410D88">
                        <w:t>,</w:t>
                      </w:r>
                      <w:r>
                        <w:t xml:space="preserve"> which increased its urban population and urban density. The Northern Territory is estimated to receive the largest increase in per capita terms ($995 per capita). New South </w:t>
                      </w:r>
                      <w:proofErr w:type="spellStart"/>
                      <w:r>
                        <w:t>Wales</w:t>
                      </w:r>
                      <w:r w:rsidR="001B2181">
                        <w:t>’</w:t>
                      </w:r>
                      <w:proofErr w:type="spellEnd"/>
                      <w:r>
                        <w:t xml:space="preserve"> and Queensland</w:t>
                      </w:r>
                      <w:r w:rsidR="001B2181">
                        <w:t xml:space="preserve">’s GST distributions </w:t>
                      </w:r>
                      <w:r>
                        <w:t>are</w:t>
                      </w:r>
                      <w:r w:rsidDel="009A055D">
                        <w:t xml:space="preserve"> </w:t>
                      </w:r>
                      <w:r>
                        <w:t>estimated to</w:t>
                      </w:r>
                      <w:r w:rsidR="00E8764F">
                        <w:t xml:space="preserve"> fall,</w:t>
                      </w:r>
                      <w:r w:rsidR="00E8764F" w:rsidDel="00D45AB0">
                        <w:t xml:space="preserve"> </w:t>
                      </w:r>
                      <w:r>
                        <w:t>largely due to an increase in their relative revenue</w:t>
                      </w:r>
                      <w:r w:rsidR="000B1E92">
                        <w:t xml:space="preserve"> </w:t>
                      </w:r>
                      <w:r>
                        <w:t xml:space="preserve">raising capacities. </w:t>
                      </w:r>
                    </w:p>
                    <w:p w14:paraId="2465CF38" w14:textId="569D13F1" w:rsidR="0039005F" w:rsidRPr="008656F9" w:rsidRDefault="0039005F" w:rsidP="00A02256">
                      <w:pPr>
                        <w:pStyle w:val="BodyText"/>
                        <w:ind w:left="714" w:hanging="357"/>
                      </w:pPr>
                      <w:r w:rsidRPr="00692EEB">
                        <w:t>Western Australia’s GST distribution is estimated to increase in 2024</w:t>
                      </w:r>
                      <w:r w:rsidR="00A74775">
                        <w:t>–</w:t>
                      </w:r>
                      <w:r w:rsidRPr="00692EEB">
                        <w:t>25</w:t>
                      </w:r>
                      <w:r>
                        <w:t xml:space="preserve"> because of the operation of the GST relativity floor. Its relativity is set to the floor, which increased from 0.70 in 2023</w:t>
                      </w:r>
                      <w:r w:rsidR="004A3DA2">
                        <w:t>–</w:t>
                      </w:r>
                      <w:r>
                        <w:t>24 to 0.75 in 2024</w:t>
                      </w:r>
                      <w:r w:rsidR="004A3DA2">
                        <w:t>–</w:t>
                      </w:r>
                      <w:r>
                        <w:t>25</w:t>
                      </w:r>
                      <w:r w:rsidRPr="00692EEB">
                        <w:t xml:space="preserve">. </w:t>
                      </w:r>
                      <w:r>
                        <w:t>Western Australia</w:t>
                      </w:r>
                      <w:r w:rsidRPr="00692EEB">
                        <w:t xml:space="preserve"> continues to have a very strong fiscal capacity, driven by its capacity to raise iron ore </w:t>
                      </w:r>
                      <w:r w:rsidRPr="005C6997">
                        <w:t>royalties</w:t>
                      </w:r>
                      <w:r>
                        <w:t>.</w:t>
                      </w:r>
                      <w:r w:rsidRPr="005C6997">
                        <w:t xml:space="preserve"> However</w:t>
                      </w:r>
                      <w:r w:rsidRPr="00692EEB">
                        <w:t>, Western Australia’s relative fiscal capacity is estimated to be lower than last year, largely due to strong growth in coal royalties raising the fiscal capacit</w:t>
                      </w:r>
                      <w:r w:rsidR="00670D2E">
                        <w:t>ies</w:t>
                      </w:r>
                      <w:r w:rsidRPr="00692EEB">
                        <w:t xml:space="preserve"> of other states.</w:t>
                      </w:r>
                      <w:r w:rsidRPr="00517EDF">
                        <w:t xml:space="preserve"> </w:t>
                      </w:r>
                      <w:r w:rsidR="00676DE8" w:rsidRPr="00A8047A">
                        <w:t>Western Australia is estimated to receive $6.2</w:t>
                      </w:r>
                      <w:r w:rsidR="00837AC7" w:rsidRPr="00A8047A">
                        <w:t> </w:t>
                      </w:r>
                      <w:r w:rsidR="00676DE8" w:rsidRPr="00A8047A">
                        <w:t>billion more GST in 2024</w:t>
                      </w:r>
                      <w:r w:rsidR="005F7B93">
                        <w:t>–</w:t>
                      </w:r>
                      <w:r w:rsidR="00676DE8" w:rsidRPr="00A8047A">
                        <w:t>25 than it would have under the previous GST distribution arrangements.</w:t>
                      </w:r>
                      <w:r w:rsidR="00676DE8" w:rsidRPr="00AD1A1E">
                        <w:t>  </w:t>
                      </w:r>
                    </w:p>
                    <w:p w14:paraId="70CB6B69" w14:textId="089DD396" w:rsidR="0039005F" w:rsidRPr="00936199" w:rsidRDefault="0039005F" w:rsidP="0039005F">
                      <w:pPr>
                        <w:pStyle w:val="BodyText"/>
                      </w:pPr>
                      <w:r w:rsidRPr="00936199">
                        <w:t xml:space="preserve">The increase </w:t>
                      </w:r>
                      <w:r w:rsidR="00C45279">
                        <w:t xml:space="preserve">in </w:t>
                      </w:r>
                      <w:r w:rsidRPr="00936199">
                        <w:t xml:space="preserve">Western Australia’s GST relativity from the GST </w:t>
                      </w:r>
                      <w:r w:rsidR="004C0B59" w:rsidRPr="00936199">
                        <w:t xml:space="preserve">floor </w:t>
                      </w:r>
                      <w:r w:rsidRPr="00936199">
                        <w:t xml:space="preserve">lowers the GST relativities of </w:t>
                      </w:r>
                      <w:r w:rsidR="00B45F04" w:rsidRPr="00936199">
                        <w:t xml:space="preserve">the </w:t>
                      </w:r>
                      <w:r w:rsidRPr="00936199">
                        <w:t xml:space="preserve">other states. The Commonwealth Government’s top-up to the GST pool and no worse off payments </w:t>
                      </w:r>
                      <w:proofErr w:type="gramStart"/>
                      <w:r w:rsidRPr="00936199">
                        <w:t>ameliorate</w:t>
                      </w:r>
                      <w:proofErr w:type="gramEnd"/>
                      <w:r w:rsidRPr="00936199">
                        <w:t xml:space="preserve"> this impact.</w:t>
                      </w:r>
                    </w:p>
                    <w:p w14:paraId="46E493B4" w14:textId="538846B3" w:rsidR="0039005F" w:rsidRDefault="0039005F" w:rsidP="0039005F">
                      <w:pPr>
                        <w:pStyle w:val="BodyText"/>
                      </w:pPr>
                      <w:r w:rsidRPr="00563633">
                        <w:t xml:space="preserve">The GST pool is estimated to grow from </w:t>
                      </w:r>
                      <w:r w:rsidRPr="0068086C">
                        <w:t>around $85 billion in 2023–</w:t>
                      </w:r>
                      <w:r w:rsidRPr="0068086C">
                        <w:rPr>
                          <w:rFonts w:ascii="Times New Roman" w:hAnsi="Times New Roman"/>
                        </w:rPr>
                        <w:t>‍</w:t>
                      </w:r>
                      <w:r w:rsidRPr="0068086C">
                        <w:t>24 to around $89</w:t>
                      </w:r>
                      <w:r w:rsidR="006C0D9F">
                        <w:t> </w:t>
                      </w:r>
                      <w:r w:rsidRPr="0068086C">
                        <w:t>billion in 2024</w:t>
                      </w:r>
                      <w:r w:rsidRPr="0068086C">
                        <w:rPr>
                          <w:rFonts w:cs="Work Sans"/>
                        </w:rPr>
                        <w:t>–</w:t>
                      </w:r>
                      <w:r w:rsidRPr="0068086C">
                        <w:rPr>
                          <w:rFonts w:ascii="Times New Roman" w:hAnsi="Times New Roman"/>
                        </w:rPr>
                        <w:t>‍</w:t>
                      </w:r>
                      <w:r w:rsidRPr="0068086C">
                        <w:t xml:space="preserve">25. </w:t>
                      </w:r>
                      <w:r w:rsidRPr="008A10D1">
                        <w:t>All states, other than N</w:t>
                      </w:r>
                      <w:r>
                        <w:t xml:space="preserve">ew </w:t>
                      </w:r>
                      <w:r w:rsidRPr="008A10D1">
                        <w:t>S</w:t>
                      </w:r>
                      <w:r>
                        <w:t xml:space="preserve">outh </w:t>
                      </w:r>
                      <w:r w:rsidRPr="008A10D1">
                        <w:t>W</w:t>
                      </w:r>
                      <w:r>
                        <w:t>ales</w:t>
                      </w:r>
                      <w:r w:rsidRPr="008A10D1">
                        <w:t xml:space="preserve"> and Queensland, are estimated to receive more in total GST and no worse off payments than they received in 2023–24.</w:t>
                      </w:r>
                      <w:r>
                        <w:t xml:space="preserve"> </w:t>
                      </w:r>
                    </w:p>
                    <w:p w14:paraId="4A034445" w14:textId="77777777" w:rsidR="0039005F" w:rsidRPr="00F40687" w:rsidRDefault="0039005F" w:rsidP="00A938A7">
                      <w:pPr>
                        <w:pStyle w:val="BodyText"/>
                        <w:numPr>
                          <w:ilvl w:val="0"/>
                          <w:numId w:val="0"/>
                        </w:numPr>
                        <w:ind w:left="720"/>
                      </w:pPr>
                    </w:p>
                  </w:txbxContent>
                </v:textbox>
                <w10:wrap anchorx="margin" anchory="margin"/>
              </v:rect>
            </w:pict>
          </mc:Fallback>
        </mc:AlternateContent>
      </w:r>
      <w:r w:rsidR="001C4430">
        <w:br w:type="page"/>
      </w:r>
    </w:p>
    <w:p w14:paraId="73F323BF" w14:textId="296BC439" w:rsidR="00B67290" w:rsidRDefault="00B67290" w:rsidP="00B67290">
      <w:pPr>
        <w:pStyle w:val="Heading2"/>
      </w:pPr>
      <w:r>
        <w:lastRenderedPageBreak/>
        <w:t>Introduction</w:t>
      </w:r>
    </w:p>
    <w:p w14:paraId="51AF3E03" w14:textId="41A64390" w:rsidR="00B67290" w:rsidRPr="00AD2A15" w:rsidRDefault="00B67290" w:rsidP="00E62CF1">
      <w:pPr>
        <w:pStyle w:val="CGCBodyCopy"/>
      </w:pPr>
      <w:r w:rsidRPr="00AD2A15">
        <w:t xml:space="preserve">Each year, the Commonwealth Treasurer asks the Commission to recommend </w:t>
      </w:r>
      <w:r w:rsidR="002D08DD">
        <w:t xml:space="preserve">how </w:t>
      </w:r>
      <w:r w:rsidR="00002D11">
        <w:t>to distribute</w:t>
      </w:r>
      <w:r w:rsidR="00002D11" w:rsidRPr="00AD2A15">
        <w:t xml:space="preserve"> </w:t>
      </w:r>
      <w:r w:rsidRPr="00AD2A15">
        <w:t xml:space="preserve">the Goods and Services Tax (GST) pool among the states, consistent with the objectives outlined in the </w:t>
      </w:r>
      <w:r w:rsidRPr="0081777C">
        <w:rPr>
          <w:i/>
        </w:rPr>
        <w:t>Commonwealth Grants Commission Act 1973</w:t>
      </w:r>
      <w:r w:rsidRPr="00AD2A15">
        <w:t>.</w:t>
      </w:r>
    </w:p>
    <w:p w14:paraId="4AEADB05" w14:textId="556095FD" w:rsidR="00B67290" w:rsidRDefault="00B67290" w:rsidP="00E62CF1">
      <w:pPr>
        <w:pStyle w:val="CGCBodyCopy"/>
      </w:pPr>
      <w:r>
        <w:t xml:space="preserve">The Commission has released its report to the Treasurer </w:t>
      </w:r>
      <w:r w:rsidR="0048109E">
        <w:t xml:space="preserve">with </w:t>
      </w:r>
      <w:r>
        <w:t>its recommended GST relativities for the distribution of the GST pool in 202</w:t>
      </w:r>
      <w:r w:rsidR="0051133A">
        <w:t>4</w:t>
      </w:r>
      <w:r w:rsidR="005A4487">
        <w:t>–</w:t>
      </w:r>
      <w:r>
        <w:t>2</w:t>
      </w:r>
      <w:r w:rsidR="0051133A">
        <w:t>5</w:t>
      </w:r>
      <w:r>
        <w:t xml:space="preserve">. This report is referred to as the </w:t>
      </w:r>
      <w:hyperlink r:id="rId23" w:history="1">
        <w:r w:rsidRPr="00807417">
          <w:rPr>
            <w:rStyle w:val="Hyperlink"/>
          </w:rPr>
          <w:t>202</w:t>
        </w:r>
        <w:r w:rsidR="001E6B4A">
          <w:rPr>
            <w:rStyle w:val="Hyperlink"/>
          </w:rPr>
          <w:t>4</w:t>
        </w:r>
        <w:r w:rsidR="007524D6" w:rsidRPr="00807417">
          <w:rPr>
            <w:rStyle w:val="Hyperlink"/>
          </w:rPr>
          <w:t> </w:t>
        </w:r>
        <w:r w:rsidRPr="00807417">
          <w:rPr>
            <w:rStyle w:val="Hyperlink"/>
          </w:rPr>
          <w:t>Update</w:t>
        </w:r>
      </w:hyperlink>
      <w:r w:rsidRPr="00807417">
        <w:t>.</w:t>
      </w:r>
    </w:p>
    <w:p w14:paraId="5CE939D7" w14:textId="74B48AA4" w:rsidR="00446547" w:rsidRDefault="00CB7C63" w:rsidP="00E62CF1">
      <w:pPr>
        <w:pStyle w:val="CGCBodyCopy"/>
      </w:pPr>
      <w:r>
        <w:t>The Commission</w:t>
      </w:r>
      <w:r w:rsidR="00E97140">
        <w:t xml:space="preserve">’s </w:t>
      </w:r>
      <w:r w:rsidR="0048727F">
        <w:t>first step</w:t>
      </w:r>
      <w:r w:rsidR="00E97140">
        <w:t xml:space="preserve"> </w:t>
      </w:r>
      <w:r w:rsidR="00061D1B">
        <w:t xml:space="preserve">in </w:t>
      </w:r>
      <w:r w:rsidR="00080660">
        <w:t>determining</w:t>
      </w:r>
      <w:r w:rsidR="00061D1B">
        <w:t xml:space="preserve"> t</w:t>
      </w:r>
      <w:r w:rsidR="00080660">
        <w:t xml:space="preserve">he GST distribution is </w:t>
      </w:r>
      <w:r w:rsidR="00382B8C">
        <w:t xml:space="preserve">to </w:t>
      </w:r>
      <w:r w:rsidR="00E96196">
        <w:t>assess</w:t>
      </w:r>
      <w:r w:rsidR="00C04CAB">
        <w:t xml:space="preserve"> the</w:t>
      </w:r>
      <w:r w:rsidR="00080660">
        <w:t xml:space="preserve"> </w:t>
      </w:r>
      <w:r w:rsidR="003B2799">
        <w:t xml:space="preserve">differences </w:t>
      </w:r>
      <w:r w:rsidR="001B1271">
        <w:t xml:space="preserve">in the fiscal capacities of states. </w:t>
      </w:r>
      <w:r w:rsidR="00B67290">
        <w:t xml:space="preserve">States’ economic, </w:t>
      </w:r>
      <w:proofErr w:type="gramStart"/>
      <w:r w:rsidR="00B67290">
        <w:t>social</w:t>
      </w:r>
      <w:proofErr w:type="gramEnd"/>
      <w:r w:rsidR="00B67290">
        <w:t xml:space="preserve"> and demographic characteristics differ, and this affects </w:t>
      </w:r>
      <w:r w:rsidR="00632F6C">
        <w:t xml:space="preserve">their </w:t>
      </w:r>
      <w:r w:rsidR="00B67290">
        <w:t>relative expenditure needs and revenue</w:t>
      </w:r>
      <w:r w:rsidR="00615C8B">
        <w:t xml:space="preserve"> </w:t>
      </w:r>
      <w:r w:rsidR="00632F6C">
        <w:t xml:space="preserve">raising </w:t>
      </w:r>
      <w:r w:rsidR="00B67290">
        <w:t xml:space="preserve">capacities. This in turn </w:t>
      </w:r>
      <w:r w:rsidR="00997D29">
        <w:t xml:space="preserve">informs </w:t>
      </w:r>
      <w:r w:rsidR="004D075A">
        <w:t xml:space="preserve">the amount of </w:t>
      </w:r>
      <w:r w:rsidR="00B67290">
        <w:t xml:space="preserve">GST </w:t>
      </w:r>
      <w:r w:rsidR="002D22E0">
        <w:t xml:space="preserve">each state </w:t>
      </w:r>
      <w:r w:rsidR="00997D29">
        <w:t xml:space="preserve">would </w:t>
      </w:r>
      <w:r w:rsidR="00B67290">
        <w:t>need</w:t>
      </w:r>
      <w:r w:rsidR="002D22E0">
        <w:t xml:space="preserve"> to </w:t>
      </w:r>
      <w:r w:rsidR="001457D9">
        <w:t xml:space="preserve">be able to </w:t>
      </w:r>
      <w:r w:rsidR="002D22E0">
        <w:t>provide similar</w:t>
      </w:r>
      <w:r w:rsidR="001457D9">
        <w:t xml:space="preserve"> services </w:t>
      </w:r>
      <w:r w:rsidR="00115142">
        <w:t>–</w:t>
      </w:r>
      <w:r w:rsidR="002D22E0">
        <w:t xml:space="preserve"> </w:t>
      </w:r>
      <w:r w:rsidR="001457D9">
        <w:t xml:space="preserve">referred to as a state’s </w:t>
      </w:r>
      <w:r w:rsidR="00B0659A">
        <w:t>‘</w:t>
      </w:r>
      <w:r w:rsidR="00B67290">
        <w:t xml:space="preserve">assessed GST </w:t>
      </w:r>
      <w:proofErr w:type="gramStart"/>
      <w:r w:rsidR="00B67290">
        <w:t>needs</w:t>
      </w:r>
      <w:r w:rsidR="00B0659A">
        <w:t>’</w:t>
      </w:r>
      <w:proofErr w:type="gramEnd"/>
      <w:r w:rsidR="00B67290">
        <w:t xml:space="preserve">. </w:t>
      </w:r>
    </w:p>
    <w:p w14:paraId="11348BF0" w14:textId="256CE065" w:rsidR="00B67290" w:rsidRDefault="00B67290" w:rsidP="00E62CF1">
      <w:pPr>
        <w:pStyle w:val="CGCBodyCopy"/>
      </w:pPr>
      <w:r>
        <w:t xml:space="preserve">Drivers of differences in states’ revenue capacities include differences in their mineral </w:t>
      </w:r>
      <w:r w:rsidR="000E71B9">
        <w:t>endowments</w:t>
      </w:r>
      <w:r>
        <w:t xml:space="preserve">, land values, property transactions and payroll taxes. States also receive different levels of Commonwealth payments. </w:t>
      </w:r>
      <w:r w:rsidR="009B45A8">
        <w:t>A s</w:t>
      </w:r>
      <w:r>
        <w:t xml:space="preserve">tate with </w:t>
      </w:r>
      <w:r w:rsidR="009B45A8">
        <w:t xml:space="preserve">an </w:t>
      </w:r>
      <w:r>
        <w:t>above</w:t>
      </w:r>
      <w:r w:rsidR="000B3AA3">
        <w:t>-</w:t>
      </w:r>
      <w:r>
        <w:t>average revenue raising capacity ha</w:t>
      </w:r>
      <w:r w:rsidR="009B45A8">
        <w:t>s</w:t>
      </w:r>
      <w:r>
        <w:t xml:space="preserve"> lower </w:t>
      </w:r>
      <w:r w:rsidR="00B51A07">
        <w:t>assessed</w:t>
      </w:r>
      <w:r>
        <w:t xml:space="preserve"> GST needs than </w:t>
      </w:r>
      <w:r w:rsidR="009B45A8">
        <w:t xml:space="preserve">a </w:t>
      </w:r>
      <w:r>
        <w:t xml:space="preserve">state with </w:t>
      </w:r>
      <w:r w:rsidR="009B45A8">
        <w:t xml:space="preserve">a </w:t>
      </w:r>
      <w:r>
        <w:t>below</w:t>
      </w:r>
      <w:r w:rsidR="00115142">
        <w:noBreakHyphen/>
      </w:r>
      <w:r>
        <w:t>average revenue raising capacity. The cost of services can vary by state for a range of reasons, including socio</w:t>
      </w:r>
      <w:r w:rsidR="00B06121">
        <w:noBreakHyphen/>
      </w:r>
      <w:r>
        <w:t>demographic characteristics, wage pressures, population dispersion</w:t>
      </w:r>
      <w:r w:rsidR="00FE7373">
        <w:t>, population</w:t>
      </w:r>
      <w:r>
        <w:t xml:space="preserve"> density and rates of population growth. </w:t>
      </w:r>
      <w:r w:rsidR="002927DF">
        <w:t>A s</w:t>
      </w:r>
      <w:r>
        <w:t>tate with above</w:t>
      </w:r>
      <w:r w:rsidR="002927DF">
        <w:t>-</w:t>
      </w:r>
      <w:r>
        <w:t>average expense needs ha</w:t>
      </w:r>
      <w:r w:rsidR="005E26CE">
        <w:t>s</w:t>
      </w:r>
      <w:r>
        <w:t xml:space="preserve"> higher </w:t>
      </w:r>
      <w:r w:rsidR="008E5EFD">
        <w:t>assessed</w:t>
      </w:r>
      <w:r>
        <w:t xml:space="preserve"> GST need</w:t>
      </w:r>
      <w:r w:rsidR="00E36481">
        <w:t>s</w:t>
      </w:r>
      <w:r>
        <w:t xml:space="preserve"> than </w:t>
      </w:r>
      <w:r w:rsidR="00062AC2">
        <w:t xml:space="preserve">a </w:t>
      </w:r>
      <w:r>
        <w:t>state with below</w:t>
      </w:r>
      <w:r w:rsidR="00062AC2">
        <w:t>-</w:t>
      </w:r>
      <w:r>
        <w:t>average expense needs.</w:t>
      </w:r>
    </w:p>
    <w:p w14:paraId="236C27AB" w14:textId="6D5B01A8" w:rsidR="00326ED1" w:rsidRPr="008912FC" w:rsidRDefault="00326ED1" w:rsidP="00E62CF1">
      <w:pPr>
        <w:pStyle w:val="CGCBodyCopy"/>
      </w:pPr>
      <w:r w:rsidRPr="008912FC">
        <w:t xml:space="preserve">The Commission updates </w:t>
      </w:r>
      <w:r w:rsidR="0002153D" w:rsidRPr="008912FC">
        <w:t xml:space="preserve">states’ assessed GST needs </w:t>
      </w:r>
      <w:r w:rsidRPr="008912FC">
        <w:t xml:space="preserve">every year to take account of changes in the relative fiscal capacities of the states. To smooth the effects of volatility, the Commission uses a moving 3-year average of data in its assessments. The 3 years covered in the 2024 Update are 2020–21, 2021–22 and 2022–23. These are the most recent years for which robust and reliable data are available. </w:t>
      </w:r>
    </w:p>
    <w:p w14:paraId="51563F9D" w14:textId="0B89AE44" w:rsidR="000636B8" w:rsidRPr="0061344D" w:rsidRDefault="00B67290" w:rsidP="00E62CF1">
      <w:pPr>
        <w:pStyle w:val="CGCBodyCopy"/>
      </w:pPr>
      <w:r w:rsidRPr="008912FC">
        <w:t xml:space="preserve">The recommended distribution of the GST pool is expressed in terms of ‘GST </w:t>
      </w:r>
      <w:proofErr w:type="gramStart"/>
      <w:r w:rsidRPr="008912FC">
        <w:t>relativities’</w:t>
      </w:r>
      <w:proofErr w:type="gramEnd"/>
      <w:r w:rsidRPr="008912FC">
        <w:t xml:space="preserve">. </w:t>
      </w:r>
      <w:r w:rsidR="009E6DB6" w:rsidRPr="008912FC">
        <w:t>A</w:t>
      </w:r>
      <w:r w:rsidR="00E408CB" w:rsidRPr="008912FC">
        <w:t> </w:t>
      </w:r>
      <w:r w:rsidR="009E6DB6" w:rsidRPr="008912FC">
        <w:t xml:space="preserve">state with a GST relativity higher than one (the average) </w:t>
      </w:r>
      <w:r w:rsidR="003C1E94" w:rsidRPr="008912FC">
        <w:t>will receive an above-average amount of GST per person</w:t>
      </w:r>
      <w:r w:rsidR="00FC76B2" w:rsidRPr="008912FC">
        <w:t xml:space="preserve">. </w:t>
      </w:r>
      <w:r w:rsidR="006915ED" w:rsidRPr="008912FC">
        <w:t>A state with a GST relativity less than one will receive a below</w:t>
      </w:r>
      <w:r w:rsidR="00BB6C2F" w:rsidRPr="008912FC">
        <w:noBreakHyphen/>
      </w:r>
      <w:r w:rsidR="00CE17AD" w:rsidRPr="008912FC">
        <w:t>average amount of GST per person.</w:t>
      </w:r>
    </w:p>
    <w:p w14:paraId="4C37A60E" w14:textId="61F0B524" w:rsidR="002E360D" w:rsidDel="00C74BD8" w:rsidRDefault="00850039" w:rsidP="00E62CF1">
      <w:pPr>
        <w:pStyle w:val="CGCBodyCopy"/>
      </w:pPr>
      <w:r>
        <w:t>Under the changes to the GST distribution arrangements legislated in 2018, 2024–25 is</w:t>
      </w:r>
      <w:r w:rsidDel="00723816">
        <w:t xml:space="preserve"> </w:t>
      </w:r>
      <w:r>
        <w:t xml:space="preserve">two-thirds of the way through a 6-year transition away from distributing the GST pool based solely on the Commission’s assessed GST needs. </w:t>
      </w:r>
      <w:r w:rsidR="00B56397">
        <w:t>The</w:t>
      </w:r>
      <w:r w:rsidR="000A613A">
        <w:t xml:space="preserve"> </w:t>
      </w:r>
      <w:r>
        <w:t xml:space="preserve">arrangements ensure that no state’s GST relativity can fall below a relativity floor. For the 2024 Update, the relativity floor is 0.75. </w:t>
      </w:r>
      <w:r w:rsidR="005A649C" w:rsidDel="00C74BD8">
        <w:t>When the transition is complete</w:t>
      </w:r>
      <w:r w:rsidR="00C33CD3" w:rsidDel="00C74BD8">
        <w:t xml:space="preserve">, no state will be </w:t>
      </w:r>
      <w:r w:rsidR="002C700A" w:rsidDel="00C74BD8">
        <w:t>able to</w:t>
      </w:r>
      <w:r w:rsidR="00C33CD3" w:rsidDel="00C74BD8">
        <w:t xml:space="preserve"> have a GST relativity lower than the fiscally stronger of New South Wales or Victoria (referred to as the ‘standard state’)</w:t>
      </w:r>
      <w:r w:rsidR="00276899" w:rsidDel="00C74BD8">
        <w:t xml:space="preserve"> in any assessment year.</w:t>
      </w:r>
    </w:p>
    <w:p w14:paraId="02903D3E" w14:textId="6D8A5CC1" w:rsidR="00B67290" w:rsidRDefault="00B67290" w:rsidP="00E62CF1">
      <w:pPr>
        <w:pStyle w:val="CGCBodyCopy"/>
      </w:pPr>
      <w:r>
        <w:t>This paper provides an overview of the 202</w:t>
      </w:r>
      <w:r w:rsidR="00746BC2">
        <w:t>4</w:t>
      </w:r>
      <w:r w:rsidR="00C96101">
        <w:t> </w:t>
      </w:r>
      <w:r>
        <w:t>Update of recommended GST relativities for the distribution of GST in 202</w:t>
      </w:r>
      <w:r w:rsidR="00746BC2">
        <w:t>4</w:t>
      </w:r>
      <w:r w:rsidR="00D66404">
        <w:t>–</w:t>
      </w:r>
      <w:r>
        <w:t>2</w:t>
      </w:r>
      <w:r w:rsidR="00746BC2">
        <w:t>5</w:t>
      </w:r>
      <w:r>
        <w:t>.</w:t>
      </w:r>
    </w:p>
    <w:p w14:paraId="31782544" w14:textId="77777777" w:rsidR="00F862AA" w:rsidRDefault="00F862AA">
      <w:pPr>
        <w:tabs>
          <w:tab w:val="clear" w:pos="567"/>
        </w:tabs>
        <w:spacing w:before="0" w:line="240" w:lineRule="auto"/>
        <w:rPr>
          <w:rFonts w:ascii="Work Sans" w:eastAsiaTheme="majorEastAsia" w:hAnsi="Work Sans" w:cs="Open Sans"/>
          <w:b/>
          <w:bCs/>
          <w:color w:val="006991"/>
          <w:sz w:val="36"/>
          <w:szCs w:val="36"/>
        </w:rPr>
      </w:pPr>
      <w:r>
        <w:br w:type="page"/>
      </w:r>
    </w:p>
    <w:p w14:paraId="728A122B" w14:textId="24C606B0" w:rsidR="00B67290" w:rsidRDefault="00B67290" w:rsidP="00B67290">
      <w:pPr>
        <w:pStyle w:val="Heading2"/>
      </w:pPr>
      <w:r>
        <w:lastRenderedPageBreak/>
        <w:t>Recommended GST relativities for 202</w:t>
      </w:r>
      <w:r w:rsidR="00BD12A8">
        <w:t>4</w:t>
      </w:r>
      <w:r w:rsidR="00B23788">
        <w:t>–</w:t>
      </w:r>
      <w:proofErr w:type="gramStart"/>
      <w:r>
        <w:t>2</w:t>
      </w:r>
      <w:r w:rsidR="00BD12A8">
        <w:t>5</w:t>
      </w:r>
      <w:proofErr w:type="gramEnd"/>
    </w:p>
    <w:p w14:paraId="4F58DE52" w14:textId="79D31DD0" w:rsidR="00643F32" w:rsidRDefault="00B67290" w:rsidP="00E62CF1">
      <w:pPr>
        <w:pStyle w:val="CGCBodyCopy"/>
      </w:pPr>
      <w:r>
        <w:t>Table 1 shows the Commission’s recommended GST relativities for the distribution of the GST pool in 202</w:t>
      </w:r>
      <w:r w:rsidR="00BD12A8">
        <w:t>4</w:t>
      </w:r>
      <w:r w:rsidR="00D66404">
        <w:t>–</w:t>
      </w:r>
      <w:r>
        <w:t>2</w:t>
      </w:r>
      <w:r w:rsidR="00BD12A8">
        <w:t>5</w:t>
      </w:r>
      <w:r>
        <w:t xml:space="preserve">, as outlined in </w:t>
      </w:r>
      <w:r w:rsidR="00254DB1">
        <w:t xml:space="preserve">the </w:t>
      </w:r>
      <w:hyperlink r:id="rId24" w:history="1">
        <w:r w:rsidRPr="0011639C">
          <w:rPr>
            <w:rStyle w:val="Hyperlink"/>
          </w:rPr>
          <w:t>202</w:t>
        </w:r>
        <w:r w:rsidR="00BD12A8" w:rsidRPr="0011639C">
          <w:rPr>
            <w:rStyle w:val="Hyperlink"/>
          </w:rPr>
          <w:t>4</w:t>
        </w:r>
        <w:r w:rsidRPr="0011639C">
          <w:rPr>
            <w:rStyle w:val="Hyperlink"/>
          </w:rPr>
          <w:t xml:space="preserve"> Update</w:t>
        </w:r>
      </w:hyperlink>
      <w:r>
        <w:t>.</w:t>
      </w:r>
    </w:p>
    <w:p w14:paraId="485F5601" w14:textId="5074FE14" w:rsidR="00716683" w:rsidRDefault="00210A6D" w:rsidP="0043488D">
      <w:pPr>
        <w:pStyle w:val="Caption"/>
      </w:pPr>
      <w:r w:rsidRPr="00210A6D">
        <w:t>Table 1</w:t>
      </w:r>
      <w:r w:rsidRPr="00210A6D">
        <w:tab/>
        <w:t xml:space="preserve">GST relativities, </w:t>
      </w:r>
      <w:proofErr w:type="gramStart"/>
      <w:r w:rsidRPr="00210A6D">
        <w:t>shares</w:t>
      </w:r>
      <w:proofErr w:type="gramEnd"/>
      <w:r w:rsidRPr="00210A6D">
        <w:t xml:space="preserve"> and estimated GST distribution, 202</w:t>
      </w:r>
      <w:r w:rsidR="00BD12A8">
        <w:t>3</w:t>
      </w:r>
      <w:r w:rsidRPr="00210A6D">
        <w:t>–2</w:t>
      </w:r>
      <w:r w:rsidR="00BD12A8">
        <w:t>4</w:t>
      </w:r>
      <w:r w:rsidRPr="00210A6D">
        <w:t xml:space="preserve"> and 202</w:t>
      </w:r>
      <w:r w:rsidR="00BD12A8">
        <w:t>4</w:t>
      </w:r>
      <w:r w:rsidRPr="00210A6D">
        <w:t>–2</w:t>
      </w:r>
      <w:r w:rsidR="00BD12A8">
        <w:t>5</w:t>
      </w:r>
    </w:p>
    <w:tbl>
      <w:tblPr>
        <w:tblW w:w="8940" w:type="dxa"/>
        <w:tblLook w:val="04A0" w:firstRow="1" w:lastRow="0" w:firstColumn="1" w:lastColumn="0" w:noHBand="0" w:noVBand="1"/>
      </w:tblPr>
      <w:tblGrid>
        <w:gridCol w:w="2639"/>
        <w:gridCol w:w="880"/>
        <w:gridCol w:w="880"/>
        <w:gridCol w:w="880"/>
        <w:gridCol w:w="880"/>
        <w:gridCol w:w="880"/>
        <w:gridCol w:w="880"/>
        <w:gridCol w:w="1021"/>
      </w:tblGrid>
      <w:tr w:rsidR="00BD12A8" w:rsidRPr="00815AC3" w14:paraId="54888FDE" w14:textId="77777777" w:rsidTr="00305E34">
        <w:trPr>
          <w:trHeight w:val="381"/>
        </w:trPr>
        <w:tc>
          <w:tcPr>
            <w:tcW w:w="2639" w:type="dxa"/>
            <w:tcBorders>
              <w:top w:val="nil"/>
              <w:left w:val="nil"/>
              <w:bottom w:val="single" w:sz="4" w:space="0" w:color="ADD6EA"/>
              <w:right w:val="nil"/>
            </w:tcBorders>
            <w:shd w:val="clear" w:color="000000" w:fill="006991"/>
            <w:vAlign w:val="bottom"/>
            <w:hideMark/>
          </w:tcPr>
          <w:p w14:paraId="67B11233" w14:textId="77777777" w:rsidR="00BD12A8" w:rsidRPr="00815AC3" w:rsidRDefault="00BD12A8" w:rsidP="00305E34">
            <w:pPr>
              <w:tabs>
                <w:tab w:val="clear" w:pos="567"/>
              </w:tabs>
              <w:spacing w:before="0" w:line="240" w:lineRule="auto"/>
              <w:rPr>
                <w:rFonts w:ascii="Open Sans Semibold" w:eastAsia="Times New Roman" w:hAnsi="Open Sans Semibold" w:cs="Open Sans Semibold"/>
                <w:color w:val="FFFFFF"/>
                <w:sz w:val="16"/>
                <w:szCs w:val="16"/>
                <w:lang w:eastAsia="en-AU"/>
              </w:rPr>
            </w:pPr>
            <w:bookmarkStart w:id="0" w:name="RANGE!A4:H15"/>
            <w:r w:rsidRPr="00815AC3">
              <w:rPr>
                <w:rFonts w:ascii="Open Sans Semibold" w:eastAsia="Times New Roman" w:hAnsi="Open Sans Semibold" w:cs="Open Sans Semibold"/>
                <w:color w:val="FFFFFF"/>
                <w:sz w:val="16"/>
                <w:szCs w:val="16"/>
                <w:lang w:eastAsia="en-AU"/>
              </w:rPr>
              <w:t> </w:t>
            </w:r>
            <w:bookmarkEnd w:id="0"/>
          </w:p>
        </w:tc>
        <w:tc>
          <w:tcPr>
            <w:tcW w:w="1760" w:type="dxa"/>
            <w:gridSpan w:val="2"/>
            <w:tcBorders>
              <w:top w:val="nil"/>
              <w:left w:val="nil"/>
              <w:bottom w:val="single" w:sz="4" w:space="0" w:color="ADD6EA"/>
              <w:right w:val="nil"/>
            </w:tcBorders>
            <w:shd w:val="clear" w:color="000000" w:fill="006991"/>
            <w:vAlign w:val="center"/>
            <w:hideMark/>
          </w:tcPr>
          <w:p w14:paraId="0F1429CA" w14:textId="77777777" w:rsidR="00BD12A8" w:rsidRPr="00815AC3" w:rsidRDefault="00BD12A8" w:rsidP="00305E34">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815AC3">
              <w:rPr>
                <w:rFonts w:ascii="Open Sans Semibold" w:eastAsia="Times New Roman" w:hAnsi="Open Sans Semibold" w:cs="Open Sans Semibold"/>
                <w:color w:val="FFFFFF"/>
                <w:sz w:val="16"/>
                <w:szCs w:val="16"/>
                <w:lang w:eastAsia="en-AU"/>
              </w:rPr>
              <w:t>GST relativities</w:t>
            </w:r>
          </w:p>
        </w:tc>
        <w:tc>
          <w:tcPr>
            <w:tcW w:w="1760" w:type="dxa"/>
            <w:gridSpan w:val="2"/>
            <w:tcBorders>
              <w:top w:val="nil"/>
              <w:left w:val="nil"/>
              <w:bottom w:val="single" w:sz="4" w:space="0" w:color="ADD6EA"/>
              <w:right w:val="nil"/>
            </w:tcBorders>
            <w:shd w:val="clear" w:color="000000" w:fill="006991"/>
            <w:vAlign w:val="center"/>
            <w:hideMark/>
          </w:tcPr>
          <w:p w14:paraId="1393D625" w14:textId="77777777" w:rsidR="00BD12A8" w:rsidRPr="00815AC3" w:rsidRDefault="00BD12A8" w:rsidP="00305E34">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815AC3">
              <w:rPr>
                <w:rFonts w:ascii="Open Sans Semibold" w:eastAsia="Times New Roman" w:hAnsi="Open Sans Semibold" w:cs="Open Sans Semibold"/>
                <w:color w:val="FFFFFF"/>
                <w:sz w:val="16"/>
                <w:szCs w:val="16"/>
                <w:lang w:eastAsia="en-AU"/>
              </w:rPr>
              <w:t>GST shares</w:t>
            </w:r>
          </w:p>
        </w:tc>
        <w:tc>
          <w:tcPr>
            <w:tcW w:w="2781" w:type="dxa"/>
            <w:gridSpan w:val="3"/>
            <w:tcBorders>
              <w:top w:val="nil"/>
              <w:left w:val="nil"/>
              <w:bottom w:val="single" w:sz="4" w:space="0" w:color="ADD6EA"/>
              <w:right w:val="nil"/>
            </w:tcBorders>
            <w:shd w:val="clear" w:color="000000" w:fill="006991"/>
            <w:vAlign w:val="center"/>
            <w:hideMark/>
          </w:tcPr>
          <w:p w14:paraId="298AFFEA" w14:textId="77777777" w:rsidR="00BD12A8" w:rsidRPr="00815AC3" w:rsidRDefault="00BD12A8" w:rsidP="00305E34">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815AC3">
              <w:rPr>
                <w:rFonts w:ascii="Open Sans Semibold" w:eastAsia="Times New Roman" w:hAnsi="Open Sans Semibold" w:cs="Open Sans Semibold"/>
                <w:color w:val="FFFFFF"/>
                <w:sz w:val="16"/>
                <w:szCs w:val="16"/>
                <w:lang w:eastAsia="en-AU"/>
              </w:rPr>
              <w:t>GST distribution</w:t>
            </w:r>
          </w:p>
        </w:tc>
      </w:tr>
      <w:tr w:rsidR="00BD12A8" w:rsidRPr="00815AC3" w14:paraId="1D48E058" w14:textId="77777777" w:rsidTr="00305E34">
        <w:trPr>
          <w:trHeight w:val="315"/>
        </w:trPr>
        <w:tc>
          <w:tcPr>
            <w:tcW w:w="2639" w:type="dxa"/>
            <w:tcBorders>
              <w:top w:val="nil"/>
              <w:left w:val="nil"/>
              <w:bottom w:val="nil"/>
              <w:right w:val="nil"/>
            </w:tcBorders>
            <w:shd w:val="clear" w:color="000000" w:fill="006991"/>
            <w:vAlign w:val="bottom"/>
            <w:hideMark/>
          </w:tcPr>
          <w:p w14:paraId="16042C04" w14:textId="77777777" w:rsidR="00BD12A8" w:rsidRPr="00815AC3" w:rsidRDefault="00BD12A8" w:rsidP="00305E34">
            <w:pPr>
              <w:tabs>
                <w:tab w:val="clear" w:pos="567"/>
              </w:tabs>
              <w:spacing w:before="0" w:line="240" w:lineRule="auto"/>
              <w:rPr>
                <w:rFonts w:ascii="Open Sans Semibold" w:eastAsia="Times New Roman" w:hAnsi="Open Sans Semibold" w:cs="Open Sans Semibold"/>
                <w:color w:val="FFFFFF"/>
                <w:sz w:val="16"/>
                <w:szCs w:val="16"/>
                <w:lang w:eastAsia="en-AU"/>
              </w:rPr>
            </w:pPr>
            <w:r w:rsidRPr="00815AC3">
              <w:rPr>
                <w:rFonts w:ascii="Open Sans Semibold" w:eastAsia="Times New Roman" w:hAnsi="Open Sans Semibold" w:cs="Open Sans Semibold"/>
                <w:color w:val="FFFFFF"/>
                <w:sz w:val="16"/>
                <w:szCs w:val="16"/>
                <w:lang w:eastAsia="en-AU"/>
              </w:rPr>
              <w:t> </w:t>
            </w:r>
          </w:p>
        </w:tc>
        <w:tc>
          <w:tcPr>
            <w:tcW w:w="880" w:type="dxa"/>
            <w:tcBorders>
              <w:top w:val="nil"/>
              <w:left w:val="nil"/>
              <w:bottom w:val="nil"/>
              <w:right w:val="nil"/>
            </w:tcBorders>
            <w:shd w:val="clear" w:color="000000" w:fill="006991"/>
            <w:vAlign w:val="center"/>
            <w:hideMark/>
          </w:tcPr>
          <w:p w14:paraId="39194C4D" w14:textId="77777777" w:rsidR="00BD12A8" w:rsidRPr="00815AC3" w:rsidRDefault="00BD12A8" w:rsidP="00305E3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15AC3">
              <w:rPr>
                <w:rFonts w:ascii="Open Sans Semibold" w:eastAsia="Times New Roman" w:hAnsi="Open Sans Semibold" w:cs="Open Sans Semibold"/>
                <w:color w:val="FFFFFF"/>
                <w:sz w:val="16"/>
                <w:szCs w:val="16"/>
                <w:lang w:eastAsia="en-AU"/>
              </w:rPr>
              <w:t>202</w:t>
            </w:r>
            <w:r>
              <w:rPr>
                <w:rFonts w:ascii="Open Sans Semibold" w:eastAsia="Times New Roman" w:hAnsi="Open Sans Semibold" w:cs="Open Sans Semibold"/>
                <w:color w:val="FFFFFF"/>
                <w:sz w:val="16"/>
                <w:szCs w:val="16"/>
                <w:lang w:eastAsia="en-AU"/>
              </w:rPr>
              <w:t>3</w:t>
            </w:r>
            <w:r w:rsidRPr="00815AC3">
              <w:rPr>
                <w:rFonts w:ascii="Open Sans Semibold" w:eastAsia="Times New Roman" w:hAnsi="Open Sans Semibold" w:cs="Open Sans Semibold"/>
                <w:color w:val="FFFFFF"/>
                <w:sz w:val="16"/>
                <w:szCs w:val="16"/>
                <w:lang w:eastAsia="en-AU"/>
              </w:rPr>
              <w:t>–2</w:t>
            </w:r>
            <w:r>
              <w:rPr>
                <w:rFonts w:ascii="Open Sans Semibold" w:eastAsia="Times New Roman" w:hAnsi="Open Sans Semibold" w:cs="Open Sans Semibold"/>
                <w:color w:val="FFFFFF"/>
                <w:sz w:val="16"/>
                <w:szCs w:val="16"/>
                <w:lang w:eastAsia="en-AU"/>
              </w:rPr>
              <w:t>4</w:t>
            </w:r>
          </w:p>
        </w:tc>
        <w:tc>
          <w:tcPr>
            <w:tcW w:w="880" w:type="dxa"/>
            <w:tcBorders>
              <w:top w:val="nil"/>
              <w:left w:val="nil"/>
              <w:bottom w:val="nil"/>
              <w:right w:val="nil"/>
            </w:tcBorders>
            <w:shd w:val="clear" w:color="000000" w:fill="006991"/>
            <w:vAlign w:val="center"/>
            <w:hideMark/>
          </w:tcPr>
          <w:p w14:paraId="1A90FE51" w14:textId="77777777" w:rsidR="00BD12A8" w:rsidRPr="00815AC3" w:rsidRDefault="00BD12A8" w:rsidP="00305E3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15AC3">
              <w:rPr>
                <w:rFonts w:ascii="Open Sans Semibold" w:eastAsia="Times New Roman" w:hAnsi="Open Sans Semibold" w:cs="Open Sans Semibold"/>
                <w:color w:val="FFFFFF"/>
                <w:sz w:val="16"/>
                <w:szCs w:val="16"/>
                <w:lang w:eastAsia="en-AU"/>
              </w:rPr>
              <w:t>202</w:t>
            </w:r>
            <w:r>
              <w:rPr>
                <w:rFonts w:ascii="Open Sans Semibold" w:eastAsia="Times New Roman" w:hAnsi="Open Sans Semibold" w:cs="Open Sans Semibold"/>
                <w:color w:val="FFFFFF"/>
                <w:sz w:val="16"/>
                <w:szCs w:val="16"/>
                <w:lang w:eastAsia="en-AU"/>
              </w:rPr>
              <w:t>4</w:t>
            </w:r>
            <w:r w:rsidRPr="00815AC3">
              <w:rPr>
                <w:rFonts w:ascii="Open Sans Semibold" w:eastAsia="Times New Roman" w:hAnsi="Open Sans Semibold" w:cs="Open Sans Semibold"/>
                <w:color w:val="FFFFFF"/>
                <w:sz w:val="16"/>
                <w:szCs w:val="16"/>
                <w:lang w:eastAsia="en-AU"/>
              </w:rPr>
              <w:t>–2</w:t>
            </w:r>
            <w:r>
              <w:rPr>
                <w:rFonts w:ascii="Open Sans Semibold" w:eastAsia="Times New Roman" w:hAnsi="Open Sans Semibold" w:cs="Open Sans Semibold"/>
                <w:color w:val="FFFFFF"/>
                <w:sz w:val="16"/>
                <w:szCs w:val="16"/>
                <w:lang w:eastAsia="en-AU"/>
              </w:rPr>
              <w:t>5</w:t>
            </w:r>
          </w:p>
        </w:tc>
        <w:tc>
          <w:tcPr>
            <w:tcW w:w="880" w:type="dxa"/>
            <w:tcBorders>
              <w:top w:val="nil"/>
              <w:left w:val="nil"/>
              <w:bottom w:val="nil"/>
              <w:right w:val="nil"/>
            </w:tcBorders>
            <w:shd w:val="clear" w:color="000000" w:fill="006991"/>
            <w:vAlign w:val="center"/>
            <w:hideMark/>
          </w:tcPr>
          <w:p w14:paraId="477922D2" w14:textId="77777777" w:rsidR="00BD12A8" w:rsidRPr="00815AC3" w:rsidRDefault="00BD12A8" w:rsidP="00305E3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15AC3">
              <w:rPr>
                <w:rFonts w:ascii="Open Sans Semibold" w:eastAsia="Times New Roman" w:hAnsi="Open Sans Semibold" w:cs="Open Sans Semibold"/>
                <w:color w:val="FFFFFF"/>
                <w:sz w:val="16"/>
                <w:szCs w:val="16"/>
                <w:lang w:eastAsia="en-AU"/>
              </w:rPr>
              <w:t>202</w:t>
            </w:r>
            <w:r>
              <w:rPr>
                <w:rFonts w:ascii="Open Sans Semibold" w:eastAsia="Times New Roman" w:hAnsi="Open Sans Semibold" w:cs="Open Sans Semibold"/>
                <w:color w:val="FFFFFF"/>
                <w:sz w:val="16"/>
                <w:szCs w:val="16"/>
                <w:lang w:eastAsia="en-AU"/>
              </w:rPr>
              <w:t>3</w:t>
            </w:r>
            <w:r w:rsidRPr="00815AC3">
              <w:rPr>
                <w:rFonts w:ascii="Open Sans Semibold" w:eastAsia="Times New Roman" w:hAnsi="Open Sans Semibold" w:cs="Open Sans Semibold"/>
                <w:color w:val="FFFFFF"/>
                <w:sz w:val="16"/>
                <w:szCs w:val="16"/>
                <w:lang w:eastAsia="en-AU"/>
              </w:rPr>
              <w:t>–2</w:t>
            </w:r>
            <w:r>
              <w:rPr>
                <w:rFonts w:ascii="Open Sans Semibold" w:eastAsia="Times New Roman" w:hAnsi="Open Sans Semibold" w:cs="Open Sans Semibold"/>
                <w:color w:val="FFFFFF"/>
                <w:sz w:val="16"/>
                <w:szCs w:val="16"/>
                <w:lang w:eastAsia="en-AU"/>
              </w:rPr>
              <w:t>4</w:t>
            </w:r>
          </w:p>
        </w:tc>
        <w:tc>
          <w:tcPr>
            <w:tcW w:w="880" w:type="dxa"/>
            <w:tcBorders>
              <w:top w:val="nil"/>
              <w:left w:val="nil"/>
              <w:bottom w:val="nil"/>
              <w:right w:val="nil"/>
            </w:tcBorders>
            <w:shd w:val="clear" w:color="000000" w:fill="006991"/>
            <w:vAlign w:val="center"/>
            <w:hideMark/>
          </w:tcPr>
          <w:p w14:paraId="0D39B160" w14:textId="77777777" w:rsidR="00BD12A8" w:rsidRPr="00815AC3" w:rsidRDefault="00BD12A8" w:rsidP="00305E3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15AC3">
              <w:rPr>
                <w:rFonts w:ascii="Open Sans Semibold" w:eastAsia="Times New Roman" w:hAnsi="Open Sans Semibold" w:cs="Open Sans Semibold"/>
                <w:color w:val="FFFFFF"/>
                <w:sz w:val="16"/>
                <w:szCs w:val="16"/>
                <w:lang w:eastAsia="en-AU"/>
              </w:rPr>
              <w:t>202</w:t>
            </w:r>
            <w:r>
              <w:rPr>
                <w:rFonts w:ascii="Open Sans Semibold" w:eastAsia="Times New Roman" w:hAnsi="Open Sans Semibold" w:cs="Open Sans Semibold"/>
                <w:color w:val="FFFFFF"/>
                <w:sz w:val="16"/>
                <w:szCs w:val="16"/>
                <w:lang w:eastAsia="en-AU"/>
              </w:rPr>
              <w:t>4</w:t>
            </w:r>
            <w:r w:rsidRPr="00815AC3">
              <w:rPr>
                <w:rFonts w:ascii="Open Sans Semibold" w:eastAsia="Times New Roman" w:hAnsi="Open Sans Semibold" w:cs="Open Sans Semibold"/>
                <w:color w:val="FFFFFF"/>
                <w:sz w:val="16"/>
                <w:szCs w:val="16"/>
                <w:lang w:eastAsia="en-AU"/>
              </w:rPr>
              <w:t>–2</w:t>
            </w:r>
            <w:r>
              <w:rPr>
                <w:rFonts w:ascii="Open Sans Semibold" w:eastAsia="Times New Roman" w:hAnsi="Open Sans Semibold" w:cs="Open Sans Semibold"/>
                <w:color w:val="FFFFFF"/>
                <w:sz w:val="16"/>
                <w:szCs w:val="16"/>
                <w:lang w:eastAsia="en-AU"/>
              </w:rPr>
              <w:t>5</w:t>
            </w:r>
          </w:p>
        </w:tc>
        <w:tc>
          <w:tcPr>
            <w:tcW w:w="880" w:type="dxa"/>
            <w:tcBorders>
              <w:top w:val="nil"/>
              <w:left w:val="nil"/>
              <w:bottom w:val="nil"/>
              <w:right w:val="nil"/>
            </w:tcBorders>
            <w:shd w:val="clear" w:color="000000" w:fill="006991"/>
            <w:vAlign w:val="center"/>
            <w:hideMark/>
          </w:tcPr>
          <w:p w14:paraId="7956769B" w14:textId="77777777" w:rsidR="00BD12A8" w:rsidRPr="00815AC3" w:rsidRDefault="00BD12A8" w:rsidP="00305E3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15AC3">
              <w:rPr>
                <w:rFonts w:ascii="Open Sans Semibold" w:eastAsia="Times New Roman" w:hAnsi="Open Sans Semibold" w:cs="Open Sans Semibold"/>
                <w:color w:val="FFFFFF"/>
                <w:sz w:val="16"/>
                <w:szCs w:val="16"/>
                <w:lang w:eastAsia="en-AU"/>
              </w:rPr>
              <w:t>202</w:t>
            </w:r>
            <w:r>
              <w:rPr>
                <w:rFonts w:ascii="Open Sans Semibold" w:eastAsia="Times New Roman" w:hAnsi="Open Sans Semibold" w:cs="Open Sans Semibold"/>
                <w:color w:val="FFFFFF"/>
                <w:sz w:val="16"/>
                <w:szCs w:val="16"/>
                <w:lang w:eastAsia="en-AU"/>
              </w:rPr>
              <w:t>3</w:t>
            </w:r>
            <w:r w:rsidRPr="00815AC3">
              <w:rPr>
                <w:rFonts w:ascii="Open Sans Semibold" w:eastAsia="Times New Roman" w:hAnsi="Open Sans Semibold" w:cs="Open Sans Semibold"/>
                <w:color w:val="FFFFFF"/>
                <w:sz w:val="16"/>
                <w:szCs w:val="16"/>
                <w:lang w:eastAsia="en-AU"/>
              </w:rPr>
              <w:t>–2</w:t>
            </w:r>
            <w:r>
              <w:rPr>
                <w:rFonts w:ascii="Open Sans Semibold" w:eastAsia="Times New Roman" w:hAnsi="Open Sans Semibold" w:cs="Open Sans Semibold"/>
                <w:color w:val="FFFFFF"/>
                <w:sz w:val="16"/>
                <w:szCs w:val="16"/>
                <w:lang w:eastAsia="en-AU"/>
              </w:rPr>
              <w:t>4</w:t>
            </w:r>
          </w:p>
        </w:tc>
        <w:tc>
          <w:tcPr>
            <w:tcW w:w="880" w:type="dxa"/>
            <w:tcBorders>
              <w:top w:val="nil"/>
              <w:left w:val="nil"/>
              <w:bottom w:val="nil"/>
              <w:right w:val="nil"/>
            </w:tcBorders>
            <w:shd w:val="clear" w:color="000000" w:fill="006991"/>
            <w:vAlign w:val="center"/>
            <w:hideMark/>
          </w:tcPr>
          <w:p w14:paraId="05110422" w14:textId="77777777" w:rsidR="00BD12A8" w:rsidRPr="00815AC3" w:rsidRDefault="00BD12A8" w:rsidP="00305E3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15AC3">
              <w:rPr>
                <w:rFonts w:ascii="Open Sans Semibold" w:eastAsia="Times New Roman" w:hAnsi="Open Sans Semibold" w:cs="Open Sans Semibold"/>
                <w:color w:val="FFFFFF"/>
                <w:sz w:val="16"/>
                <w:szCs w:val="16"/>
                <w:lang w:eastAsia="en-AU"/>
              </w:rPr>
              <w:t>202</w:t>
            </w:r>
            <w:r>
              <w:rPr>
                <w:rFonts w:ascii="Open Sans Semibold" w:eastAsia="Times New Roman" w:hAnsi="Open Sans Semibold" w:cs="Open Sans Semibold"/>
                <w:color w:val="FFFFFF"/>
                <w:sz w:val="16"/>
                <w:szCs w:val="16"/>
                <w:lang w:eastAsia="en-AU"/>
              </w:rPr>
              <w:t>4</w:t>
            </w:r>
            <w:r w:rsidRPr="00815AC3">
              <w:rPr>
                <w:rFonts w:ascii="Open Sans Semibold" w:eastAsia="Times New Roman" w:hAnsi="Open Sans Semibold" w:cs="Open Sans Semibold"/>
                <w:color w:val="FFFFFF"/>
                <w:sz w:val="16"/>
                <w:szCs w:val="16"/>
                <w:lang w:eastAsia="en-AU"/>
              </w:rPr>
              <w:t>–2</w:t>
            </w:r>
            <w:r>
              <w:rPr>
                <w:rFonts w:ascii="Open Sans Semibold" w:eastAsia="Times New Roman" w:hAnsi="Open Sans Semibold" w:cs="Open Sans Semibold"/>
                <w:color w:val="FFFFFF"/>
                <w:sz w:val="16"/>
                <w:szCs w:val="16"/>
                <w:lang w:eastAsia="en-AU"/>
              </w:rPr>
              <w:t>5</w:t>
            </w:r>
          </w:p>
        </w:tc>
        <w:tc>
          <w:tcPr>
            <w:tcW w:w="1021" w:type="dxa"/>
            <w:tcBorders>
              <w:top w:val="nil"/>
              <w:left w:val="nil"/>
              <w:bottom w:val="nil"/>
              <w:right w:val="nil"/>
            </w:tcBorders>
            <w:shd w:val="clear" w:color="000000" w:fill="006991"/>
            <w:vAlign w:val="center"/>
            <w:hideMark/>
          </w:tcPr>
          <w:p w14:paraId="78D84E83" w14:textId="77777777" w:rsidR="00BD12A8" w:rsidRPr="00815AC3" w:rsidRDefault="00BD12A8" w:rsidP="00305E3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15AC3">
              <w:rPr>
                <w:rFonts w:ascii="Open Sans Semibold" w:eastAsia="Times New Roman" w:hAnsi="Open Sans Semibold" w:cs="Open Sans Semibold"/>
                <w:color w:val="FFFFFF"/>
                <w:sz w:val="16"/>
                <w:szCs w:val="16"/>
                <w:lang w:eastAsia="en-AU"/>
              </w:rPr>
              <w:t>Difference</w:t>
            </w:r>
          </w:p>
        </w:tc>
      </w:tr>
      <w:tr w:rsidR="00BD12A8" w:rsidRPr="00815AC3" w14:paraId="57D5A597" w14:textId="77777777" w:rsidTr="00305E34">
        <w:trPr>
          <w:trHeight w:val="261"/>
        </w:trPr>
        <w:tc>
          <w:tcPr>
            <w:tcW w:w="2639" w:type="dxa"/>
            <w:tcBorders>
              <w:top w:val="single" w:sz="4" w:space="0" w:color="ADD6EA"/>
              <w:left w:val="nil"/>
              <w:bottom w:val="single" w:sz="4" w:space="0" w:color="ADD6EA"/>
              <w:right w:val="nil"/>
            </w:tcBorders>
            <w:shd w:val="clear" w:color="000000" w:fill="B6D5E4"/>
            <w:vAlign w:val="bottom"/>
            <w:hideMark/>
          </w:tcPr>
          <w:p w14:paraId="0FD3410D" w14:textId="77777777" w:rsidR="00BD12A8" w:rsidRPr="00815AC3" w:rsidRDefault="00BD12A8" w:rsidP="00305E34">
            <w:pPr>
              <w:tabs>
                <w:tab w:val="clear" w:pos="567"/>
              </w:tabs>
              <w:spacing w:before="0" w:line="240" w:lineRule="auto"/>
              <w:rPr>
                <w:rFonts w:ascii="Open Sans Semibold" w:eastAsia="Times New Roman" w:hAnsi="Open Sans Semibold" w:cs="Open Sans Semibold"/>
                <w:color w:val="000000"/>
                <w:sz w:val="16"/>
                <w:szCs w:val="16"/>
                <w:lang w:eastAsia="en-AU"/>
              </w:rPr>
            </w:pPr>
            <w:r w:rsidRPr="00815AC3">
              <w:rPr>
                <w:rFonts w:ascii="Open Sans Semibold" w:eastAsia="Times New Roman" w:hAnsi="Open Sans Semibold" w:cs="Open Sans Semibold"/>
                <w:color w:val="000000"/>
                <w:sz w:val="16"/>
                <w:szCs w:val="16"/>
                <w:lang w:eastAsia="en-AU"/>
              </w:rPr>
              <w:t> </w:t>
            </w:r>
          </w:p>
        </w:tc>
        <w:tc>
          <w:tcPr>
            <w:tcW w:w="880" w:type="dxa"/>
            <w:tcBorders>
              <w:top w:val="single" w:sz="4" w:space="0" w:color="ADD6EA"/>
              <w:left w:val="nil"/>
              <w:bottom w:val="single" w:sz="4" w:space="0" w:color="ADD6EA"/>
              <w:right w:val="nil"/>
            </w:tcBorders>
            <w:shd w:val="clear" w:color="000000" w:fill="B6D5E4"/>
            <w:noWrap/>
            <w:vAlign w:val="bottom"/>
            <w:hideMark/>
          </w:tcPr>
          <w:p w14:paraId="3673423A" w14:textId="77777777" w:rsidR="00BD12A8" w:rsidRPr="00815AC3" w:rsidRDefault="00BD12A8" w:rsidP="00305E3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15AC3">
              <w:rPr>
                <w:rFonts w:ascii="Open Sans Semibold" w:eastAsia="Times New Roman" w:hAnsi="Open Sans Semibold" w:cs="Open Sans Semibold"/>
                <w:color w:val="000000"/>
                <w:sz w:val="16"/>
                <w:szCs w:val="16"/>
                <w:lang w:eastAsia="en-AU"/>
              </w:rPr>
              <w:t> </w:t>
            </w:r>
          </w:p>
        </w:tc>
        <w:tc>
          <w:tcPr>
            <w:tcW w:w="880" w:type="dxa"/>
            <w:tcBorders>
              <w:top w:val="single" w:sz="4" w:space="0" w:color="ADD6EA"/>
              <w:left w:val="nil"/>
              <w:bottom w:val="single" w:sz="4" w:space="0" w:color="ADD6EA"/>
              <w:right w:val="nil"/>
            </w:tcBorders>
            <w:shd w:val="clear" w:color="000000" w:fill="B6D5E4"/>
            <w:noWrap/>
            <w:vAlign w:val="bottom"/>
            <w:hideMark/>
          </w:tcPr>
          <w:p w14:paraId="7EC06EE0" w14:textId="77777777" w:rsidR="00BD12A8" w:rsidRPr="00815AC3" w:rsidRDefault="00BD12A8" w:rsidP="00305E3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15AC3">
              <w:rPr>
                <w:rFonts w:ascii="Open Sans Semibold" w:eastAsia="Times New Roman" w:hAnsi="Open Sans Semibold" w:cs="Open Sans Semibold"/>
                <w:color w:val="000000"/>
                <w:sz w:val="16"/>
                <w:szCs w:val="16"/>
                <w:lang w:eastAsia="en-AU"/>
              </w:rPr>
              <w:t> </w:t>
            </w:r>
          </w:p>
        </w:tc>
        <w:tc>
          <w:tcPr>
            <w:tcW w:w="880" w:type="dxa"/>
            <w:tcBorders>
              <w:top w:val="single" w:sz="4" w:space="0" w:color="ADD6EA"/>
              <w:left w:val="nil"/>
              <w:bottom w:val="single" w:sz="4" w:space="0" w:color="ADD6EA"/>
              <w:right w:val="nil"/>
            </w:tcBorders>
            <w:shd w:val="clear" w:color="000000" w:fill="B6D5E4"/>
            <w:noWrap/>
            <w:vAlign w:val="bottom"/>
            <w:hideMark/>
          </w:tcPr>
          <w:p w14:paraId="376A9657" w14:textId="77777777" w:rsidR="00BD12A8" w:rsidRPr="00815AC3" w:rsidRDefault="00BD12A8" w:rsidP="00305E3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15AC3">
              <w:rPr>
                <w:rFonts w:ascii="Open Sans Semibold" w:eastAsia="Times New Roman" w:hAnsi="Open Sans Semibold" w:cs="Open Sans Semibold"/>
                <w:color w:val="000000"/>
                <w:sz w:val="16"/>
                <w:szCs w:val="16"/>
                <w:lang w:eastAsia="en-AU"/>
              </w:rPr>
              <w:t>%</w:t>
            </w:r>
          </w:p>
        </w:tc>
        <w:tc>
          <w:tcPr>
            <w:tcW w:w="880" w:type="dxa"/>
            <w:tcBorders>
              <w:top w:val="single" w:sz="4" w:space="0" w:color="ADD6EA"/>
              <w:left w:val="nil"/>
              <w:bottom w:val="single" w:sz="4" w:space="0" w:color="ADD6EA"/>
              <w:right w:val="nil"/>
            </w:tcBorders>
            <w:shd w:val="clear" w:color="000000" w:fill="B6D5E4"/>
            <w:noWrap/>
            <w:vAlign w:val="bottom"/>
            <w:hideMark/>
          </w:tcPr>
          <w:p w14:paraId="0F1650F7" w14:textId="77777777" w:rsidR="00BD12A8" w:rsidRPr="00815AC3" w:rsidRDefault="00BD12A8" w:rsidP="00305E3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15AC3">
              <w:rPr>
                <w:rFonts w:ascii="Open Sans Semibold" w:eastAsia="Times New Roman" w:hAnsi="Open Sans Semibold" w:cs="Open Sans Semibold"/>
                <w:color w:val="000000"/>
                <w:sz w:val="16"/>
                <w:szCs w:val="16"/>
                <w:lang w:eastAsia="en-AU"/>
              </w:rPr>
              <w:t>%</w:t>
            </w:r>
          </w:p>
        </w:tc>
        <w:tc>
          <w:tcPr>
            <w:tcW w:w="880" w:type="dxa"/>
            <w:tcBorders>
              <w:top w:val="single" w:sz="4" w:space="0" w:color="ADD6EA"/>
              <w:left w:val="nil"/>
              <w:bottom w:val="single" w:sz="4" w:space="0" w:color="ADD6EA"/>
              <w:right w:val="nil"/>
            </w:tcBorders>
            <w:shd w:val="clear" w:color="000000" w:fill="B6D5E4"/>
            <w:noWrap/>
            <w:vAlign w:val="bottom"/>
            <w:hideMark/>
          </w:tcPr>
          <w:p w14:paraId="662CC089" w14:textId="77777777" w:rsidR="00BD12A8" w:rsidRPr="00815AC3" w:rsidRDefault="00BD12A8" w:rsidP="00305E3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15AC3">
              <w:rPr>
                <w:rFonts w:ascii="Open Sans Semibold" w:eastAsia="Times New Roman" w:hAnsi="Open Sans Semibold" w:cs="Open Sans Semibold"/>
                <w:color w:val="000000"/>
                <w:sz w:val="16"/>
                <w:szCs w:val="16"/>
                <w:lang w:eastAsia="en-AU"/>
              </w:rPr>
              <w:t>$m</w:t>
            </w:r>
          </w:p>
        </w:tc>
        <w:tc>
          <w:tcPr>
            <w:tcW w:w="880" w:type="dxa"/>
            <w:tcBorders>
              <w:top w:val="single" w:sz="4" w:space="0" w:color="ADD6EA"/>
              <w:left w:val="nil"/>
              <w:bottom w:val="single" w:sz="4" w:space="0" w:color="ADD6EA"/>
              <w:right w:val="nil"/>
            </w:tcBorders>
            <w:shd w:val="clear" w:color="000000" w:fill="B6D5E4"/>
            <w:noWrap/>
            <w:vAlign w:val="bottom"/>
            <w:hideMark/>
          </w:tcPr>
          <w:p w14:paraId="5DE3396F" w14:textId="77777777" w:rsidR="00BD12A8" w:rsidRPr="00815AC3" w:rsidRDefault="00BD12A8" w:rsidP="00305E3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15AC3">
              <w:rPr>
                <w:rFonts w:ascii="Open Sans Semibold" w:eastAsia="Times New Roman" w:hAnsi="Open Sans Semibold" w:cs="Open Sans Semibold"/>
                <w:color w:val="000000"/>
                <w:sz w:val="16"/>
                <w:szCs w:val="16"/>
                <w:lang w:eastAsia="en-AU"/>
              </w:rPr>
              <w:t>$m</w:t>
            </w:r>
          </w:p>
        </w:tc>
        <w:tc>
          <w:tcPr>
            <w:tcW w:w="1021" w:type="dxa"/>
            <w:tcBorders>
              <w:top w:val="single" w:sz="4" w:space="0" w:color="ADD6EA"/>
              <w:left w:val="nil"/>
              <w:bottom w:val="single" w:sz="4" w:space="0" w:color="ADD6EA"/>
              <w:right w:val="nil"/>
            </w:tcBorders>
            <w:shd w:val="clear" w:color="000000" w:fill="B6D5E4"/>
            <w:noWrap/>
            <w:vAlign w:val="bottom"/>
            <w:hideMark/>
          </w:tcPr>
          <w:p w14:paraId="711F4637" w14:textId="77777777" w:rsidR="00BD12A8" w:rsidRPr="00815AC3" w:rsidRDefault="00BD12A8" w:rsidP="00305E3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15AC3">
              <w:rPr>
                <w:rFonts w:ascii="Open Sans Semibold" w:eastAsia="Times New Roman" w:hAnsi="Open Sans Semibold" w:cs="Open Sans Semibold"/>
                <w:color w:val="000000"/>
                <w:sz w:val="16"/>
                <w:szCs w:val="16"/>
                <w:lang w:eastAsia="en-AU"/>
              </w:rPr>
              <w:t>$m</w:t>
            </w:r>
          </w:p>
        </w:tc>
      </w:tr>
      <w:tr w:rsidR="00BD12A8" w:rsidRPr="00815AC3" w14:paraId="34C2EB96" w14:textId="77777777" w:rsidTr="00305E34">
        <w:trPr>
          <w:trHeight w:val="315"/>
        </w:trPr>
        <w:tc>
          <w:tcPr>
            <w:tcW w:w="2639" w:type="dxa"/>
            <w:tcBorders>
              <w:top w:val="nil"/>
              <w:left w:val="nil"/>
              <w:bottom w:val="nil"/>
              <w:right w:val="nil"/>
            </w:tcBorders>
            <w:shd w:val="clear" w:color="auto" w:fill="auto"/>
            <w:vAlign w:val="center"/>
            <w:hideMark/>
          </w:tcPr>
          <w:p w14:paraId="3A3E6434" w14:textId="77777777" w:rsidR="00BD12A8" w:rsidRPr="00815AC3" w:rsidRDefault="00BD12A8" w:rsidP="00305E34">
            <w:pPr>
              <w:tabs>
                <w:tab w:val="clear" w:pos="567"/>
              </w:tabs>
              <w:spacing w:before="0" w:line="240" w:lineRule="auto"/>
              <w:rPr>
                <w:rFonts w:ascii="Open Sans" w:eastAsia="Times New Roman" w:hAnsi="Open Sans" w:cs="Open Sans"/>
                <w:color w:val="000000"/>
                <w:sz w:val="16"/>
                <w:szCs w:val="16"/>
                <w:lang w:eastAsia="en-AU"/>
              </w:rPr>
            </w:pPr>
            <w:r w:rsidRPr="00815AC3">
              <w:rPr>
                <w:rFonts w:ascii="Open Sans" w:eastAsia="Times New Roman" w:hAnsi="Open Sans" w:cs="Open Sans"/>
                <w:color w:val="000000"/>
                <w:sz w:val="16"/>
                <w:szCs w:val="16"/>
                <w:lang w:eastAsia="en-AU"/>
              </w:rPr>
              <w:t>New South Wales</w:t>
            </w:r>
          </w:p>
        </w:tc>
        <w:tc>
          <w:tcPr>
            <w:tcW w:w="880" w:type="dxa"/>
            <w:tcBorders>
              <w:top w:val="nil"/>
              <w:left w:val="nil"/>
              <w:bottom w:val="single" w:sz="4" w:space="0" w:color="ADD6EA"/>
              <w:right w:val="nil"/>
            </w:tcBorders>
            <w:shd w:val="clear" w:color="000000" w:fill="D6E7F0"/>
            <w:noWrap/>
            <w:vAlign w:val="center"/>
            <w:hideMark/>
          </w:tcPr>
          <w:p w14:paraId="0696EA46" w14:textId="275B9DE1"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0.92350</w:t>
            </w:r>
          </w:p>
        </w:tc>
        <w:tc>
          <w:tcPr>
            <w:tcW w:w="880" w:type="dxa"/>
            <w:tcBorders>
              <w:top w:val="nil"/>
              <w:left w:val="nil"/>
              <w:bottom w:val="nil"/>
              <w:right w:val="nil"/>
            </w:tcBorders>
            <w:shd w:val="clear" w:color="auto" w:fill="auto"/>
            <w:noWrap/>
            <w:vAlign w:val="center"/>
            <w:hideMark/>
          </w:tcPr>
          <w:p w14:paraId="66A62890" w14:textId="0F9386A6"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0.</w:t>
            </w:r>
            <w:r w:rsidR="00A8657A">
              <w:rPr>
                <w:rFonts w:ascii="Open Sans" w:hAnsi="Open Sans" w:cs="Open Sans"/>
                <w:color w:val="000000"/>
                <w:sz w:val="16"/>
                <w:szCs w:val="16"/>
              </w:rPr>
              <w:t>86736</w:t>
            </w:r>
          </w:p>
        </w:tc>
        <w:tc>
          <w:tcPr>
            <w:tcW w:w="880" w:type="dxa"/>
            <w:tcBorders>
              <w:top w:val="nil"/>
              <w:left w:val="nil"/>
              <w:bottom w:val="single" w:sz="4" w:space="0" w:color="ADD6EA"/>
              <w:right w:val="nil"/>
            </w:tcBorders>
            <w:shd w:val="clear" w:color="000000" w:fill="D6E7F0"/>
            <w:noWrap/>
            <w:vAlign w:val="center"/>
            <w:hideMark/>
          </w:tcPr>
          <w:p w14:paraId="0F6F11CE" w14:textId="2DE08ABD"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29.0</w:t>
            </w:r>
          </w:p>
        </w:tc>
        <w:tc>
          <w:tcPr>
            <w:tcW w:w="880" w:type="dxa"/>
            <w:tcBorders>
              <w:top w:val="nil"/>
              <w:left w:val="nil"/>
              <w:bottom w:val="nil"/>
              <w:right w:val="nil"/>
            </w:tcBorders>
            <w:shd w:val="clear" w:color="auto" w:fill="auto"/>
            <w:noWrap/>
            <w:vAlign w:val="center"/>
            <w:hideMark/>
          </w:tcPr>
          <w:p w14:paraId="330AB81F" w14:textId="57316194" w:rsidR="00BD12A8" w:rsidRPr="00815AC3" w:rsidRDefault="00A8657A"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27.1</w:t>
            </w:r>
          </w:p>
        </w:tc>
        <w:tc>
          <w:tcPr>
            <w:tcW w:w="880" w:type="dxa"/>
            <w:tcBorders>
              <w:top w:val="nil"/>
              <w:left w:val="nil"/>
              <w:bottom w:val="single" w:sz="4" w:space="0" w:color="ADD6EA"/>
              <w:right w:val="nil"/>
            </w:tcBorders>
            <w:shd w:val="clear" w:color="000000" w:fill="D6E7F0"/>
            <w:noWrap/>
            <w:vAlign w:val="center"/>
            <w:hideMark/>
          </w:tcPr>
          <w:p w14:paraId="3D463E26" w14:textId="772AE355"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24,535</w:t>
            </w:r>
          </w:p>
        </w:tc>
        <w:tc>
          <w:tcPr>
            <w:tcW w:w="880" w:type="dxa"/>
            <w:tcBorders>
              <w:top w:val="nil"/>
              <w:left w:val="nil"/>
              <w:bottom w:val="nil"/>
              <w:right w:val="nil"/>
            </w:tcBorders>
            <w:shd w:val="clear" w:color="auto" w:fill="auto"/>
            <w:noWrap/>
            <w:vAlign w:val="center"/>
            <w:hideMark/>
          </w:tcPr>
          <w:p w14:paraId="4ACB1D2F" w14:textId="5C871DB4"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24,</w:t>
            </w:r>
            <w:r w:rsidR="00A8657A">
              <w:rPr>
                <w:rFonts w:ascii="Open Sans" w:hAnsi="Open Sans" w:cs="Open Sans"/>
                <w:color w:val="000000"/>
                <w:sz w:val="16"/>
                <w:szCs w:val="16"/>
              </w:rPr>
              <w:t>224</w:t>
            </w:r>
          </w:p>
        </w:tc>
        <w:tc>
          <w:tcPr>
            <w:tcW w:w="1021" w:type="dxa"/>
            <w:tcBorders>
              <w:top w:val="nil"/>
              <w:left w:val="nil"/>
              <w:bottom w:val="single" w:sz="4" w:space="0" w:color="ADD6EA"/>
              <w:right w:val="nil"/>
            </w:tcBorders>
            <w:shd w:val="clear" w:color="000000" w:fill="D6E7F0"/>
            <w:noWrap/>
            <w:vAlign w:val="center"/>
            <w:hideMark/>
          </w:tcPr>
          <w:p w14:paraId="6D2B64B2" w14:textId="6BF66E40"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w:t>
            </w:r>
            <w:r w:rsidR="00A8657A">
              <w:rPr>
                <w:rFonts w:ascii="Open Sans" w:hAnsi="Open Sans" w:cs="Open Sans"/>
                <w:color w:val="000000"/>
                <w:sz w:val="16"/>
                <w:szCs w:val="16"/>
              </w:rPr>
              <w:t>310</w:t>
            </w:r>
          </w:p>
        </w:tc>
      </w:tr>
      <w:tr w:rsidR="00BD12A8" w:rsidRPr="00815AC3" w14:paraId="28699FDB" w14:textId="77777777" w:rsidTr="00305E34">
        <w:trPr>
          <w:trHeight w:val="315"/>
        </w:trPr>
        <w:tc>
          <w:tcPr>
            <w:tcW w:w="2639" w:type="dxa"/>
            <w:tcBorders>
              <w:top w:val="single" w:sz="4" w:space="0" w:color="ADD6EA"/>
              <w:left w:val="nil"/>
              <w:bottom w:val="nil"/>
              <w:right w:val="nil"/>
            </w:tcBorders>
            <w:shd w:val="clear" w:color="auto" w:fill="auto"/>
            <w:vAlign w:val="center"/>
            <w:hideMark/>
          </w:tcPr>
          <w:p w14:paraId="34D4BB20" w14:textId="77777777" w:rsidR="00BD12A8" w:rsidRPr="00815AC3" w:rsidRDefault="00BD12A8" w:rsidP="00305E34">
            <w:pPr>
              <w:tabs>
                <w:tab w:val="clear" w:pos="567"/>
              </w:tabs>
              <w:spacing w:before="0" w:line="240" w:lineRule="auto"/>
              <w:rPr>
                <w:rFonts w:ascii="Open Sans" w:eastAsia="Times New Roman" w:hAnsi="Open Sans" w:cs="Open Sans"/>
                <w:color w:val="000000"/>
                <w:sz w:val="16"/>
                <w:szCs w:val="16"/>
                <w:lang w:eastAsia="en-AU"/>
              </w:rPr>
            </w:pPr>
            <w:r w:rsidRPr="00815AC3">
              <w:rPr>
                <w:rFonts w:ascii="Open Sans" w:eastAsia="Times New Roman" w:hAnsi="Open Sans" w:cs="Open Sans"/>
                <w:color w:val="000000"/>
                <w:sz w:val="16"/>
                <w:szCs w:val="16"/>
                <w:lang w:eastAsia="en-AU"/>
              </w:rPr>
              <w:t>Victoria</w:t>
            </w:r>
          </w:p>
        </w:tc>
        <w:tc>
          <w:tcPr>
            <w:tcW w:w="880" w:type="dxa"/>
            <w:tcBorders>
              <w:top w:val="nil"/>
              <w:left w:val="nil"/>
              <w:bottom w:val="single" w:sz="4" w:space="0" w:color="ADD6EA"/>
              <w:right w:val="nil"/>
            </w:tcBorders>
            <w:shd w:val="clear" w:color="000000" w:fill="D6E7F0"/>
            <w:noWrap/>
            <w:vAlign w:val="center"/>
            <w:hideMark/>
          </w:tcPr>
          <w:p w14:paraId="601B8819" w14:textId="0E61BBA7"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0.85169</w:t>
            </w:r>
          </w:p>
        </w:tc>
        <w:tc>
          <w:tcPr>
            <w:tcW w:w="880" w:type="dxa"/>
            <w:tcBorders>
              <w:top w:val="single" w:sz="4" w:space="0" w:color="ADD6EA"/>
              <w:left w:val="nil"/>
              <w:bottom w:val="nil"/>
              <w:right w:val="nil"/>
            </w:tcBorders>
            <w:shd w:val="clear" w:color="auto" w:fill="auto"/>
            <w:noWrap/>
            <w:vAlign w:val="center"/>
            <w:hideMark/>
          </w:tcPr>
          <w:p w14:paraId="1B41203E" w14:textId="08EE5974"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0.</w:t>
            </w:r>
            <w:r w:rsidR="00A8657A">
              <w:rPr>
                <w:rFonts w:ascii="Open Sans" w:hAnsi="Open Sans" w:cs="Open Sans"/>
                <w:color w:val="000000"/>
                <w:sz w:val="16"/>
                <w:szCs w:val="16"/>
              </w:rPr>
              <w:t>96502</w:t>
            </w:r>
          </w:p>
        </w:tc>
        <w:tc>
          <w:tcPr>
            <w:tcW w:w="880" w:type="dxa"/>
            <w:tcBorders>
              <w:top w:val="nil"/>
              <w:left w:val="nil"/>
              <w:bottom w:val="single" w:sz="4" w:space="0" w:color="ADD6EA"/>
              <w:right w:val="nil"/>
            </w:tcBorders>
            <w:shd w:val="clear" w:color="000000" w:fill="D6E7F0"/>
            <w:noWrap/>
            <w:vAlign w:val="center"/>
            <w:hideMark/>
          </w:tcPr>
          <w:p w14:paraId="2C7EB959" w14:textId="4CD56EE8"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21.9</w:t>
            </w:r>
          </w:p>
        </w:tc>
        <w:tc>
          <w:tcPr>
            <w:tcW w:w="880" w:type="dxa"/>
            <w:tcBorders>
              <w:top w:val="single" w:sz="4" w:space="0" w:color="ADD6EA"/>
              <w:left w:val="nil"/>
              <w:bottom w:val="nil"/>
              <w:right w:val="nil"/>
            </w:tcBorders>
            <w:shd w:val="clear" w:color="auto" w:fill="auto"/>
            <w:noWrap/>
            <w:vAlign w:val="center"/>
            <w:hideMark/>
          </w:tcPr>
          <w:p w14:paraId="14996879" w14:textId="07613AFE"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24.</w:t>
            </w:r>
            <w:r w:rsidR="00A8657A">
              <w:rPr>
                <w:rFonts w:ascii="Open Sans" w:hAnsi="Open Sans" w:cs="Open Sans"/>
                <w:color w:val="000000"/>
                <w:sz w:val="16"/>
                <w:szCs w:val="16"/>
              </w:rPr>
              <w:t>8</w:t>
            </w:r>
          </w:p>
        </w:tc>
        <w:tc>
          <w:tcPr>
            <w:tcW w:w="880" w:type="dxa"/>
            <w:tcBorders>
              <w:top w:val="nil"/>
              <w:left w:val="nil"/>
              <w:bottom w:val="single" w:sz="4" w:space="0" w:color="ADD6EA"/>
              <w:right w:val="nil"/>
            </w:tcBorders>
            <w:shd w:val="clear" w:color="000000" w:fill="D6E7F0"/>
            <w:noWrap/>
            <w:vAlign w:val="center"/>
            <w:hideMark/>
          </w:tcPr>
          <w:p w14:paraId="5C4994F7" w14:textId="6152BA4A"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18,541</w:t>
            </w:r>
          </w:p>
        </w:tc>
        <w:tc>
          <w:tcPr>
            <w:tcW w:w="880" w:type="dxa"/>
            <w:tcBorders>
              <w:top w:val="single" w:sz="4" w:space="0" w:color="ADD6EA"/>
              <w:left w:val="nil"/>
              <w:bottom w:val="nil"/>
              <w:right w:val="nil"/>
            </w:tcBorders>
            <w:shd w:val="clear" w:color="auto" w:fill="auto"/>
            <w:noWrap/>
            <w:vAlign w:val="center"/>
            <w:hideMark/>
          </w:tcPr>
          <w:p w14:paraId="0DE4AB9D" w14:textId="43846798"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22,</w:t>
            </w:r>
            <w:r w:rsidR="00A8657A">
              <w:rPr>
                <w:rFonts w:ascii="Open Sans" w:hAnsi="Open Sans" w:cs="Open Sans"/>
                <w:color w:val="000000"/>
                <w:sz w:val="16"/>
                <w:szCs w:val="16"/>
              </w:rPr>
              <w:t>227</w:t>
            </w:r>
          </w:p>
        </w:tc>
        <w:tc>
          <w:tcPr>
            <w:tcW w:w="1021" w:type="dxa"/>
            <w:tcBorders>
              <w:top w:val="nil"/>
              <w:left w:val="nil"/>
              <w:bottom w:val="single" w:sz="4" w:space="0" w:color="ADD6EA"/>
              <w:right w:val="nil"/>
            </w:tcBorders>
            <w:shd w:val="clear" w:color="000000" w:fill="D6E7F0"/>
            <w:noWrap/>
            <w:vAlign w:val="center"/>
            <w:hideMark/>
          </w:tcPr>
          <w:p w14:paraId="18985E62" w14:textId="5E4DBCF4"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3,</w:t>
            </w:r>
            <w:r w:rsidR="00A8657A">
              <w:rPr>
                <w:rFonts w:ascii="Open Sans" w:hAnsi="Open Sans" w:cs="Open Sans"/>
                <w:color w:val="000000"/>
                <w:sz w:val="16"/>
                <w:szCs w:val="16"/>
              </w:rPr>
              <w:t>686</w:t>
            </w:r>
          </w:p>
        </w:tc>
      </w:tr>
      <w:tr w:rsidR="00BD12A8" w:rsidRPr="00815AC3" w14:paraId="7ECD1F20" w14:textId="77777777" w:rsidTr="00305E34">
        <w:trPr>
          <w:trHeight w:val="315"/>
        </w:trPr>
        <w:tc>
          <w:tcPr>
            <w:tcW w:w="2639" w:type="dxa"/>
            <w:tcBorders>
              <w:top w:val="single" w:sz="4" w:space="0" w:color="ADD6EA"/>
              <w:left w:val="nil"/>
              <w:bottom w:val="nil"/>
              <w:right w:val="nil"/>
            </w:tcBorders>
            <w:shd w:val="clear" w:color="auto" w:fill="auto"/>
            <w:vAlign w:val="center"/>
            <w:hideMark/>
          </w:tcPr>
          <w:p w14:paraId="77266E9F" w14:textId="77777777" w:rsidR="00BD12A8" w:rsidRPr="00815AC3" w:rsidRDefault="00BD12A8" w:rsidP="00305E34">
            <w:pPr>
              <w:tabs>
                <w:tab w:val="clear" w:pos="567"/>
              </w:tabs>
              <w:spacing w:before="0" w:line="240" w:lineRule="auto"/>
              <w:rPr>
                <w:rFonts w:ascii="Open Sans" w:eastAsia="Times New Roman" w:hAnsi="Open Sans" w:cs="Open Sans"/>
                <w:color w:val="000000"/>
                <w:sz w:val="16"/>
                <w:szCs w:val="16"/>
                <w:lang w:eastAsia="en-AU"/>
              </w:rPr>
            </w:pPr>
            <w:r w:rsidRPr="00815AC3">
              <w:rPr>
                <w:rFonts w:ascii="Open Sans" w:eastAsia="Times New Roman" w:hAnsi="Open Sans" w:cs="Open Sans"/>
                <w:color w:val="000000"/>
                <w:sz w:val="16"/>
                <w:szCs w:val="16"/>
                <w:lang w:eastAsia="en-AU"/>
              </w:rPr>
              <w:t>Queensland</w:t>
            </w:r>
          </w:p>
        </w:tc>
        <w:tc>
          <w:tcPr>
            <w:tcW w:w="880" w:type="dxa"/>
            <w:tcBorders>
              <w:top w:val="nil"/>
              <w:left w:val="nil"/>
              <w:bottom w:val="single" w:sz="4" w:space="0" w:color="ADD6EA"/>
              <w:right w:val="nil"/>
            </w:tcBorders>
            <w:shd w:val="clear" w:color="000000" w:fill="D6E7F0"/>
            <w:noWrap/>
            <w:vAlign w:val="center"/>
            <w:hideMark/>
          </w:tcPr>
          <w:p w14:paraId="186EB057" w14:textId="07DC593E"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1.03118</w:t>
            </w:r>
          </w:p>
        </w:tc>
        <w:tc>
          <w:tcPr>
            <w:tcW w:w="880" w:type="dxa"/>
            <w:tcBorders>
              <w:top w:val="single" w:sz="4" w:space="0" w:color="ADD6EA"/>
              <w:left w:val="nil"/>
              <w:bottom w:val="nil"/>
              <w:right w:val="nil"/>
            </w:tcBorders>
            <w:shd w:val="clear" w:color="auto" w:fill="auto"/>
            <w:noWrap/>
            <w:vAlign w:val="center"/>
            <w:hideMark/>
          </w:tcPr>
          <w:p w14:paraId="696FC6B4" w14:textId="775DCE32"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0.</w:t>
            </w:r>
            <w:r w:rsidR="00A8657A">
              <w:rPr>
                <w:rFonts w:ascii="Open Sans" w:hAnsi="Open Sans" w:cs="Open Sans"/>
                <w:color w:val="000000"/>
                <w:sz w:val="16"/>
                <w:szCs w:val="16"/>
              </w:rPr>
              <w:t>95232</w:t>
            </w:r>
          </w:p>
        </w:tc>
        <w:tc>
          <w:tcPr>
            <w:tcW w:w="880" w:type="dxa"/>
            <w:tcBorders>
              <w:top w:val="nil"/>
              <w:left w:val="nil"/>
              <w:bottom w:val="single" w:sz="4" w:space="0" w:color="ADD6EA"/>
              <w:right w:val="nil"/>
            </w:tcBorders>
            <w:shd w:val="clear" w:color="000000" w:fill="D6E7F0"/>
            <w:noWrap/>
            <w:vAlign w:val="center"/>
            <w:hideMark/>
          </w:tcPr>
          <w:p w14:paraId="0026E413" w14:textId="23E43B2D"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21.2</w:t>
            </w:r>
          </w:p>
        </w:tc>
        <w:tc>
          <w:tcPr>
            <w:tcW w:w="880" w:type="dxa"/>
            <w:tcBorders>
              <w:top w:val="single" w:sz="4" w:space="0" w:color="ADD6EA"/>
              <w:left w:val="nil"/>
              <w:bottom w:val="nil"/>
              <w:right w:val="nil"/>
            </w:tcBorders>
            <w:shd w:val="clear" w:color="auto" w:fill="auto"/>
            <w:noWrap/>
            <w:vAlign w:val="center"/>
            <w:hideMark/>
          </w:tcPr>
          <w:p w14:paraId="6F0869F7" w14:textId="09FCCB36"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19.</w:t>
            </w:r>
            <w:r w:rsidR="00A8657A">
              <w:rPr>
                <w:rFonts w:ascii="Open Sans" w:hAnsi="Open Sans" w:cs="Open Sans"/>
                <w:color w:val="000000"/>
                <w:sz w:val="16"/>
                <w:szCs w:val="16"/>
              </w:rPr>
              <w:t>5</w:t>
            </w:r>
          </w:p>
        </w:tc>
        <w:tc>
          <w:tcPr>
            <w:tcW w:w="880" w:type="dxa"/>
            <w:tcBorders>
              <w:top w:val="nil"/>
              <w:left w:val="nil"/>
              <w:bottom w:val="single" w:sz="4" w:space="0" w:color="ADD6EA"/>
              <w:right w:val="nil"/>
            </w:tcBorders>
            <w:shd w:val="clear" w:color="000000" w:fill="D6E7F0"/>
            <w:noWrap/>
            <w:vAlign w:val="center"/>
            <w:hideMark/>
          </w:tcPr>
          <w:p w14:paraId="30D62A5C" w14:textId="770361EA"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17,929</w:t>
            </w:r>
          </w:p>
        </w:tc>
        <w:tc>
          <w:tcPr>
            <w:tcW w:w="880" w:type="dxa"/>
            <w:tcBorders>
              <w:top w:val="single" w:sz="4" w:space="0" w:color="ADD6EA"/>
              <w:left w:val="nil"/>
              <w:bottom w:val="nil"/>
              <w:right w:val="nil"/>
            </w:tcBorders>
            <w:shd w:val="clear" w:color="auto" w:fill="auto"/>
            <w:noWrap/>
            <w:vAlign w:val="center"/>
            <w:hideMark/>
          </w:tcPr>
          <w:p w14:paraId="2323D66D" w14:textId="693C0EA4"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17,</w:t>
            </w:r>
            <w:r w:rsidR="00A8657A">
              <w:rPr>
                <w:rFonts w:ascii="Open Sans" w:hAnsi="Open Sans" w:cs="Open Sans"/>
                <w:color w:val="000000"/>
                <w:sz w:val="16"/>
                <w:szCs w:val="16"/>
              </w:rPr>
              <w:t>460</w:t>
            </w:r>
          </w:p>
        </w:tc>
        <w:tc>
          <w:tcPr>
            <w:tcW w:w="1021" w:type="dxa"/>
            <w:tcBorders>
              <w:top w:val="nil"/>
              <w:left w:val="nil"/>
              <w:bottom w:val="single" w:sz="4" w:space="0" w:color="ADD6EA"/>
              <w:right w:val="nil"/>
            </w:tcBorders>
            <w:shd w:val="clear" w:color="000000" w:fill="D6E7F0"/>
            <w:noWrap/>
            <w:vAlign w:val="center"/>
            <w:hideMark/>
          </w:tcPr>
          <w:p w14:paraId="30E5E69F" w14:textId="71996C6C"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w:t>
            </w:r>
            <w:r w:rsidR="00A8657A">
              <w:rPr>
                <w:rFonts w:ascii="Open Sans" w:hAnsi="Open Sans" w:cs="Open Sans"/>
                <w:color w:val="000000"/>
                <w:sz w:val="16"/>
                <w:szCs w:val="16"/>
              </w:rPr>
              <w:t>469</w:t>
            </w:r>
          </w:p>
        </w:tc>
      </w:tr>
      <w:tr w:rsidR="00BD12A8" w:rsidRPr="00815AC3" w14:paraId="5CB1B40F" w14:textId="77777777" w:rsidTr="00305E34">
        <w:trPr>
          <w:trHeight w:val="315"/>
        </w:trPr>
        <w:tc>
          <w:tcPr>
            <w:tcW w:w="2639" w:type="dxa"/>
            <w:tcBorders>
              <w:top w:val="single" w:sz="4" w:space="0" w:color="ADD6EA"/>
              <w:left w:val="nil"/>
              <w:bottom w:val="nil"/>
              <w:right w:val="nil"/>
            </w:tcBorders>
            <w:shd w:val="clear" w:color="auto" w:fill="auto"/>
            <w:vAlign w:val="center"/>
            <w:hideMark/>
          </w:tcPr>
          <w:p w14:paraId="1E3005C3" w14:textId="77777777" w:rsidR="00BD12A8" w:rsidRPr="00815AC3" w:rsidRDefault="00BD12A8" w:rsidP="00305E34">
            <w:pPr>
              <w:tabs>
                <w:tab w:val="clear" w:pos="567"/>
              </w:tabs>
              <w:spacing w:before="0" w:line="240" w:lineRule="auto"/>
              <w:rPr>
                <w:rFonts w:ascii="Open Sans" w:eastAsia="Times New Roman" w:hAnsi="Open Sans" w:cs="Open Sans"/>
                <w:color w:val="000000"/>
                <w:sz w:val="16"/>
                <w:szCs w:val="16"/>
                <w:lang w:eastAsia="en-AU"/>
              </w:rPr>
            </w:pPr>
            <w:r w:rsidRPr="00815AC3">
              <w:rPr>
                <w:rFonts w:ascii="Open Sans" w:eastAsia="Times New Roman" w:hAnsi="Open Sans" w:cs="Open Sans"/>
                <w:color w:val="000000"/>
                <w:sz w:val="16"/>
                <w:szCs w:val="16"/>
                <w:lang w:eastAsia="en-AU"/>
              </w:rPr>
              <w:t>Western Australia</w:t>
            </w:r>
          </w:p>
        </w:tc>
        <w:tc>
          <w:tcPr>
            <w:tcW w:w="880" w:type="dxa"/>
            <w:tcBorders>
              <w:top w:val="nil"/>
              <w:left w:val="nil"/>
              <w:bottom w:val="single" w:sz="4" w:space="0" w:color="ADD6EA"/>
              <w:right w:val="nil"/>
            </w:tcBorders>
            <w:shd w:val="clear" w:color="000000" w:fill="D6E7F0"/>
            <w:noWrap/>
            <w:vAlign w:val="center"/>
            <w:hideMark/>
          </w:tcPr>
          <w:p w14:paraId="3359DC7D" w14:textId="54CC4EE2"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0.70000</w:t>
            </w:r>
          </w:p>
        </w:tc>
        <w:tc>
          <w:tcPr>
            <w:tcW w:w="880" w:type="dxa"/>
            <w:tcBorders>
              <w:top w:val="single" w:sz="4" w:space="0" w:color="ADD6EA"/>
              <w:left w:val="nil"/>
              <w:bottom w:val="nil"/>
              <w:right w:val="nil"/>
            </w:tcBorders>
            <w:shd w:val="clear" w:color="auto" w:fill="auto"/>
            <w:noWrap/>
            <w:vAlign w:val="center"/>
            <w:hideMark/>
          </w:tcPr>
          <w:p w14:paraId="196C684D" w14:textId="07F93537"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0.75000</w:t>
            </w:r>
          </w:p>
        </w:tc>
        <w:tc>
          <w:tcPr>
            <w:tcW w:w="880" w:type="dxa"/>
            <w:tcBorders>
              <w:top w:val="nil"/>
              <w:left w:val="nil"/>
              <w:bottom w:val="single" w:sz="4" w:space="0" w:color="ADD6EA"/>
              <w:right w:val="nil"/>
            </w:tcBorders>
            <w:shd w:val="clear" w:color="000000" w:fill="D6E7F0"/>
            <w:noWrap/>
            <w:vAlign w:val="center"/>
            <w:hideMark/>
          </w:tcPr>
          <w:p w14:paraId="6EEA10FC" w14:textId="586DD71D"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7.6</w:t>
            </w:r>
          </w:p>
        </w:tc>
        <w:tc>
          <w:tcPr>
            <w:tcW w:w="880" w:type="dxa"/>
            <w:tcBorders>
              <w:top w:val="single" w:sz="4" w:space="0" w:color="ADD6EA"/>
              <w:left w:val="nil"/>
              <w:bottom w:val="nil"/>
              <w:right w:val="nil"/>
            </w:tcBorders>
            <w:shd w:val="clear" w:color="auto" w:fill="auto"/>
            <w:noWrap/>
            <w:vAlign w:val="center"/>
            <w:hideMark/>
          </w:tcPr>
          <w:p w14:paraId="249A8A89" w14:textId="6D8E243C"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8.1</w:t>
            </w:r>
          </w:p>
        </w:tc>
        <w:tc>
          <w:tcPr>
            <w:tcW w:w="880" w:type="dxa"/>
            <w:tcBorders>
              <w:top w:val="nil"/>
              <w:left w:val="nil"/>
              <w:bottom w:val="single" w:sz="4" w:space="0" w:color="ADD6EA"/>
              <w:right w:val="nil"/>
            </w:tcBorders>
            <w:shd w:val="clear" w:color="000000" w:fill="D6E7F0"/>
            <w:noWrap/>
            <w:vAlign w:val="center"/>
            <w:hideMark/>
          </w:tcPr>
          <w:p w14:paraId="57C16E54" w14:textId="02A24D27"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6,419</w:t>
            </w:r>
          </w:p>
        </w:tc>
        <w:tc>
          <w:tcPr>
            <w:tcW w:w="880" w:type="dxa"/>
            <w:tcBorders>
              <w:top w:val="single" w:sz="4" w:space="0" w:color="ADD6EA"/>
              <w:left w:val="nil"/>
              <w:bottom w:val="nil"/>
              <w:right w:val="nil"/>
            </w:tcBorders>
            <w:shd w:val="clear" w:color="auto" w:fill="auto"/>
            <w:noWrap/>
            <w:vAlign w:val="center"/>
            <w:hideMark/>
          </w:tcPr>
          <w:p w14:paraId="32B26E13" w14:textId="09F95D89"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7,257</w:t>
            </w:r>
          </w:p>
        </w:tc>
        <w:tc>
          <w:tcPr>
            <w:tcW w:w="1021" w:type="dxa"/>
            <w:tcBorders>
              <w:top w:val="nil"/>
              <w:left w:val="nil"/>
              <w:bottom w:val="single" w:sz="4" w:space="0" w:color="ADD6EA"/>
              <w:right w:val="nil"/>
            </w:tcBorders>
            <w:shd w:val="clear" w:color="000000" w:fill="D6E7F0"/>
            <w:noWrap/>
            <w:vAlign w:val="center"/>
            <w:hideMark/>
          </w:tcPr>
          <w:p w14:paraId="0235956A" w14:textId="3930A609"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838</w:t>
            </w:r>
          </w:p>
        </w:tc>
      </w:tr>
      <w:tr w:rsidR="00BD12A8" w:rsidRPr="00815AC3" w14:paraId="26F4F078" w14:textId="77777777" w:rsidTr="00305E34">
        <w:trPr>
          <w:trHeight w:val="315"/>
        </w:trPr>
        <w:tc>
          <w:tcPr>
            <w:tcW w:w="2639" w:type="dxa"/>
            <w:tcBorders>
              <w:top w:val="single" w:sz="4" w:space="0" w:color="ADD6EA"/>
              <w:left w:val="nil"/>
              <w:bottom w:val="nil"/>
              <w:right w:val="nil"/>
            </w:tcBorders>
            <w:shd w:val="clear" w:color="auto" w:fill="auto"/>
            <w:vAlign w:val="center"/>
            <w:hideMark/>
          </w:tcPr>
          <w:p w14:paraId="28559844" w14:textId="77777777" w:rsidR="00BD12A8" w:rsidRPr="00815AC3" w:rsidRDefault="00BD12A8" w:rsidP="00305E34">
            <w:pPr>
              <w:tabs>
                <w:tab w:val="clear" w:pos="567"/>
              </w:tabs>
              <w:spacing w:before="0" w:line="240" w:lineRule="auto"/>
              <w:rPr>
                <w:rFonts w:ascii="Open Sans" w:eastAsia="Times New Roman" w:hAnsi="Open Sans" w:cs="Open Sans"/>
                <w:color w:val="000000"/>
                <w:sz w:val="16"/>
                <w:szCs w:val="16"/>
                <w:lang w:eastAsia="en-AU"/>
              </w:rPr>
            </w:pPr>
            <w:r w:rsidRPr="00815AC3">
              <w:rPr>
                <w:rFonts w:ascii="Open Sans" w:eastAsia="Times New Roman" w:hAnsi="Open Sans" w:cs="Open Sans"/>
                <w:color w:val="000000"/>
                <w:sz w:val="16"/>
                <w:szCs w:val="16"/>
                <w:lang w:eastAsia="en-AU"/>
              </w:rPr>
              <w:t>South Australia</w:t>
            </w:r>
          </w:p>
        </w:tc>
        <w:tc>
          <w:tcPr>
            <w:tcW w:w="880" w:type="dxa"/>
            <w:tcBorders>
              <w:top w:val="nil"/>
              <w:left w:val="nil"/>
              <w:bottom w:val="single" w:sz="4" w:space="0" w:color="ADD6EA"/>
              <w:right w:val="nil"/>
            </w:tcBorders>
            <w:shd w:val="clear" w:color="000000" w:fill="D6E7F0"/>
            <w:noWrap/>
            <w:vAlign w:val="center"/>
            <w:hideMark/>
          </w:tcPr>
          <w:p w14:paraId="76BF39FF" w14:textId="3380E3E4"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1.39463</w:t>
            </w:r>
          </w:p>
        </w:tc>
        <w:tc>
          <w:tcPr>
            <w:tcW w:w="880" w:type="dxa"/>
            <w:tcBorders>
              <w:top w:val="single" w:sz="4" w:space="0" w:color="ADD6EA"/>
              <w:left w:val="nil"/>
              <w:bottom w:val="nil"/>
              <w:right w:val="nil"/>
            </w:tcBorders>
            <w:shd w:val="clear" w:color="auto" w:fill="auto"/>
            <w:noWrap/>
            <w:vAlign w:val="center"/>
            <w:hideMark/>
          </w:tcPr>
          <w:p w14:paraId="2120EEEA" w14:textId="6B2EBA32"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1.</w:t>
            </w:r>
            <w:r w:rsidR="00A8657A">
              <w:rPr>
                <w:rFonts w:ascii="Open Sans" w:hAnsi="Open Sans" w:cs="Open Sans"/>
                <w:color w:val="000000"/>
                <w:sz w:val="16"/>
                <w:szCs w:val="16"/>
              </w:rPr>
              <w:t>40312</w:t>
            </w:r>
          </w:p>
        </w:tc>
        <w:tc>
          <w:tcPr>
            <w:tcW w:w="880" w:type="dxa"/>
            <w:tcBorders>
              <w:top w:val="nil"/>
              <w:left w:val="nil"/>
              <w:bottom w:val="single" w:sz="4" w:space="0" w:color="ADD6EA"/>
              <w:right w:val="nil"/>
            </w:tcBorders>
            <w:shd w:val="clear" w:color="000000" w:fill="D6E7F0"/>
            <w:noWrap/>
            <w:vAlign w:val="center"/>
            <w:hideMark/>
          </w:tcPr>
          <w:p w14:paraId="077A437B" w14:textId="6674183A"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9.7</w:t>
            </w:r>
          </w:p>
        </w:tc>
        <w:tc>
          <w:tcPr>
            <w:tcW w:w="880" w:type="dxa"/>
            <w:tcBorders>
              <w:top w:val="single" w:sz="4" w:space="0" w:color="ADD6EA"/>
              <w:left w:val="nil"/>
              <w:bottom w:val="nil"/>
              <w:right w:val="nil"/>
            </w:tcBorders>
            <w:shd w:val="clear" w:color="auto" w:fill="auto"/>
            <w:noWrap/>
            <w:vAlign w:val="center"/>
            <w:hideMark/>
          </w:tcPr>
          <w:p w14:paraId="787B6932" w14:textId="3385F482"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9.7</w:t>
            </w:r>
          </w:p>
        </w:tc>
        <w:tc>
          <w:tcPr>
            <w:tcW w:w="880" w:type="dxa"/>
            <w:tcBorders>
              <w:top w:val="nil"/>
              <w:left w:val="nil"/>
              <w:bottom w:val="single" w:sz="4" w:space="0" w:color="ADD6EA"/>
              <w:right w:val="nil"/>
            </w:tcBorders>
            <w:shd w:val="clear" w:color="000000" w:fill="D6E7F0"/>
            <w:noWrap/>
            <w:vAlign w:val="center"/>
            <w:hideMark/>
          </w:tcPr>
          <w:p w14:paraId="317FA71D" w14:textId="24C5F4FE"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8,214</w:t>
            </w:r>
          </w:p>
        </w:tc>
        <w:tc>
          <w:tcPr>
            <w:tcW w:w="880" w:type="dxa"/>
            <w:tcBorders>
              <w:top w:val="single" w:sz="4" w:space="0" w:color="ADD6EA"/>
              <w:left w:val="nil"/>
              <w:bottom w:val="nil"/>
              <w:right w:val="nil"/>
            </w:tcBorders>
            <w:shd w:val="clear" w:color="auto" w:fill="auto"/>
            <w:noWrap/>
            <w:vAlign w:val="center"/>
            <w:hideMark/>
          </w:tcPr>
          <w:p w14:paraId="093AD86F" w14:textId="181CAB68"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8,</w:t>
            </w:r>
            <w:r w:rsidR="00A8657A">
              <w:rPr>
                <w:rFonts w:ascii="Open Sans" w:hAnsi="Open Sans" w:cs="Open Sans"/>
                <w:color w:val="000000"/>
                <w:sz w:val="16"/>
                <w:szCs w:val="16"/>
              </w:rPr>
              <w:t>671</w:t>
            </w:r>
          </w:p>
        </w:tc>
        <w:tc>
          <w:tcPr>
            <w:tcW w:w="1021" w:type="dxa"/>
            <w:tcBorders>
              <w:top w:val="nil"/>
              <w:left w:val="nil"/>
              <w:bottom w:val="single" w:sz="4" w:space="0" w:color="ADD6EA"/>
              <w:right w:val="nil"/>
            </w:tcBorders>
            <w:shd w:val="clear" w:color="000000" w:fill="D6E7F0"/>
            <w:noWrap/>
            <w:vAlign w:val="center"/>
            <w:hideMark/>
          </w:tcPr>
          <w:p w14:paraId="318DC615" w14:textId="54310671" w:rsidR="00BD12A8" w:rsidRPr="00815AC3" w:rsidRDefault="00A8657A"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457</w:t>
            </w:r>
          </w:p>
        </w:tc>
      </w:tr>
      <w:tr w:rsidR="00BD12A8" w:rsidRPr="00815AC3" w14:paraId="2F7BE52E" w14:textId="77777777" w:rsidTr="00305E34">
        <w:trPr>
          <w:trHeight w:val="315"/>
        </w:trPr>
        <w:tc>
          <w:tcPr>
            <w:tcW w:w="2639" w:type="dxa"/>
            <w:tcBorders>
              <w:top w:val="single" w:sz="4" w:space="0" w:color="ADD6EA"/>
              <w:left w:val="nil"/>
              <w:bottom w:val="nil"/>
              <w:right w:val="nil"/>
            </w:tcBorders>
            <w:shd w:val="clear" w:color="auto" w:fill="auto"/>
            <w:vAlign w:val="center"/>
            <w:hideMark/>
          </w:tcPr>
          <w:p w14:paraId="1DB9E118" w14:textId="77777777" w:rsidR="00BD12A8" w:rsidRPr="00815AC3" w:rsidRDefault="00BD12A8" w:rsidP="00305E34">
            <w:pPr>
              <w:tabs>
                <w:tab w:val="clear" w:pos="567"/>
              </w:tabs>
              <w:spacing w:before="0" w:line="240" w:lineRule="auto"/>
              <w:rPr>
                <w:rFonts w:ascii="Open Sans" w:eastAsia="Times New Roman" w:hAnsi="Open Sans" w:cs="Open Sans"/>
                <w:color w:val="000000"/>
                <w:sz w:val="16"/>
                <w:szCs w:val="16"/>
                <w:lang w:eastAsia="en-AU"/>
              </w:rPr>
            </w:pPr>
            <w:r w:rsidRPr="00815AC3">
              <w:rPr>
                <w:rFonts w:ascii="Open Sans" w:eastAsia="Times New Roman" w:hAnsi="Open Sans" w:cs="Open Sans"/>
                <w:color w:val="000000"/>
                <w:sz w:val="16"/>
                <w:szCs w:val="16"/>
                <w:lang w:eastAsia="en-AU"/>
              </w:rPr>
              <w:t>Tasmania</w:t>
            </w:r>
          </w:p>
        </w:tc>
        <w:tc>
          <w:tcPr>
            <w:tcW w:w="880" w:type="dxa"/>
            <w:tcBorders>
              <w:top w:val="nil"/>
              <w:left w:val="nil"/>
              <w:bottom w:val="single" w:sz="4" w:space="0" w:color="ADD6EA"/>
              <w:right w:val="nil"/>
            </w:tcBorders>
            <w:shd w:val="clear" w:color="000000" w:fill="D6E7F0"/>
            <w:noWrap/>
            <w:vAlign w:val="center"/>
            <w:hideMark/>
          </w:tcPr>
          <w:p w14:paraId="7EFD23B7" w14:textId="284B871A"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1.79080</w:t>
            </w:r>
          </w:p>
        </w:tc>
        <w:tc>
          <w:tcPr>
            <w:tcW w:w="880" w:type="dxa"/>
            <w:tcBorders>
              <w:top w:val="single" w:sz="4" w:space="0" w:color="ADD6EA"/>
              <w:left w:val="nil"/>
              <w:bottom w:val="nil"/>
              <w:right w:val="nil"/>
            </w:tcBorders>
            <w:shd w:val="clear" w:color="auto" w:fill="auto"/>
            <w:noWrap/>
            <w:vAlign w:val="center"/>
            <w:hideMark/>
          </w:tcPr>
          <w:p w14:paraId="5050270E" w14:textId="0AC72C79"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1.</w:t>
            </w:r>
            <w:r w:rsidR="00A8657A">
              <w:rPr>
                <w:rFonts w:ascii="Open Sans" w:hAnsi="Open Sans" w:cs="Open Sans"/>
                <w:color w:val="000000"/>
                <w:sz w:val="16"/>
                <w:szCs w:val="16"/>
              </w:rPr>
              <w:t>82832</w:t>
            </w:r>
          </w:p>
        </w:tc>
        <w:tc>
          <w:tcPr>
            <w:tcW w:w="880" w:type="dxa"/>
            <w:tcBorders>
              <w:top w:val="nil"/>
              <w:left w:val="nil"/>
              <w:bottom w:val="single" w:sz="4" w:space="0" w:color="ADD6EA"/>
              <w:right w:val="nil"/>
            </w:tcBorders>
            <w:shd w:val="clear" w:color="000000" w:fill="D6E7F0"/>
            <w:noWrap/>
            <w:vAlign w:val="center"/>
            <w:hideMark/>
          </w:tcPr>
          <w:p w14:paraId="2DF71C6E" w14:textId="5E08E9CA"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3.8</w:t>
            </w:r>
          </w:p>
        </w:tc>
        <w:tc>
          <w:tcPr>
            <w:tcW w:w="880" w:type="dxa"/>
            <w:tcBorders>
              <w:top w:val="single" w:sz="4" w:space="0" w:color="ADD6EA"/>
              <w:left w:val="nil"/>
              <w:bottom w:val="nil"/>
              <w:right w:val="nil"/>
            </w:tcBorders>
            <w:shd w:val="clear" w:color="auto" w:fill="auto"/>
            <w:noWrap/>
            <w:vAlign w:val="center"/>
            <w:hideMark/>
          </w:tcPr>
          <w:p w14:paraId="7C0A615A" w14:textId="220CBCFB"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3.9</w:t>
            </w:r>
          </w:p>
        </w:tc>
        <w:tc>
          <w:tcPr>
            <w:tcW w:w="880" w:type="dxa"/>
            <w:tcBorders>
              <w:top w:val="nil"/>
              <w:left w:val="nil"/>
              <w:bottom w:val="single" w:sz="4" w:space="0" w:color="ADD6EA"/>
              <w:right w:val="nil"/>
            </w:tcBorders>
            <w:shd w:val="clear" w:color="000000" w:fill="D6E7F0"/>
            <w:noWrap/>
            <w:vAlign w:val="center"/>
            <w:hideMark/>
          </w:tcPr>
          <w:p w14:paraId="3545BF25" w14:textId="60209720"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3,257</w:t>
            </w:r>
          </w:p>
        </w:tc>
        <w:tc>
          <w:tcPr>
            <w:tcW w:w="880" w:type="dxa"/>
            <w:tcBorders>
              <w:top w:val="single" w:sz="4" w:space="0" w:color="ADD6EA"/>
              <w:left w:val="nil"/>
              <w:bottom w:val="nil"/>
              <w:right w:val="nil"/>
            </w:tcBorders>
            <w:shd w:val="clear" w:color="auto" w:fill="auto"/>
            <w:noWrap/>
            <w:vAlign w:val="center"/>
            <w:hideMark/>
          </w:tcPr>
          <w:p w14:paraId="4FC2B53F" w14:textId="460DADBD"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3,</w:t>
            </w:r>
            <w:r w:rsidR="00A8657A">
              <w:rPr>
                <w:rFonts w:ascii="Open Sans" w:hAnsi="Open Sans" w:cs="Open Sans"/>
                <w:color w:val="000000"/>
                <w:sz w:val="16"/>
                <w:szCs w:val="16"/>
              </w:rPr>
              <w:t>476</w:t>
            </w:r>
          </w:p>
        </w:tc>
        <w:tc>
          <w:tcPr>
            <w:tcW w:w="1021" w:type="dxa"/>
            <w:tcBorders>
              <w:top w:val="nil"/>
              <w:left w:val="nil"/>
              <w:bottom w:val="single" w:sz="4" w:space="0" w:color="ADD6EA"/>
              <w:right w:val="nil"/>
            </w:tcBorders>
            <w:shd w:val="clear" w:color="000000" w:fill="D6E7F0"/>
            <w:noWrap/>
            <w:vAlign w:val="center"/>
            <w:hideMark/>
          </w:tcPr>
          <w:p w14:paraId="7BB024AC" w14:textId="44FE2F8C" w:rsidR="00BD12A8" w:rsidRPr="00815AC3" w:rsidRDefault="00A8657A"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219</w:t>
            </w:r>
          </w:p>
        </w:tc>
      </w:tr>
      <w:tr w:rsidR="00BD12A8" w:rsidRPr="00815AC3" w14:paraId="7DF797DF" w14:textId="77777777" w:rsidTr="00305E34">
        <w:trPr>
          <w:trHeight w:val="315"/>
        </w:trPr>
        <w:tc>
          <w:tcPr>
            <w:tcW w:w="2639" w:type="dxa"/>
            <w:tcBorders>
              <w:top w:val="single" w:sz="4" w:space="0" w:color="ADD6EA"/>
              <w:left w:val="nil"/>
              <w:bottom w:val="nil"/>
              <w:right w:val="nil"/>
            </w:tcBorders>
            <w:shd w:val="clear" w:color="auto" w:fill="auto"/>
            <w:vAlign w:val="center"/>
            <w:hideMark/>
          </w:tcPr>
          <w:p w14:paraId="3F13D194" w14:textId="77777777" w:rsidR="00BD12A8" w:rsidRPr="00815AC3" w:rsidRDefault="00BD12A8" w:rsidP="00305E34">
            <w:pPr>
              <w:tabs>
                <w:tab w:val="clear" w:pos="567"/>
              </w:tabs>
              <w:spacing w:before="0" w:line="240" w:lineRule="auto"/>
              <w:rPr>
                <w:rFonts w:ascii="Open Sans" w:eastAsia="Times New Roman" w:hAnsi="Open Sans" w:cs="Open Sans"/>
                <w:color w:val="000000"/>
                <w:sz w:val="16"/>
                <w:szCs w:val="16"/>
                <w:lang w:eastAsia="en-AU"/>
              </w:rPr>
            </w:pPr>
            <w:r w:rsidRPr="00815AC3">
              <w:rPr>
                <w:rFonts w:ascii="Open Sans" w:eastAsia="Times New Roman" w:hAnsi="Open Sans" w:cs="Open Sans"/>
                <w:color w:val="000000"/>
                <w:sz w:val="16"/>
                <w:szCs w:val="16"/>
                <w:lang w:eastAsia="en-AU"/>
              </w:rPr>
              <w:t>Australian Capital Territory</w:t>
            </w:r>
          </w:p>
        </w:tc>
        <w:tc>
          <w:tcPr>
            <w:tcW w:w="880" w:type="dxa"/>
            <w:tcBorders>
              <w:top w:val="nil"/>
              <w:left w:val="nil"/>
              <w:bottom w:val="single" w:sz="4" w:space="0" w:color="ADD6EA"/>
              <w:right w:val="nil"/>
            </w:tcBorders>
            <w:shd w:val="clear" w:color="000000" w:fill="D6E7F0"/>
            <w:noWrap/>
            <w:vAlign w:val="center"/>
            <w:hideMark/>
          </w:tcPr>
          <w:p w14:paraId="765BF99F" w14:textId="6185CBD1"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1.19540</w:t>
            </w:r>
          </w:p>
        </w:tc>
        <w:tc>
          <w:tcPr>
            <w:tcW w:w="880" w:type="dxa"/>
            <w:tcBorders>
              <w:top w:val="single" w:sz="4" w:space="0" w:color="ADD6EA"/>
              <w:left w:val="nil"/>
              <w:bottom w:val="nil"/>
              <w:right w:val="nil"/>
            </w:tcBorders>
            <w:shd w:val="clear" w:color="auto" w:fill="auto"/>
            <w:vAlign w:val="center"/>
            <w:hideMark/>
          </w:tcPr>
          <w:p w14:paraId="41844751" w14:textId="5AEA002E"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1.</w:t>
            </w:r>
            <w:r w:rsidR="00A8657A">
              <w:rPr>
                <w:rFonts w:ascii="Open Sans" w:hAnsi="Open Sans" w:cs="Open Sans"/>
                <w:color w:val="000000"/>
                <w:sz w:val="16"/>
                <w:szCs w:val="16"/>
              </w:rPr>
              <w:t>20419</w:t>
            </w:r>
          </w:p>
        </w:tc>
        <w:tc>
          <w:tcPr>
            <w:tcW w:w="880" w:type="dxa"/>
            <w:tcBorders>
              <w:top w:val="nil"/>
              <w:left w:val="nil"/>
              <w:bottom w:val="single" w:sz="4" w:space="0" w:color="ADD6EA"/>
              <w:right w:val="nil"/>
            </w:tcBorders>
            <w:shd w:val="clear" w:color="000000" w:fill="D6E7F0"/>
            <w:noWrap/>
            <w:vAlign w:val="center"/>
            <w:hideMark/>
          </w:tcPr>
          <w:p w14:paraId="0AB0C053" w14:textId="0289C0EB"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2.1</w:t>
            </w:r>
          </w:p>
        </w:tc>
        <w:tc>
          <w:tcPr>
            <w:tcW w:w="880" w:type="dxa"/>
            <w:tcBorders>
              <w:top w:val="single" w:sz="4" w:space="0" w:color="ADD6EA"/>
              <w:left w:val="nil"/>
              <w:bottom w:val="nil"/>
              <w:right w:val="nil"/>
            </w:tcBorders>
            <w:shd w:val="clear" w:color="auto" w:fill="auto"/>
            <w:vAlign w:val="center"/>
            <w:hideMark/>
          </w:tcPr>
          <w:p w14:paraId="39CEF816" w14:textId="0733AFCA"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2.1</w:t>
            </w:r>
          </w:p>
        </w:tc>
        <w:tc>
          <w:tcPr>
            <w:tcW w:w="880" w:type="dxa"/>
            <w:tcBorders>
              <w:top w:val="nil"/>
              <w:left w:val="nil"/>
              <w:bottom w:val="single" w:sz="4" w:space="0" w:color="ADD6EA"/>
              <w:right w:val="nil"/>
            </w:tcBorders>
            <w:shd w:val="clear" w:color="000000" w:fill="D6E7F0"/>
            <w:noWrap/>
            <w:vAlign w:val="center"/>
            <w:hideMark/>
          </w:tcPr>
          <w:p w14:paraId="541025DA" w14:textId="3AF40D82"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1,778</w:t>
            </w:r>
          </w:p>
        </w:tc>
        <w:tc>
          <w:tcPr>
            <w:tcW w:w="880" w:type="dxa"/>
            <w:tcBorders>
              <w:top w:val="single" w:sz="4" w:space="0" w:color="ADD6EA"/>
              <w:left w:val="nil"/>
              <w:bottom w:val="nil"/>
              <w:right w:val="nil"/>
            </w:tcBorders>
            <w:shd w:val="clear" w:color="auto" w:fill="auto"/>
            <w:vAlign w:val="center"/>
            <w:hideMark/>
          </w:tcPr>
          <w:p w14:paraId="0A890F70" w14:textId="6D0AEF31"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1,</w:t>
            </w:r>
            <w:r w:rsidR="00A8657A">
              <w:rPr>
                <w:rFonts w:ascii="Open Sans" w:hAnsi="Open Sans" w:cs="Open Sans"/>
                <w:color w:val="000000"/>
                <w:sz w:val="16"/>
                <w:szCs w:val="16"/>
              </w:rPr>
              <w:t>889</w:t>
            </w:r>
          </w:p>
        </w:tc>
        <w:tc>
          <w:tcPr>
            <w:tcW w:w="1021" w:type="dxa"/>
            <w:tcBorders>
              <w:top w:val="nil"/>
              <w:left w:val="nil"/>
              <w:bottom w:val="single" w:sz="4" w:space="0" w:color="ADD6EA"/>
              <w:right w:val="nil"/>
            </w:tcBorders>
            <w:shd w:val="clear" w:color="000000" w:fill="D6E7F0"/>
            <w:noWrap/>
            <w:vAlign w:val="center"/>
            <w:hideMark/>
          </w:tcPr>
          <w:p w14:paraId="4721FD1A" w14:textId="727C114E" w:rsidR="00BD12A8" w:rsidRPr="00815AC3" w:rsidRDefault="00A8657A"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111</w:t>
            </w:r>
          </w:p>
        </w:tc>
      </w:tr>
      <w:tr w:rsidR="00BD12A8" w:rsidRPr="00815AC3" w14:paraId="0CE19922" w14:textId="77777777" w:rsidTr="00305E34">
        <w:trPr>
          <w:trHeight w:val="315"/>
        </w:trPr>
        <w:tc>
          <w:tcPr>
            <w:tcW w:w="2639" w:type="dxa"/>
            <w:tcBorders>
              <w:top w:val="single" w:sz="4" w:space="0" w:color="ADD6EA"/>
              <w:left w:val="nil"/>
              <w:bottom w:val="nil"/>
              <w:right w:val="nil"/>
            </w:tcBorders>
            <w:shd w:val="clear" w:color="auto" w:fill="auto"/>
            <w:vAlign w:val="center"/>
            <w:hideMark/>
          </w:tcPr>
          <w:p w14:paraId="1E8A4684" w14:textId="77777777" w:rsidR="00BD12A8" w:rsidRPr="00815AC3" w:rsidRDefault="00BD12A8" w:rsidP="00305E34">
            <w:pPr>
              <w:tabs>
                <w:tab w:val="clear" w:pos="567"/>
              </w:tabs>
              <w:spacing w:before="0" w:line="240" w:lineRule="auto"/>
              <w:rPr>
                <w:rFonts w:ascii="Open Sans" w:eastAsia="Times New Roman" w:hAnsi="Open Sans" w:cs="Open Sans"/>
                <w:color w:val="000000"/>
                <w:sz w:val="16"/>
                <w:szCs w:val="16"/>
                <w:lang w:eastAsia="en-AU"/>
              </w:rPr>
            </w:pPr>
            <w:r w:rsidRPr="00815AC3">
              <w:rPr>
                <w:rFonts w:ascii="Open Sans" w:eastAsia="Times New Roman" w:hAnsi="Open Sans" w:cs="Open Sans"/>
                <w:color w:val="000000"/>
                <w:sz w:val="16"/>
                <w:szCs w:val="16"/>
                <w:lang w:eastAsia="en-AU"/>
              </w:rPr>
              <w:t>Northern Territory</w:t>
            </w:r>
          </w:p>
        </w:tc>
        <w:tc>
          <w:tcPr>
            <w:tcW w:w="880" w:type="dxa"/>
            <w:tcBorders>
              <w:top w:val="nil"/>
              <w:left w:val="nil"/>
              <w:bottom w:val="single" w:sz="4" w:space="0" w:color="ADD6EA"/>
              <w:right w:val="nil"/>
            </w:tcBorders>
            <w:shd w:val="clear" w:color="000000" w:fill="D6E7F0"/>
            <w:noWrap/>
            <w:vAlign w:val="center"/>
            <w:hideMark/>
          </w:tcPr>
          <w:p w14:paraId="39BFFD36" w14:textId="455E4944"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4.98725</w:t>
            </w:r>
          </w:p>
        </w:tc>
        <w:tc>
          <w:tcPr>
            <w:tcW w:w="880" w:type="dxa"/>
            <w:tcBorders>
              <w:top w:val="single" w:sz="4" w:space="0" w:color="ADD6EA"/>
              <w:left w:val="nil"/>
              <w:bottom w:val="nil"/>
              <w:right w:val="nil"/>
            </w:tcBorders>
            <w:shd w:val="clear" w:color="auto" w:fill="auto"/>
            <w:noWrap/>
            <w:vAlign w:val="center"/>
            <w:hideMark/>
          </w:tcPr>
          <w:p w14:paraId="1561D07E" w14:textId="67A0BC66"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5.</w:t>
            </w:r>
            <w:r w:rsidR="00A8657A">
              <w:rPr>
                <w:rFonts w:ascii="Open Sans" w:hAnsi="Open Sans" w:cs="Open Sans"/>
                <w:color w:val="000000"/>
                <w:sz w:val="16"/>
                <w:szCs w:val="16"/>
              </w:rPr>
              <w:t>06681</w:t>
            </w:r>
          </w:p>
        </w:tc>
        <w:tc>
          <w:tcPr>
            <w:tcW w:w="880" w:type="dxa"/>
            <w:tcBorders>
              <w:top w:val="nil"/>
              <w:left w:val="nil"/>
              <w:bottom w:val="single" w:sz="4" w:space="0" w:color="ADD6EA"/>
              <w:right w:val="nil"/>
            </w:tcBorders>
            <w:shd w:val="clear" w:color="000000" w:fill="D6E7F0"/>
            <w:noWrap/>
            <w:vAlign w:val="center"/>
            <w:hideMark/>
          </w:tcPr>
          <w:p w14:paraId="64883D60" w14:textId="7152CC3E"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4.7</w:t>
            </w:r>
          </w:p>
        </w:tc>
        <w:tc>
          <w:tcPr>
            <w:tcW w:w="880" w:type="dxa"/>
            <w:tcBorders>
              <w:top w:val="single" w:sz="4" w:space="0" w:color="ADD6EA"/>
              <w:left w:val="nil"/>
              <w:bottom w:val="nil"/>
              <w:right w:val="nil"/>
            </w:tcBorders>
            <w:shd w:val="clear" w:color="auto" w:fill="auto"/>
            <w:noWrap/>
            <w:vAlign w:val="center"/>
            <w:hideMark/>
          </w:tcPr>
          <w:p w14:paraId="59A77047" w14:textId="0F71642E"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4.8</w:t>
            </w:r>
          </w:p>
        </w:tc>
        <w:tc>
          <w:tcPr>
            <w:tcW w:w="880" w:type="dxa"/>
            <w:tcBorders>
              <w:top w:val="nil"/>
              <w:left w:val="nil"/>
              <w:bottom w:val="single" w:sz="4" w:space="0" w:color="ADD6EA"/>
              <w:right w:val="nil"/>
            </w:tcBorders>
            <w:shd w:val="clear" w:color="000000" w:fill="D6E7F0"/>
            <w:noWrap/>
            <w:vAlign w:val="center"/>
            <w:hideMark/>
          </w:tcPr>
          <w:p w14:paraId="078B3CEC" w14:textId="4E7DC983"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4,002</w:t>
            </w:r>
          </w:p>
        </w:tc>
        <w:tc>
          <w:tcPr>
            <w:tcW w:w="880" w:type="dxa"/>
            <w:tcBorders>
              <w:top w:val="single" w:sz="4" w:space="0" w:color="ADD6EA"/>
              <w:left w:val="nil"/>
              <w:bottom w:val="nil"/>
              <w:right w:val="nil"/>
            </w:tcBorders>
            <w:shd w:val="clear" w:color="auto" w:fill="auto"/>
            <w:noWrap/>
            <w:vAlign w:val="center"/>
            <w:hideMark/>
          </w:tcPr>
          <w:p w14:paraId="03ACD725" w14:textId="3D9BAA66" w:rsidR="00BD12A8" w:rsidRPr="00815AC3" w:rsidRDefault="00BD12A8"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4,</w:t>
            </w:r>
            <w:r w:rsidR="00A8657A">
              <w:rPr>
                <w:rFonts w:ascii="Open Sans" w:hAnsi="Open Sans" w:cs="Open Sans"/>
                <w:color w:val="000000"/>
                <w:sz w:val="16"/>
                <w:szCs w:val="16"/>
              </w:rPr>
              <w:t>257</w:t>
            </w:r>
          </w:p>
        </w:tc>
        <w:tc>
          <w:tcPr>
            <w:tcW w:w="1021" w:type="dxa"/>
            <w:tcBorders>
              <w:top w:val="nil"/>
              <w:left w:val="nil"/>
              <w:bottom w:val="single" w:sz="4" w:space="0" w:color="ADD6EA"/>
              <w:right w:val="nil"/>
            </w:tcBorders>
            <w:shd w:val="clear" w:color="000000" w:fill="D6E7F0"/>
            <w:noWrap/>
            <w:vAlign w:val="center"/>
            <w:hideMark/>
          </w:tcPr>
          <w:p w14:paraId="18C65CC4" w14:textId="44EB82D1" w:rsidR="00BD12A8" w:rsidRPr="00815AC3" w:rsidRDefault="00A8657A" w:rsidP="00305E34">
            <w:pPr>
              <w:tabs>
                <w:tab w:val="clear" w:pos="567"/>
              </w:tabs>
              <w:spacing w:before="0" w:line="240" w:lineRule="auto"/>
              <w:jc w:val="right"/>
              <w:rPr>
                <w:rFonts w:ascii="Open Sans" w:eastAsia="Times New Roman" w:hAnsi="Open Sans" w:cs="Open Sans"/>
                <w:color w:val="000000"/>
                <w:sz w:val="16"/>
                <w:szCs w:val="16"/>
                <w:lang w:eastAsia="en-AU"/>
              </w:rPr>
            </w:pPr>
            <w:r>
              <w:rPr>
                <w:rFonts w:ascii="Open Sans" w:hAnsi="Open Sans" w:cs="Open Sans"/>
                <w:color w:val="000000"/>
                <w:sz w:val="16"/>
                <w:szCs w:val="16"/>
              </w:rPr>
              <w:t>256</w:t>
            </w:r>
          </w:p>
        </w:tc>
      </w:tr>
      <w:tr w:rsidR="00BD12A8" w:rsidRPr="00815AC3" w14:paraId="04838FE0" w14:textId="77777777" w:rsidTr="00305E34">
        <w:trPr>
          <w:trHeight w:val="315"/>
        </w:trPr>
        <w:tc>
          <w:tcPr>
            <w:tcW w:w="2639" w:type="dxa"/>
            <w:tcBorders>
              <w:top w:val="single" w:sz="4" w:space="0" w:color="ADD6EA"/>
              <w:left w:val="nil"/>
              <w:bottom w:val="single" w:sz="4" w:space="0" w:color="ADD6EA"/>
              <w:right w:val="nil"/>
            </w:tcBorders>
            <w:shd w:val="clear" w:color="auto" w:fill="D4F2FF" w:themeFill="text1" w:themeFillTint="1A"/>
            <w:vAlign w:val="center"/>
            <w:hideMark/>
          </w:tcPr>
          <w:p w14:paraId="45BC5D3B" w14:textId="77777777" w:rsidR="00BD12A8" w:rsidRPr="00815AC3" w:rsidRDefault="00BD12A8" w:rsidP="00305E34">
            <w:pPr>
              <w:tabs>
                <w:tab w:val="clear" w:pos="567"/>
              </w:tabs>
              <w:spacing w:before="0" w:line="240" w:lineRule="auto"/>
              <w:rPr>
                <w:rFonts w:ascii="Open Sans Semibold" w:eastAsia="Times New Roman" w:hAnsi="Open Sans Semibold" w:cs="Open Sans Semibold"/>
                <w:color w:val="000000"/>
                <w:sz w:val="16"/>
                <w:szCs w:val="16"/>
                <w:lang w:eastAsia="en-AU"/>
              </w:rPr>
            </w:pPr>
            <w:r w:rsidRPr="00815AC3">
              <w:rPr>
                <w:rFonts w:ascii="Open Sans Semibold" w:eastAsia="Times New Roman" w:hAnsi="Open Sans Semibold" w:cs="Open Sans Semibold"/>
                <w:color w:val="000000"/>
                <w:sz w:val="16"/>
                <w:szCs w:val="16"/>
                <w:lang w:eastAsia="en-AU"/>
              </w:rPr>
              <w:t>Total</w:t>
            </w:r>
          </w:p>
        </w:tc>
        <w:tc>
          <w:tcPr>
            <w:tcW w:w="880" w:type="dxa"/>
            <w:tcBorders>
              <w:top w:val="nil"/>
              <w:left w:val="nil"/>
              <w:bottom w:val="single" w:sz="4" w:space="0" w:color="ADD6EA"/>
              <w:right w:val="nil"/>
            </w:tcBorders>
            <w:shd w:val="clear" w:color="000000" w:fill="D6E7F0"/>
            <w:noWrap/>
            <w:vAlign w:val="center"/>
            <w:hideMark/>
          </w:tcPr>
          <w:p w14:paraId="66517CE5" w14:textId="77777777" w:rsidR="00BD12A8" w:rsidRPr="00815AC3" w:rsidRDefault="00BD12A8" w:rsidP="00305E3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1.00000</w:t>
            </w:r>
          </w:p>
        </w:tc>
        <w:tc>
          <w:tcPr>
            <w:tcW w:w="880" w:type="dxa"/>
            <w:tcBorders>
              <w:top w:val="single" w:sz="4" w:space="0" w:color="ADD6EA"/>
              <w:left w:val="nil"/>
              <w:bottom w:val="single" w:sz="4" w:space="0" w:color="ADD6EA"/>
              <w:right w:val="nil"/>
            </w:tcBorders>
            <w:shd w:val="clear" w:color="auto" w:fill="D4F2FF" w:themeFill="text1" w:themeFillTint="1A"/>
            <w:noWrap/>
            <w:vAlign w:val="center"/>
            <w:hideMark/>
          </w:tcPr>
          <w:p w14:paraId="5F313C93" w14:textId="77777777" w:rsidR="00BD12A8" w:rsidRPr="00815AC3" w:rsidRDefault="00BD12A8" w:rsidP="00305E3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1.00000</w:t>
            </w:r>
          </w:p>
        </w:tc>
        <w:tc>
          <w:tcPr>
            <w:tcW w:w="880" w:type="dxa"/>
            <w:tcBorders>
              <w:top w:val="nil"/>
              <w:left w:val="nil"/>
              <w:bottom w:val="single" w:sz="4" w:space="0" w:color="ADD6EA"/>
              <w:right w:val="nil"/>
            </w:tcBorders>
            <w:shd w:val="clear" w:color="000000" w:fill="D6E7F0"/>
            <w:noWrap/>
            <w:vAlign w:val="center"/>
            <w:hideMark/>
          </w:tcPr>
          <w:p w14:paraId="7EEDB601" w14:textId="77777777" w:rsidR="00BD12A8" w:rsidRPr="00815AC3" w:rsidRDefault="00BD12A8" w:rsidP="00305E3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100.0</w:t>
            </w:r>
          </w:p>
        </w:tc>
        <w:tc>
          <w:tcPr>
            <w:tcW w:w="880" w:type="dxa"/>
            <w:tcBorders>
              <w:top w:val="single" w:sz="4" w:space="0" w:color="ADD6EA"/>
              <w:left w:val="nil"/>
              <w:bottom w:val="single" w:sz="4" w:space="0" w:color="ADD6EA"/>
              <w:right w:val="nil"/>
            </w:tcBorders>
            <w:shd w:val="clear" w:color="auto" w:fill="D4F2FF" w:themeFill="text1" w:themeFillTint="1A"/>
            <w:noWrap/>
            <w:vAlign w:val="center"/>
            <w:hideMark/>
          </w:tcPr>
          <w:p w14:paraId="006C4612" w14:textId="77777777" w:rsidR="00BD12A8" w:rsidRPr="00815AC3" w:rsidRDefault="00BD12A8" w:rsidP="00305E3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100.0</w:t>
            </w:r>
          </w:p>
        </w:tc>
        <w:tc>
          <w:tcPr>
            <w:tcW w:w="880" w:type="dxa"/>
            <w:tcBorders>
              <w:top w:val="nil"/>
              <w:left w:val="nil"/>
              <w:bottom w:val="single" w:sz="4" w:space="0" w:color="ADD6EA"/>
              <w:right w:val="nil"/>
            </w:tcBorders>
            <w:shd w:val="clear" w:color="000000" w:fill="D6E7F0"/>
            <w:noWrap/>
            <w:vAlign w:val="center"/>
            <w:hideMark/>
          </w:tcPr>
          <w:p w14:paraId="54C8BDD6" w14:textId="77777777" w:rsidR="00BD12A8" w:rsidRPr="00815AC3" w:rsidRDefault="00BD12A8" w:rsidP="00305E3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84,675</w:t>
            </w:r>
          </w:p>
        </w:tc>
        <w:tc>
          <w:tcPr>
            <w:tcW w:w="880" w:type="dxa"/>
            <w:tcBorders>
              <w:top w:val="single" w:sz="4" w:space="0" w:color="ADD6EA"/>
              <w:left w:val="nil"/>
              <w:bottom w:val="single" w:sz="4" w:space="0" w:color="ADD6EA"/>
              <w:right w:val="nil"/>
            </w:tcBorders>
            <w:shd w:val="clear" w:color="auto" w:fill="D4F2FF" w:themeFill="text1" w:themeFillTint="1A"/>
            <w:noWrap/>
            <w:vAlign w:val="center"/>
            <w:hideMark/>
          </w:tcPr>
          <w:p w14:paraId="34279568" w14:textId="77777777" w:rsidR="00BD12A8" w:rsidRPr="00815AC3" w:rsidRDefault="00BD12A8" w:rsidP="00305E3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89,462</w:t>
            </w:r>
          </w:p>
        </w:tc>
        <w:tc>
          <w:tcPr>
            <w:tcW w:w="1021" w:type="dxa"/>
            <w:tcBorders>
              <w:top w:val="nil"/>
              <w:left w:val="nil"/>
              <w:bottom w:val="single" w:sz="4" w:space="0" w:color="ADD6EA"/>
              <w:right w:val="nil"/>
            </w:tcBorders>
            <w:shd w:val="clear" w:color="000000" w:fill="D6E7F0"/>
            <w:noWrap/>
            <w:vAlign w:val="center"/>
            <w:hideMark/>
          </w:tcPr>
          <w:p w14:paraId="6D9B93D7" w14:textId="77777777" w:rsidR="00BD12A8" w:rsidRPr="00815AC3" w:rsidRDefault="00BD12A8" w:rsidP="00305E3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4,787</w:t>
            </w:r>
          </w:p>
        </w:tc>
      </w:tr>
    </w:tbl>
    <w:p w14:paraId="02FF168A" w14:textId="77777777" w:rsidR="001E581A" w:rsidRDefault="008D1448" w:rsidP="001E581A">
      <w:pPr>
        <w:pStyle w:val="CGCTablenote"/>
        <w:spacing w:after="0"/>
        <w:ind w:left="680" w:hanging="567"/>
      </w:pPr>
      <w:r w:rsidRPr="008D1448">
        <w:t>Note:</w:t>
      </w:r>
      <w:r w:rsidRPr="008D1448">
        <w:tab/>
      </w:r>
      <w:r w:rsidRPr="008D1448">
        <w:tab/>
      </w:r>
      <w:r w:rsidR="001E581A" w:rsidRPr="00875C3F">
        <w:t>The estimated GST pool distribution for 202</w:t>
      </w:r>
      <w:r w:rsidR="001E581A">
        <w:t>4</w:t>
      </w:r>
      <w:r w:rsidR="001E581A" w:rsidRPr="00875C3F">
        <w:t>–</w:t>
      </w:r>
      <w:r w:rsidR="001E581A" w:rsidRPr="00875C3F">
        <w:rPr>
          <w:szCs w:val="14"/>
          <w:rtl/>
        </w:rPr>
        <w:t>‍</w:t>
      </w:r>
      <w:r w:rsidR="001E581A" w:rsidRPr="00875C3F">
        <w:t>2</w:t>
      </w:r>
      <w:r w:rsidR="001E581A">
        <w:t>5</w:t>
      </w:r>
      <w:r w:rsidR="001E581A" w:rsidRPr="00875C3F">
        <w:t xml:space="preserve"> was calculated by applying 202</w:t>
      </w:r>
      <w:r w:rsidR="001E581A">
        <w:t>4</w:t>
      </w:r>
      <w:r w:rsidR="001E581A" w:rsidRPr="00875C3F">
        <w:t xml:space="preserve"> Update relativities to estimated state populations (as of December 2023) and the estimated GST pool for 202</w:t>
      </w:r>
      <w:r w:rsidR="001E581A">
        <w:t>4</w:t>
      </w:r>
      <w:r w:rsidR="001E581A" w:rsidRPr="00875C3F">
        <w:t>–</w:t>
      </w:r>
      <w:r w:rsidR="001E581A" w:rsidRPr="00875C3F">
        <w:rPr>
          <w:szCs w:val="14"/>
          <w:rtl/>
        </w:rPr>
        <w:t>‍</w:t>
      </w:r>
      <w:r w:rsidR="001E581A" w:rsidRPr="003E3903">
        <w:t>2</w:t>
      </w:r>
      <w:r w:rsidR="001E581A">
        <w:t>5</w:t>
      </w:r>
      <w:r w:rsidR="001E581A" w:rsidRPr="00F22240">
        <w:rPr>
          <w:szCs w:val="14"/>
        </w:rPr>
        <w:t>.</w:t>
      </w:r>
      <w:r w:rsidR="001E581A" w:rsidRPr="00875C3F">
        <w:t xml:space="preserve"> </w:t>
      </w:r>
    </w:p>
    <w:p w14:paraId="5A201492" w14:textId="62FF3162" w:rsidR="008D1448" w:rsidRPr="008D1448" w:rsidRDefault="008D1448" w:rsidP="001E581A">
      <w:pPr>
        <w:pStyle w:val="CGCTablenote"/>
        <w:spacing w:after="0"/>
        <w:ind w:left="680" w:hanging="567"/>
      </w:pPr>
      <w:r w:rsidRPr="008D1448">
        <w:t>Source:</w:t>
      </w:r>
      <w:r w:rsidRPr="008D1448">
        <w:tab/>
        <w:t>Commission calculation.</w:t>
      </w:r>
      <w:r w:rsidR="00BD12A8">
        <w:t xml:space="preserve"> </w:t>
      </w:r>
    </w:p>
    <w:p w14:paraId="34316261" w14:textId="112299BE" w:rsidR="002B2FBA" w:rsidRPr="002B2FBA" w:rsidRDefault="002B2FBA" w:rsidP="00E62CF1">
      <w:pPr>
        <w:pStyle w:val="CGCBodyCopy"/>
      </w:pPr>
      <w:r w:rsidRPr="00176548">
        <w:t xml:space="preserve">At the time of its </w:t>
      </w:r>
      <w:hyperlink r:id="rId25" w:tgtFrame="_blank" w:history="1">
        <w:r w:rsidR="00F76590" w:rsidRPr="00745AB7">
          <w:rPr>
            <w:rStyle w:val="normaltextrun"/>
            <w:rFonts w:cs="Segoe UI"/>
            <w:color w:val="006991"/>
            <w:szCs w:val="20"/>
            <w:u w:val="single"/>
          </w:rPr>
          <w:t>Mid-Year Economic and Fiscal Outlook 2023</w:t>
        </w:r>
        <w:r w:rsidR="00EB64B6" w:rsidRPr="00745AB7">
          <w:rPr>
            <w:rStyle w:val="normaltextrun"/>
            <w:rFonts w:cs="Segoe UI"/>
            <w:color w:val="006991"/>
            <w:szCs w:val="20"/>
            <w:u w:val="single"/>
          </w:rPr>
          <w:t>–</w:t>
        </w:r>
        <w:r w:rsidR="00F76590" w:rsidRPr="00745AB7">
          <w:rPr>
            <w:rStyle w:val="normaltextrun"/>
            <w:rFonts w:cs="Segoe UI"/>
            <w:color w:val="006991"/>
            <w:szCs w:val="20"/>
            <w:u w:val="single"/>
          </w:rPr>
          <w:t>24</w:t>
        </w:r>
      </w:hyperlink>
      <w:r w:rsidR="00F76590" w:rsidRPr="00176548">
        <w:rPr>
          <w:rStyle w:val="normaltextrun"/>
          <w:szCs w:val="20"/>
        </w:rPr>
        <w:t xml:space="preserve"> the Commonwealth Government anticipated an increase in the GST pool from around $85</w:t>
      </w:r>
      <w:r w:rsidR="00F76590" w:rsidRPr="00176548">
        <w:rPr>
          <w:rStyle w:val="normaltextrun"/>
          <w:rFonts w:ascii="Times New Roman" w:hAnsi="Times New Roman" w:cs="Times New Roman"/>
          <w:szCs w:val="20"/>
        </w:rPr>
        <w:t> </w:t>
      </w:r>
      <w:r w:rsidR="00F76590" w:rsidRPr="00176548">
        <w:rPr>
          <w:rStyle w:val="normaltextrun"/>
          <w:szCs w:val="20"/>
        </w:rPr>
        <w:t>billion in 2023–</w:t>
      </w:r>
      <w:r w:rsidR="00F76590" w:rsidRPr="00176548">
        <w:rPr>
          <w:rStyle w:val="normaltextrun"/>
          <w:rFonts w:ascii="Times New Roman" w:hAnsi="Times New Roman" w:cs="Times New Roman"/>
          <w:szCs w:val="20"/>
        </w:rPr>
        <w:t>‍</w:t>
      </w:r>
      <w:r w:rsidR="00F76590" w:rsidRPr="00176548">
        <w:rPr>
          <w:rStyle w:val="normaltextrun"/>
          <w:szCs w:val="20"/>
        </w:rPr>
        <w:t>24 to around $89</w:t>
      </w:r>
      <w:r w:rsidR="00F76590" w:rsidRPr="00176548">
        <w:rPr>
          <w:rStyle w:val="normaltextrun"/>
          <w:rFonts w:ascii="Times New Roman" w:hAnsi="Times New Roman" w:cs="Times New Roman"/>
          <w:szCs w:val="20"/>
        </w:rPr>
        <w:t> </w:t>
      </w:r>
      <w:r w:rsidR="00F76590" w:rsidRPr="00176548">
        <w:rPr>
          <w:rStyle w:val="normaltextrun"/>
          <w:szCs w:val="20"/>
        </w:rPr>
        <w:t>billion in 2024–</w:t>
      </w:r>
      <w:r w:rsidR="00F76590" w:rsidRPr="00176548">
        <w:rPr>
          <w:rStyle w:val="normaltextrun"/>
          <w:rFonts w:ascii="Times New Roman" w:hAnsi="Times New Roman" w:cs="Times New Roman"/>
          <w:szCs w:val="20"/>
        </w:rPr>
        <w:t>‍</w:t>
      </w:r>
      <w:r w:rsidR="00F76590" w:rsidRPr="00176548">
        <w:rPr>
          <w:rStyle w:val="normaltextrun"/>
          <w:szCs w:val="20"/>
        </w:rPr>
        <w:t>25</w:t>
      </w:r>
      <w:r w:rsidR="00F76590" w:rsidRPr="00176548">
        <w:t xml:space="preserve">. </w:t>
      </w:r>
      <w:r w:rsidR="00814764">
        <w:t>All states, e</w:t>
      </w:r>
      <w:r w:rsidR="008B6B7E">
        <w:t>xcept</w:t>
      </w:r>
      <w:r w:rsidR="00F76590" w:rsidRPr="00176548">
        <w:t xml:space="preserve"> </w:t>
      </w:r>
      <w:r w:rsidR="00E25418" w:rsidRPr="00176548">
        <w:t>New South Wales and Queensland</w:t>
      </w:r>
      <w:r w:rsidR="00987526">
        <w:t>,</w:t>
      </w:r>
      <w:r w:rsidR="00E25418" w:rsidRPr="00176548">
        <w:t xml:space="preserve"> are </w:t>
      </w:r>
      <w:r w:rsidR="00703F0E">
        <w:t>estimated</w:t>
      </w:r>
      <w:r w:rsidR="00E25418" w:rsidRPr="00176548">
        <w:t xml:space="preserve"> to receive </w:t>
      </w:r>
      <w:r w:rsidR="009903BE">
        <w:t>more</w:t>
      </w:r>
      <w:r w:rsidR="00E25418" w:rsidRPr="00176548">
        <w:t xml:space="preserve"> GST in 2024–</w:t>
      </w:r>
      <w:r w:rsidR="00E25418" w:rsidRPr="00176548">
        <w:rPr>
          <w:rFonts w:ascii="Times New Roman" w:hAnsi="Times New Roman" w:cs="Times New Roman"/>
        </w:rPr>
        <w:t>‍</w:t>
      </w:r>
      <w:r w:rsidR="00E25418" w:rsidRPr="00176548">
        <w:t>25 than they did in 2023</w:t>
      </w:r>
      <w:r w:rsidR="000C2B87">
        <w:t>–</w:t>
      </w:r>
      <w:r w:rsidR="00E25418" w:rsidRPr="00176548">
        <w:t>24</w:t>
      </w:r>
      <w:r w:rsidR="00A2316B">
        <w:t>.</w:t>
      </w:r>
      <w:r w:rsidR="00E25418" w:rsidRPr="00176548">
        <w:t xml:space="preserve"> </w:t>
      </w:r>
    </w:p>
    <w:p w14:paraId="6597F0F0" w14:textId="77777777" w:rsidR="002B2FBA" w:rsidRPr="002B2FBA" w:rsidRDefault="002B2FBA" w:rsidP="002952CC">
      <w:pPr>
        <w:pStyle w:val="Heading2"/>
        <w:rPr>
          <w:rFonts w:eastAsiaTheme="minorHAnsi"/>
          <w:shd w:val="clear" w:color="auto" w:fill="FFFFFF"/>
        </w:rPr>
      </w:pPr>
      <w:r w:rsidRPr="002B2FBA">
        <w:rPr>
          <w:rFonts w:eastAsiaTheme="minorHAnsi"/>
          <w:shd w:val="clear" w:color="auto" w:fill="FFFFFF"/>
        </w:rPr>
        <w:t xml:space="preserve">Key developments affecting GST </w:t>
      </w:r>
      <w:proofErr w:type="gramStart"/>
      <w:r w:rsidRPr="002B2FBA">
        <w:rPr>
          <w:rFonts w:eastAsiaTheme="minorHAnsi"/>
          <w:shd w:val="clear" w:color="auto" w:fill="FFFFFF"/>
        </w:rPr>
        <w:t>distribution</w:t>
      </w:r>
      <w:proofErr w:type="gramEnd"/>
    </w:p>
    <w:p w14:paraId="11030EE4" w14:textId="59FA09B7" w:rsidR="002B2FBA" w:rsidRPr="002B2FBA" w:rsidRDefault="002B2FBA" w:rsidP="00E62CF1">
      <w:pPr>
        <w:pStyle w:val="CGCBodyCopy"/>
      </w:pPr>
      <w:r w:rsidRPr="002B2FBA">
        <w:t>The 202</w:t>
      </w:r>
      <w:r w:rsidR="00E26E14">
        <w:t>4</w:t>
      </w:r>
      <w:r w:rsidRPr="002B2FBA">
        <w:t xml:space="preserve"> Update contains </w:t>
      </w:r>
      <w:r w:rsidR="00E07792">
        <w:t>details</w:t>
      </w:r>
      <w:r w:rsidRPr="002B2FBA">
        <w:t xml:space="preserve"> of the factors influencing </w:t>
      </w:r>
      <w:r w:rsidR="002A4346">
        <w:t xml:space="preserve">the </w:t>
      </w:r>
      <w:r w:rsidRPr="002B2FBA">
        <w:t>GST distribution in 202</w:t>
      </w:r>
      <w:r w:rsidR="00E26E14">
        <w:t>4</w:t>
      </w:r>
      <w:r w:rsidR="003B5E35">
        <w:t>–</w:t>
      </w:r>
      <w:r w:rsidR="003B5E35">
        <w:rPr>
          <w:rFonts w:ascii="Times New Roman" w:hAnsi="Times New Roman" w:cs="Times New Roman" w:hint="cs"/>
          <w:rtl/>
        </w:rPr>
        <w:t>‍</w:t>
      </w:r>
      <w:r w:rsidRPr="002B2FBA">
        <w:t>2</w:t>
      </w:r>
      <w:r w:rsidR="00E26E14">
        <w:t>5</w:t>
      </w:r>
      <w:r w:rsidRPr="002B2FBA">
        <w:t xml:space="preserve">, along with a state-by-state breakdown of the changes. </w:t>
      </w:r>
      <w:r w:rsidR="00F257AD">
        <w:t>The</w:t>
      </w:r>
      <w:r w:rsidR="00A37041">
        <w:t xml:space="preserve"> f</w:t>
      </w:r>
      <w:r w:rsidRPr="002B2FBA">
        <w:t>ollowing is a summary of the key developments.</w:t>
      </w:r>
    </w:p>
    <w:p w14:paraId="3D5F034A" w14:textId="320D8567" w:rsidR="002B2FBA" w:rsidRPr="00523EB0" w:rsidRDefault="0066612E" w:rsidP="00523EB0">
      <w:pPr>
        <w:pStyle w:val="Heading3"/>
      </w:pPr>
      <w:r>
        <w:t>M</w:t>
      </w:r>
      <w:r w:rsidR="002B2FBA" w:rsidRPr="00523EB0">
        <w:t>ining production</w:t>
      </w:r>
    </w:p>
    <w:p w14:paraId="591834FB" w14:textId="00E822AA" w:rsidR="004F69AF" w:rsidRDefault="002B2FBA" w:rsidP="00E62CF1">
      <w:pPr>
        <w:pStyle w:val="CGCBodyCopy"/>
      </w:pPr>
      <w:r w:rsidRPr="008B711B">
        <w:t>Mining royalties</w:t>
      </w:r>
      <w:r w:rsidRPr="00497BD3">
        <w:t xml:space="preserve"> are </w:t>
      </w:r>
      <w:r w:rsidR="00C44E6F" w:rsidRPr="00F75717">
        <w:t xml:space="preserve">a major source of revenue for some states and are a significant factor </w:t>
      </w:r>
      <w:r w:rsidR="00DD06CF" w:rsidRPr="00F75717">
        <w:t xml:space="preserve">influencing </w:t>
      </w:r>
      <w:r w:rsidR="00C44E6F" w:rsidRPr="00F75717">
        <w:t>relative state fiscal ca</w:t>
      </w:r>
      <w:r w:rsidR="00EC6477" w:rsidRPr="00F75717">
        <w:t>pa</w:t>
      </w:r>
      <w:r w:rsidR="00C44E6F" w:rsidRPr="00F75717">
        <w:t>cities</w:t>
      </w:r>
      <w:r w:rsidR="00EC6477" w:rsidRPr="00F75717">
        <w:t>,</w:t>
      </w:r>
      <w:r w:rsidR="00C44E6F" w:rsidRPr="00F75717">
        <w:t xml:space="preserve"> and therefore GS</w:t>
      </w:r>
      <w:r w:rsidR="00EC6477" w:rsidRPr="00F75717">
        <w:t>T</w:t>
      </w:r>
      <w:r w:rsidR="00C44E6F" w:rsidRPr="00F75717">
        <w:t xml:space="preserve"> distribution. </w:t>
      </w:r>
      <w:r w:rsidRPr="00F75717">
        <w:t>For example, iron</w:t>
      </w:r>
      <w:r w:rsidR="00900635">
        <w:t> </w:t>
      </w:r>
      <w:r w:rsidRPr="00F75717">
        <w:t xml:space="preserve">ore resources are concentrated in Western Australia, </w:t>
      </w:r>
      <w:r w:rsidR="00346219" w:rsidRPr="00F75717">
        <w:t xml:space="preserve">while </w:t>
      </w:r>
      <w:r w:rsidR="00CA4A14" w:rsidRPr="00F75717">
        <w:t>black</w:t>
      </w:r>
      <w:r w:rsidR="00EF2F9B" w:rsidRPr="00F75717">
        <w:t xml:space="preserve"> </w:t>
      </w:r>
      <w:r w:rsidR="00346219" w:rsidRPr="00F75717">
        <w:t>coal</w:t>
      </w:r>
      <w:r w:rsidR="00CC2686" w:rsidRPr="00F75717">
        <w:t xml:space="preserve"> is mined predominantly in </w:t>
      </w:r>
      <w:r w:rsidRPr="00F75717">
        <w:t>New South Wales</w:t>
      </w:r>
      <w:r w:rsidR="004B22BA">
        <w:t xml:space="preserve"> and </w:t>
      </w:r>
      <w:r w:rsidR="004B22BA" w:rsidRPr="00F75717">
        <w:t>Queensland</w:t>
      </w:r>
      <w:r w:rsidR="008103A3">
        <w:t xml:space="preserve">. </w:t>
      </w:r>
      <w:r w:rsidR="004D0F5C" w:rsidRPr="004D0F5C">
        <w:t>In recent years, increases in commodity prices have had a big influence on the value of mining activity, and in turn the revenue</w:t>
      </w:r>
      <w:r w:rsidR="00013352">
        <w:t xml:space="preserve"> </w:t>
      </w:r>
      <w:r w:rsidR="004D0F5C" w:rsidRPr="004D0F5C">
        <w:t>raising capacit</w:t>
      </w:r>
      <w:r w:rsidR="00E330A1">
        <w:t>ies</w:t>
      </w:r>
      <w:r w:rsidR="004D0F5C" w:rsidRPr="004D0F5C">
        <w:t xml:space="preserve"> of </w:t>
      </w:r>
      <w:r w:rsidR="002048B8">
        <w:t>these 3</w:t>
      </w:r>
      <w:r w:rsidR="004D0F5C" w:rsidRPr="004D0F5C">
        <w:t xml:space="preserve"> states</w:t>
      </w:r>
      <w:r w:rsidR="00AF31E8">
        <w:t>.</w:t>
      </w:r>
    </w:p>
    <w:p w14:paraId="3A20DE45" w14:textId="6105D2AE" w:rsidR="00DD1F48" w:rsidRDefault="001F54C8" w:rsidP="00E62CF1">
      <w:pPr>
        <w:pStyle w:val="CGCBodyCopy"/>
      </w:pPr>
      <w:r>
        <w:t xml:space="preserve">Coal royalties </w:t>
      </w:r>
      <w:r w:rsidR="004B22BA">
        <w:t>were</w:t>
      </w:r>
      <w:r>
        <w:t xml:space="preserve"> the largest </w:t>
      </w:r>
      <w:r w:rsidR="00445EDB">
        <w:t xml:space="preserve">component of the mining </w:t>
      </w:r>
      <w:r w:rsidR="00C77766">
        <w:t xml:space="preserve">revenue assessment in </w:t>
      </w:r>
      <w:r w:rsidR="003A580C">
        <w:t>the 2024</w:t>
      </w:r>
      <w:r w:rsidR="00C77766">
        <w:t xml:space="preserve"> </w:t>
      </w:r>
      <w:r w:rsidR="00667754">
        <w:t>Update</w:t>
      </w:r>
      <w:r w:rsidR="00C77766">
        <w:t xml:space="preserve">. </w:t>
      </w:r>
      <w:r w:rsidR="00C77766" w:rsidRPr="008B10B9">
        <w:t xml:space="preserve">They continued to </w:t>
      </w:r>
      <w:r w:rsidR="00296F4E" w:rsidRPr="008B10B9">
        <w:t>gr</w:t>
      </w:r>
      <w:r w:rsidR="00C77766" w:rsidRPr="008B10B9">
        <w:t>o</w:t>
      </w:r>
      <w:r w:rsidR="00296F4E" w:rsidRPr="008B10B9">
        <w:t>w strongly</w:t>
      </w:r>
      <w:r w:rsidR="00DD1F48" w:rsidRPr="008B10B9">
        <w:t xml:space="preserve"> </w:t>
      </w:r>
      <w:r w:rsidR="000307E6" w:rsidRPr="008B10B9">
        <w:t>due to</w:t>
      </w:r>
      <w:r w:rsidR="00DD1F48" w:rsidRPr="008B10B9">
        <w:t xml:space="preserve"> </w:t>
      </w:r>
      <w:r w:rsidR="00987526" w:rsidRPr="008B10B9">
        <w:t>an</w:t>
      </w:r>
      <w:r w:rsidR="000307E6" w:rsidRPr="008B10B9">
        <w:t xml:space="preserve"> </w:t>
      </w:r>
      <w:r w:rsidR="00DD1F48" w:rsidRPr="008B10B9">
        <w:t>increase</w:t>
      </w:r>
      <w:r w:rsidR="00D040F7" w:rsidRPr="008B10B9">
        <w:t xml:space="preserve"> in </w:t>
      </w:r>
      <w:r w:rsidR="000E4E68" w:rsidRPr="008B10B9">
        <w:t xml:space="preserve">both </w:t>
      </w:r>
      <w:r w:rsidR="006E56BD" w:rsidRPr="008B10B9">
        <w:t xml:space="preserve">coal </w:t>
      </w:r>
      <w:r w:rsidR="00547B01" w:rsidRPr="008B10B9">
        <w:t>price</w:t>
      </w:r>
      <w:r w:rsidR="006E56BD" w:rsidRPr="008B10B9">
        <w:t>s</w:t>
      </w:r>
      <w:r w:rsidR="00547B01" w:rsidRPr="008B10B9">
        <w:t xml:space="preserve"> and </w:t>
      </w:r>
      <w:r w:rsidR="0031387B" w:rsidRPr="008B10B9">
        <w:t xml:space="preserve">the national average </w:t>
      </w:r>
      <w:r w:rsidR="008065DB" w:rsidRPr="008B10B9">
        <w:t xml:space="preserve">coal </w:t>
      </w:r>
      <w:r w:rsidR="0031387B" w:rsidRPr="008B10B9">
        <w:t>royalty</w:t>
      </w:r>
      <w:r w:rsidR="0031387B">
        <w:t xml:space="preserve"> rate</w:t>
      </w:r>
      <w:r w:rsidR="00547B01">
        <w:t>. Royalties</w:t>
      </w:r>
      <w:r w:rsidR="000307E6">
        <w:t xml:space="preserve"> reached a new high in 2022</w:t>
      </w:r>
      <w:r w:rsidR="002F0072">
        <w:t>–</w:t>
      </w:r>
      <w:r w:rsidR="000307E6">
        <w:t>23</w:t>
      </w:r>
      <w:r w:rsidR="002A2BD9">
        <w:t xml:space="preserve"> (</w:t>
      </w:r>
      <w:r w:rsidR="00802A66">
        <w:fldChar w:fldCharType="begin"/>
      </w:r>
      <w:r w:rsidR="00802A66">
        <w:instrText xml:space="preserve"> REF _Ref160625161 \h </w:instrText>
      </w:r>
      <w:r w:rsidR="00802A66">
        <w:fldChar w:fldCharType="separate"/>
      </w:r>
      <w:r w:rsidR="00802A66">
        <w:t xml:space="preserve">Figure </w:t>
      </w:r>
      <w:r w:rsidR="00802A66">
        <w:rPr>
          <w:noProof/>
        </w:rPr>
        <w:t>1</w:t>
      </w:r>
      <w:r w:rsidR="00802A66">
        <w:fldChar w:fldCharType="end"/>
      </w:r>
      <w:r w:rsidR="002A2BD9">
        <w:t>)</w:t>
      </w:r>
      <w:r w:rsidR="00271BB4">
        <w:t xml:space="preserve">. </w:t>
      </w:r>
      <w:r w:rsidR="0078052A">
        <w:t>As a result of the strength of coal</w:t>
      </w:r>
      <w:r w:rsidR="170229BC">
        <w:t xml:space="preserve"> royalties</w:t>
      </w:r>
      <w:r w:rsidR="0078052A">
        <w:t xml:space="preserve">, </w:t>
      </w:r>
      <w:r w:rsidR="009A2DE4">
        <w:t>New South Wales and</w:t>
      </w:r>
      <w:r w:rsidR="005D33FB">
        <w:t xml:space="preserve"> Queensland </w:t>
      </w:r>
      <w:r w:rsidR="0078052A">
        <w:t>were</w:t>
      </w:r>
      <w:r w:rsidR="005D33FB">
        <w:t xml:space="preserve"> assessed to </w:t>
      </w:r>
      <w:r w:rsidR="00CB70DA">
        <w:t xml:space="preserve">have </w:t>
      </w:r>
      <w:r w:rsidR="00DA11B4">
        <w:t>higher</w:t>
      </w:r>
      <w:r w:rsidR="00CB70DA">
        <w:t xml:space="preserve"> capacity</w:t>
      </w:r>
      <w:r w:rsidR="00F07752">
        <w:t xml:space="preserve"> </w:t>
      </w:r>
      <w:r w:rsidR="00DA11B4">
        <w:t>than last year to raise revenue from mining royalties</w:t>
      </w:r>
      <w:r w:rsidR="0078052A">
        <w:t xml:space="preserve">. This </w:t>
      </w:r>
      <w:r w:rsidR="00DA11B4">
        <w:t>led to</w:t>
      </w:r>
      <w:r w:rsidR="0078052A">
        <w:t xml:space="preserve"> a </w:t>
      </w:r>
      <w:r w:rsidR="00413F16">
        <w:t>reduction</w:t>
      </w:r>
      <w:r w:rsidR="00232E04">
        <w:t xml:space="preserve"> </w:t>
      </w:r>
      <w:r w:rsidR="00413F16">
        <w:t xml:space="preserve">in </w:t>
      </w:r>
      <w:r w:rsidR="00B95C6A">
        <w:t>their</w:t>
      </w:r>
      <w:r w:rsidR="00DE2251">
        <w:t xml:space="preserve"> assessed</w:t>
      </w:r>
      <w:r w:rsidR="00B95C6A">
        <w:t xml:space="preserve"> GST needs</w:t>
      </w:r>
      <w:r w:rsidR="00AF375C">
        <w:t xml:space="preserve"> and an increase in the</w:t>
      </w:r>
      <w:r w:rsidR="007C6383">
        <w:t xml:space="preserve"> assessed</w:t>
      </w:r>
      <w:r w:rsidR="00AF375C">
        <w:t xml:space="preserve"> GST needs of other states</w:t>
      </w:r>
      <w:r w:rsidR="00EF5C33">
        <w:t>, including a significant increase for Victoria</w:t>
      </w:r>
      <w:r w:rsidR="00232E04">
        <w:t>.</w:t>
      </w:r>
    </w:p>
    <w:p w14:paraId="09D3D9B9" w14:textId="77777777" w:rsidR="008E5FD2" w:rsidRDefault="008E5FD2" w:rsidP="00E62CF1">
      <w:pPr>
        <w:pStyle w:val="CGCBodyCopy"/>
      </w:pPr>
    </w:p>
    <w:p w14:paraId="22862BAD" w14:textId="6F5EF87C" w:rsidR="00D70ABF" w:rsidRDefault="00D70ABF" w:rsidP="00E62CF1">
      <w:pPr>
        <w:pStyle w:val="CGCBodyCopy"/>
      </w:pPr>
      <w:r>
        <w:lastRenderedPageBreak/>
        <w:t>Similarly</w:t>
      </w:r>
      <w:r w:rsidR="00BC5E6B">
        <w:t>,</w:t>
      </w:r>
      <w:r>
        <w:t xml:space="preserve"> </w:t>
      </w:r>
      <w:r w:rsidR="00523DB3">
        <w:t>other mineral royalties continued to grow</w:t>
      </w:r>
      <w:r w:rsidR="003F4AE8">
        <w:t>,</w:t>
      </w:r>
      <w:r w:rsidR="00523DB3">
        <w:t xml:space="preserve"> with </w:t>
      </w:r>
      <w:r w:rsidR="00A56A4D">
        <w:t xml:space="preserve">lithium </w:t>
      </w:r>
      <w:r w:rsidR="00B07053">
        <w:t>royalties rising</w:t>
      </w:r>
      <w:r w:rsidR="00D5011A">
        <w:t xml:space="preserve"> </w:t>
      </w:r>
      <w:r w:rsidR="00137E4B">
        <w:t>to o</w:t>
      </w:r>
      <w:r w:rsidR="006317B3">
        <w:t>ver</w:t>
      </w:r>
      <w:r w:rsidR="00B07053">
        <w:t xml:space="preserve"> $1</w:t>
      </w:r>
      <w:r w:rsidR="005B00B7">
        <w:t> </w:t>
      </w:r>
      <w:r w:rsidR="00D5011A">
        <w:t>billion</w:t>
      </w:r>
      <w:r w:rsidR="00E17AB7">
        <w:t xml:space="preserve"> </w:t>
      </w:r>
      <w:r w:rsidR="00BC405D">
        <w:t>while onshore oil and gas exceeded $2</w:t>
      </w:r>
      <w:r w:rsidR="00D5011A">
        <w:t xml:space="preserve"> billion. </w:t>
      </w:r>
      <w:r w:rsidR="00E346B9">
        <w:t xml:space="preserve">A smaller contributor to </w:t>
      </w:r>
      <w:r w:rsidR="00625713">
        <w:t xml:space="preserve">the growth in mining revenue </w:t>
      </w:r>
      <w:r w:rsidR="00E346B9">
        <w:t>was n</w:t>
      </w:r>
      <w:r w:rsidR="00523DB3">
        <w:t>ickel royalties</w:t>
      </w:r>
      <w:r w:rsidR="00E32275">
        <w:t>,</w:t>
      </w:r>
      <w:r w:rsidR="00523DB3">
        <w:t xml:space="preserve"> increasing to $138</w:t>
      </w:r>
      <w:r w:rsidR="00EB447F">
        <w:t xml:space="preserve"> </w:t>
      </w:r>
      <w:r w:rsidR="00523DB3">
        <w:t>m</w:t>
      </w:r>
      <w:r w:rsidR="00EB447F">
        <w:t>illion</w:t>
      </w:r>
      <w:r w:rsidR="00E346B9">
        <w:t>.</w:t>
      </w:r>
      <w:r w:rsidR="00D260D7">
        <w:t xml:space="preserve"> These changes collectively saw </w:t>
      </w:r>
      <w:r w:rsidR="00592CE3">
        <w:t xml:space="preserve">reductions in </w:t>
      </w:r>
      <w:r w:rsidR="00D260D7">
        <w:t>the</w:t>
      </w:r>
      <w:r w:rsidR="008A5B6E">
        <w:t xml:space="preserve"> assessed</w:t>
      </w:r>
      <w:r w:rsidR="00D260D7">
        <w:t xml:space="preserve"> GST needs of Queensland and Western</w:t>
      </w:r>
      <w:r w:rsidR="00375FE7">
        <w:t> </w:t>
      </w:r>
      <w:r w:rsidR="00D260D7">
        <w:t>Australia</w:t>
      </w:r>
      <w:r w:rsidR="00F07752">
        <w:t>,</w:t>
      </w:r>
      <w:r w:rsidR="00D260D7">
        <w:t xml:space="preserve"> wh</w:t>
      </w:r>
      <w:r w:rsidR="009B5C23">
        <w:t>ich</w:t>
      </w:r>
      <w:r w:rsidR="00D260D7">
        <w:t xml:space="preserve"> produce </w:t>
      </w:r>
      <w:r w:rsidR="00F07752">
        <w:t>most of</w:t>
      </w:r>
      <w:r w:rsidR="00D260D7">
        <w:t xml:space="preserve"> </w:t>
      </w:r>
      <w:r w:rsidR="00190C2F">
        <w:t xml:space="preserve">these minerals. </w:t>
      </w:r>
    </w:p>
    <w:p w14:paraId="1F80FF6D" w14:textId="01D1A267" w:rsidR="000E1C24" w:rsidRDefault="00364CB4" w:rsidP="00E62CF1">
      <w:pPr>
        <w:pStyle w:val="CGCBodyCopy"/>
      </w:pPr>
      <w:r>
        <w:t>In contrast</w:t>
      </w:r>
      <w:r w:rsidR="00D70ABF">
        <w:t>, i</w:t>
      </w:r>
      <w:r w:rsidR="007F13B7">
        <w:t xml:space="preserve">ron ore </w:t>
      </w:r>
      <w:r w:rsidR="002371B0">
        <w:t>royalties fell in 2022</w:t>
      </w:r>
      <w:r w:rsidR="002B774D">
        <w:t>–</w:t>
      </w:r>
      <w:r w:rsidR="002371B0">
        <w:t>23 after reaching a peak in 2020</w:t>
      </w:r>
      <w:r w:rsidR="002B774D">
        <w:t>–</w:t>
      </w:r>
      <w:r w:rsidR="002371B0">
        <w:t>21</w:t>
      </w:r>
      <w:r w:rsidR="006317B3">
        <w:t xml:space="preserve">. </w:t>
      </w:r>
      <w:r w:rsidR="005012BC" w:rsidRPr="000B5751">
        <w:t>This added to the increase in Western Australia</w:t>
      </w:r>
      <w:r w:rsidR="005012BC">
        <w:t>’s</w:t>
      </w:r>
      <w:r w:rsidR="005012BC" w:rsidRPr="000B5751">
        <w:t xml:space="preserve"> assessed GST needs </w:t>
      </w:r>
      <w:r w:rsidR="005012BC">
        <w:t xml:space="preserve">related to </w:t>
      </w:r>
      <w:r w:rsidR="005012BC" w:rsidRPr="000B5751">
        <w:t>the strong growth in coal royalties.</w:t>
      </w:r>
    </w:p>
    <w:p w14:paraId="75A52615" w14:textId="36788E07" w:rsidR="00FC777A" w:rsidRDefault="00802A66" w:rsidP="0043488D">
      <w:pPr>
        <w:pStyle w:val="Caption"/>
        <w:rPr>
          <w:shd w:val="clear" w:color="auto" w:fill="FFFFFF"/>
        </w:rPr>
      </w:pPr>
      <w:bookmarkStart w:id="1" w:name="_Ref160625161"/>
      <w:r>
        <w:t xml:space="preserve">Figure </w:t>
      </w:r>
      <w:fldSimple w:instr=" SEQ Figure \* ARABIC ">
        <w:r w:rsidR="0043488D">
          <w:rPr>
            <w:noProof/>
          </w:rPr>
          <w:t>1</w:t>
        </w:r>
      </w:fldSimple>
      <w:bookmarkEnd w:id="1"/>
      <w:r w:rsidR="00FC777A">
        <w:tab/>
      </w:r>
      <w:r w:rsidR="00FC777A" w:rsidRPr="00B34990">
        <w:rPr>
          <w:shd w:val="clear" w:color="auto" w:fill="FFFFFF"/>
        </w:rPr>
        <w:t>Royalty revenue by mineral, 2010–</w:t>
      </w:r>
      <w:r w:rsidR="00FC777A" w:rsidRPr="00B34990">
        <w:rPr>
          <w:rFonts w:ascii="Times New Roman" w:hAnsi="Times New Roman" w:cs="Times New Roman"/>
          <w:shd w:val="clear" w:color="auto" w:fill="FFFFFF"/>
        </w:rPr>
        <w:t>‍</w:t>
      </w:r>
      <w:r w:rsidR="00FC777A" w:rsidRPr="00B34990">
        <w:rPr>
          <w:shd w:val="clear" w:color="auto" w:fill="FFFFFF"/>
        </w:rPr>
        <w:t>11 to 202</w:t>
      </w:r>
      <w:r w:rsidR="00FC777A">
        <w:rPr>
          <w:shd w:val="clear" w:color="auto" w:fill="FFFFFF"/>
        </w:rPr>
        <w:t>2</w:t>
      </w:r>
      <w:r w:rsidR="00FC777A" w:rsidRPr="00B34990">
        <w:rPr>
          <w:rFonts w:cs="Work Sans"/>
          <w:shd w:val="clear" w:color="auto" w:fill="FFFFFF"/>
        </w:rPr>
        <w:t>–</w:t>
      </w:r>
      <w:r w:rsidR="00FC777A" w:rsidRPr="00B34990">
        <w:rPr>
          <w:rFonts w:ascii="Times New Roman" w:hAnsi="Times New Roman" w:cs="Times New Roman"/>
          <w:shd w:val="clear" w:color="auto" w:fill="FFFFFF"/>
        </w:rPr>
        <w:t>‍</w:t>
      </w:r>
      <w:r w:rsidR="00FC777A" w:rsidRPr="00B34990">
        <w:rPr>
          <w:shd w:val="clear" w:color="auto" w:fill="FFFFFF"/>
        </w:rPr>
        <w:t>2</w:t>
      </w:r>
      <w:r w:rsidR="00FC777A">
        <w:rPr>
          <w:shd w:val="clear" w:color="auto" w:fill="FFFFFF"/>
        </w:rPr>
        <w:t>3</w:t>
      </w:r>
    </w:p>
    <w:p w14:paraId="01458901" w14:textId="1EDCE899" w:rsidR="00564D3D" w:rsidRDefault="00B83242" w:rsidP="00564D3D">
      <w:pPr>
        <w:rPr>
          <w:rFonts w:ascii="Work Sans" w:hAnsi="Work Sans"/>
        </w:rPr>
      </w:pPr>
      <w:r>
        <w:rPr>
          <w:noProof/>
        </w:rPr>
        <w:drawing>
          <wp:inline distT="0" distB="0" distL="0" distR="0" wp14:anchorId="4BBB7314" wp14:editId="4F63DA5F">
            <wp:extent cx="5562600" cy="3486150"/>
            <wp:effectExtent l="0" t="0" r="0" b="0"/>
            <wp:docPr id="98983521" name="Chart 1">
              <a:extLst xmlns:a="http://schemas.openxmlformats.org/drawingml/2006/main">
                <a:ext uri="{FF2B5EF4-FFF2-40B4-BE49-F238E27FC236}">
                  <a16:creationId xmlns:a16="http://schemas.microsoft.com/office/drawing/2014/main" id="{49218881-4F7C-4C24-87A8-3014A0E316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71FACD8" w14:textId="0C67639E" w:rsidR="00766A1E" w:rsidRDefault="00B71074" w:rsidP="00425741">
      <w:pPr>
        <w:pStyle w:val="CGCTablenote"/>
      </w:pPr>
      <w:r w:rsidRPr="00B71074">
        <w:t xml:space="preserve">Source: </w:t>
      </w:r>
      <w:r w:rsidR="00283309">
        <w:t>S</w:t>
      </w:r>
      <w:r w:rsidRPr="00B71074">
        <w:t>tate</w:t>
      </w:r>
      <w:r w:rsidR="00283309">
        <w:t xml:space="preserve"> provided data</w:t>
      </w:r>
      <w:r w:rsidR="0087698C">
        <w:t>.</w:t>
      </w:r>
      <w:r w:rsidR="00391B87">
        <w:t xml:space="preserve"> </w:t>
      </w:r>
    </w:p>
    <w:p w14:paraId="20940D1B" w14:textId="458BC005" w:rsidR="00EC458C" w:rsidRPr="00823CF7" w:rsidRDefault="00524E9C" w:rsidP="00EC458C">
      <w:pPr>
        <w:pStyle w:val="Heading3"/>
        <w:keepNext/>
        <w:keepLines/>
      </w:pPr>
      <w:r>
        <w:t>Urban transport</w:t>
      </w:r>
    </w:p>
    <w:p w14:paraId="4A31521B" w14:textId="4F825915" w:rsidR="00B54E20" w:rsidRDefault="00B54E20" w:rsidP="00042036">
      <w:pPr>
        <w:rPr>
          <w:rFonts w:ascii="Work Sans" w:hAnsi="Work Sans"/>
        </w:rPr>
      </w:pPr>
      <w:r>
        <w:rPr>
          <w:rFonts w:ascii="Work Sans" w:hAnsi="Work Sans"/>
        </w:rPr>
        <w:t>In the 2024 Update, a range of factors affected states’</w:t>
      </w:r>
      <w:r w:rsidR="005227A7">
        <w:rPr>
          <w:rFonts w:ascii="Work Sans" w:hAnsi="Work Sans"/>
        </w:rPr>
        <w:t xml:space="preserve"> assessed</w:t>
      </w:r>
      <w:r>
        <w:rPr>
          <w:rFonts w:ascii="Work Sans" w:hAnsi="Work Sans"/>
        </w:rPr>
        <w:t xml:space="preserve"> GST needs for urban transport</w:t>
      </w:r>
      <w:r w:rsidR="00D97047">
        <w:rPr>
          <w:rFonts w:ascii="Work Sans" w:hAnsi="Work Sans"/>
        </w:rPr>
        <w:t>,</w:t>
      </w:r>
      <w:r>
        <w:rPr>
          <w:rFonts w:ascii="Work Sans" w:hAnsi="Work Sans"/>
        </w:rPr>
        <w:t xml:space="preserve"> </w:t>
      </w:r>
      <w:r w:rsidR="00D97047">
        <w:rPr>
          <w:rFonts w:ascii="Work Sans" w:hAnsi="Work Sans"/>
        </w:rPr>
        <w:t>for both recurrent expenditure and investment</w:t>
      </w:r>
      <w:r>
        <w:rPr>
          <w:rFonts w:ascii="Work Sans" w:hAnsi="Work Sans"/>
        </w:rPr>
        <w:t xml:space="preserve">.  </w:t>
      </w:r>
    </w:p>
    <w:p w14:paraId="0D9A13AD" w14:textId="640205B7" w:rsidR="00042036" w:rsidRPr="005227DE" w:rsidRDefault="00042036" w:rsidP="00042036">
      <w:pPr>
        <w:rPr>
          <w:rFonts w:ascii="Work Sans" w:hAnsi="Work Sans"/>
        </w:rPr>
      </w:pPr>
      <w:r w:rsidRPr="005227DE">
        <w:rPr>
          <w:rFonts w:ascii="Work Sans" w:hAnsi="Work Sans"/>
        </w:rPr>
        <w:t>The Commission use</w:t>
      </w:r>
      <w:r w:rsidR="00825F86">
        <w:rPr>
          <w:rFonts w:ascii="Work Sans" w:hAnsi="Work Sans"/>
        </w:rPr>
        <w:t>s</w:t>
      </w:r>
      <w:r w:rsidRPr="005227DE">
        <w:rPr>
          <w:rFonts w:ascii="Work Sans" w:hAnsi="Work Sans"/>
        </w:rPr>
        <w:t xml:space="preserve"> a 3</w:t>
      </w:r>
      <w:r w:rsidR="0000712B">
        <w:rPr>
          <w:rFonts w:ascii="Work Sans" w:hAnsi="Work Sans"/>
        </w:rPr>
        <w:t>-</w:t>
      </w:r>
      <w:r w:rsidRPr="005227DE">
        <w:rPr>
          <w:rFonts w:ascii="Work Sans" w:hAnsi="Work Sans"/>
        </w:rPr>
        <w:t xml:space="preserve">year assessment period. </w:t>
      </w:r>
      <w:r w:rsidR="0066612E">
        <w:rPr>
          <w:rFonts w:ascii="Work Sans" w:hAnsi="Work Sans"/>
        </w:rPr>
        <w:t>In this update</w:t>
      </w:r>
      <w:r w:rsidR="008E60A8">
        <w:rPr>
          <w:rFonts w:ascii="Work Sans" w:hAnsi="Work Sans"/>
        </w:rPr>
        <w:t>,</w:t>
      </w:r>
      <w:r w:rsidRPr="005227DE" w:rsidDel="00C538D9">
        <w:rPr>
          <w:rFonts w:ascii="Work Sans" w:hAnsi="Work Sans"/>
        </w:rPr>
        <w:t xml:space="preserve"> </w:t>
      </w:r>
      <w:r w:rsidRPr="005227DE">
        <w:rPr>
          <w:rFonts w:ascii="Work Sans" w:hAnsi="Work Sans"/>
        </w:rPr>
        <w:t>201</w:t>
      </w:r>
      <w:r w:rsidR="001D4810" w:rsidRPr="005227DE">
        <w:rPr>
          <w:rFonts w:ascii="Work Sans" w:hAnsi="Work Sans"/>
        </w:rPr>
        <w:t>9</w:t>
      </w:r>
      <w:r w:rsidR="005227A7">
        <w:rPr>
          <w:rFonts w:ascii="Work Sans" w:hAnsi="Work Sans"/>
        </w:rPr>
        <w:t>–</w:t>
      </w:r>
      <w:r w:rsidR="001D4810" w:rsidRPr="005227DE">
        <w:rPr>
          <w:rFonts w:ascii="Work Sans" w:hAnsi="Work Sans"/>
        </w:rPr>
        <w:t>20</w:t>
      </w:r>
      <w:r w:rsidR="004F5525" w:rsidRPr="005227DE">
        <w:rPr>
          <w:rFonts w:ascii="Work Sans" w:hAnsi="Work Sans"/>
        </w:rPr>
        <w:t xml:space="preserve"> data</w:t>
      </w:r>
      <w:r w:rsidRPr="005227DE">
        <w:rPr>
          <w:rFonts w:ascii="Work Sans" w:hAnsi="Work Sans"/>
        </w:rPr>
        <w:t xml:space="preserve"> </w:t>
      </w:r>
      <w:r w:rsidR="00C538D9">
        <w:rPr>
          <w:rFonts w:ascii="Work Sans" w:hAnsi="Work Sans"/>
        </w:rPr>
        <w:t xml:space="preserve">were </w:t>
      </w:r>
      <w:r w:rsidRPr="005227DE">
        <w:rPr>
          <w:rFonts w:ascii="Work Sans" w:hAnsi="Work Sans"/>
        </w:rPr>
        <w:t>replaced by 2022</w:t>
      </w:r>
      <w:r w:rsidR="005227A7">
        <w:rPr>
          <w:rFonts w:ascii="Work Sans" w:hAnsi="Work Sans"/>
        </w:rPr>
        <w:t>–</w:t>
      </w:r>
      <w:r w:rsidRPr="005227DE">
        <w:rPr>
          <w:rFonts w:ascii="Work Sans" w:hAnsi="Work Sans"/>
        </w:rPr>
        <w:t xml:space="preserve">23 </w:t>
      </w:r>
      <w:r w:rsidR="001D4810" w:rsidRPr="005227DE">
        <w:rPr>
          <w:rFonts w:ascii="Work Sans" w:hAnsi="Work Sans"/>
        </w:rPr>
        <w:t>d</w:t>
      </w:r>
      <w:r w:rsidR="00E86705" w:rsidRPr="005227DE">
        <w:rPr>
          <w:rFonts w:ascii="Work Sans" w:hAnsi="Work Sans"/>
        </w:rPr>
        <w:t>ata</w:t>
      </w:r>
      <w:r w:rsidR="00C538D9">
        <w:rPr>
          <w:rFonts w:ascii="Work Sans" w:hAnsi="Work Sans"/>
        </w:rPr>
        <w:t>.</w:t>
      </w:r>
      <w:r w:rsidRPr="005227DE">
        <w:rPr>
          <w:rFonts w:ascii="Work Sans" w:hAnsi="Work Sans"/>
        </w:rPr>
        <w:t xml:space="preserve"> Queensland’s assessed </w:t>
      </w:r>
      <w:r w:rsidR="00691B05">
        <w:rPr>
          <w:rFonts w:ascii="Work Sans" w:hAnsi="Work Sans"/>
        </w:rPr>
        <w:t>GST</w:t>
      </w:r>
      <w:r w:rsidR="00691B05" w:rsidRPr="005227DE">
        <w:rPr>
          <w:rFonts w:ascii="Work Sans" w:hAnsi="Work Sans"/>
        </w:rPr>
        <w:t xml:space="preserve"> </w:t>
      </w:r>
      <w:r w:rsidRPr="005227DE">
        <w:rPr>
          <w:rFonts w:ascii="Work Sans" w:hAnsi="Work Sans"/>
        </w:rPr>
        <w:t xml:space="preserve">needs rose as </w:t>
      </w:r>
      <w:r w:rsidR="00340A67">
        <w:rPr>
          <w:rFonts w:ascii="Work Sans" w:hAnsi="Work Sans"/>
        </w:rPr>
        <w:t xml:space="preserve">its </w:t>
      </w:r>
      <w:r w:rsidRPr="005227DE">
        <w:rPr>
          <w:rFonts w:ascii="Work Sans" w:hAnsi="Work Sans"/>
        </w:rPr>
        <w:t xml:space="preserve">population and population-weighted </w:t>
      </w:r>
      <w:r w:rsidR="00C92057">
        <w:rPr>
          <w:rFonts w:ascii="Work Sans" w:hAnsi="Work Sans"/>
        </w:rPr>
        <w:t xml:space="preserve">density </w:t>
      </w:r>
      <w:r w:rsidRPr="005227DE">
        <w:rPr>
          <w:rFonts w:ascii="Work Sans" w:hAnsi="Work Sans"/>
        </w:rPr>
        <w:t xml:space="preserve">grew </w:t>
      </w:r>
      <w:r w:rsidR="008F53DA">
        <w:rPr>
          <w:rFonts w:ascii="Work Sans" w:hAnsi="Work Sans"/>
        </w:rPr>
        <w:t xml:space="preserve">faster than the </w:t>
      </w:r>
      <w:r w:rsidRPr="005227DE">
        <w:rPr>
          <w:rFonts w:ascii="Work Sans" w:hAnsi="Work Sans"/>
        </w:rPr>
        <w:t>national average over th</w:t>
      </w:r>
      <w:r w:rsidR="00022103">
        <w:rPr>
          <w:rFonts w:ascii="Work Sans" w:hAnsi="Work Sans"/>
        </w:rPr>
        <w:t>e</w:t>
      </w:r>
      <w:r w:rsidRPr="005227DE">
        <w:rPr>
          <w:rFonts w:ascii="Work Sans" w:hAnsi="Work Sans"/>
        </w:rPr>
        <w:t xml:space="preserve"> period</w:t>
      </w:r>
      <w:r w:rsidR="00022103">
        <w:rPr>
          <w:rFonts w:ascii="Work Sans" w:hAnsi="Work Sans"/>
        </w:rPr>
        <w:t xml:space="preserve"> 20</w:t>
      </w:r>
      <w:r w:rsidR="00894770">
        <w:rPr>
          <w:rFonts w:ascii="Work Sans" w:hAnsi="Work Sans"/>
        </w:rPr>
        <w:t>19</w:t>
      </w:r>
      <w:r w:rsidR="006330E5">
        <w:rPr>
          <w:rFonts w:ascii="Work Sans" w:hAnsi="Work Sans"/>
        </w:rPr>
        <w:t>–</w:t>
      </w:r>
      <w:r w:rsidR="00022103">
        <w:rPr>
          <w:rFonts w:ascii="Work Sans" w:hAnsi="Work Sans"/>
        </w:rPr>
        <w:t>2</w:t>
      </w:r>
      <w:r w:rsidR="00886B74">
        <w:rPr>
          <w:rFonts w:ascii="Work Sans" w:hAnsi="Work Sans"/>
        </w:rPr>
        <w:t>0 to 2022</w:t>
      </w:r>
      <w:r w:rsidR="006330E5">
        <w:rPr>
          <w:rFonts w:ascii="Work Sans" w:hAnsi="Work Sans"/>
        </w:rPr>
        <w:t>–</w:t>
      </w:r>
      <w:r w:rsidR="00886B74">
        <w:rPr>
          <w:rFonts w:ascii="Work Sans" w:hAnsi="Work Sans"/>
        </w:rPr>
        <w:t>23</w:t>
      </w:r>
      <w:r w:rsidRPr="005227DE">
        <w:rPr>
          <w:rFonts w:ascii="Work Sans" w:hAnsi="Work Sans"/>
        </w:rPr>
        <w:t xml:space="preserve">. Further, there was an increase in national </w:t>
      </w:r>
      <w:r w:rsidR="008F53DA">
        <w:rPr>
          <w:rFonts w:ascii="Work Sans" w:hAnsi="Work Sans"/>
        </w:rPr>
        <w:t>investment</w:t>
      </w:r>
      <w:r w:rsidR="004A0852">
        <w:rPr>
          <w:rFonts w:ascii="Work Sans" w:hAnsi="Work Sans"/>
        </w:rPr>
        <w:t xml:space="preserve"> in urban transport</w:t>
      </w:r>
      <w:r w:rsidR="008F53DA">
        <w:rPr>
          <w:rFonts w:ascii="Work Sans" w:hAnsi="Work Sans"/>
        </w:rPr>
        <w:t xml:space="preserve">. </w:t>
      </w:r>
      <w:r w:rsidRPr="005227DE">
        <w:rPr>
          <w:rFonts w:ascii="Work Sans" w:hAnsi="Work Sans"/>
        </w:rPr>
        <w:t xml:space="preserve">This increased </w:t>
      </w:r>
      <w:r w:rsidR="00304166">
        <w:rPr>
          <w:rFonts w:ascii="Work Sans" w:hAnsi="Work Sans"/>
        </w:rPr>
        <w:t>the</w:t>
      </w:r>
      <w:r w:rsidR="006330E5">
        <w:rPr>
          <w:rFonts w:ascii="Work Sans" w:hAnsi="Work Sans"/>
        </w:rPr>
        <w:t xml:space="preserve"> assessed</w:t>
      </w:r>
      <w:r w:rsidR="00304166">
        <w:rPr>
          <w:rFonts w:ascii="Work Sans" w:hAnsi="Work Sans"/>
        </w:rPr>
        <w:t xml:space="preserve"> GST needs </w:t>
      </w:r>
      <w:r w:rsidR="00783191">
        <w:rPr>
          <w:rFonts w:ascii="Work Sans" w:hAnsi="Work Sans"/>
        </w:rPr>
        <w:t xml:space="preserve">of those </w:t>
      </w:r>
      <w:r w:rsidRPr="005227DE">
        <w:rPr>
          <w:rFonts w:ascii="Work Sans" w:hAnsi="Work Sans"/>
        </w:rPr>
        <w:t>states with above</w:t>
      </w:r>
      <w:r w:rsidR="007C632F">
        <w:rPr>
          <w:rFonts w:ascii="Work Sans" w:hAnsi="Work Sans"/>
        </w:rPr>
        <w:t>-</w:t>
      </w:r>
      <w:r w:rsidRPr="005227DE">
        <w:rPr>
          <w:rFonts w:ascii="Work Sans" w:hAnsi="Work Sans"/>
        </w:rPr>
        <w:t xml:space="preserve">average </w:t>
      </w:r>
      <w:r w:rsidR="00F73A55">
        <w:rPr>
          <w:rFonts w:ascii="Work Sans" w:hAnsi="Work Sans"/>
        </w:rPr>
        <w:t>u</w:t>
      </w:r>
      <w:r w:rsidRPr="005227DE">
        <w:rPr>
          <w:rFonts w:ascii="Work Sans" w:hAnsi="Work Sans"/>
        </w:rPr>
        <w:t xml:space="preserve">rban </w:t>
      </w:r>
      <w:r w:rsidR="00F73A55">
        <w:rPr>
          <w:rFonts w:ascii="Work Sans" w:hAnsi="Work Sans"/>
        </w:rPr>
        <w:t>t</w:t>
      </w:r>
      <w:r w:rsidRPr="005227DE">
        <w:rPr>
          <w:rFonts w:ascii="Work Sans" w:hAnsi="Work Sans"/>
        </w:rPr>
        <w:t>ransport needs</w:t>
      </w:r>
      <w:r w:rsidR="0000442F">
        <w:rPr>
          <w:rFonts w:ascii="Work Sans" w:hAnsi="Work Sans"/>
        </w:rPr>
        <w:t xml:space="preserve"> </w:t>
      </w:r>
      <w:r w:rsidR="00AC3CFE">
        <w:rPr>
          <w:rFonts w:ascii="Work Sans" w:hAnsi="Work Sans"/>
        </w:rPr>
        <w:t>(</w:t>
      </w:r>
      <w:r w:rsidRPr="005227DE">
        <w:rPr>
          <w:rFonts w:ascii="Work Sans" w:hAnsi="Work Sans"/>
        </w:rPr>
        <w:t>New</w:t>
      </w:r>
      <w:r w:rsidR="00DF70DD">
        <w:rPr>
          <w:rFonts w:ascii="Work Sans" w:hAnsi="Work Sans"/>
        </w:rPr>
        <w:t> </w:t>
      </w:r>
      <w:r w:rsidRPr="005227DE">
        <w:rPr>
          <w:rFonts w:ascii="Work Sans" w:hAnsi="Work Sans"/>
        </w:rPr>
        <w:t>South</w:t>
      </w:r>
      <w:r w:rsidR="00DF70DD">
        <w:rPr>
          <w:rFonts w:ascii="Work Sans" w:hAnsi="Work Sans"/>
        </w:rPr>
        <w:t> </w:t>
      </w:r>
      <w:r w:rsidRPr="005227DE">
        <w:rPr>
          <w:rFonts w:ascii="Work Sans" w:hAnsi="Work Sans"/>
        </w:rPr>
        <w:t>Wales and Victoria</w:t>
      </w:r>
      <w:r w:rsidR="00AC3CFE">
        <w:rPr>
          <w:rFonts w:ascii="Work Sans" w:hAnsi="Work Sans"/>
        </w:rPr>
        <w:t>)</w:t>
      </w:r>
      <w:r w:rsidRPr="005227DE">
        <w:rPr>
          <w:rFonts w:ascii="Work Sans" w:hAnsi="Work Sans"/>
        </w:rPr>
        <w:t xml:space="preserve">. </w:t>
      </w:r>
    </w:p>
    <w:p w14:paraId="6AF1896B" w14:textId="06DC0EC0" w:rsidR="00042036" w:rsidRPr="005227DE" w:rsidRDefault="00F20BD9" w:rsidP="00042036">
      <w:pPr>
        <w:rPr>
          <w:rFonts w:ascii="Work Sans" w:hAnsi="Work Sans"/>
        </w:rPr>
      </w:pPr>
      <w:r w:rsidRPr="005227DE">
        <w:rPr>
          <w:rFonts w:ascii="Work Sans" w:hAnsi="Work Sans"/>
        </w:rPr>
        <w:t xml:space="preserve">This </w:t>
      </w:r>
      <w:r w:rsidR="00596203">
        <w:rPr>
          <w:rFonts w:ascii="Work Sans" w:hAnsi="Work Sans"/>
        </w:rPr>
        <w:t>increase</w:t>
      </w:r>
      <w:r w:rsidR="00596203" w:rsidRPr="005227DE">
        <w:rPr>
          <w:rFonts w:ascii="Work Sans" w:hAnsi="Work Sans"/>
        </w:rPr>
        <w:t xml:space="preserve"> </w:t>
      </w:r>
      <w:r w:rsidRPr="005227DE">
        <w:rPr>
          <w:rFonts w:ascii="Work Sans" w:hAnsi="Work Sans"/>
        </w:rPr>
        <w:t>for Victoria and New South Wales</w:t>
      </w:r>
      <w:r w:rsidR="00C66C1A">
        <w:rPr>
          <w:rFonts w:ascii="Work Sans" w:hAnsi="Work Sans"/>
        </w:rPr>
        <w:t>,</w:t>
      </w:r>
      <w:r w:rsidRPr="005227DE">
        <w:rPr>
          <w:rFonts w:ascii="Work Sans" w:hAnsi="Work Sans"/>
        </w:rPr>
        <w:t xml:space="preserve"> was partially offset by r</w:t>
      </w:r>
      <w:r w:rsidR="00EF7652" w:rsidRPr="005227DE">
        <w:rPr>
          <w:rFonts w:ascii="Work Sans" w:hAnsi="Work Sans"/>
        </w:rPr>
        <w:t xml:space="preserve">evisions to </w:t>
      </w:r>
      <w:r w:rsidR="004D3118">
        <w:rPr>
          <w:rFonts w:ascii="Work Sans" w:hAnsi="Work Sans"/>
        </w:rPr>
        <w:t xml:space="preserve">national </w:t>
      </w:r>
      <w:r w:rsidR="00EF7652" w:rsidRPr="005227DE">
        <w:rPr>
          <w:rFonts w:ascii="Work Sans" w:hAnsi="Work Sans"/>
        </w:rPr>
        <w:t xml:space="preserve">investment </w:t>
      </w:r>
      <w:r w:rsidR="00F922D7" w:rsidRPr="005227DE">
        <w:rPr>
          <w:rFonts w:ascii="Work Sans" w:hAnsi="Work Sans"/>
        </w:rPr>
        <w:t xml:space="preserve">as </w:t>
      </w:r>
      <w:r w:rsidR="00B42632" w:rsidRPr="005227DE">
        <w:rPr>
          <w:rFonts w:ascii="Work Sans" w:hAnsi="Work Sans"/>
        </w:rPr>
        <w:t>A</w:t>
      </w:r>
      <w:r w:rsidR="00601D1A">
        <w:rPr>
          <w:rFonts w:ascii="Work Sans" w:hAnsi="Work Sans"/>
        </w:rPr>
        <w:t xml:space="preserve">ustralian </w:t>
      </w:r>
      <w:r w:rsidR="00B42632" w:rsidRPr="005227DE">
        <w:rPr>
          <w:rFonts w:ascii="Work Sans" w:hAnsi="Work Sans"/>
        </w:rPr>
        <w:t>B</w:t>
      </w:r>
      <w:r w:rsidR="00601D1A">
        <w:rPr>
          <w:rFonts w:ascii="Work Sans" w:hAnsi="Work Sans"/>
        </w:rPr>
        <w:t>ureau of Statistics</w:t>
      </w:r>
      <w:r w:rsidR="004F365E">
        <w:rPr>
          <w:rFonts w:ascii="Work Sans" w:hAnsi="Work Sans"/>
        </w:rPr>
        <w:t>’</w:t>
      </w:r>
      <w:r w:rsidR="00601D1A">
        <w:rPr>
          <w:rFonts w:ascii="Work Sans" w:hAnsi="Work Sans"/>
        </w:rPr>
        <w:t xml:space="preserve"> (ABS)</w:t>
      </w:r>
      <w:r w:rsidR="00B42632" w:rsidRPr="005227DE">
        <w:rPr>
          <w:rFonts w:ascii="Work Sans" w:hAnsi="Work Sans"/>
        </w:rPr>
        <w:t xml:space="preserve"> estimates </w:t>
      </w:r>
      <w:r w:rsidR="00717FCF" w:rsidRPr="005227DE">
        <w:rPr>
          <w:rFonts w:ascii="Work Sans" w:hAnsi="Work Sans"/>
        </w:rPr>
        <w:t>for</w:t>
      </w:r>
      <w:r w:rsidR="00B42632" w:rsidRPr="005227DE">
        <w:rPr>
          <w:rFonts w:ascii="Work Sans" w:hAnsi="Work Sans"/>
        </w:rPr>
        <w:t xml:space="preserve"> 2021</w:t>
      </w:r>
      <w:r w:rsidR="00B3115A">
        <w:rPr>
          <w:rFonts w:ascii="Work Sans" w:hAnsi="Work Sans"/>
        </w:rPr>
        <w:t>–</w:t>
      </w:r>
      <w:r w:rsidR="00B42632" w:rsidRPr="005227DE">
        <w:rPr>
          <w:rFonts w:ascii="Work Sans" w:hAnsi="Work Sans"/>
        </w:rPr>
        <w:t xml:space="preserve">22 replaced state </w:t>
      </w:r>
      <w:r w:rsidR="002D6302">
        <w:rPr>
          <w:rFonts w:ascii="Work Sans" w:hAnsi="Work Sans"/>
        </w:rPr>
        <w:t xml:space="preserve">provided </w:t>
      </w:r>
      <w:r w:rsidR="00DB79C8" w:rsidRPr="005227DE">
        <w:rPr>
          <w:rFonts w:ascii="Work Sans" w:hAnsi="Work Sans"/>
        </w:rPr>
        <w:t xml:space="preserve">investment </w:t>
      </w:r>
      <w:r w:rsidR="00B42632" w:rsidRPr="005227DE">
        <w:rPr>
          <w:rFonts w:ascii="Work Sans" w:hAnsi="Work Sans"/>
        </w:rPr>
        <w:t xml:space="preserve">estimates. </w:t>
      </w:r>
      <w:r w:rsidR="004B5E0F">
        <w:rPr>
          <w:rFonts w:ascii="Work Sans" w:hAnsi="Work Sans"/>
        </w:rPr>
        <w:t xml:space="preserve">A </w:t>
      </w:r>
      <w:r w:rsidR="00042036" w:rsidRPr="005227DE">
        <w:rPr>
          <w:rFonts w:ascii="Work Sans" w:hAnsi="Work Sans"/>
        </w:rPr>
        <w:t>downward revision for national transport investment expenditure</w:t>
      </w:r>
      <w:r w:rsidR="0044076F">
        <w:rPr>
          <w:rFonts w:ascii="Work Sans" w:hAnsi="Work Sans"/>
        </w:rPr>
        <w:t xml:space="preserve"> in that year</w:t>
      </w:r>
      <w:r w:rsidR="00042036" w:rsidRPr="005227DE">
        <w:rPr>
          <w:rFonts w:ascii="Work Sans" w:hAnsi="Work Sans"/>
        </w:rPr>
        <w:t xml:space="preserve"> </w:t>
      </w:r>
      <w:r w:rsidR="00A848C7" w:rsidRPr="005227DE">
        <w:rPr>
          <w:rFonts w:ascii="Work Sans" w:hAnsi="Work Sans"/>
        </w:rPr>
        <w:t>reduced the</w:t>
      </w:r>
      <w:r w:rsidR="00B3115A">
        <w:rPr>
          <w:rFonts w:ascii="Work Sans" w:hAnsi="Work Sans"/>
        </w:rPr>
        <w:t xml:space="preserve"> assessed</w:t>
      </w:r>
      <w:r w:rsidR="00A848C7" w:rsidRPr="005227DE">
        <w:rPr>
          <w:rFonts w:ascii="Work Sans" w:hAnsi="Work Sans"/>
        </w:rPr>
        <w:t xml:space="preserve"> </w:t>
      </w:r>
      <w:r w:rsidR="009640F7">
        <w:rPr>
          <w:rFonts w:ascii="Work Sans" w:hAnsi="Work Sans"/>
        </w:rPr>
        <w:t>GST needs</w:t>
      </w:r>
      <w:r w:rsidR="00A848C7" w:rsidRPr="005227DE">
        <w:rPr>
          <w:rFonts w:ascii="Work Sans" w:hAnsi="Work Sans"/>
        </w:rPr>
        <w:t xml:space="preserve"> of </w:t>
      </w:r>
      <w:r w:rsidR="00212708">
        <w:rPr>
          <w:rFonts w:ascii="Work Sans" w:hAnsi="Work Sans"/>
        </w:rPr>
        <w:t xml:space="preserve">those </w:t>
      </w:r>
      <w:r w:rsidR="00A848C7" w:rsidRPr="005227DE">
        <w:rPr>
          <w:rFonts w:ascii="Work Sans" w:hAnsi="Work Sans"/>
        </w:rPr>
        <w:t>states.</w:t>
      </w:r>
      <w:r w:rsidR="000F5EFD" w:rsidRPr="005227DE">
        <w:rPr>
          <w:rFonts w:ascii="Work Sans" w:hAnsi="Work Sans"/>
        </w:rPr>
        <w:t xml:space="preserve"> </w:t>
      </w:r>
    </w:p>
    <w:p w14:paraId="629105E1" w14:textId="2D9B66B6" w:rsidR="00042036" w:rsidRPr="005227DE" w:rsidRDefault="00042036" w:rsidP="00042036">
      <w:pPr>
        <w:rPr>
          <w:rFonts w:ascii="Work Sans" w:hAnsi="Work Sans"/>
        </w:rPr>
      </w:pPr>
      <w:r w:rsidRPr="005227DE">
        <w:rPr>
          <w:rFonts w:ascii="Work Sans" w:hAnsi="Work Sans"/>
        </w:rPr>
        <w:t xml:space="preserve">The use of the </w:t>
      </w:r>
      <w:r w:rsidR="00601D1A">
        <w:rPr>
          <w:rFonts w:ascii="Work Sans" w:hAnsi="Work Sans"/>
        </w:rPr>
        <w:t xml:space="preserve">ABS </w:t>
      </w:r>
      <w:r w:rsidRPr="005227DE">
        <w:rPr>
          <w:rFonts w:ascii="Work Sans" w:hAnsi="Work Sans"/>
        </w:rPr>
        <w:t xml:space="preserve">2021 Census </w:t>
      </w:r>
      <w:r w:rsidR="00604149" w:rsidRPr="005227DE">
        <w:rPr>
          <w:rFonts w:ascii="Work Sans" w:hAnsi="Work Sans"/>
        </w:rPr>
        <w:t xml:space="preserve">boundaries also resulted in </w:t>
      </w:r>
      <w:r w:rsidR="001570D0">
        <w:rPr>
          <w:rFonts w:ascii="Work Sans" w:hAnsi="Work Sans"/>
        </w:rPr>
        <w:t>an increase in</w:t>
      </w:r>
      <w:r w:rsidR="00604149" w:rsidRPr="005227DE" w:rsidDel="00291F1F">
        <w:rPr>
          <w:rFonts w:ascii="Work Sans" w:hAnsi="Work Sans"/>
        </w:rPr>
        <w:t xml:space="preserve"> </w:t>
      </w:r>
      <w:r w:rsidR="00604149" w:rsidRPr="005227DE">
        <w:rPr>
          <w:rFonts w:ascii="Work Sans" w:hAnsi="Work Sans"/>
        </w:rPr>
        <w:t>population</w:t>
      </w:r>
      <w:r w:rsidR="003353D5">
        <w:rPr>
          <w:rFonts w:ascii="Work Sans" w:hAnsi="Work Sans"/>
        </w:rPr>
        <w:t>-</w:t>
      </w:r>
      <w:r w:rsidR="00604149" w:rsidRPr="005227DE">
        <w:rPr>
          <w:rFonts w:ascii="Work Sans" w:hAnsi="Work Sans"/>
        </w:rPr>
        <w:t>weighted</w:t>
      </w:r>
      <w:r w:rsidRPr="005227DE">
        <w:rPr>
          <w:rFonts w:ascii="Work Sans" w:hAnsi="Work Sans"/>
        </w:rPr>
        <w:t xml:space="preserve"> density </w:t>
      </w:r>
      <w:r w:rsidR="007F3654">
        <w:rPr>
          <w:rFonts w:ascii="Work Sans" w:hAnsi="Work Sans"/>
        </w:rPr>
        <w:t>for</w:t>
      </w:r>
      <w:r w:rsidR="007F3654" w:rsidRPr="005227DE">
        <w:rPr>
          <w:rFonts w:ascii="Work Sans" w:hAnsi="Work Sans"/>
        </w:rPr>
        <w:t xml:space="preserve"> </w:t>
      </w:r>
      <w:r w:rsidRPr="005227DE">
        <w:rPr>
          <w:rFonts w:ascii="Work Sans" w:hAnsi="Work Sans"/>
        </w:rPr>
        <w:t>Victoria</w:t>
      </w:r>
      <w:r w:rsidR="00FF2154" w:rsidRPr="005227DE">
        <w:rPr>
          <w:rFonts w:ascii="Work Sans" w:hAnsi="Work Sans"/>
        </w:rPr>
        <w:t xml:space="preserve"> and the ACT</w:t>
      </w:r>
      <w:r w:rsidRPr="005227DE">
        <w:rPr>
          <w:rFonts w:ascii="Work Sans" w:hAnsi="Work Sans"/>
        </w:rPr>
        <w:t xml:space="preserve">, increasing </w:t>
      </w:r>
      <w:r w:rsidR="00042882" w:rsidRPr="005227DE">
        <w:rPr>
          <w:rFonts w:ascii="Work Sans" w:hAnsi="Work Sans"/>
        </w:rPr>
        <w:t xml:space="preserve">their assessed </w:t>
      </w:r>
      <w:r w:rsidR="00FB3EA0">
        <w:rPr>
          <w:rFonts w:ascii="Work Sans" w:hAnsi="Work Sans"/>
        </w:rPr>
        <w:t>GST</w:t>
      </w:r>
      <w:r w:rsidR="00FB3EA0" w:rsidRPr="005227DE">
        <w:rPr>
          <w:rFonts w:ascii="Work Sans" w:hAnsi="Work Sans"/>
        </w:rPr>
        <w:t xml:space="preserve"> </w:t>
      </w:r>
      <w:r w:rsidR="00042882" w:rsidRPr="005227DE">
        <w:rPr>
          <w:rFonts w:ascii="Work Sans" w:hAnsi="Work Sans"/>
        </w:rPr>
        <w:t>needs.</w:t>
      </w:r>
      <w:r w:rsidRPr="005227DE">
        <w:rPr>
          <w:rFonts w:ascii="Work Sans" w:hAnsi="Work Sans"/>
        </w:rPr>
        <w:t xml:space="preserve"> </w:t>
      </w:r>
    </w:p>
    <w:p w14:paraId="0C0FED45" w14:textId="77777777" w:rsidR="00FA5EEB" w:rsidRPr="00823CF7" w:rsidRDefault="00FA5EEB" w:rsidP="008E5FD2">
      <w:pPr>
        <w:pStyle w:val="Heading3"/>
        <w:keepNext/>
        <w:keepLines/>
      </w:pPr>
      <w:r>
        <w:lastRenderedPageBreak/>
        <w:t>P</w:t>
      </w:r>
      <w:r w:rsidRPr="00823CF7">
        <w:t>roperty sales</w:t>
      </w:r>
    </w:p>
    <w:p w14:paraId="5A0E184D" w14:textId="232EDEC3" w:rsidR="00FA5EEB" w:rsidRDefault="00BF68A8" w:rsidP="00E62CF1">
      <w:pPr>
        <w:pStyle w:val="CGCBodyCopy"/>
        <w:rPr>
          <w:rStyle w:val="eop"/>
          <w:szCs w:val="20"/>
        </w:rPr>
      </w:pPr>
      <w:r>
        <w:rPr>
          <w:rStyle w:val="normaltextrun"/>
          <w:rFonts w:cs="Segoe UI"/>
          <w:szCs w:val="20"/>
        </w:rPr>
        <w:t xml:space="preserve">Stamp duties raised from the transfer of property </w:t>
      </w:r>
      <w:r w:rsidR="0001666B">
        <w:rPr>
          <w:rStyle w:val="normaltextrun"/>
          <w:rFonts w:cs="Segoe UI"/>
          <w:szCs w:val="20"/>
        </w:rPr>
        <w:t>can be</w:t>
      </w:r>
      <w:r w:rsidR="001B5A63">
        <w:rPr>
          <w:rStyle w:val="normaltextrun"/>
          <w:rFonts w:cs="Segoe UI"/>
          <w:szCs w:val="20"/>
        </w:rPr>
        <w:t xml:space="preserve"> </w:t>
      </w:r>
      <w:r>
        <w:rPr>
          <w:rStyle w:val="normaltextrun"/>
          <w:rFonts w:cs="Segoe UI"/>
          <w:szCs w:val="20"/>
        </w:rPr>
        <w:t>volatile.</w:t>
      </w:r>
      <w:r w:rsidR="00FA5EEB">
        <w:rPr>
          <w:rStyle w:val="normaltextrun"/>
          <w:rFonts w:cs="Segoe UI"/>
          <w:szCs w:val="20"/>
        </w:rPr>
        <w:t xml:space="preserve"> Property market cycles can lead to large changes across years and states. This can have marked effects on states’ revenue</w:t>
      </w:r>
      <w:r w:rsidR="003D69D0">
        <w:rPr>
          <w:rStyle w:val="normaltextrun"/>
          <w:rFonts w:cs="Segoe UI"/>
          <w:szCs w:val="20"/>
        </w:rPr>
        <w:t xml:space="preserve"> </w:t>
      </w:r>
      <w:r w:rsidR="00FA5EEB">
        <w:rPr>
          <w:rStyle w:val="normaltextrun"/>
          <w:rFonts w:cs="Segoe UI"/>
          <w:szCs w:val="20"/>
        </w:rPr>
        <w:t>raising capacities.</w:t>
      </w:r>
      <w:r w:rsidR="00FA5EEB">
        <w:rPr>
          <w:rStyle w:val="normaltextrun"/>
          <w:rFonts w:ascii="Times New Roman" w:hAnsi="Times New Roman" w:cs="Times New Roman"/>
          <w:szCs w:val="20"/>
        </w:rPr>
        <w:t>‍‍‍‍‍‍‍‍‍‍</w:t>
      </w:r>
      <w:r w:rsidR="00FA5EEB">
        <w:rPr>
          <w:rStyle w:val="eop"/>
          <w:szCs w:val="20"/>
        </w:rPr>
        <w:t> </w:t>
      </w:r>
    </w:p>
    <w:p w14:paraId="69C73091" w14:textId="1DAB19F2" w:rsidR="00FA5EEB" w:rsidRDefault="00FA5EEB" w:rsidP="00E62CF1">
      <w:pPr>
        <w:pStyle w:val="CGCBodyCopy"/>
        <w:rPr>
          <w:rFonts w:ascii="Segoe UI" w:hAnsi="Segoe UI"/>
          <w:sz w:val="18"/>
          <w:szCs w:val="18"/>
        </w:rPr>
      </w:pPr>
      <w:r>
        <w:rPr>
          <w:rStyle w:val="normaltextrun"/>
          <w:rFonts w:cs="Segoe UI"/>
          <w:szCs w:val="20"/>
        </w:rPr>
        <w:t>Total stamp duty revenue grew between 2019–20 and</w:t>
      </w:r>
      <w:r>
        <w:rPr>
          <w:rStyle w:val="normaltextrun"/>
          <w:rFonts w:ascii="Times New Roman" w:hAnsi="Times New Roman" w:cs="Times New Roman"/>
          <w:szCs w:val="20"/>
        </w:rPr>
        <w:t>‍‍‍‍</w:t>
      </w:r>
      <w:r>
        <w:rPr>
          <w:rStyle w:val="normaltextrun"/>
          <w:szCs w:val="20"/>
        </w:rPr>
        <w:t xml:space="preserve"> </w:t>
      </w:r>
      <w:r>
        <w:rPr>
          <w:rStyle w:val="normaltextrun"/>
          <w:rFonts w:cs="Segoe UI"/>
          <w:szCs w:val="20"/>
        </w:rPr>
        <w:t>2022–</w:t>
      </w:r>
      <w:r>
        <w:rPr>
          <w:rStyle w:val="normaltextrun"/>
          <w:rFonts w:ascii="Times New Roman" w:hAnsi="Times New Roman" w:cs="Times New Roman"/>
          <w:szCs w:val="20"/>
        </w:rPr>
        <w:t>‍‍‍‍‍‍‍‍‍‍‍‍‍‍‍‍</w:t>
      </w:r>
      <w:r>
        <w:rPr>
          <w:rStyle w:val="normaltextrun"/>
          <w:rFonts w:cs="Segoe UI"/>
          <w:szCs w:val="20"/>
        </w:rPr>
        <w:t>23. This reduced the assessed GST needs of states with an above-average capacity to raise stamp duties (New</w:t>
      </w:r>
      <w:r>
        <w:rPr>
          <w:rStyle w:val="normaltextrun"/>
          <w:rFonts w:ascii="Times New Roman" w:hAnsi="Times New Roman" w:cs="Times New Roman"/>
          <w:szCs w:val="20"/>
        </w:rPr>
        <w:t> </w:t>
      </w:r>
      <w:r>
        <w:rPr>
          <w:rStyle w:val="normaltextrun"/>
          <w:rFonts w:cs="Segoe UI"/>
          <w:szCs w:val="20"/>
        </w:rPr>
        <w:t>South</w:t>
      </w:r>
      <w:r>
        <w:rPr>
          <w:rStyle w:val="normaltextrun"/>
          <w:rFonts w:ascii="Times New Roman" w:hAnsi="Times New Roman" w:cs="Times New Roman"/>
          <w:szCs w:val="20"/>
        </w:rPr>
        <w:t> </w:t>
      </w:r>
      <w:r>
        <w:rPr>
          <w:rStyle w:val="normaltextrun"/>
          <w:rFonts w:cs="Segoe UI"/>
          <w:szCs w:val="20"/>
        </w:rPr>
        <w:t>Wales and Victoria) and increased the assessed GST needs of the other states.</w:t>
      </w:r>
      <w:r>
        <w:rPr>
          <w:rStyle w:val="eop"/>
          <w:rFonts w:cs="Segoe UI"/>
          <w:szCs w:val="20"/>
        </w:rPr>
        <w:t> </w:t>
      </w:r>
    </w:p>
    <w:p w14:paraId="199F086A" w14:textId="00D151C7" w:rsidR="00FA5EEB" w:rsidRDefault="00FA5EEB" w:rsidP="00E62CF1">
      <w:pPr>
        <w:pStyle w:val="CGCBodyCopy"/>
        <w:rPr>
          <w:rFonts w:ascii="Segoe UI" w:hAnsi="Segoe UI"/>
          <w:sz w:val="18"/>
          <w:szCs w:val="18"/>
        </w:rPr>
      </w:pPr>
      <w:r w:rsidRPr="79233930">
        <w:rPr>
          <w:rStyle w:val="normaltextrun"/>
          <w:rFonts w:cs="Segoe UI"/>
        </w:rPr>
        <w:t>Every state experienced a decrease in the per capita value of property transferred between 2021–22 and 2022–23. However,</w:t>
      </w:r>
      <w:r w:rsidRPr="79233930" w:rsidDel="00DA251E">
        <w:rPr>
          <w:rStyle w:val="normaltextrun"/>
          <w:rFonts w:cs="Segoe UI"/>
        </w:rPr>
        <w:t xml:space="preserve"> </w:t>
      </w:r>
      <w:r w:rsidRPr="79233930">
        <w:rPr>
          <w:rStyle w:val="normaltextrun"/>
          <w:rFonts w:cs="Segoe UI"/>
        </w:rPr>
        <w:t xml:space="preserve">compared </w:t>
      </w:r>
      <w:r w:rsidR="00A60B44">
        <w:rPr>
          <w:rStyle w:val="normaltextrun"/>
          <w:rFonts w:cs="Segoe UI"/>
        </w:rPr>
        <w:t>with</w:t>
      </w:r>
      <w:r w:rsidRPr="79233930">
        <w:rPr>
          <w:rStyle w:val="normaltextrun"/>
          <w:rFonts w:cs="Segoe UI"/>
        </w:rPr>
        <w:t xml:space="preserve"> the assessment year removed from the 3</w:t>
      </w:r>
      <w:r w:rsidR="00C1516B">
        <w:rPr>
          <w:rStyle w:val="normaltextrun"/>
          <w:rFonts w:cs="Segoe UI"/>
        </w:rPr>
        <w:noBreakHyphen/>
      </w:r>
      <w:r w:rsidRPr="79233930">
        <w:rPr>
          <w:rStyle w:val="normaltextrun"/>
          <w:rFonts w:cs="Segoe UI"/>
        </w:rPr>
        <w:t xml:space="preserve">year average (2019–20), there was a 40% increase nationally. Queensland, </w:t>
      </w:r>
      <w:r w:rsidR="00BF68A8" w:rsidRPr="79233930">
        <w:rPr>
          <w:rStyle w:val="normaltextrun"/>
          <w:rFonts w:cs="Segoe UI"/>
        </w:rPr>
        <w:t>Western</w:t>
      </w:r>
      <w:r w:rsidR="00BF68A8" w:rsidRPr="79233930">
        <w:rPr>
          <w:rStyle w:val="normaltextrun"/>
          <w:rFonts w:ascii="Times New Roman" w:hAnsi="Times New Roman" w:cs="Times New Roman"/>
        </w:rPr>
        <w:t> </w:t>
      </w:r>
      <w:proofErr w:type="gramStart"/>
      <w:r w:rsidR="00BF68A8" w:rsidRPr="79233930">
        <w:rPr>
          <w:rStyle w:val="normaltextrun"/>
          <w:rFonts w:cs="Segoe UI"/>
        </w:rPr>
        <w:t>Australia</w:t>
      </w:r>
      <w:proofErr w:type="gramEnd"/>
      <w:r w:rsidRPr="79233930">
        <w:rPr>
          <w:rStyle w:val="normaltextrun"/>
          <w:rFonts w:cs="Segoe UI"/>
        </w:rPr>
        <w:t xml:space="preserve"> and the ACT experienced above-average growth over th</w:t>
      </w:r>
      <w:r w:rsidR="00D374D9">
        <w:rPr>
          <w:rStyle w:val="normaltextrun"/>
          <w:rFonts w:cs="Segoe UI"/>
        </w:rPr>
        <w:t>e assessment period for the 2024 Update</w:t>
      </w:r>
      <w:r w:rsidRPr="79233930">
        <w:rPr>
          <w:rStyle w:val="normaltextrun"/>
          <w:rFonts w:cs="Segoe UI"/>
        </w:rPr>
        <w:t xml:space="preserve"> period (</w:t>
      </w:r>
      <w:r w:rsidR="0043488D">
        <w:rPr>
          <w:rStyle w:val="normaltextrun"/>
          <w:rFonts w:cs="Segoe UI"/>
        </w:rPr>
        <w:fldChar w:fldCharType="begin"/>
      </w:r>
      <w:r w:rsidR="0043488D">
        <w:rPr>
          <w:rStyle w:val="normaltextrun"/>
          <w:rFonts w:cs="Segoe UI"/>
        </w:rPr>
        <w:instrText xml:space="preserve"> REF _Ref160625249 \h </w:instrText>
      </w:r>
      <w:r w:rsidR="0043488D">
        <w:rPr>
          <w:rStyle w:val="normaltextrun"/>
          <w:rFonts w:cs="Segoe UI"/>
        </w:rPr>
      </w:r>
      <w:r w:rsidR="0043488D">
        <w:rPr>
          <w:rStyle w:val="normaltextrun"/>
          <w:rFonts w:cs="Segoe UI"/>
        </w:rPr>
        <w:fldChar w:fldCharType="separate"/>
      </w:r>
      <w:r w:rsidR="0043488D">
        <w:t>Figu</w:t>
      </w:r>
      <w:r w:rsidR="0043488D">
        <w:t>r</w:t>
      </w:r>
      <w:r w:rsidR="0043488D">
        <w:t xml:space="preserve">e </w:t>
      </w:r>
      <w:r w:rsidR="0043488D">
        <w:rPr>
          <w:noProof/>
        </w:rPr>
        <w:t>2</w:t>
      </w:r>
      <w:r w:rsidR="0043488D">
        <w:rPr>
          <w:rStyle w:val="normaltextrun"/>
          <w:rFonts w:cs="Segoe UI"/>
        </w:rPr>
        <w:fldChar w:fldCharType="end"/>
      </w:r>
      <w:r w:rsidRPr="00520A2B">
        <w:rPr>
          <w:rStyle w:val="normaltextrun"/>
          <w:rFonts w:cs="Segoe UI"/>
        </w:rPr>
        <w:t>).</w:t>
      </w:r>
      <w:r w:rsidRPr="79233930">
        <w:rPr>
          <w:rStyle w:val="normaltextrun"/>
          <w:rFonts w:cs="Segoe UI"/>
        </w:rPr>
        <w:t xml:space="preserve"> This reduced their assessed GST needs and increased </w:t>
      </w:r>
      <w:r w:rsidR="00AA5E0F" w:rsidRPr="79233930">
        <w:rPr>
          <w:rStyle w:val="normaltextrun"/>
          <w:rFonts w:cs="Segoe UI"/>
        </w:rPr>
        <w:t>those</w:t>
      </w:r>
      <w:r w:rsidR="00AA5E0F" w:rsidRPr="79233930" w:rsidDel="00616493">
        <w:rPr>
          <w:rStyle w:val="normaltextrun"/>
          <w:rFonts w:cs="Segoe UI"/>
        </w:rPr>
        <w:t xml:space="preserve"> </w:t>
      </w:r>
      <w:r w:rsidR="001B5A63" w:rsidRPr="79233930">
        <w:rPr>
          <w:rStyle w:val="normaltextrun"/>
          <w:rFonts w:cs="Segoe UI"/>
        </w:rPr>
        <w:t>of</w:t>
      </w:r>
      <w:r w:rsidR="00BF68A8" w:rsidRPr="79233930">
        <w:rPr>
          <w:rStyle w:val="normaltextrun"/>
          <w:rFonts w:cs="Segoe UI"/>
        </w:rPr>
        <w:t xml:space="preserve"> other states.</w:t>
      </w:r>
      <w:r w:rsidRPr="79233930">
        <w:rPr>
          <w:rStyle w:val="eop"/>
          <w:rFonts w:cs="Segoe UI"/>
        </w:rPr>
        <w:t> </w:t>
      </w:r>
    </w:p>
    <w:p w14:paraId="051286E7" w14:textId="39C9A6D8" w:rsidR="00FA5EEB" w:rsidRDefault="0043488D" w:rsidP="0043488D">
      <w:pPr>
        <w:pStyle w:val="Caption"/>
      </w:pPr>
      <w:bookmarkStart w:id="2" w:name="_Ref160625249"/>
      <w:r>
        <w:t xml:space="preserve">Figure </w:t>
      </w:r>
      <w:fldSimple w:instr=" SEQ Figure \* ARABIC ">
        <w:r>
          <w:rPr>
            <w:noProof/>
          </w:rPr>
          <w:t>2</w:t>
        </w:r>
      </w:fldSimple>
      <w:bookmarkEnd w:id="2"/>
      <w:r w:rsidR="00FA5EEB" w:rsidRPr="000212DE">
        <w:tab/>
        <w:t>Value of property transfers per capita, 201</w:t>
      </w:r>
      <w:r w:rsidR="00FA5EEB">
        <w:t>9</w:t>
      </w:r>
      <w:r w:rsidR="00FA5EEB" w:rsidRPr="000212DE">
        <w:t>–</w:t>
      </w:r>
      <w:r w:rsidR="00FA5EEB" w:rsidRPr="000212DE">
        <w:rPr>
          <w:rFonts w:ascii="Times New Roman" w:hAnsi="Times New Roman" w:cs="Times New Roman"/>
        </w:rPr>
        <w:t>‍</w:t>
      </w:r>
      <w:r w:rsidR="00FA5EEB">
        <w:t>20</w:t>
      </w:r>
      <w:r w:rsidR="00FA5EEB" w:rsidRPr="000212DE">
        <w:t xml:space="preserve"> to 202</w:t>
      </w:r>
      <w:r w:rsidR="00FA5EEB">
        <w:t>2</w:t>
      </w:r>
      <w:r w:rsidR="00FA5EEB" w:rsidRPr="000212DE">
        <w:rPr>
          <w:rFonts w:cs="Work Sans"/>
        </w:rPr>
        <w:t>–</w:t>
      </w:r>
      <w:r w:rsidR="00FA5EEB" w:rsidRPr="000212DE">
        <w:rPr>
          <w:rFonts w:ascii="Times New Roman" w:hAnsi="Times New Roman" w:cs="Times New Roman"/>
        </w:rPr>
        <w:t>‍</w:t>
      </w:r>
      <w:proofErr w:type="gramStart"/>
      <w:r w:rsidR="00FA5EEB" w:rsidRPr="000212DE">
        <w:t>2</w:t>
      </w:r>
      <w:r w:rsidR="00FA5EEB">
        <w:t>3</w:t>
      </w:r>
      <w:proofErr w:type="gramEnd"/>
    </w:p>
    <w:p w14:paraId="32CE0ED4" w14:textId="77777777" w:rsidR="00FA5EEB" w:rsidRDefault="00D81844" w:rsidP="00FA5EEB">
      <w:pPr>
        <w:rPr>
          <w:rFonts w:ascii="Work Sans" w:hAnsi="Work Sans"/>
        </w:rPr>
      </w:pPr>
      <w:r w:rsidRPr="00D81844">
        <w:rPr>
          <w:noProof/>
        </w:rPr>
        <w:t xml:space="preserve"> </w:t>
      </w:r>
      <w:r w:rsidR="001B5A63">
        <w:rPr>
          <w:noProof/>
        </w:rPr>
        <w:drawing>
          <wp:inline distT="0" distB="0" distL="0" distR="0" wp14:anchorId="1123D9A8" wp14:editId="18CCEE4E">
            <wp:extent cx="5591175" cy="3477895"/>
            <wp:effectExtent l="0" t="0" r="9525" b="8255"/>
            <wp:docPr id="722916491" name="Chart 722916491">
              <a:extLst xmlns:a="http://schemas.openxmlformats.org/drawingml/2006/main">
                <a:ext uri="{FF2B5EF4-FFF2-40B4-BE49-F238E27FC236}">
                  <a16:creationId xmlns:a16="http://schemas.microsoft.com/office/drawing/2014/main" id="{920E95F1-20D1-40AE-8E2A-6EFA3F773A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61BBCB9" w14:textId="77777777" w:rsidR="00FA5EEB" w:rsidRPr="00425741" w:rsidRDefault="00FA5EEB" w:rsidP="00FA5EEB">
      <w:pPr>
        <w:pStyle w:val="CGCTablenote"/>
      </w:pPr>
      <w:r w:rsidRPr="00425741">
        <w:t>Source:</w:t>
      </w:r>
      <w:r w:rsidRPr="00425741">
        <w:tab/>
        <w:t>Commission calculation based on annual data provided by states.</w:t>
      </w:r>
    </w:p>
    <w:p w14:paraId="533AB6EF" w14:textId="77777777" w:rsidR="005B72C5" w:rsidRDefault="005B72C5" w:rsidP="005B72C5">
      <w:pPr>
        <w:pStyle w:val="Heading3"/>
      </w:pPr>
      <w:r>
        <w:t>Taxable land values</w:t>
      </w:r>
    </w:p>
    <w:p w14:paraId="0E88D435" w14:textId="09693CEC" w:rsidR="005B72C5" w:rsidRPr="00901448" w:rsidRDefault="005B72C5" w:rsidP="00E62CF1">
      <w:pPr>
        <w:pStyle w:val="CGCBodyCopy"/>
        <w:rPr>
          <w:rStyle w:val="normaltextrun"/>
          <w:szCs w:val="20"/>
        </w:rPr>
      </w:pPr>
      <w:r>
        <w:rPr>
          <w:rStyle w:val="normaltextrun"/>
          <w:rFonts w:cs="Segoe UI"/>
          <w:szCs w:val="20"/>
        </w:rPr>
        <w:t xml:space="preserve">Cycles in property markets </w:t>
      </w:r>
      <w:r w:rsidR="00C43886" w:rsidRPr="008B10B9">
        <w:rPr>
          <w:rStyle w:val="normaltextrun"/>
          <w:rFonts w:cs="Segoe UI"/>
          <w:szCs w:val="20"/>
          <w:shd w:val="clear" w:color="auto" w:fill="auto"/>
        </w:rPr>
        <w:t xml:space="preserve">can affect </w:t>
      </w:r>
      <w:r w:rsidRPr="008B10B9">
        <w:rPr>
          <w:rStyle w:val="normaltextrun"/>
          <w:rFonts w:cs="Segoe UI"/>
          <w:szCs w:val="20"/>
          <w:shd w:val="clear" w:color="auto" w:fill="auto"/>
        </w:rPr>
        <w:t>state land values and, as a result, their capacities to raise land tax. Between 2019–</w:t>
      </w:r>
      <w:r w:rsidRPr="008B10B9">
        <w:rPr>
          <w:rStyle w:val="normaltextrun"/>
          <w:rFonts w:ascii="Times New Roman" w:hAnsi="Times New Roman" w:cs="Times New Roman"/>
          <w:szCs w:val="20"/>
          <w:shd w:val="clear" w:color="auto" w:fill="auto"/>
        </w:rPr>
        <w:t>‍</w:t>
      </w:r>
      <w:r w:rsidRPr="008B10B9">
        <w:rPr>
          <w:rStyle w:val="normaltextrun"/>
          <w:rFonts w:cs="Segoe UI"/>
          <w:szCs w:val="20"/>
          <w:shd w:val="clear" w:color="auto" w:fill="auto"/>
        </w:rPr>
        <w:t>20 and 2022–23, per capita taxable land values increased by 41% nationally. New South Wales and</w:t>
      </w:r>
      <w:r>
        <w:rPr>
          <w:rStyle w:val="normaltextrun"/>
          <w:rFonts w:cs="Segoe UI"/>
          <w:szCs w:val="20"/>
        </w:rPr>
        <w:t xml:space="preserve"> Tasmania experienced above-average growth over the period (see</w:t>
      </w:r>
      <w:r w:rsidR="0043488D">
        <w:rPr>
          <w:rStyle w:val="normaltextrun"/>
          <w:rFonts w:cs="Segoe UI"/>
          <w:szCs w:val="20"/>
        </w:rPr>
        <w:t xml:space="preserve"> </w:t>
      </w:r>
      <w:r w:rsidR="0043488D">
        <w:rPr>
          <w:rStyle w:val="normaltextrun"/>
          <w:rFonts w:cs="Segoe UI"/>
          <w:szCs w:val="20"/>
        </w:rPr>
        <w:fldChar w:fldCharType="begin"/>
      </w:r>
      <w:r w:rsidR="0043488D">
        <w:rPr>
          <w:rStyle w:val="normaltextrun"/>
          <w:rFonts w:cs="Segoe UI"/>
          <w:szCs w:val="20"/>
        </w:rPr>
        <w:instrText xml:space="preserve"> REF _Ref160625275 \h </w:instrText>
      </w:r>
      <w:r w:rsidR="0043488D">
        <w:rPr>
          <w:rStyle w:val="normaltextrun"/>
          <w:rFonts w:cs="Segoe UI"/>
          <w:szCs w:val="20"/>
        </w:rPr>
      </w:r>
      <w:r w:rsidR="0043488D">
        <w:rPr>
          <w:rStyle w:val="normaltextrun"/>
          <w:rFonts w:cs="Segoe UI"/>
          <w:szCs w:val="20"/>
        </w:rPr>
        <w:fldChar w:fldCharType="separate"/>
      </w:r>
      <w:r w:rsidR="0043488D">
        <w:t xml:space="preserve">Figure </w:t>
      </w:r>
      <w:r w:rsidR="0043488D">
        <w:rPr>
          <w:noProof/>
        </w:rPr>
        <w:t>3</w:t>
      </w:r>
      <w:r w:rsidR="0043488D">
        <w:rPr>
          <w:rStyle w:val="normaltextrun"/>
          <w:rFonts w:cs="Segoe UI"/>
          <w:szCs w:val="20"/>
        </w:rPr>
        <w:fldChar w:fldCharType="end"/>
      </w:r>
      <w:r>
        <w:rPr>
          <w:rStyle w:val="normaltextrun"/>
          <w:rFonts w:cs="Segoe UI"/>
          <w:szCs w:val="20"/>
        </w:rPr>
        <w:t>)</w:t>
      </w:r>
      <w:r w:rsidR="00044B49">
        <w:rPr>
          <w:rStyle w:val="normaltextrun"/>
          <w:rFonts w:cs="Segoe UI"/>
          <w:szCs w:val="20"/>
        </w:rPr>
        <w:t xml:space="preserve">, reducing their </w:t>
      </w:r>
      <w:r>
        <w:rPr>
          <w:rStyle w:val="normaltextrun"/>
          <w:rFonts w:cs="Segoe UI"/>
          <w:szCs w:val="20"/>
        </w:rPr>
        <w:t>assessed GST needs. </w:t>
      </w:r>
      <w:r w:rsidRPr="00901448">
        <w:rPr>
          <w:rStyle w:val="normaltextrun"/>
        </w:rPr>
        <w:t> </w:t>
      </w:r>
    </w:p>
    <w:p w14:paraId="32419F84" w14:textId="77777777" w:rsidR="005B72C5" w:rsidRPr="00F82457" w:rsidRDefault="005B72C5" w:rsidP="00E62CF1">
      <w:pPr>
        <w:pStyle w:val="CGCBodyCopy"/>
      </w:pPr>
      <w:r>
        <w:rPr>
          <w:rStyle w:val="normaltextrun"/>
          <w:rFonts w:cs="Segoe UI"/>
          <w:szCs w:val="20"/>
        </w:rPr>
        <w:t>Western Australia experienced the slowest growth in its taxable land values. This resulted in a substantial increase in its assessed GST needs.</w:t>
      </w:r>
      <w:r w:rsidRPr="00901448">
        <w:rPr>
          <w:rStyle w:val="normaltextrun"/>
        </w:rPr>
        <w:t> </w:t>
      </w:r>
    </w:p>
    <w:p w14:paraId="1A914F84" w14:textId="235D2EA1" w:rsidR="005B72C5" w:rsidRDefault="0043488D" w:rsidP="0043488D">
      <w:pPr>
        <w:pStyle w:val="Caption"/>
      </w:pPr>
      <w:bookmarkStart w:id="3" w:name="_Ref160625275"/>
      <w:r>
        <w:lastRenderedPageBreak/>
        <w:t xml:space="preserve">Figure </w:t>
      </w:r>
      <w:fldSimple w:instr=" SEQ Figure \* ARABIC ">
        <w:r>
          <w:rPr>
            <w:noProof/>
          </w:rPr>
          <w:t>3</w:t>
        </w:r>
      </w:fldSimple>
      <w:bookmarkEnd w:id="3"/>
      <w:r w:rsidR="005B72C5">
        <w:tab/>
        <w:t>Land</w:t>
      </w:r>
      <w:r w:rsidR="005B72C5" w:rsidRPr="000212DE">
        <w:t xml:space="preserve"> </w:t>
      </w:r>
      <w:r w:rsidR="005B72C5">
        <w:t>value</w:t>
      </w:r>
      <w:r w:rsidR="005B72C5" w:rsidRPr="000212DE">
        <w:t xml:space="preserve"> per capita, 201</w:t>
      </w:r>
      <w:r w:rsidR="005B72C5">
        <w:t>9</w:t>
      </w:r>
      <w:r w:rsidR="005B72C5" w:rsidRPr="000212DE">
        <w:t>–</w:t>
      </w:r>
      <w:r w:rsidR="005B72C5" w:rsidRPr="0047556A">
        <w:t>20</w:t>
      </w:r>
      <w:r w:rsidR="005B72C5" w:rsidRPr="000212DE">
        <w:t xml:space="preserve"> to 202</w:t>
      </w:r>
      <w:r w:rsidR="005B72C5">
        <w:t>2</w:t>
      </w:r>
      <w:r w:rsidR="005B72C5" w:rsidRPr="000212DE">
        <w:rPr>
          <w:rFonts w:cs="Work Sans"/>
        </w:rPr>
        <w:t>–</w:t>
      </w:r>
      <w:r w:rsidR="005B72C5" w:rsidRPr="000212DE">
        <w:rPr>
          <w:rFonts w:ascii="Times New Roman" w:hAnsi="Times New Roman" w:cs="Times New Roman"/>
        </w:rPr>
        <w:t>‍</w:t>
      </w:r>
      <w:r w:rsidR="005B72C5" w:rsidRPr="000212DE">
        <w:t>2</w:t>
      </w:r>
      <w:r w:rsidR="005B72C5">
        <w:t>3</w:t>
      </w:r>
    </w:p>
    <w:p w14:paraId="53A43625" w14:textId="77777777" w:rsidR="005B72C5" w:rsidRDefault="005B72C5" w:rsidP="005B72C5">
      <w:r w:rsidRPr="00595F56">
        <w:rPr>
          <w:noProof/>
        </w:rPr>
        <w:drawing>
          <wp:inline distT="0" distB="0" distL="0" distR="0" wp14:anchorId="606AD1FA" wp14:editId="0A37AF4D">
            <wp:extent cx="5495925" cy="3618721"/>
            <wp:effectExtent l="0" t="0" r="0" b="1270"/>
            <wp:docPr id="1688674830" name="Picture 168867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95925" cy="3618721"/>
                    </a:xfrm>
                    <a:prstGeom prst="rect">
                      <a:avLst/>
                    </a:prstGeom>
                    <a:noFill/>
                    <a:ln>
                      <a:noFill/>
                    </a:ln>
                  </pic:spPr>
                </pic:pic>
              </a:graphicData>
            </a:graphic>
          </wp:inline>
        </w:drawing>
      </w:r>
    </w:p>
    <w:p w14:paraId="5DBE1650" w14:textId="77777777" w:rsidR="005B72C5" w:rsidRDefault="005B72C5" w:rsidP="005B72C5">
      <w:pPr>
        <w:pStyle w:val="CGCTablenote"/>
      </w:pPr>
      <w:r>
        <w:t xml:space="preserve">Source: </w:t>
      </w:r>
      <w:r w:rsidRPr="0047556A">
        <w:t xml:space="preserve"> </w:t>
      </w:r>
      <w:r w:rsidRPr="00425741">
        <w:t>Commission calculation based on annual data provided by states.</w:t>
      </w:r>
    </w:p>
    <w:p w14:paraId="76634609" w14:textId="27779804" w:rsidR="00042036" w:rsidRPr="005227DE" w:rsidRDefault="008B1CFC" w:rsidP="00042036">
      <w:pPr>
        <w:pStyle w:val="Heading3"/>
      </w:pPr>
      <w:r w:rsidRPr="005227DE">
        <w:t>2021 Census data</w:t>
      </w:r>
    </w:p>
    <w:p w14:paraId="33A59828" w14:textId="0EBABA90" w:rsidR="00804A9D" w:rsidRPr="005227DE" w:rsidRDefault="00DD1DC0" w:rsidP="008B1CFC">
      <w:pPr>
        <w:rPr>
          <w:rFonts w:ascii="Work Sans" w:hAnsi="Work Sans"/>
        </w:rPr>
      </w:pPr>
      <w:r>
        <w:rPr>
          <w:rFonts w:ascii="Work Sans" w:hAnsi="Work Sans"/>
        </w:rPr>
        <w:t xml:space="preserve">Updated data from the </w:t>
      </w:r>
      <w:r w:rsidR="00DF70DD">
        <w:rPr>
          <w:rFonts w:ascii="Work Sans" w:hAnsi="Work Sans"/>
        </w:rPr>
        <w:t>ABS</w:t>
      </w:r>
      <w:r w:rsidR="00804A9D" w:rsidRPr="005227DE" w:rsidDel="00DD1DC0">
        <w:rPr>
          <w:rFonts w:ascii="Work Sans" w:hAnsi="Work Sans"/>
        </w:rPr>
        <w:t xml:space="preserve"> </w:t>
      </w:r>
      <w:r w:rsidR="00804A9D" w:rsidRPr="005227DE">
        <w:rPr>
          <w:rFonts w:ascii="Work Sans" w:hAnsi="Work Sans"/>
        </w:rPr>
        <w:t xml:space="preserve">2021 Census </w:t>
      </w:r>
      <w:r w:rsidR="000354A2" w:rsidRPr="005227DE">
        <w:rPr>
          <w:rFonts w:ascii="Work Sans" w:hAnsi="Work Sans"/>
        </w:rPr>
        <w:t>ha</w:t>
      </w:r>
      <w:r w:rsidR="00F32FF6">
        <w:rPr>
          <w:rFonts w:ascii="Work Sans" w:hAnsi="Work Sans"/>
        </w:rPr>
        <w:t>ve</w:t>
      </w:r>
      <w:r w:rsidR="000354A2" w:rsidRPr="005227DE">
        <w:rPr>
          <w:rFonts w:ascii="Work Sans" w:hAnsi="Work Sans"/>
        </w:rPr>
        <w:t xml:space="preserve"> driven changes in the GST distribution since </w:t>
      </w:r>
      <w:r w:rsidR="00464FE4">
        <w:rPr>
          <w:rFonts w:ascii="Work Sans" w:hAnsi="Work Sans"/>
        </w:rPr>
        <w:t>20</w:t>
      </w:r>
      <w:r w:rsidR="00B779EA">
        <w:rPr>
          <w:rFonts w:ascii="Work Sans" w:hAnsi="Work Sans"/>
        </w:rPr>
        <w:t>23</w:t>
      </w:r>
      <w:r w:rsidR="00E96A7D">
        <w:rPr>
          <w:rFonts w:ascii="Work Sans" w:hAnsi="Work Sans"/>
        </w:rPr>
        <w:t>–</w:t>
      </w:r>
      <w:r w:rsidR="00B779EA">
        <w:rPr>
          <w:rFonts w:ascii="Work Sans" w:hAnsi="Work Sans"/>
        </w:rPr>
        <w:t>24</w:t>
      </w:r>
      <w:r w:rsidR="000354A2" w:rsidRPr="005227DE">
        <w:rPr>
          <w:rFonts w:ascii="Work Sans" w:hAnsi="Work Sans"/>
        </w:rPr>
        <w:t>.</w:t>
      </w:r>
      <w:r w:rsidR="000354A2" w:rsidRPr="005227DE" w:rsidDel="00DD1DC0">
        <w:rPr>
          <w:rFonts w:ascii="Work Sans" w:hAnsi="Work Sans"/>
        </w:rPr>
        <w:t xml:space="preserve"> </w:t>
      </w:r>
      <w:r w:rsidR="00147088">
        <w:rPr>
          <w:rFonts w:ascii="Work Sans" w:hAnsi="Work Sans"/>
        </w:rPr>
        <w:t>For the 2024 Update</w:t>
      </w:r>
      <w:r w:rsidR="003F1D07">
        <w:rPr>
          <w:rFonts w:ascii="Work Sans" w:hAnsi="Work Sans"/>
        </w:rPr>
        <w:t>,</w:t>
      </w:r>
      <w:r w:rsidR="00147088">
        <w:rPr>
          <w:rFonts w:ascii="Work Sans" w:hAnsi="Work Sans"/>
        </w:rPr>
        <w:t xml:space="preserve"> </w:t>
      </w:r>
      <w:r w:rsidR="006D0A29">
        <w:rPr>
          <w:rFonts w:ascii="Work Sans" w:hAnsi="Work Sans"/>
        </w:rPr>
        <w:t xml:space="preserve">2021 Census </w:t>
      </w:r>
      <w:r w:rsidR="000B5AC8" w:rsidRPr="005227DE">
        <w:rPr>
          <w:rFonts w:ascii="Work Sans" w:hAnsi="Work Sans"/>
        </w:rPr>
        <w:t xml:space="preserve">data </w:t>
      </w:r>
      <w:r w:rsidR="006D0A29">
        <w:rPr>
          <w:rFonts w:ascii="Work Sans" w:hAnsi="Work Sans"/>
        </w:rPr>
        <w:t>were</w:t>
      </w:r>
      <w:r w:rsidR="000B5AC8" w:rsidRPr="005227DE">
        <w:rPr>
          <w:rFonts w:ascii="Work Sans" w:hAnsi="Work Sans"/>
        </w:rPr>
        <w:t xml:space="preserve"> used </w:t>
      </w:r>
      <w:r w:rsidR="00C03A63" w:rsidRPr="005227DE">
        <w:rPr>
          <w:rFonts w:ascii="Work Sans" w:hAnsi="Work Sans"/>
        </w:rPr>
        <w:t>for</w:t>
      </w:r>
      <w:r w:rsidR="000B5AC8" w:rsidRPr="005227DE">
        <w:rPr>
          <w:rFonts w:ascii="Work Sans" w:hAnsi="Work Sans"/>
        </w:rPr>
        <w:t xml:space="preserve"> First Nations populations</w:t>
      </w:r>
      <w:r w:rsidR="001D0A23">
        <w:rPr>
          <w:rFonts w:ascii="Work Sans" w:hAnsi="Work Sans"/>
        </w:rPr>
        <w:t>, remoteness classifications, the level of disadvantage</w:t>
      </w:r>
      <w:r w:rsidR="000B5AC8" w:rsidRPr="005227DE">
        <w:rPr>
          <w:rFonts w:ascii="Work Sans" w:hAnsi="Work Sans"/>
        </w:rPr>
        <w:t xml:space="preserve"> and </w:t>
      </w:r>
      <w:r w:rsidR="001D0A23">
        <w:rPr>
          <w:rFonts w:ascii="Work Sans" w:hAnsi="Work Sans"/>
        </w:rPr>
        <w:t xml:space="preserve">other </w:t>
      </w:r>
      <w:r w:rsidR="000B5AC8" w:rsidRPr="005227DE">
        <w:rPr>
          <w:rFonts w:ascii="Work Sans" w:hAnsi="Work Sans"/>
        </w:rPr>
        <w:t xml:space="preserve">location-based </w:t>
      </w:r>
      <w:r w:rsidR="000955E8" w:rsidRPr="005227DE">
        <w:rPr>
          <w:rFonts w:ascii="Work Sans" w:hAnsi="Work Sans"/>
        </w:rPr>
        <w:t>data.</w:t>
      </w:r>
      <w:r w:rsidR="000955E8" w:rsidRPr="005227DE">
        <w:rPr>
          <w:rFonts w:ascii="Work Sans" w:hAnsi="Work Sans"/>
          <w:vertAlign w:val="superscript"/>
        </w:rPr>
        <w:footnoteReference w:id="2"/>
      </w:r>
    </w:p>
    <w:p w14:paraId="2539EED6" w14:textId="608ED11B" w:rsidR="00550C1C" w:rsidRPr="00550C1C" w:rsidRDefault="00B565AF" w:rsidP="004151C9">
      <w:r w:rsidRPr="005227DE" w:rsidDel="00B9468E">
        <w:rPr>
          <w:rFonts w:ascii="Work Sans" w:hAnsi="Work Sans"/>
        </w:rPr>
        <w:t>T</w:t>
      </w:r>
      <w:r w:rsidR="009056C1" w:rsidRPr="005227DE" w:rsidDel="00B9468E">
        <w:rPr>
          <w:rFonts w:ascii="Work Sans" w:hAnsi="Work Sans"/>
        </w:rPr>
        <w:t xml:space="preserve">he </w:t>
      </w:r>
      <w:r w:rsidR="00F60931">
        <w:rPr>
          <w:rFonts w:ascii="Work Sans" w:hAnsi="Work Sans"/>
        </w:rPr>
        <w:t>2</w:t>
      </w:r>
      <w:r w:rsidR="00DF70DD" w:rsidRPr="00F60931">
        <w:rPr>
          <w:rFonts w:ascii="Work Sans" w:hAnsi="Work Sans"/>
        </w:rPr>
        <w:t xml:space="preserve"> largest impacts</w:t>
      </w:r>
      <w:r w:rsidR="009056C1" w:rsidRPr="005227DE" w:rsidDel="00B9468E">
        <w:rPr>
          <w:rFonts w:ascii="Work Sans" w:hAnsi="Work Sans"/>
        </w:rPr>
        <w:t xml:space="preserve"> </w:t>
      </w:r>
      <w:r w:rsidR="00814A26">
        <w:rPr>
          <w:rFonts w:ascii="Work Sans" w:hAnsi="Work Sans"/>
        </w:rPr>
        <w:t>from the</w:t>
      </w:r>
      <w:r w:rsidR="00DF70DD" w:rsidRPr="00F60931">
        <w:rPr>
          <w:rFonts w:ascii="Work Sans" w:hAnsi="Work Sans"/>
        </w:rPr>
        <w:t xml:space="preserve"> </w:t>
      </w:r>
      <w:r w:rsidR="00AA79C3" w:rsidRPr="00F60931">
        <w:rPr>
          <w:rFonts w:ascii="Work Sans" w:hAnsi="Work Sans"/>
        </w:rPr>
        <w:t xml:space="preserve">2021 Census data were for </w:t>
      </w:r>
      <w:r w:rsidR="00077432" w:rsidRPr="005227DE" w:rsidDel="00B9468E">
        <w:rPr>
          <w:rFonts w:ascii="Work Sans" w:hAnsi="Work Sans"/>
        </w:rPr>
        <w:t>urban transport (</w:t>
      </w:r>
      <w:r w:rsidR="00C01F9C" w:rsidRPr="005227DE" w:rsidDel="00B9468E">
        <w:rPr>
          <w:rFonts w:ascii="Work Sans" w:hAnsi="Work Sans"/>
        </w:rPr>
        <w:t xml:space="preserve">discussed </w:t>
      </w:r>
      <w:r w:rsidR="0065290F" w:rsidDel="00B9468E">
        <w:rPr>
          <w:rFonts w:ascii="Work Sans" w:hAnsi="Work Sans"/>
        </w:rPr>
        <w:t>above</w:t>
      </w:r>
      <w:r w:rsidR="00AA79C3" w:rsidRPr="00F60931">
        <w:rPr>
          <w:rFonts w:ascii="Work Sans" w:hAnsi="Work Sans"/>
        </w:rPr>
        <w:t xml:space="preserve">) and </w:t>
      </w:r>
      <w:r w:rsidR="009D2910" w:rsidRPr="005227DE" w:rsidDel="00FF1157">
        <w:rPr>
          <w:rFonts w:ascii="Work Sans" w:hAnsi="Work Sans"/>
        </w:rPr>
        <w:t>health</w:t>
      </w:r>
      <w:r w:rsidR="00AA79C3">
        <w:rPr>
          <w:rFonts w:ascii="Work Sans" w:hAnsi="Work Sans"/>
        </w:rPr>
        <w:t>.</w:t>
      </w:r>
      <w:r w:rsidR="00F4196B" w:rsidRPr="005227DE" w:rsidDel="00FF1157">
        <w:rPr>
          <w:rFonts w:ascii="Work Sans" w:hAnsi="Work Sans"/>
        </w:rPr>
        <w:t xml:space="preserve"> </w:t>
      </w:r>
      <w:r w:rsidR="00FF1157">
        <w:rPr>
          <w:rFonts w:ascii="Work Sans" w:hAnsi="Work Sans"/>
        </w:rPr>
        <w:t xml:space="preserve">The </w:t>
      </w:r>
      <w:r w:rsidR="00F4196B" w:rsidRPr="005227DE">
        <w:rPr>
          <w:rFonts w:ascii="Work Sans" w:hAnsi="Work Sans"/>
        </w:rPr>
        <w:t>use of the 2021 Census data in the health assessment reduced the assessed need for spending in New South Wales and South Australia and increased the need for spending in other states.</w:t>
      </w:r>
      <w:r w:rsidR="00BB0D00" w:rsidRPr="00550C1C">
        <w:rPr>
          <w:rFonts w:ascii="Work Sans" w:hAnsi="Work Sans"/>
        </w:rPr>
        <w:t xml:space="preserve"> </w:t>
      </w:r>
    </w:p>
    <w:p w14:paraId="69B75766" w14:textId="77777777" w:rsidR="00550C1C" w:rsidRPr="00550C1C" w:rsidRDefault="00550C1C" w:rsidP="00550C1C">
      <w:pPr>
        <w:rPr>
          <w:rFonts w:ascii="Work Sans" w:hAnsi="Work Sans"/>
        </w:rPr>
      </w:pPr>
    </w:p>
    <w:p w14:paraId="2CE9FC36" w14:textId="66B89974" w:rsidR="00594B64" w:rsidRDefault="00594B64" w:rsidP="00523EB0">
      <w:pPr>
        <w:pStyle w:val="Heading3"/>
      </w:pPr>
      <w:r>
        <w:t>2018 legislat</w:t>
      </w:r>
      <w:r w:rsidR="000F0448">
        <w:t>ed</w:t>
      </w:r>
      <w:r>
        <w:t xml:space="preserve"> changes to GST distribution arrangements</w:t>
      </w:r>
    </w:p>
    <w:p w14:paraId="726AFD1D" w14:textId="7595963A" w:rsidR="007727B4" w:rsidRDefault="00E265D8" w:rsidP="00E62CF1">
      <w:pPr>
        <w:pStyle w:val="CGCBodyCopy"/>
      </w:pPr>
      <w:r>
        <w:t>T</w:t>
      </w:r>
      <w:r w:rsidR="00594B64">
        <w:t xml:space="preserve">he </w:t>
      </w:r>
      <w:hyperlink r:id="rId29" w:history="1">
        <w:r w:rsidR="00594B64" w:rsidRPr="009F0A62">
          <w:rPr>
            <w:rStyle w:val="Hyperlink"/>
          </w:rPr>
          <w:t>2018 legislated changes</w:t>
        </w:r>
      </w:hyperlink>
      <w:r w:rsidR="00594B64" w:rsidRPr="009F0A62">
        <w:t xml:space="preserve"> to</w:t>
      </w:r>
      <w:r w:rsidR="00594B64" w:rsidRPr="001A6043">
        <w:t xml:space="preserve"> </w:t>
      </w:r>
      <w:r w:rsidR="008A0853" w:rsidRPr="001A6043">
        <w:t xml:space="preserve">the </w:t>
      </w:r>
      <w:r w:rsidR="00594B64" w:rsidRPr="001A6043">
        <w:t>GST arrangements</w:t>
      </w:r>
      <w:r w:rsidR="00594B64">
        <w:t xml:space="preserve"> include</w:t>
      </w:r>
      <w:r w:rsidR="008A0853">
        <w:t>d</w:t>
      </w:r>
      <w:r w:rsidR="00FB2F23">
        <w:t xml:space="preserve"> </w:t>
      </w:r>
      <w:r w:rsidR="00594B64">
        <w:t xml:space="preserve">the introduction of a </w:t>
      </w:r>
      <w:r w:rsidR="00105B1E">
        <w:t xml:space="preserve">GST </w:t>
      </w:r>
      <w:r w:rsidR="00594B64">
        <w:t>relativity floor</w:t>
      </w:r>
      <w:r w:rsidR="005C7519">
        <w:t>.</w:t>
      </w:r>
      <w:r w:rsidR="00594B64">
        <w:t xml:space="preserve"> For 202</w:t>
      </w:r>
      <w:r w:rsidR="00BA54DA">
        <w:t>4</w:t>
      </w:r>
      <w:r w:rsidR="00C4445C">
        <w:t>–</w:t>
      </w:r>
      <w:r w:rsidR="00594B64">
        <w:t>2</w:t>
      </w:r>
      <w:r w:rsidR="00BA54DA">
        <w:t>5</w:t>
      </w:r>
      <w:r w:rsidR="00594B64">
        <w:t xml:space="preserve">, the floor </w:t>
      </w:r>
      <w:r w:rsidR="006143F7">
        <w:t xml:space="preserve">will be </w:t>
      </w:r>
      <w:r w:rsidR="00594B64">
        <w:t>0.7</w:t>
      </w:r>
      <w:r w:rsidR="002F0976">
        <w:t>5</w:t>
      </w:r>
      <w:r w:rsidR="00594B64">
        <w:t xml:space="preserve">. </w:t>
      </w:r>
      <w:r w:rsidR="008B354A">
        <w:t xml:space="preserve">In the absence of the relativity floor, </w:t>
      </w:r>
      <w:r w:rsidR="00594B64">
        <w:t>Western</w:t>
      </w:r>
      <w:r w:rsidR="0008172E">
        <w:t> </w:t>
      </w:r>
      <w:r w:rsidR="00594B64">
        <w:t xml:space="preserve">Australia’s </w:t>
      </w:r>
      <w:r w:rsidR="002C360F">
        <w:t xml:space="preserve">strong </w:t>
      </w:r>
      <w:r w:rsidR="00974E1C">
        <w:t xml:space="preserve">relative </w:t>
      </w:r>
      <w:r w:rsidR="002C360F">
        <w:t xml:space="preserve">fiscal capacity </w:t>
      </w:r>
      <w:r w:rsidR="008B354A">
        <w:t xml:space="preserve">would </w:t>
      </w:r>
      <w:r w:rsidR="00A13B29">
        <w:t>result in it</w:t>
      </w:r>
      <w:r w:rsidR="008B354A">
        <w:t xml:space="preserve"> receiving a relativity below </w:t>
      </w:r>
      <w:r w:rsidR="00974E1C">
        <w:t xml:space="preserve">the floor. </w:t>
      </w:r>
      <w:r w:rsidR="001A33B0">
        <w:t xml:space="preserve">As the GST is </w:t>
      </w:r>
      <w:r w:rsidR="00777ECB">
        <w:t xml:space="preserve">distributed from a fixed pool, </w:t>
      </w:r>
      <w:r w:rsidR="008E1D18">
        <w:t>liftin</w:t>
      </w:r>
      <w:r w:rsidR="008B1CFC">
        <w:t>g</w:t>
      </w:r>
      <w:r w:rsidR="008E1D18">
        <w:t xml:space="preserve"> Western Australia’s</w:t>
      </w:r>
      <w:r w:rsidR="00777ECB">
        <w:t xml:space="preserve"> </w:t>
      </w:r>
      <w:r w:rsidR="0063551E">
        <w:t>relativity to the floor</w:t>
      </w:r>
      <w:r w:rsidR="00777ECB">
        <w:t xml:space="preserve"> reduces </w:t>
      </w:r>
      <w:r w:rsidR="00594B64">
        <w:t xml:space="preserve">the </w:t>
      </w:r>
      <w:r w:rsidR="0063551E">
        <w:t xml:space="preserve">relativities of the </w:t>
      </w:r>
      <w:r w:rsidR="00594B64">
        <w:t xml:space="preserve">other states. However, the Commonwealth </w:t>
      </w:r>
      <w:r w:rsidR="00FD5D10">
        <w:t>will</w:t>
      </w:r>
      <w:r w:rsidR="004E542A">
        <w:t xml:space="preserve"> make additional</w:t>
      </w:r>
      <w:r w:rsidR="00594B64">
        <w:t xml:space="preserve"> </w:t>
      </w:r>
      <w:r w:rsidR="00841403">
        <w:t xml:space="preserve">payments </w:t>
      </w:r>
      <w:r w:rsidR="00C54A53">
        <w:t>to 202</w:t>
      </w:r>
      <w:r w:rsidR="00DD2722">
        <w:t>9</w:t>
      </w:r>
      <w:r w:rsidR="00AF015B">
        <w:t>–</w:t>
      </w:r>
      <w:r w:rsidR="00DD2722">
        <w:t>30</w:t>
      </w:r>
      <w:r w:rsidR="00794BB5">
        <w:t xml:space="preserve"> </w:t>
      </w:r>
      <w:r w:rsidR="00C518DE">
        <w:t>so that n</w:t>
      </w:r>
      <w:r w:rsidR="00594B64">
        <w:t xml:space="preserve">o state will </w:t>
      </w:r>
      <w:r w:rsidR="001D5DBB">
        <w:t>be worse off</w:t>
      </w:r>
      <w:r w:rsidR="00594B64">
        <w:t xml:space="preserve"> </w:t>
      </w:r>
      <w:r w:rsidR="00FC1E8F">
        <w:t>than they would have been under the previous GST dist</w:t>
      </w:r>
      <w:r w:rsidR="0057237D">
        <w:t xml:space="preserve">ribution arrangements </w:t>
      </w:r>
      <w:r w:rsidR="00594B64">
        <w:t>(the ‘no worse off guarantee</w:t>
      </w:r>
      <w:r w:rsidR="00A44E5E">
        <w:t>’</w:t>
      </w:r>
      <w:r w:rsidR="00594B64">
        <w:t>)</w:t>
      </w:r>
      <w:r w:rsidR="004248A6" w:rsidRPr="004248A6">
        <w:rPr>
          <w:rFonts w:cstheme="minorBidi"/>
          <w:color w:val="auto"/>
          <w:szCs w:val="22"/>
          <w:shd w:val="clear" w:color="auto" w:fill="auto"/>
        </w:rPr>
        <w:t>.</w:t>
      </w:r>
      <w:r w:rsidR="004248A6" w:rsidRPr="004248A6">
        <w:rPr>
          <w:rFonts w:cstheme="minorBidi"/>
          <w:color w:val="auto"/>
          <w:szCs w:val="22"/>
          <w:shd w:val="clear" w:color="auto" w:fill="auto"/>
          <w:vertAlign w:val="superscript"/>
        </w:rPr>
        <w:footnoteReference w:id="3"/>
      </w:r>
      <w:r w:rsidR="00594B64">
        <w:t xml:space="preserve"> </w:t>
      </w:r>
    </w:p>
    <w:p w14:paraId="1231DAFA" w14:textId="6781C4F9" w:rsidR="00594B64" w:rsidRDefault="00132032" w:rsidP="00E62CF1">
      <w:pPr>
        <w:pStyle w:val="CGCBodyCopy"/>
      </w:pPr>
      <w:r>
        <w:lastRenderedPageBreak/>
        <w:t xml:space="preserve">Western Australia </w:t>
      </w:r>
      <w:r w:rsidR="00C677EF">
        <w:t xml:space="preserve">is estimated to receive </w:t>
      </w:r>
      <w:r w:rsidR="008C68DA">
        <w:t xml:space="preserve">$6.2 billion </w:t>
      </w:r>
      <w:r w:rsidR="00C9661F">
        <w:t>more GST in 202</w:t>
      </w:r>
      <w:r w:rsidR="008A709F">
        <w:t>4</w:t>
      </w:r>
      <w:r w:rsidR="004B4BA3">
        <w:t>–</w:t>
      </w:r>
      <w:r w:rsidR="00C9661F">
        <w:t>25</w:t>
      </w:r>
      <w:r w:rsidR="00926399">
        <w:t xml:space="preserve"> than it would have under the previous </w:t>
      </w:r>
      <w:r w:rsidR="008A709F">
        <w:t xml:space="preserve">GST distribution arrangements.  </w:t>
      </w:r>
    </w:p>
    <w:p w14:paraId="1DAA52DC" w14:textId="7137F8D2" w:rsidR="00594B64" w:rsidRDefault="00594B64" w:rsidP="004E73C6">
      <w:pPr>
        <w:pStyle w:val="Heading3"/>
        <w:keepNext/>
      </w:pPr>
      <w:r>
        <w:t xml:space="preserve">Estimated total </w:t>
      </w:r>
      <w:r w:rsidR="0030068C">
        <w:t xml:space="preserve">GST-related </w:t>
      </w:r>
      <w:r>
        <w:t>payments</w:t>
      </w:r>
      <w:r w:rsidR="0017188A">
        <w:t>,</w:t>
      </w:r>
      <w:r>
        <w:t xml:space="preserve"> </w:t>
      </w:r>
      <w:r w:rsidR="0030068C">
        <w:t xml:space="preserve">including </w:t>
      </w:r>
      <w:r w:rsidR="00CC724E">
        <w:br/>
      </w:r>
      <w:r w:rsidR="0030068C">
        <w:t>no</w:t>
      </w:r>
      <w:r w:rsidR="00526B58">
        <w:t xml:space="preserve"> worse off </w:t>
      </w:r>
      <w:proofErr w:type="gramStart"/>
      <w:r>
        <w:t>payments</w:t>
      </w:r>
      <w:proofErr w:type="gramEnd"/>
      <w:r>
        <w:t xml:space="preserve"> </w:t>
      </w:r>
    </w:p>
    <w:p w14:paraId="1BB8B0F0" w14:textId="2CD5DFC7" w:rsidR="00F01396" w:rsidRDefault="00594B64" w:rsidP="00E62CF1">
      <w:pPr>
        <w:pStyle w:val="CGCBodyCopy"/>
      </w:pPr>
      <w:r>
        <w:t xml:space="preserve">Based on </w:t>
      </w:r>
      <w:r w:rsidR="00A44E5E">
        <w:t>its recommendations in</w:t>
      </w:r>
      <w:r>
        <w:t xml:space="preserve"> the 202</w:t>
      </w:r>
      <w:r w:rsidR="00F47D2B">
        <w:t>4</w:t>
      </w:r>
      <w:r>
        <w:t xml:space="preserve"> Update, the Commission has provided indicative estimates of total payments from the GST </w:t>
      </w:r>
      <w:r w:rsidR="00AA75A0">
        <w:t>pool and</w:t>
      </w:r>
      <w:r>
        <w:t xml:space="preserve"> no worse off payments to the states in 202</w:t>
      </w:r>
      <w:r w:rsidR="00F47D2B">
        <w:t>4</w:t>
      </w:r>
      <w:r w:rsidR="007A6CBC">
        <w:t>–</w:t>
      </w:r>
      <w:r>
        <w:t>2</w:t>
      </w:r>
      <w:r w:rsidR="00F47D2B">
        <w:t>5</w:t>
      </w:r>
      <w:r>
        <w:t xml:space="preserve"> (see</w:t>
      </w:r>
      <w:r w:rsidR="00EF49CF">
        <w:t> </w:t>
      </w:r>
      <w:r w:rsidRPr="00433E65">
        <w:t xml:space="preserve">Table </w:t>
      </w:r>
      <w:r w:rsidR="00433E65" w:rsidRPr="00433E65">
        <w:t>2</w:t>
      </w:r>
      <w:r>
        <w:t xml:space="preserve">). The indicative estimates </w:t>
      </w:r>
      <w:r w:rsidR="00F01396">
        <w:t xml:space="preserve">are provided </w:t>
      </w:r>
      <w:r>
        <w:t>for illustrative purposes.</w:t>
      </w:r>
      <w:r w:rsidR="00F01396">
        <w:t xml:space="preserve"> Final GST distributions and </w:t>
      </w:r>
      <w:r>
        <w:t>no worse off payments for 202</w:t>
      </w:r>
      <w:r w:rsidR="00F47D2B">
        <w:t>4</w:t>
      </w:r>
      <w:r>
        <w:t>–2</w:t>
      </w:r>
      <w:r w:rsidR="00F47D2B">
        <w:t>5</w:t>
      </w:r>
      <w:r>
        <w:t xml:space="preserve"> will be calculated by the Commonwealth and </w:t>
      </w:r>
      <w:r w:rsidR="00A53DA7">
        <w:t xml:space="preserve">will </w:t>
      </w:r>
      <w:r w:rsidR="00F90246">
        <w:t xml:space="preserve">be </w:t>
      </w:r>
      <w:r w:rsidR="00A53DA7">
        <w:t xml:space="preserve">based on </w:t>
      </w:r>
      <w:r>
        <w:t>the actual GST pool, pool top</w:t>
      </w:r>
      <w:r w:rsidR="00F8793C">
        <w:t>-</w:t>
      </w:r>
      <w:r>
        <w:t>ups and population for 202</w:t>
      </w:r>
      <w:r w:rsidR="00F47D2B">
        <w:t>4</w:t>
      </w:r>
      <w:r>
        <w:t>–2</w:t>
      </w:r>
      <w:r w:rsidR="00F47D2B">
        <w:t>5</w:t>
      </w:r>
      <w:r>
        <w:t>, which will not be determined until after the end of that year.</w:t>
      </w:r>
    </w:p>
    <w:p w14:paraId="10E114AE" w14:textId="7977A5D3" w:rsidR="00C830C2" w:rsidRPr="00C830C2" w:rsidRDefault="00C830C2" w:rsidP="0043488D">
      <w:pPr>
        <w:keepNext/>
        <w:keepLines/>
        <w:tabs>
          <w:tab w:val="left" w:pos="1134"/>
        </w:tabs>
        <w:spacing w:before="240" w:after="120" w:line="240" w:lineRule="auto"/>
        <w:ind w:left="1134" w:hanging="1134"/>
        <w:jc w:val="both"/>
        <w:rPr>
          <w:rFonts w:ascii="Work Sans SemiBold" w:hAnsi="Work Sans SemiBold" w:cs="Cambria Math"/>
          <w:color w:val="000000"/>
          <w:shd w:val="clear" w:color="auto" w:fill="FFFFFF"/>
          <w14:shadow w14:blurRad="50800" w14:dist="50800" w14:dir="5400000" w14:sx="0" w14:sy="0" w14:kx="0" w14:ky="0" w14:algn="ctr">
            <w14:srgbClr w14:val="000000">
              <w14:alpha w14:val="1000"/>
            </w14:srgbClr>
          </w14:shadow>
        </w:rPr>
      </w:pPr>
      <w:r w:rsidRPr="00433E65">
        <w:rPr>
          <w:rFonts w:ascii="Work Sans SemiBold" w:hAnsi="Work Sans SemiBold" w:cs="Cambria Math"/>
          <w:color w:val="000000"/>
          <w:shd w:val="clear" w:color="auto" w:fill="FFFFFF"/>
          <w14:shadow w14:blurRad="50800" w14:dist="50800" w14:dir="5400000" w14:sx="0" w14:sy="0" w14:kx="0" w14:ky="0" w14:algn="ctr">
            <w14:srgbClr w14:val="000000">
              <w14:alpha w14:val="1000"/>
            </w14:srgbClr>
          </w14:shadow>
        </w:rPr>
        <w:t xml:space="preserve">Table </w:t>
      </w:r>
      <w:r w:rsidR="00450CFB" w:rsidRPr="00433E65">
        <w:rPr>
          <w:rFonts w:ascii="Work Sans SemiBold" w:hAnsi="Work Sans SemiBold" w:cs="Cambria Math"/>
          <w:color w:val="000000"/>
          <w:shd w:val="clear" w:color="auto" w:fill="FFFFFF"/>
          <w14:shadow w14:blurRad="50800" w14:dist="50800" w14:dir="5400000" w14:sx="0" w14:sy="0" w14:kx="0" w14:ky="0" w14:algn="ctr">
            <w14:srgbClr w14:val="000000">
              <w14:alpha w14:val="1000"/>
            </w14:srgbClr>
          </w14:shadow>
        </w:rPr>
        <w:t>2</w:t>
      </w:r>
      <w:r w:rsidRPr="74999422">
        <w:rPr>
          <w:rFonts w:ascii="Work Sans SemiBold" w:hAnsi="Work Sans SemiBold" w:cs="Cambria Math"/>
          <w:color w:val="000000"/>
          <w:shd w:val="clear" w:color="auto" w:fill="FFFFFF"/>
          <w14:shadow w14:blurRad="50800" w14:dist="50800" w14:dir="5400000" w14:sx="0" w14:sy="0" w14:kx="0" w14:ky="0" w14:algn="ctr">
            <w14:srgbClr w14:val="000000">
              <w14:alpha w14:val="1000"/>
            </w14:srgbClr>
          </w14:shadow>
        </w:rPr>
        <w:t xml:space="preserve"> </w:t>
      </w:r>
      <w:r w:rsidRPr="00C830C2">
        <w:rPr>
          <w:rFonts w:ascii="Work Sans SemiBold" w:hAnsi="Work Sans SemiBold" w:cs="Cambria Math"/>
          <w:bCs/>
          <w:color w:val="000000"/>
          <w:szCs w:val="21"/>
          <w:shd w:val="clear" w:color="auto" w:fill="FFFFFF"/>
          <w14:shadow w14:blurRad="50800" w14:dist="50800" w14:dir="5400000" w14:sx="0" w14:sy="0" w14:kx="0" w14:ky="0" w14:algn="ctr">
            <w14:srgbClr w14:val="000000">
              <w14:alpha w14:val="1000"/>
            </w14:srgbClr>
          </w14:shadow>
        </w:rPr>
        <w:tab/>
      </w:r>
      <w:r w:rsidRPr="74999422">
        <w:rPr>
          <w:rFonts w:ascii="Work Sans SemiBold" w:hAnsi="Work Sans SemiBold" w:cs="Cambria Math"/>
          <w:color w:val="000000"/>
          <w:shd w:val="clear" w:color="auto" w:fill="FFFFFF"/>
          <w14:shadow w14:blurRad="50800" w14:dist="50800" w14:dir="5400000" w14:sx="0" w14:sy="0" w14:kx="0" w14:ky="0" w14:algn="ctr">
            <w14:srgbClr w14:val="000000">
              <w14:alpha w14:val="1000"/>
            </w14:srgbClr>
          </w14:shadow>
        </w:rPr>
        <w:t xml:space="preserve">Estimated total payments to the states from GST distribution and no worse off </w:t>
      </w:r>
      <w:proofErr w:type="gramStart"/>
      <w:r w:rsidRPr="74999422">
        <w:rPr>
          <w:rFonts w:ascii="Work Sans SemiBold" w:hAnsi="Work Sans SemiBold" w:cs="Cambria Math"/>
          <w:color w:val="000000"/>
          <w:shd w:val="clear" w:color="auto" w:fill="FFFFFF"/>
          <w14:shadow w14:blurRad="50800" w14:dist="50800" w14:dir="5400000" w14:sx="0" w14:sy="0" w14:kx="0" w14:ky="0" w14:algn="ctr">
            <w14:srgbClr w14:val="000000">
              <w14:alpha w14:val="1000"/>
            </w14:srgbClr>
          </w14:shadow>
        </w:rPr>
        <w:t>payments</w:t>
      </w:r>
      <w:proofErr w:type="gramEnd"/>
    </w:p>
    <w:tbl>
      <w:tblPr>
        <w:tblW w:w="8840" w:type="dxa"/>
        <w:tblLook w:val="04A0" w:firstRow="1" w:lastRow="0" w:firstColumn="1" w:lastColumn="0" w:noHBand="0" w:noVBand="1"/>
      </w:tblPr>
      <w:tblGrid>
        <w:gridCol w:w="2500"/>
        <w:gridCol w:w="760"/>
        <w:gridCol w:w="760"/>
        <w:gridCol w:w="760"/>
        <w:gridCol w:w="660"/>
        <w:gridCol w:w="660"/>
        <w:gridCol w:w="660"/>
        <w:gridCol w:w="660"/>
        <w:gridCol w:w="660"/>
        <w:gridCol w:w="760"/>
      </w:tblGrid>
      <w:tr w:rsidR="00C830C2" w:rsidRPr="00C830C2" w14:paraId="7760ABE4" w14:textId="77777777">
        <w:trPr>
          <w:trHeight w:val="381"/>
        </w:trPr>
        <w:tc>
          <w:tcPr>
            <w:tcW w:w="2500" w:type="dxa"/>
            <w:tcBorders>
              <w:top w:val="nil"/>
              <w:left w:val="nil"/>
              <w:bottom w:val="nil"/>
              <w:right w:val="nil"/>
            </w:tcBorders>
            <w:shd w:val="clear" w:color="auto" w:fill="006991"/>
            <w:vAlign w:val="bottom"/>
            <w:hideMark/>
          </w:tcPr>
          <w:p w14:paraId="25E31E65" w14:textId="1D628E9F" w:rsidR="00C830C2" w:rsidRPr="00C830C2" w:rsidRDefault="00C830C2" w:rsidP="00C830C2">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 </w:t>
            </w:r>
          </w:p>
        </w:tc>
        <w:tc>
          <w:tcPr>
            <w:tcW w:w="760" w:type="dxa"/>
            <w:tcBorders>
              <w:top w:val="nil"/>
              <w:left w:val="nil"/>
              <w:bottom w:val="nil"/>
              <w:right w:val="nil"/>
            </w:tcBorders>
            <w:shd w:val="clear" w:color="auto" w:fill="006991"/>
            <w:vAlign w:val="center"/>
            <w:hideMark/>
          </w:tcPr>
          <w:p w14:paraId="1511D199" w14:textId="2C098E69"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NSW</w:t>
            </w:r>
          </w:p>
        </w:tc>
        <w:tc>
          <w:tcPr>
            <w:tcW w:w="760" w:type="dxa"/>
            <w:tcBorders>
              <w:top w:val="nil"/>
              <w:left w:val="nil"/>
              <w:bottom w:val="nil"/>
              <w:right w:val="nil"/>
            </w:tcBorders>
            <w:shd w:val="clear" w:color="auto" w:fill="006991"/>
            <w:vAlign w:val="center"/>
            <w:hideMark/>
          </w:tcPr>
          <w:p w14:paraId="67A2AA4E" w14:textId="42463F8B"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Vic</w:t>
            </w:r>
          </w:p>
        </w:tc>
        <w:tc>
          <w:tcPr>
            <w:tcW w:w="760" w:type="dxa"/>
            <w:tcBorders>
              <w:top w:val="nil"/>
              <w:left w:val="nil"/>
              <w:bottom w:val="nil"/>
              <w:right w:val="nil"/>
            </w:tcBorders>
            <w:shd w:val="clear" w:color="auto" w:fill="006991"/>
            <w:vAlign w:val="center"/>
            <w:hideMark/>
          </w:tcPr>
          <w:p w14:paraId="666C565D" w14:textId="5CAF0398"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Qld</w:t>
            </w:r>
          </w:p>
        </w:tc>
        <w:tc>
          <w:tcPr>
            <w:tcW w:w="660" w:type="dxa"/>
            <w:tcBorders>
              <w:top w:val="nil"/>
              <w:left w:val="nil"/>
              <w:bottom w:val="nil"/>
              <w:right w:val="nil"/>
            </w:tcBorders>
            <w:shd w:val="clear" w:color="auto" w:fill="006991"/>
            <w:vAlign w:val="center"/>
            <w:hideMark/>
          </w:tcPr>
          <w:p w14:paraId="653A1A6E" w14:textId="7ABD2FA4"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WA</w:t>
            </w:r>
          </w:p>
        </w:tc>
        <w:tc>
          <w:tcPr>
            <w:tcW w:w="660" w:type="dxa"/>
            <w:tcBorders>
              <w:top w:val="nil"/>
              <w:left w:val="nil"/>
              <w:bottom w:val="nil"/>
              <w:right w:val="nil"/>
            </w:tcBorders>
            <w:shd w:val="clear" w:color="auto" w:fill="006991"/>
            <w:vAlign w:val="center"/>
            <w:hideMark/>
          </w:tcPr>
          <w:p w14:paraId="0114D657" w14:textId="25E043FD"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SA</w:t>
            </w:r>
          </w:p>
        </w:tc>
        <w:tc>
          <w:tcPr>
            <w:tcW w:w="660" w:type="dxa"/>
            <w:tcBorders>
              <w:top w:val="nil"/>
              <w:left w:val="nil"/>
              <w:bottom w:val="nil"/>
              <w:right w:val="nil"/>
            </w:tcBorders>
            <w:shd w:val="clear" w:color="auto" w:fill="006991"/>
            <w:vAlign w:val="center"/>
            <w:hideMark/>
          </w:tcPr>
          <w:p w14:paraId="176F7C0F" w14:textId="5096AF3E"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Tas</w:t>
            </w:r>
          </w:p>
        </w:tc>
        <w:tc>
          <w:tcPr>
            <w:tcW w:w="660" w:type="dxa"/>
            <w:tcBorders>
              <w:top w:val="nil"/>
              <w:left w:val="nil"/>
              <w:bottom w:val="nil"/>
              <w:right w:val="nil"/>
            </w:tcBorders>
            <w:shd w:val="clear" w:color="auto" w:fill="006991"/>
            <w:vAlign w:val="center"/>
            <w:hideMark/>
          </w:tcPr>
          <w:p w14:paraId="2AF7049F" w14:textId="50FAA83A"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ACT</w:t>
            </w:r>
          </w:p>
        </w:tc>
        <w:tc>
          <w:tcPr>
            <w:tcW w:w="660" w:type="dxa"/>
            <w:tcBorders>
              <w:top w:val="nil"/>
              <w:left w:val="nil"/>
              <w:bottom w:val="nil"/>
              <w:right w:val="nil"/>
            </w:tcBorders>
            <w:shd w:val="clear" w:color="auto" w:fill="006991"/>
            <w:vAlign w:val="center"/>
            <w:hideMark/>
          </w:tcPr>
          <w:p w14:paraId="61791D71" w14:textId="1DF8F5F8"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NT</w:t>
            </w:r>
          </w:p>
        </w:tc>
        <w:tc>
          <w:tcPr>
            <w:tcW w:w="760" w:type="dxa"/>
            <w:tcBorders>
              <w:top w:val="nil"/>
              <w:left w:val="nil"/>
              <w:bottom w:val="nil"/>
              <w:right w:val="nil"/>
            </w:tcBorders>
            <w:shd w:val="clear" w:color="auto" w:fill="006991"/>
            <w:vAlign w:val="center"/>
            <w:hideMark/>
          </w:tcPr>
          <w:p w14:paraId="7E6B59CB" w14:textId="0353399F"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Total</w:t>
            </w:r>
          </w:p>
        </w:tc>
      </w:tr>
      <w:tr w:rsidR="00C830C2" w:rsidRPr="00C830C2" w14:paraId="5BD52BD5" w14:textId="77777777">
        <w:trPr>
          <w:trHeight w:val="261"/>
        </w:trPr>
        <w:tc>
          <w:tcPr>
            <w:tcW w:w="2500" w:type="dxa"/>
            <w:tcBorders>
              <w:top w:val="single" w:sz="4" w:space="0" w:color="ADD6EA"/>
              <w:left w:val="nil"/>
              <w:bottom w:val="nil"/>
              <w:right w:val="nil"/>
            </w:tcBorders>
            <w:shd w:val="clear" w:color="auto" w:fill="B6D5E4"/>
            <w:vAlign w:val="bottom"/>
            <w:hideMark/>
          </w:tcPr>
          <w:p w14:paraId="52AF4070" w14:textId="765652E7" w:rsidR="00C830C2" w:rsidRPr="00C830C2" w:rsidRDefault="00C830C2" w:rsidP="00C830C2">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 </w:t>
            </w:r>
          </w:p>
        </w:tc>
        <w:tc>
          <w:tcPr>
            <w:tcW w:w="760" w:type="dxa"/>
            <w:tcBorders>
              <w:top w:val="single" w:sz="4" w:space="0" w:color="ADD6EA"/>
              <w:left w:val="nil"/>
              <w:bottom w:val="nil"/>
              <w:right w:val="nil"/>
            </w:tcBorders>
            <w:shd w:val="clear" w:color="auto" w:fill="B6D5E4"/>
            <w:noWrap/>
            <w:vAlign w:val="bottom"/>
            <w:hideMark/>
          </w:tcPr>
          <w:p w14:paraId="2847F735" w14:textId="5DCC2E52"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$m</w:t>
            </w:r>
          </w:p>
        </w:tc>
        <w:tc>
          <w:tcPr>
            <w:tcW w:w="760" w:type="dxa"/>
            <w:tcBorders>
              <w:top w:val="single" w:sz="4" w:space="0" w:color="ADD6EA"/>
              <w:left w:val="nil"/>
              <w:bottom w:val="nil"/>
              <w:right w:val="nil"/>
            </w:tcBorders>
            <w:shd w:val="clear" w:color="auto" w:fill="B6D5E4"/>
            <w:noWrap/>
            <w:vAlign w:val="bottom"/>
            <w:hideMark/>
          </w:tcPr>
          <w:p w14:paraId="6BE38305" w14:textId="682E3413"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$m</w:t>
            </w:r>
          </w:p>
        </w:tc>
        <w:tc>
          <w:tcPr>
            <w:tcW w:w="760" w:type="dxa"/>
            <w:tcBorders>
              <w:top w:val="single" w:sz="4" w:space="0" w:color="ADD6EA"/>
              <w:left w:val="nil"/>
              <w:bottom w:val="nil"/>
              <w:right w:val="nil"/>
            </w:tcBorders>
            <w:shd w:val="clear" w:color="auto" w:fill="B6D5E4"/>
            <w:noWrap/>
            <w:vAlign w:val="bottom"/>
            <w:hideMark/>
          </w:tcPr>
          <w:p w14:paraId="12263DB2" w14:textId="7C29E3B4"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$m</w:t>
            </w:r>
          </w:p>
        </w:tc>
        <w:tc>
          <w:tcPr>
            <w:tcW w:w="660" w:type="dxa"/>
            <w:tcBorders>
              <w:top w:val="single" w:sz="4" w:space="0" w:color="ADD6EA"/>
              <w:left w:val="nil"/>
              <w:bottom w:val="nil"/>
              <w:right w:val="nil"/>
            </w:tcBorders>
            <w:shd w:val="clear" w:color="auto" w:fill="B6D5E4"/>
            <w:noWrap/>
            <w:vAlign w:val="bottom"/>
            <w:hideMark/>
          </w:tcPr>
          <w:p w14:paraId="60199846" w14:textId="2FA03761"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$m</w:t>
            </w:r>
          </w:p>
        </w:tc>
        <w:tc>
          <w:tcPr>
            <w:tcW w:w="660" w:type="dxa"/>
            <w:tcBorders>
              <w:top w:val="single" w:sz="4" w:space="0" w:color="ADD6EA"/>
              <w:left w:val="nil"/>
              <w:bottom w:val="nil"/>
              <w:right w:val="nil"/>
            </w:tcBorders>
            <w:shd w:val="clear" w:color="auto" w:fill="B6D5E4"/>
            <w:noWrap/>
            <w:vAlign w:val="bottom"/>
            <w:hideMark/>
          </w:tcPr>
          <w:p w14:paraId="50F3A1A0" w14:textId="389713E8"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$m</w:t>
            </w:r>
          </w:p>
        </w:tc>
        <w:tc>
          <w:tcPr>
            <w:tcW w:w="660" w:type="dxa"/>
            <w:tcBorders>
              <w:top w:val="single" w:sz="4" w:space="0" w:color="ADD6EA"/>
              <w:left w:val="nil"/>
              <w:bottom w:val="nil"/>
              <w:right w:val="nil"/>
            </w:tcBorders>
            <w:shd w:val="clear" w:color="auto" w:fill="B6D5E4"/>
            <w:noWrap/>
            <w:vAlign w:val="bottom"/>
            <w:hideMark/>
          </w:tcPr>
          <w:p w14:paraId="2D8C5C0E" w14:textId="31C18493"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$m</w:t>
            </w:r>
          </w:p>
        </w:tc>
        <w:tc>
          <w:tcPr>
            <w:tcW w:w="660" w:type="dxa"/>
            <w:tcBorders>
              <w:top w:val="single" w:sz="4" w:space="0" w:color="ADD6EA"/>
              <w:left w:val="nil"/>
              <w:bottom w:val="nil"/>
              <w:right w:val="nil"/>
            </w:tcBorders>
            <w:shd w:val="clear" w:color="auto" w:fill="B6D5E4"/>
            <w:noWrap/>
            <w:vAlign w:val="bottom"/>
            <w:hideMark/>
          </w:tcPr>
          <w:p w14:paraId="7CB45242" w14:textId="0AEC327B"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$m</w:t>
            </w:r>
          </w:p>
        </w:tc>
        <w:tc>
          <w:tcPr>
            <w:tcW w:w="660" w:type="dxa"/>
            <w:tcBorders>
              <w:top w:val="single" w:sz="4" w:space="0" w:color="ADD6EA"/>
              <w:left w:val="nil"/>
              <w:bottom w:val="nil"/>
              <w:right w:val="nil"/>
            </w:tcBorders>
            <w:shd w:val="clear" w:color="auto" w:fill="B6D5E4"/>
            <w:noWrap/>
            <w:vAlign w:val="bottom"/>
            <w:hideMark/>
          </w:tcPr>
          <w:p w14:paraId="2CC4B1A1" w14:textId="5835C245"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$m</w:t>
            </w:r>
          </w:p>
        </w:tc>
        <w:tc>
          <w:tcPr>
            <w:tcW w:w="760" w:type="dxa"/>
            <w:tcBorders>
              <w:top w:val="single" w:sz="4" w:space="0" w:color="ADD6EA"/>
              <w:left w:val="nil"/>
              <w:bottom w:val="nil"/>
              <w:right w:val="nil"/>
            </w:tcBorders>
            <w:shd w:val="clear" w:color="auto" w:fill="B6D5E4"/>
            <w:noWrap/>
            <w:vAlign w:val="bottom"/>
            <w:hideMark/>
          </w:tcPr>
          <w:p w14:paraId="10DF2683" w14:textId="16C639F4"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$m</w:t>
            </w:r>
          </w:p>
        </w:tc>
      </w:tr>
      <w:tr w:rsidR="00C830C2" w:rsidRPr="00C830C2" w14:paraId="5DC781ED" w14:textId="77777777">
        <w:trPr>
          <w:trHeight w:val="315"/>
        </w:trPr>
        <w:tc>
          <w:tcPr>
            <w:tcW w:w="2500" w:type="dxa"/>
            <w:tcBorders>
              <w:top w:val="single" w:sz="4" w:space="0" w:color="ADD6EA"/>
              <w:left w:val="nil"/>
              <w:bottom w:val="nil"/>
              <w:right w:val="nil"/>
            </w:tcBorders>
            <w:shd w:val="clear" w:color="auto" w:fill="auto"/>
            <w:vAlign w:val="bottom"/>
            <w:hideMark/>
          </w:tcPr>
          <w:p w14:paraId="1BFF65B8" w14:textId="2A1E1C57" w:rsidR="00C830C2" w:rsidRPr="00C830C2" w:rsidRDefault="00C830C2" w:rsidP="00C830C2">
            <w:pPr>
              <w:keepNext/>
              <w:keepLines/>
              <w:tabs>
                <w:tab w:val="clear" w:pos="567"/>
              </w:tabs>
              <w:spacing w:before="0" w:line="240" w:lineRule="auto"/>
              <w:rPr>
                <w:rFonts w:eastAsia="Times New Roman" w:cs="Open Sans Light"/>
                <w:color w:val="000000"/>
                <w:sz w:val="16"/>
                <w:szCs w:val="16"/>
                <w:lang w:eastAsia="en-AU"/>
              </w:rPr>
            </w:pPr>
            <w:r w:rsidRPr="00C830C2">
              <w:rPr>
                <w:rFonts w:cs="Open Sans Light"/>
                <w:color w:val="000000"/>
                <w:sz w:val="16"/>
                <w:szCs w:val="16"/>
              </w:rPr>
              <w:t>2023</w:t>
            </w:r>
            <w:r w:rsidR="00957E0C">
              <w:rPr>
                <w:rFonts w:cs="Open Sans Light"/>
                <w:color w:val="000000"/>
                <w:sz w:val="16"/>
                <w:szCs w:val="16"/>
              </w:rPr>
              <w:t>–</w:t>
            </w:r>
            <w:r w:rsidRPr="00C830C2">
              <w:rPr>
                <w:rFonts w:cs="Open Sans Light"/>
                <w:color w:val="000000"/>
                <w:sz w:val="16"/>
                <w:szCs w:val="16"/>
              </w:rPr>
              <w:t>24</w:t>
            </w:r>
          </w:p>
        </w:tc>
        <w:tc>
          <w:tcPr>
            <w:tcW w:w="760" w:type="dxa"/>
            <w:tcBorders>
              <w:top w:val="single" w:sz="4" w:space="0" w:color="ADD6EA"/>
              <w:left w:val="nil"/>
              <w:bottom w:val="nil"/>
              <w:right w:val="nil"/>
            </w:tcBorders>
            <w:shd w:val="clear" w:color="auto" w:fill="auto"/>
            <w:noWrap/>
            <w:vAlign w:val="bottom"/>
            <w:hideMark/>
          </w:tcPr>
          <w:p w14:paraId="2FEE076E" w14:textId="50FB3014"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760" w:type="dxa"/>
            <w:tcBorders>
              <w:top w:val="single" w:sz="4" w:space="0" w:color="ADD6EA"/>
              <w:left w:val="nil"/>
              <w:bottom w:val="nil"/>
              <w:right w:val="nil"/>
            </w:tcBorders>
            <w:shd w:val="clear" w:color="auto" w:fill="auto"/>
            <w:noWrap/>
            <w:vAlign w:val="bottom"/>
            <w:hideMark/>
          </w:tcPr>
          <w:p w14:paraId="599FDAA8" w14:textId="24A28099"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760" w:type="dxa"/>
            <w:tcBorders>
              <w:top w:val="single" w:sz="4" w:space="0" w:color="ADD6EA"/>
              <w:left w:val="nil"/>
              <w:bottom w:val="nil"/>
              <w:right w:val="nil"/>
            </w:tcBorders>
            <w:shd w:val="clear" w:color="auto" w:fill="auto"/>
            <w:noWrap/>
            <w:vAlign w:val="bottom"/>
            <w:hideMark/>
          </w:tcPr>
          <w:p w14:paraId="649434BF" w14:textId="01D6D642"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660" w:type="dxa"/>
            <w:tcBorders>
              <w:top w:val="single" w:sz="4" w:space="0" w:color="ADD6EA"/>
              <w:left w:val="nil"/>
              <w:bottom w:val="nil"/>
              <w:right w:val="nil"/>
            </w:tcBorders>
            <w:shd w:val="clear" w:color="auto" w:fill="auto"/>
            <w:noWrap/>
            <w:vAlign w:val="bottom"/>
            <w:hideMark/>
          </w:tcPr>
          <w:p w14:paraId="24B87BCC" w14:textId="0201F07F"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660" w:type="dxa"/>
            <w:tcBorders>
              <w:top w:val="single" w:sz="4" w:space="0" w:color="ADD6EA"/>
              <w:left w:val="nil"/>
              <w:bottom w:val="nil"/>
              <w:right w:val="nil"/>
            </w:tcBorders>
            <w:shd w:val="clear" w:color="auto" w:fill="auto"/>
            <w:noWrap/>
            <w:vAlign w:val="bottom"/>
            <w:hideMark/>
          </w:tcPr>
          <w:p w14:paraId="547216FA" w14:textId="3AB2F3C6"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660" w:type="dxa"/>
            <w:tcBorders>
              <w:top w:val="single" w:sz="4" w:space="0" w:color="ADD6EA"/>
              <w:left w:val="nil"/>
              <w:bottom w:val="nil"/>
              <w:right w:val="nil"/>
            </w:tcBorders>
            <w:shd w:val="clear" w:color="auto" w:fill="auto"/>
            <w:noWrap/>
            <w:vAlign w:val="bottom"/>
            <w:hideMark/>
          </w:tcPr>
          <w:p w14:paraId="37E854CE" w14:textId="49ACF9F7"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660" w:type="dxa"/>
            <w:tcBorders>
              <w:top w:val="single" w:sz="4" w:space="0" w:color="ADD6EA"/>
              <w:left w:val="nil"/>
              <w:bottom w:val="nil"/>
              <w:right w:val="nil"/>
            </w:tcBorders>
            <w:shd w:val="clear" w:color="auto" w:fill="auto"/>
            <w:noWrap/>
            <w:vAlign w:val="bottom"/>
            <w:hideMark/>
          </w:tcPr>
          <w:p w14:paraId="670A3076" w14:textId="344598A5"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660" w:type="dxa"/>
            <w:tcBorders>
              <w:top w:val="single" w:sz="4" w:space="0" w:color="ADD6EA"/>
              <w:left w:val="nil"/>
              <w:bottom w:val="nil"/>
              <w:right w:val="nil"/>
            </w:tcBorders>
            <w:shd w:val="clear" w:color="auto" w:fill="auto"/>
            <w:noWrap/>
            <w:vAlign w:val="bottom"/>
            <w:hideMark/>
          </w:tcPr>
          <w:p w14:paraId="0CF1FF9A" w14:textId="60993CA7"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760" w:type="dxa"/>
            <w:tcBorders>
              <w:top w:val="single" w:sz="4" w:space="0" w:color="ADD6EA"/>
              <w:left w:val="nil"/>
              <w:bottom w:val="nil"/>
              <w:right w:val="nil"/>
            </w:tcBorders>
            <w:shd w:val="clear" w:color="auto" w:fill="auto"/>
            <w:noWrap/>
            <w:vAlign w:val="bottom"/>
            <w:hideMark/>
          </w:tcPr>
          <w:p w14:paraId="3AE77D87" w14:textId="57652A60"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r>
      <w:tr w:rsidR="00C830C2" w:rsidRPr="00C830C2" w14:paraId="0DAA5227" w14:textId="77777777">
        <w:trPr>
          <w:trHeight w:val="315"/>
        </w:trPr>
        <w:tc>
          <w:tcPr>
            <w:tcW w:w="2500" w:type="dxa"/>
            <w:tcBorders>
              <w:top w:val="single" w:sz="4" w:space="0" w:color="ADD6EA"/>
              <w:left w:val="nil"/>
              <w:bottom w:val="nil"/>
              <w:right w:val="nil"/>
            </w:tcBorders>
            <w:shd w:val="clear" w:color="auto" w:fill="auto"/>
            <w:vAlign w:val="bottom"/>
            <w:hideMark/>
          </w:tcPr>
          <w:p w14:paraId="49D051CA" w14:textId="2713D9BC" w:rsidR="00C830C2" w:rsidRPr="00C830C2" w:rsidRDefault="00C830C2" w:rsidP="00C830C2">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C830C2">
              <w:rPr>
                <w:rFonts w:cs="Open Sans Light"/>
                <w:color w:val="000000"/>
                <w:sz w:val="16"/>
                <w:szCs w:val="16"/>
              </w:rPr>
              <w:t>Total GST distribution</w:t>
            </w:r>
          </w:p>
        </w:tc>
        <w:tc>
          <w:tcPr>
            <w:tcW w:w="760" w:type="dxa"/>
            <w:tcBorders>
              <w:top w:val="single" w:sz="4" w:space="0" w:color="ADD6EA"/>
              <w:left w:val="nil"/>
              <w:bottom w:val="nil"/>
              <w:right w:val="nil"/>
            </w:tcBorders>
            <w:shd w:val="clear" w:color="auto" w:fill="auto"/>
            <w:noWrap/>
            <w:vAlign w:val="bottom"/>
            <w:hideMark/>
          </w:tcPr>
          <w:p w14:paraId="57DE936A" w14:textId="4B3D6FAE"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24,535</w:t>
            </w:r>
          </w:p>
        </w:tc>
        <w:tc>
          <w:tcPr>
            <w:tcW w:w="760" w:type="dxa"/>
            <w:tcBorders>
              <w:top w:val="single" w:sz="4" w:space="0" w:color="ADD6EA"/>
              <w:left w:val="nil"/>
              <w:bottom w:val="nil"/>
              <w:right w:val="nil"/>
            </w:tcBorders>
            <w:shd w:val="clear" w:color="auto" w:fill="auto"/>
            <w:noWrap/>
            <w:vAlign w:val="bottom"/>
            <w:hideMark/>
          </w:tcPr>
          <w:p w14:paraId="10CA2BF7" w14:textId="019261BD"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18,541</w:t>
            </w:r>
          </w:p>
        </w:tc>
        <w:tc>
          <w:tcPr>
            <w:tcW w:w="760" w:type="dxa"/>
            <w:tcBorders>
              <w:top w:val="single" w:sz="4" w:space="0" w:color="ADD6EA"/>
              <w:left w:val="nil"/>
              <w:bottom w:val="nil"/>
              <w:right w:val="nil"/>
            </w:tcBorders>
            <w:shd w:val="clear" w:color="auto" w:fill="auto"/>
            <w:noWrap/>
            <w:vAlign w:val="bottom"/>
            <w:hideMark/>
          </w:tcPr>
          <w:p w14:paraId="37057022" w14:textId="3D8D9A32"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17,929</w:t>
            </w:r>
          </w:p>
        </w:tc>
        <w:tc>
          <w:tcPr>
            <w:tcW w:w="660" w:type="dxa"/>
            <w:tcBorders>
              <w:top w:val="single" w:sz="4" w:space="0" w:color="ADD6EA"/>
              <w:left w:val="nil"/>
              <w:bottom w:val="nil"/>
              <w:right w:val="nil"/>
            </w:tcBorders>
            <w:shd w:val="clear" w:color="auto" w:fill="auto"/>
            <w:noWrap/>
            <w:vAlign w:val="bottom"/>
            <w:hideMark/>
          </w:tcPr>
          <w:p w14:paraId="66AB942D" w14:textId="3D46A42E"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6,419</w:t>
            </w:r>
          </w:p>
        </w:tc>
        <w:tc>
          <w:tcPr>
            <w:tcW w:w="660" w:type="dxa"/>
            <w:tcBorders>
              <w:top w:val="single" w:sz="4" w:space="0" w:color="ADD6EA"/>
              <w:left w:val="nil"/>
              <w:bottom w:val="nil"/>
              <w:right w:val="nil"/>
            </w:tcBorders>
            <w:shd w:val="clear" w:color="auto" w:fill="auto"/>
            <w:noWrap/>
            <w:vAlign w:val="bottom"/>
            <w:hideMark/>
          </w:tcPr>
          <w:p w14:paraId="5F607BA8" w14:textId="7E1B47C1"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8,214</w:t>
            </w:r>
          </w:p>
        </w:tc>
        <w:tc>
          <w:tcPr>
            <w:tcW w:w="660" w:type="dxa"/>
            <w:tcBorders>
              <w:top w:val="single" w:sz="4" w:space="0" w:color="ADD6EA"/>
              <w:left w:val="nil"/>
              <w:bottom w:val="nil"/>
              <w:right w:val="nil"/>
            </w:tcBorders>
            <w:shd w:val="clear" w:color="auto" w:fill="auto"/>
            <w:noWrap/>
            <w:vAlign w:val="bottom"/>
            <w:hideMark/>
          </w:tcPr>
          <w:p w14:paraId="1374B8CC" w14:textId="5242AF65"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3,257</w:t>
            </w:r>
          </w:p>
        </w:tc>
        <w:tc>
          <w:tcPr>
            <w:tcW w:w="660" w:type="dxa"/>
            <w:tcBorders>
              <w:top w:val="single" w:sz="4" w:space="0" w:color="ADD6EA"/>
              <w:left w:val="nil"/>
              <w:bottom w:val="nil"/>
              <w:right w:val="nil"/>
            </w:tcBorders>
            <w:shd w:val="clear" w:color="auto" w:fill="auto"/>
            <w:noWrap/>
            <w:vAlign w:val="bottom"/>
            <w:hideMark/>
          </w:tcPr>
          <w:p w14:paraId="7FE218A3" w14:textId="014A432A"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1,778</w:t>
            </w:r>
          </w:p>
        </w:tc>
        <w:tc>
          <w:tcPr>
            <w:tcW w:w="660" w:type="dxa"/>
            <w:tcBorders>
              <w:top w:val="single" w:sz="4" w:space="0" w:color="ADD6EA"/>
              <w:left w:val="nil"/>
              <w:bottom w:val="nil"/>
              <w:right w:val="nil"/>
            </w:tcBorders>
            <w:shd w:val="clear" w:color="auto" w:fill="auto"/>
            <w:noWrap/>
            <w:vAlign w:val="bottom"/>
            <w:hideMark/>
          </w:tcPr>
          <w:p w14:paraId="1FD81DB4" w14:textId="1671E002"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4,002</w:t>
            </w:r>
          </w:p>
        </w:tc>
        <w:tc>
          <w:tcPr>
            <w:tcW w:w="760" w:type="dxa"/>
            <w:tcBorders>
              <w:top w:val="single" w:sz="4" w:space="0" w:color="ADD6EA"/>
              <w:left w:val="nil"/>
              <w:bottom w:val="nil"/>
              <w:right w:val="nil"/>
            </w:tcBorders>
            <w:shd w:val="clear" w:color="auto" w:fill="auto"/>
            <w:noWrap/>
            <w:vAlign w:val="bottom"/>
            <w:hideMark/>
          </w:tcPr>
          <w:p w14:paraId="40F838DD" w14:textId="2F6F82CD"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84,675</w:t>
            </w:r>
          </w:p>
        </w:tc>
      </w:tr>
      <w:tr w:rsidR="00C830C2" w:rsidRPr="00C830C2" w14:paraId="3CF36BD2" w14:textId="77777777">
        <w:trPr>
          <w:trHeight w:val="315"/>
        </w:trPr>
        <w:tc>
          <w:tcPr>
            <w:tcW w:w="2500" w:type="dxa"/>
            <w:tcBorders>
              <w:top w:val="single" w:sz="4" w:space="0" w:color="ADD6EA"/>
              <w:left w:val="nil"/>
              <w:bottom w:val="nil"/>
              <w:right w:val="nil"/>
            </w:tcBorders>
            <w:shd w:val="clear" w:color="auto" w:fill="auto"/>
            <w:vAlign w:val="bottom"/>
            <w:hideMark/>
          </w:tcPr>
          <w:p w14:paraId="5A1E49CE" w14:textId="7D8C63EC" w:rsidR="00C830C2" w:rsidRPr="00C830C2" w:rsidRDefault="00C830C2" w:rsidP="00C830C2">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C830C2">
              <w:rPr>
                <w:rFonts w:cs="Open Sans Light"/>
                <w:color w:val="000000"/>
                <w:sz w:val="16"/>
                <w:szCs w:val="16"/>
              </w:rPr>
              <w:t>No worse off payments</w:t>
            </w:r>
          </w:p>
        </w:tc>
        <w:tc>
          <w:tcPr>
            <w:tcW w:w="760" w:type="dxa"/>
            <w:tcBorders>
              <w:top w:val="single" w:sz="4" w:space="0" w:color="ADD6EA"/>
              <w:left w:val="nil"/>
              <w:bottom w:val="nil"/>
              <w:right w:val="nil"/>
            </w:tcBorders>
            <w:shd w:val="clear" w:color="auto" w:fill="auto"/>
            <w:noWrap/>
            <w:vAlign w:val="bottom"/>
            <w:hideMark/>
          </w:tcPr>
          <w:p w14:paraId="5702410C" w14:textId="3D2980CC"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1,711</w:t>
            </w:r>
          </w:p>
        </w:tc>
        <w:tc>
          <w:tcPr>
            <w:tcW w:w="760" w:type="dxa"/>
            <w:tcBorders>
              <w:top w:val="single" w:sz="4" w:space="0" w:color="ADD6EA"/>
              <w:left w:val="nil"/>
              <w:bottom w:val="nil"/>
              <w:right w:val="nil"/>
            </w:tcBorders>
            <w:shd w:val="clear" w:color="auto" w:fill="auto"/>
            <w:noWrap/>
            <w:vAlign w:val="bottom"/>
            <w:hideMark/>
          </w:tcPr>
          <w:p w14:paraId="0C8641B4" w14:textId="13B5490C"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1,417</w:t>
            </w:r>
          </w:p>
        </w:tc>
        <w:tc>
          <w:tcPr>
            <w:tcW w:w="760" w:type="dxa"/>
            <w:tcBorders>
              <w:top w:val="single" w:sz="4" w:space="0" w:color="ADD6EA"/>
              <w:left w:val="nil"/>
              <w:bottom w:val="nil"/>
              <w:right w:val="nil"/>
            </w:tcBorders>
            <w:shd w:val="clear" w:color="auto" w:fill="auto"/>
            <w:noWrap/>
            <w:vAlign w:val="bottom"/>
            <w:hideMark/>
          </w:tcPr>
          <w:p w14:paraId="15934FCA" w14:textId="618B691D"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1,108</w:t>
            </w:r>
          </w:p>
        </w:tc>
        <w:tc>
          <w:tcPr>
            <w:tcW w:w="660" w:type="dxa"/>
            <w:tcBorders>
              <w:top w:val="single" w:sz="4" w:space="0" w:color="ADD6EA"/>
              <w:left w:val="nil"/>
              <w:bottom w:val="nil"/>
              <w:right w:val="nil"/>
            </w:tcBorders>
            <w:shd w:val="clear" w:color="auto" w:fill="auto"/>
            <w:noWrap/>
            <w:vAlign w:val="bottom"/>
            <w:hideMark/>
          </w:tcPr>
          <w:p w14:paraId="4F68B11A" w14:textId="5ACEAC5E"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0</w:t>
            </w:r>
          </w:p>
        </w:tc>
        <w:tc>
          <w:tcPr>
            <w:tcW w:w="660" w:type="dxa"/>
            <w:tcBorders>
              <w:top w:val="single" w:sz="4" w:space="0" w:color="ADD6EA"/>
              <w:left w:val="nil"/>
              <w:bottom w:val="nil"/>
              <w:right w:val="nil"/>
            </w:tcBorders>
            <w:shd w:val="clear" w:color="auto" w:fill="auto"/>
            <w:noWrap/>
            <w:vAlign w:val="bottom"/>
            <w:hideMark/>
          </w:tcPr>
          <w:p w14:paraId="7E5F1F8A" w14:textId="2D2327A1"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368</w:t>
            </w:r>
          </w:p>
        </w:tc>
        <w:tc>
          <w:tcPr>
            <w:tcW w:w="660" w:type="dxa"/>
            <w:tcBorders>
              <w:top w:val="single" w:sz="4" w:space="0" w:color="ADD6EA"/>
              <w:left w:val="nil"/>
              <w:bottom w:val="nil"/>
              <w:right w:val="nil"/>
            </w:tcBorders>
            <w:shd w:val="clear" w:color="auto" w:fill="auto"/>
            <w:noWrap/>
            <w:vAlign w:val="bottom"/>
            <w:hideMark/>
          </w:tcPr>
          <w:p w14:paraId="2249DCF5" w14:textId="701A6F6E"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110</w:t>
            </w:r>
          </w:p>
        </w:tc>
        <w:tc>
          <w:tcPr>
            <w:tcW w:w="660" w:type="dxa"/>
            <w:tcBorders>
              <w:top w:val="single" w:sz="4" w:space="0" w:color="ADD6EA"/>
              <w:left w:val="nil"/>
              <w:bottom w:val="nil"/>
              <w:right w:val="nil"/>
            </w:tcBorders>
            <w:shd w:val="clear" w:color="auto" w:fill="auto"/>
            <w:noWrap/>
            <w:vAlign w:val="bottom"/>
            <w:hideMark/>
          </w:tcPr>
          <w:p w14:paraId="06AE652B" w14:textId="2BD1B371"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94</w:t>
            </w:r>
          </w:p>
        </w:tc>
        <w:tc>
          <w:tcPr>
            <w:tcW w:w="660" w:type="dxa"/>
            <w:tcBorders>
              <w:top w:val="single" w:sz="4" w:space="0" w:color="ADD6EA"/>
              <w:left w:val="nil"/>
              <w:bottom w:val="nil"/>
              <w:right w:val="nil"/>
            </w:tcBorders>
            <w:shd w:val="clear" w:color="auto" w:fill="auto"/>
            <w:noWrap/>
            <w:vAlign w:val="bottom"/>
            <w:hideMark/>
          </w:tcPr>
          <w:p w14:paraId="6B6BE501" w14:textId="2435A9C1"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37</w:t>
            </w:r>
          </w:p>
        </w:tc>
        <w:tc>
          <w:tcPr>
            <w:tcW w:w="760" w:type="dxa"/>
            <w:tcBorders>
              <w:top w:val="single" w:sz="4" w:space="0" w:color="ADD6EA"/>
              <w:left w:val="nil"/>
              <w:bottom w:val="nil"/>
              <w:right w:val="nil"/>
            </w:tcBorders>
            <w:shd w:val="clear" w:color="auto" w:fill="auto"/>
            <w:noWrap/>
            <w:vAlign w:val="bottom"/>
            <w:hideMark/>
          </w:tcPr>
          <w:p w14:paraId="253D5505" w14:textId="4E54D1E4"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4,844</w:t>
            </w:r>
          </w:p>
        </w:tc>
      </w:tr>
      <w:tr w:rsidR="00C830C2" w:rsidRPr="00C830C2" w14:paraId="24AC7AAA" w14:textId="77777777">
        <w:trPr>
          <w:trHeight w:val="315"/>
        </w:trPr>
        <w:tc>
          <w:tcPr>
            <w:tcW w:w="2500" w:type="dxa"/>
            <w:tcBorders>
              <w:top w:val="single" w:sz="4" w:space="0" w:color="ADD6EA"/>
              <w:left w:val="nil"/>
              <w:bottom w:val="nil"/>
              <w:right w:val="nil"/>
            </w:tcBorders>
            <w:shd w:val="clear" w:color="auto" w:fill="D6E7F0"/>
            <w:vAlign w:val="bottom"/>
            <w:hideMark/>
          </w:tcPr>
          <w:p w14:paraId="617C2A4F" w14:textId="0541CD14" w:rsidR="00C830C2" w:rsidRPr="00C830C2" w:rsidRDefault="00C830C2" w:rsidP="00C830C2">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 xml:space="preserve">    Total</w:t>
            </w:r>
          </w:p>
        </w:tc>
        <w:tc>
          <w:tcPr>
            <w:tcW w:w="760" w:type="dxa"/>
            <w:tcBorders>
              <w:top w:val="single" w:sz="4" w:space="0" w:color="ADD6EA"/>
              <w:left w:val="nil"/>
              <w:bottom w:val="nil"/>
              <w:right w:val="nil"/>
            </w:tcBorders>
            <w:shd w:val="clear" w:color="auto" w:fill="D6E7F0"/>
            <w:noWrap/>
            <w:vAlign w:val="bottom"/>
            <w:hideMark/>
          </w:tcPr>
          <w:p w14:paraId="736FFC6D" w14:textId="6DDB77B7"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26,245</w:t>
            </w:r>
          </w:p>
        </w:tc>
        <w:tc>
          <w:tcPr>
            <w:tcW w:w="760" w:type="dxa"/>
            <w:tcBorders>
              <w:top w:val="single" w:sz="4" w:space="0" w:color="ADD6EA"/>
              <w:left w:val="nil"/>
              <w:bottom w:val="nil"/>
              <w:right w:val="nil"/>
            </w:tcBorders>
            <w:shd w:val="clear" w:color="auto" w:fill="D6E7F0"/>
            <w:noWrap/>
            <w:vAlign w:val="bottom"/>
            <w:hideMark/>
          </w:tcPr>
          <w:p w14:paraId="2A33D8BC" w14:textId="0A5D1280"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19,958</w:t>
            </w:r>
          </w:p>
        </w:tc>
        <w:tc>
          <w:tcPr>
            <w:tcW w:w="760" w:type="dxa"/>
            <w:tcBorders>
              <w:top w:val="single" w:sz="4" w:space="0" w:color="ADD6EA"/>
              <w:left w:val="nil"/>
              <w:bottom w:val="nil"/>
              <w:right w:val="nil"/>
            </w:tcBorders>
            <w:shd w:val="clear" w:color="auto" w:fill="D6E7F0"/>
            <w:noWrap/>
            <w:vAlign w:val="bottom"/>
            <w:hideMark/>
          </w:tcPr>
          <w:p w14:paraId="220E76F2" w14:textId="77CF4FE5"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19,036</w:t>
            </w:r>
          </w:p>
        </w:tc>
        <w:tc>
          <w:tcPr>
            <w:tcW w:w="660" w:type="dxa"/>
            <w:tcBorders>
              <w:top w:val="single" w:sz="4" w:space="0" w:color="ADD6EA"/>
              <w:left w:val="nil"/>
              <w:bottom w:val="nil"/>
              <w:right w:val="nil"/>
            </w:tcBorders>
            <w:shd w:val="clear" w:color="auto" w:fill="D6E7F0"/>
            <w:noWrap/>
            <w:vAlign w:val="bottom"/>
            <w:hideMark/>
          </w:tcPr>
          <w:p w14:paraId="1FF5E2CE" w14:textId="113F4A4E"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6,419</w:t>
            </w:r>
          </w:p>
        </w:tc>
        <w:tc>
          <w:tcPr>
            <w:tcW w:w="660" w:type="dxa"/>
            <w:tcBorders>
              <w:top w:val="single" w:sz="4" w:space="0" w:color="ADD6EA"/>
              <w:left w:val="nil"/>
              <w:bottom w:val="nil"/>
              <w:right w:val="nil"/>
            </w:tcBorders>
            <w:shd w:val="clear" w:color="auto" w:fill="D6E7F0"/>
            <w:noWrap/>
            <w:vAlign w:val="bottom"/>
            <w:hideMark/>
          </w:tcPr>
          <w:p w14:paraId="370AB7DA" w14:textId="0F7F8689"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8,582</w:t>
            </w:r>
          </w:p>
        </w:tc>
        <w:tc>
          <w:tcPr>
            <w:tcW w:w="660" w:type="dxa"/>
            <w:tcBorders>
              <w:top w:val="single" w:sz="4" w:space="0" w:color="ADD6EA"/>
              <w:left w:val="nil"/>
              <w:bottom w:val="nil"/>
              <w:right w:val="nil"/>
            </w:tcBorders>
            <w:shd w:val="clear" w:color="auto" w:fill="D6E7F0"/>
            <w:noWrap/>
            <w:vAlign w:val="bottom"/>
            <w:hideMark/>
          </w:tcPr>
          <w:p w14:paraId="313BF6D2" w14:textId="300746EA"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3,367</w:t>
            </w:r>
          </w:p>
        </w:tc>
        <w:tc>
          <w:tcPr>
            <w:tcW w:w="660" w:type="dxa"/>
            <w:tcBorders>
              <w:top w:val="single" w:sz="4" w:space="0" w:color="ADD6EA"/>
              <w:left w:val="nil"/>
              <w:bottom w:val="nil"/>
              <w:right w:val="nil"/>
            </w:tcBorders>
            <w:shd w:val="clear" w:color="auto" w:fill="D6E7F0"/>
            <w:noWrap/>
            <w:vAlign w:val="bottom"/>
            <w:hideMark/>
          </w:tcPr>
          <w:p w14:paraId="64789AD9" w14:textId="638D92D8"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1,873</w:t>
            </w:r>
          </w:p>
        </w:tc>
        <w:tc>
          <w:tcPr>
            <w:tcW w:w="660" w:type="dxa"/>
            <w:tcBorders>
              <w:top w:val="single" w:sz="4" w:space="0" w:color="ADD6EA"/>
              <w:left w:val="nil"/>
              <w:bottom w:val="nil"/>
              <w:right w:val="nil"/>
            </w:tcBorders>
            <w:shd w:val="clear" w:color="auto" w:fill="D6E7F0"/>
            <w:noWrap/>
            <w:vAlign w:val="bottom"/>
            <w:hideMark/>
          </w:tcPr>
          <w:p w14:paraId="01D95865" w14:textId="4EC776DC"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4,039</w:t>
            </w:r>
          </w:p>
        </w:tc>
        <w:tc>
          <w:tcPr>
            <w:tcW w:w="760" w:type="dxa"/>
            <w:tcBorders>
              <w:top w:val="single" w:sz="4" w:space="0" w:color="ADD6EA"/>
              <w:left w:val="nil"/>
              <w:bottom w:val="nil"/>
              <w:right w:val="nil"/>
            </w:tcBorders>
            <w:shd w:val="clear" w:color="auto" w:fill="D6E7F0"/>
            <w:noWrap/>
            <w:vAlign w:val="bottom"/>
            <w:hideMark/>
          </w:tcPr>
          <w:p w14:paraId="0A20BAD7" w14:textId="71042130"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89,519</w:t>
            </w:r>
          </w:p>
        </w:tc>
      </w:tr>
      <w:tr w:rsidR="00C830C2" w:rsidRPr="00C830C2" w14:paraId="136B3772" w14:textId="77777777">
        <w:trPr>
          <w:trHeight w:val="315"/>
        </w:trPr>
        <w:tc>
          <w:tcPr>
            <w:tcW w:w="2500" w:type="dxa"/>
            <w:tcBorders>
              <w:top w:val="single" w:sz="4" w:space="0" w:color="ADD6EA"/>
              <w:left w:val="nil"/>
              <w:bottom w:val="nil"/>
              <w:right w:val="nil"/>
            </w:tcBorders>
            <w:shd w:val="clear" w:color="auto" w:fill="auto"/>
            <w:vAlign w:val="bottom"/>
            <w:hideMark/>
          </w:tcPr>
          <w:p w14:paraId="07EA8AD8" w14:textId="5467FE53" w:rsidR="00C830C2" w:rsidRPr="00C830C2" w:rsidRDefault="00C830C2" w:rsidP="00C830C2">
            <w:pPr>
              <w:keepNext/>
              <w:keepLines/>
              <w:tabs>
                <w:tab w:val="clear" w:pos="567"/>
              </w:tabs>
              <w:spacing w:before="0" w:line="240" w:lineRule="auto"/>
              <w:rPr>
                <w:rFonts w:eastAsia="Times New Roman" w:cs="Open Sans Light"/>
                <w:color w:val="000000"/>
                <w:sz w:val="16"/>
                <w:szCs w:val="16"/>
                <w:lang w:eastAsia="en-AU"/>
              </w:rPr>
            </w:pPr>
            <w:r w:rsidRPr="00C830C2">
              <w:rPr>
                <w:rFonts w:cs="Open Sans Light"/>
                <w:color w:val="000000"/>
                <w:sz w:val="16"/>
                <w:szCs w:val="16"/>
              </w:rPr>
              <w:t>2024</w:t>
            </w:r>
            <w:r w:rsidR="00957E0C">
              <w:rPr>
                <w:rFonts w:cs="Open Sans Light"/>
                <w:color w:val="000000"/>
                <w:sz w:val="16"/>
                <w:szCs w:val="16"/>
              </w:rPr>
              <w:t>–</w:t>
            </w:r>
            <w:r w:rsidRPr="00C830C2">
              <w:rPr>
                <w:rFonts w:cs="Open Sans Light"/>
                <w:color w:val="000000"/>
                <w:sz w:val="16"/>
                <w:szCs w:val="16"/>
              </w:rPr>
              <w:t>25</w:t>
            </w:r>
          </w:p>
        </w:tc>
        <w:tc>
          <w:tcPr>
            <w:tcW w:w="760" w:type="dxa"/>
            <w:tcBorders>
              <w:top w:val="single" w:sz="4" w:space="0" w:color="ADD6EA"/>
              <w:left w:val="nil"/>
              <w:bottom w:val="nil"/>
              <w:right w:val="nil"/>
            </w:tcBorders>
            <w:shd w:val="clear" w:color="auto" w:fill="auto"/>
            <w:noWrap/>
            <w:vAlign w:val="bottom"/>
            <w:hideMark/>
          </w:tcPr>
          <w:p w14:paraId="4BDD2273" w14:textId="41321D0B"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760" w:type="dxa"/>
            <w:tcBorders>
              <w:top w:val="single" w:sz="4" w:space="0" w:color="ADD6EA"/>
              <w:left w:val="nil"/>
              <w:bottom w:val="nil"/>
              <w:right w:val="nil"/>
            </w:tcBorders>
            <w:shd w:val="clear" w:color="auto" w:fill="auto"/>
            <w:noWrap/>
            <w:vAlign w:val="bottom"/>
            <w:hideMark/>
          </w:tcPr>
          <w:p w14:paraId="7D7F6AC8" w14:textId="685A936E"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760" w:type="dxa"/>
            <w:tcBorders>
              <w:top w:val="single" w:sz="4" w:space="0" w:color="ADD6EA"/>
              <w:left w:val="nil"/>
              <w:bottom w:val="nil"/>
              <w:right w:val="nil"/>
            </w:tcBorders>
            <w:shd w:val="clear" w:color="auto" w:fill="auto"/>
            <w:noWrap/>
            <w:vAlign w:val="bottom"/>
            <w:hideMark/>
          </w:tcPr>
          <w:p w14:paraId="1C306A74" w14:textId="4DD02B35"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660" w:type="dxa"/>
            <w:tcBorders>
              <w:top w:val="single" w:sz="4" w:space="0" w:color="ADD6EA"/>
              <w:left w:val="nil"/>
              <w:bottom w:val="nil"/>
              <w:right w:val="nil"/>
            </w:tcBorders>
            <w:shd w:val="clear" w:color="auto" w:fill="auto"/>
            <w:noWrap/>
            <w:vAlign w:val="bottom"/>
            <w:hideMark/>
          </w:tcPr>
          <w:p w14:paraId="087097EB" w14:textId="66D3D6A9"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660" w:type="dxa"/>
            <w:tcBorders>
              <w:top w:val="single" w:sz="4" w:space="0" w:color="ADD6EA"/>
              <w:left w:val="nil"/>
              <w:bottom w:val="nil"/>
              <w:right w:val="nil"/>
            </w:tcBorders>
            <w:shd w:val="clear" w:color="auto" w:fill="auto"/>
            <w:noWrap/>
            <w:vAlign w:val="bottom"/>
            <w:hideMark/>
          </w:tcPr>
          <w:p w14:paraId="6280D98D" w14:textId="735CB021"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660" w:type="dxa"/>
            <w:tcBorders>
              <w:top w:val="single" w:sz="4" w:space="0" w:color="ADD6EA"/>
              <w:left w:val="nil"/>
              <w:bottom w:val="nil"/>
              <w:right w:val="nil"/>
            </w:tcBorders>
            <w:shd w:val="clear" w:color="auto" w:fill="auto"/>
            <w:noWrap/>
            <w:vAlign w:val="bottom"/>
            <w:hideMark/>
          </w:tcPr>
          <w:p w14:paraId="0426E57F" w14:textId="6D71B594"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660" w:type="dxa"/>
            <w:tcBorders>
              <w:top w:val="single" w:sz="4" w:space="0" w:color="ADD6EA"/>
              <w:left w:val="nil"/>
              <w:bottom w:val="nil"/>
              <w:right w:val="nil"/>
            </w:tcBorders>
            <w:shd w:val="clear" w:color="auto" w:fill="auto"/>
            <w:noWrap/>
            <w:vAlign w:val="bottom"/>
            <w:hideMark/>
          </w:tcPr>
          <w:p w14:paraId="633EE27F" w14:textId="19142E80"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660" w:type="dxa"/>
            <w:tcBorders>
              <w:top w:val="single" w:sz="4" w:space="0" w:color="ADD6EA"/>
              <w:left w:val="nil"/>
              <w:bottom w:val="nil"/>
              <w:right w:val="nil"/>
            </w:tcBorders>
            <w:shd w:val="clear" w:color="auto" w:fill="auto"/>
            <w:noWrap/>
            <w:vAlign w:val="bottom"/>
            <w:hideMark/>
          </w:tcPr>
          <w:p w14:paraId="7E84062A" w14:textId="1A823D6B"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760" w:type="dxa"/>
            <w:tcBorders>
              <w:top w:val="single" w:sz="4" w:space="0" w:color="ADD6EA"/>
              <w:left w:val="nil"/>
              <w:bottom w:val="nil"/>
              <w:right w:val="nil"/>
            </w:tcBorders>
            <w:shd w:val="clear" w:color="auto" w:fill="auto"/>
            <w:noWrap/>
            <w:vAlign w:val="bottom"/>
            <w:hideMark/>
          </w:tcPr>
          <w:p w14:paraId="29ED65E8" w14:textId="32643D04"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r>
      <w:tr w:rsidR="00C830C2" w:rsidRPr="00C830C2" w14:paraId="529A16F1" w14:textId="77777777">
        <w:trPr>
          <w:trHeight w:val="315"/>
        </w:trPr>
        <w:tc>
          <w:tcPr>
            <w:tcW w:w="2500" w:type="dxa"/>
            <w:tcBorders>
              <w:top w:val="single" w:sz="4" w:space="0" w:color="ADD6EA"/>
              <w:left w:val="nil"/>
              <w:bottom w:val="nil"/>
              <w:right w:val="nil"/>
            </w:tcBorders>
            <w:shd w:val="clear" w:color="auto" w:fill="auto"/>
            <w:vAlign w:val="bottom"/>
            <w:hideMark/>
          </w:tcPr>
          <w:p w14:paraId="133AD2CE" w14:textId="7EDE880D" w:rsidR="00C830C2" w:rsidRPr="00C830C2" w:rsidRDefault="00C830C2" w:rsidP="00C830C2">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C830C2">
              <w:rPr>
                <w:rFonts w:cs="Open Sans Light"/>
                <w:color w:val="000000"/>
                <w:sz w:val="16"/>
                <w:szCs w:val="16"/>
              </w:rPr>
              <w:t>Total GST distribution</w:t>
            </w:r>
          </w:p>
        </w:tc>
        <w:tc>
          <w:tcPr>
            <w:tcW w:w="760" w:type="dxa"/>
            <w:tcBorders>
              <w:top w:val="single" w:sz="4" w:space="0" w:color="ADD6EA"/>
              <w:left w:val="nil"/>
              <w:bottom w:val="nil"/>
              <w:right w:val="nil"/>
            </w:tcBorders>
            <w:shd w:val="clear" w:color="auto" w:fill="auto"/>
            <w:noWrap/>
            <w:vAlign w:val="bottom"/>
            <w:hideMark/>
          </w:tcPr>
          <w:p w14:paraId="52B5D9C3" w14:textId="03AB8A4E"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24,</w:t>
            </w:r>
            <w:r w:rsidR="0064338E">
              <w:rPr>
                <w:rFonts w:cs="Open Sans Light"/>
                <w:color w:val="000000"/>
                <w:sz w:val="16"/>
                <w:szCs w:val="16"/>
              </w:rPr>
              <w:t>224</w:t>
            </w:r>
          </w:p>
        </w:tc>
        <w:tc>
          <w:tcPr>
            <w:tcW w:w="760" w:type="dxa"/>
            <w:tcBorders>
              <w:top w:val="single" w:sz="4" w:space="0" w:color="ADD6EA"/>
              <w:left w:val="nil"/>
              <w:bottom w:val="nil"/>
              <w:right w:val="nil"/>
            </w:tcBorders>
            <w:shd w:val="clear" w:color="auto" w:fill="auto"/>
            <w:noWrap/>
            <w:vAlign w:val="bottom"/>
            <w:hideMark/>
          </w:tcPr>
          <w:p w14:paraId="256FFF22" w14:textId="0C658418"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22,</w:t>
            </w:r>
            <w:r w:rsidR="0064338E">
              <w:rPr>
                <w:rFonts w:cs="Open Sans Light"/>
                <w:color w:val="000000"/>
                <w:sz w:val="16"/>
                <w:szCs w:val="16"/>
              </w:rPr>
              <w:t>227</w:t>
            </w:r>
          </w:p>
        </w:tc>
        <w:tc>
          <w:tcPr>
            <w:tcW w:w="760" w:type="dxa"/>
            <w:tcBorders>
              <w:top w:val="single" w:sz="4" w:space="0" w:color="ADD6EA"/>
              <w:left w:val="nil"/>
              <w:bottom w:val="nil"/>
              <w:right w:val="nil"/>
            </w:tcBorders>
            <w:shd w:val="clear" w:color="auto" w:fill="auto"/>
            <w:noWrap/>
            <w:vAlign w:val="bottom"/>
            <w:hideMark/>
          </w:tcPr>
          <w:p w14:paraId="549B8767" w14:textId="06426666"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17,</w:t>
            </w:r>
            <w:r w:rsidR="0064338E">
              <w:rPr>
                <w:rFonts w:cs="Open Sans Light"/>
                <w:color w:val="000000"/>
                <w:sz w:val="16"/>
                <w:szCs w:val="16"/>
              </w:rPr>
              <w:t>460</w:t>
            </w:r>
          </w:p>
        </w:tc>
        <w:tc>
          <w:tcPr>
            <w:tcW w:w="660" w:type="dxa"/>
            <w:tcBorders>
              <w:top w:val="single" w:sz="4" w:space="0" w:color="ADD6EA"/>
              <w:left w:val="nil"/>
              <w:bottom w:val="nil"/>
              <w:right w:val="nil"/>
            </w:tcBorders>
            <w:shd w:val="clear" w:color="auto" w:fill="auto"/>
            <w:noWrap/>
            <w:vAlign w:val="bottom"/>
            <w:hideMark/>
          </w:tcPr>
          <w:p w14:paraId="6DA66244" w14:textId="25FB6B61"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7,257</w:t>
            </w:r>
          </w:p>
        </w:tc>
        <w:tc>
          <w:tcPr>
            <w:tcW w:w="660" w:type="dxa"/>
            <w:tcBorders>
              <w:top w:val="single" w:sz="4" w:space="0" w:color="ADD6EA"/>
              <w:left w:val="nil"/>
              <w:bottom w:val="nil"/>
              <w:right w:val="nil"/>
            </w:tcBorders>
            <w:shd w:val="clear" w:color="auto" w:fill="auto"/>
            <w:noWrap/>
            <w:vAlign w:val="bottom"/>
            <w:hideMark/>
          </w:tcPr>
          <w:p w14:paraId="2314C177" w14:textId="49B62F77"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8,</w:t>
            </w:r>
            <w:r w:rsidR="0064338E">
              <w:rPr>
                <w:rFonts w:cs="Open Sans Light"/>
                <w:color w:val="000000"/>
                <w:sz w:val="16"/>
                <w:szCs w:val="16"/>
              </w:rPr>
              <w:t>671</w:t>
            </w:r>
          </w:p>
        </w:tc>
        <w:tc>
          <w:tcPr>
            <w:tcW w:w="660" w:type="dxa"/>
            <w:tcBorders>
              <w:top w:val="single" w:sz="4" w:space="0" w:color="ADD6EA"/>
              <w:left w:val="nil"/>
              <w:bottom w:val="nil"/>
              <w:right w:val="nil"/>
            </w:tcBorders>
            <w:shd w:val="clear" w:color="auto" w:fill="auto"/>
            <w:noWrap/>
            <w:vAlign w:val="bottom"/>
            <w:hideMark/>
          </w:tcPr>
          <w:p w14:paraId="6E4EC852" w14:textId="737A2EE4"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3,</w:t>
            </w:r>
            <w:r w:rsidR="0064338E">
              <w:rPr>
                <w:rFonts w:cs="Open Sans Light"/>
                <w:color w:val="000000"/>
                <w:sz w:val="16"/>
                <w:szCs w:val="16"/>
              </w:rPr>
              <w:t>476</w:t>
            </w:r>
          </w:p>
        </w:tc>
        <w:tc>
          <w:tcPr>
            <w:tcW w:w="660" w:type="dxa"/>
            <w:tcBorders>
              <w:top w:val="single" w:sz="4" w:space="0" w:color="ADD6EA"/>
              <w:left w:val="nil"/>
              <w:bottom w:val="nil"/>
              <w:right w:val="nil"/>
            </w:tcBorders>
            <w:shd w:val="clear" w:color="auto" w:fill="auto"/>
            <w:noWrap/>
            <w:vAlign w:val="bottom"/>
            <w:hideMark/>
          </w:tcPr>
          <w:p w14:paraId="5F67E6AD" w14:textId="2B968BBE"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1,</w:t>
            </w:r>
            <w:r w:rsidR="0064338E">
              <w:rPr>
                <w:rFonts w:cs="Open Sans Light"/>
                <w:color w:val="000000"/>
                <w:sz w:val="16"/>
                <w:szCs w:val="16"/>
              </w:rPr>
              <w:t>889</w:t>
            </w:r>
          </w:p>
        </w:tc>
        <w:tc>
          <w:tcPr>
            <w:tcW w:w="660" w:type="dxa"/>
            <w:tcBorders>
              <w:top w:val="single" w:sz="4" w:space="0" w:color="ADD6EA"/>
              <w:left w:val="nil"/>
              <w:bottom w:val="nil"/>
              <w:right w:val="nil"/>
            </w:tcBorders>
            <w:shd w:val="clear" w:color="auto" w:fill="auto"/>
            <w:noWrap/>
            <w:vAlign w:val="bottom"/>
            <w:hideMark/>
          </w:tcPr>
          <w:p w14:paraId="3009627A" w14:textId="2B96DAD5"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4,</w:t>
            </w:r>
            <w:r w:rsidR="0064338E">
              <w:rPr>
                <w:rFonts w:cs="Open Sans Light"/>
                <w:color w:val="000000"/>
                <w:sz w:val="16"/>
                <w:szCs w:val="16"/>
              </w:rPr>
              <w:t>257</w:t>
            </w:r>
          </w:p>
        </w:tc>
        <w:tc>
          <w:tcPr>
            <w:tcW w:w="760" w:type="dxa"/>
            <w:tcBorders>
              <w:top w:val="single" w:sz="4" w:space="0" w:color="ADD6EA"/>
              <w:left w:val="nil"/>
              <w:bottom w:val="nil"/>
              <w:right w:val="nil"/>
            </w:tcBorders>
            <w:shd w:val="clear" w:color="auto" w:fill="auto"/>
            <w:noWrap/>
            <w:vAlign w:val="bottom"/>
            <w:hideMark/>
          </w:tcPr>
          <w:p w14:paraId="73139DD0" w14:textId="5CD79E13"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89,462</w:t>
            </w:r>
          </w:p>
        </w:tc>
      </w:tr>
      <w:tr w:rsidR="00C830C2" w:rsidRPr="00C830C2" w14:paraId="4D690C48" w14:textId="77777777">
        <w:trPr>
          <w:trHeight w:val="315"/>
        </w:trPr>
        <w:tc>
          <w:tcPr>
            <w:tcW w:w="2500" w:type="dxa"/>
            <w:tcBorders>
              <w:top w:val="single" w:sz="4" w:space="0" w:color="ADD6EA"/>
              <w:left w:val="nil"/>
              <w:bottom w:val="nil"/>
              <w:right w:val="nil"/>
            </w:tcBorders>
            <w:shd w:val="clear" w:color="auto" w:fill="auto"/>
            <w:vAlign w:val="bottom"/>
            <w:hideMark/>
          </w:tcPr>
          <w:p w14:paraId="7C6F086B" w14:textId="400B2B37" w:rsidR="00C830C2" w:rsidRPr="00C830C2" w:rsidRDefault="00C830C2" w:rsidP="00C830C2">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C830C2">
              <w:rPr>
                <w:rFonts w:cs="Open Sans Light"/>
                <w:color w:val="000000"/>
                <w:sz w:val="16"/>
                <w:szCs w:val="16"/>
              </w:rPr>
              <w:t>No worse off payments</w:t>
            </w:r>
          </w:p>
        </w:tc>
        <w:tc>
          <w:tcPr>
            <w:tcW w:w="760" w:type="dxa"/>
            <w:tcBorders>
              <w:top w:val="single" w:sz="4" w:space="0" w:color="ADD6EA"/>
              <w:left w:val="nil"/>
              <w:bottom w:val="nil"/>
              <w:right w:val="nil"/>
            </w:tcBorders>
            <w:shd w:val="clear" w:color="auto" w:fill="auto"/>
            <w:noWrap/>
            <w:vAlign w:val="bottom"/>
            <w:hideMark/>
          </w:tcPr>
          <w:p w14:paraId="4AA2EE27" w14:textId="2F368E4D"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1,</w:t>
            </w:r>
            <w:r w:rsidR="0064338E">
              <w:rPr>
                <w:rFonts w:cs="Open Sans Light"/>
                <w:color w:val="000000"/>
                <w:sz w:val="16"/>
                <w:szCs w:val="16"/>
              </w:rPr>
              <w:t>833</w:t>
            </w:r>
          </w:p>
        </w:tc>
        <w:tc>
          <w:tcPr>
            <w:tcW w:w="760" w:type="dxa"/>
            <w:tcBorders>
              <w:top w:val="single" w:sz="4" w:space="0" w:color="ADD6EA"/>
              <w:left w:val="nil"/>
              <w:bottom w:val="nil"/>
              <w:right w:val="nil"/>
            </w:tcBorders>
            <w:shd w:val="clear" w:color="auto" w:fill="auto"/>
            <w:noWrap/>
            <w:vAlign w:val="bottom"/>
            <w:hideMark/>
          </w:tcPr>
          <w:p w14:paraId="67971C9E" w14:textId="581883C4"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1,</w:t>
            </w:r>
            <w:r w:rsidR="00606098">
              <w:rPr>
                <w:rFonts w:cs="Open Sans Light"/>
                <w:color w:val="000000"/>
                <w:sz w:val="16"/>
                <w:szCs w:val="16"/>
              </w:rPr>
              <w:t>513</w:t>
            </w:r>
          </w:p>
        </w:tc>
        <w:tc>
          <w:tcPr>
            <w:tcW w:w="760" w:type="dxa"/>
            <w:tcBorders>
              <w:top w:val="single" w:sz="4" w:space="0" w:color="ADD6EA"/>
              <w:left w:val="nil"/>
              <w:bottom w:val="nil"/>
              <w:right w:val="nil"/>
            </w:tcBorders>
            <w:shd w:val="clear" w:color="auto" w:fill="auto"/>
            <w:noWrap/>
            <w:vAlign w:val="bottom"/>
            <w:hideMark/>
          </w:tcPr>
          <w:p w14:paraId="2B31BA0F" w14:textId="3F919F01"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1,</w:t>
            </w:r>
            <w:r w:rsidR="0064338E">
              <w:rPr>
                <w:rFonts w:cs="Open Sans Light"/>
                <w:color w:val="000000"/>
                <w:sz w:val="16"/>
                <w:szCs w:val="16"/>
              </w:rPr>
              <w:t>192</w:t>
            </w:r>
          </w:p>
        </w:tc>
        <w:tc>
          <w:tcPr>
            <w:tcW w:w="660" w:type="dxa"/>
            <w:tcBorders>
              <w:top w:val="single" w:sz="4" w:space="0" w:color="ADD6EA"/>
              <w:left w:val="nil"/>
              <w:bottom w:val="nil"/>
              <w:right w:val="nil"/>
            </w:tcBorders>
            <w:shd w:val="clear" w:color="auto" w:fill="auto"/>
            <w:noWrap/>
            <w:vAlign w:val="bottom"/>
            <w:hideMark/>
          </w:tcPr>
          <w:p w14:paraId="2DBB9111" w14:textId="6852E166"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0</w:t>
            </w:r>
          </w:p>
        </w:tc>
        <w:tc>
          <w:tcPr>
            <w:tcW w:w="660" w:type="dxa"/>
            <w:tcBorders>
              <w:top w:val="single" w:sz="4" w:space="0" w:color="ADD6EA"/>
              <w:left w:val="nil"/>
              <w:bottom w:val="nil"/>
              <w:right w:val="nil"/>
            </w:tcBorders>
            <w:shd w:val="clear" w:color="auto" w:fill="auto"/>
            <w:noWrap/>
            <w:vAlign w:val="bottom"/>
            <w:hideMark/>
          </w:tcPr>
          <w:p w14:paraId="0FB8F4D2" w14:textId="1C6925EC" w:rsidR="00C830C2" w:rsidRPr="00C830C2" w:rsidRDefault="0064338E" w:rsidP="00C830C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393</w:t>
            </w:r>
          </w:p>
        </w:tc>
        <w:tc>
          <w:tcPr>
            <w:tcW w:w="660" w:type="dxa"/>
            <w:tcBorders>
              <w:top w:val="single" w:sz="4" w:space="0" w:color="ADD6EA"/>
              <w:left w:val="nil"/>
              <w:bottom w:val="nil"/>
              <w:right w:val="nil"/>
            </w:tcBorders>
            <w:shd w:val="clear" w:color="auto" w:fill="auto"/>
            <w:noWrap/>
            <w:vAlign w:val="bottom"/>
            <w:hideMark/>
          </w:tcPr>
          <w:p w14:paraId="4594E63E" w14:textId="2A8DE528" w:rsidR="00C830C2" w:rsidRPr="00C830C2" w:rsidRDefault="0064338E" w:rsidP="00C830C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117</w:t>
            </w:r>
          </w:p>
        </w:tc>
        <w:tc>
          <w:tcPr>
            <w:tcW w:w="660" w:type="dxa"/>
            <w:tcBorders>
              <w:top w:val="single" w:sz="4" w:space="0" w:color="ADD6EA"/>
              <w:left w:val="nil"/>
              <w:bottom w:val="nil"/>
              <w:right w:val="nil"/>
            </w:tcBorders>
            <w:shd w:val="clear" w:color="auto" w:fill="auto"/>
            <w:noWrap/>
            <w:vAlign w:val="bottom"/>
            <w:hideMark/>
          </w:tcPr>
          <w:p w14:paraId="7C51BD13" w14:textId="4340F5E6" w:rsidR="00C830C2" w:rsidRPr="00C830C2" w:rsidRDefault="0064338E" w:rsidP="00C830C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101</w:t>
            </w:r>
          </w:p>
        </w:tc>
        <w:tc>
          <w:tcPr>
            <w:tcW w:w="660" w:type="dxa"/>
            <w:tcBorders>
              <w:top w:val="single" w:sz="4" w:space="0" w:color="ADD6EA"/>
              <w:left w:val="nil"/>
              <w:bottom w:val="nil"/>
              <w:right w:val="nil"/>
            </w:tcBorders>
            <w:shd w:val="clear" w:color="auto" w:fill="auto"/>
            <w:noWrap/>
            <w:vAlign w:val="bottom"/>
            <w:hideMark/>
          </w:tcPr>
          <w:p w14:paraId="66CF78F6" w14:textId="109B0E33" w:rsidR="00C830C2" w:rsidRPr="00C830C2" w:rsidRDefault="0064338E" w:rsidP="00C830C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39</w:t>
            </w:r>
          </w:p>
        </w:tc>
        <w:tc>
          <w:tcPr>
            <w:tcW w:w="760" w:type="dxa"/>
            <w:tcBorders>
              <w:top w:val="single" w:sz="4" w:space="0" w:color="ADD6EA"/>
              <w:left w:val="nil"/>
              <w:bottom w:val="nil"/>
              <w:right w:val="nil"/>
            </w:tcBorders>
            <w:shd w:val="clear" w:color="auto" w:fill="auto"/>
            <w:noWrap/>
            <w:vAlign w:val="bottom"/>
            <w:hideMark/>
          </w:tcPr>
          <w:p w14:paraId="40606755" w14:textId="6ECDE8EB"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5,</w:t>
            </w:r>
            <w:r w:rsidR="00606098">
              <w:rPr>
                <w:rFonts w:cs="Open Sans Light"/>
                <w:color w:val="000000"/>
                <w:sz w:val="16"/>
                <w:szCs w:val="16"/>
              </w:rPr>
              <w:t>188</w:t>
            </w:r>
          </w:p>
        </w:tc>
      </w:tr>
      <w:tr w:rsidR="00C830C2" w:rsidRPr="00C830C2" w14:paraId="12A65BAF" w14:textId="77777777">
        <w:trPr>
          <w:trHeight w:val="315"/>
        </w:trPr>
        <w:tc>
          <w:tcPr>
            <w:tcW w:w="2500" w:type="dxa"/>
            <w:tcBorders>
              <w:top w:val="single" w:sz="4" w:space="0" w:color="ADD6EA"/>
              <w:left w:val="nil"/>
              <w:bottom w:val="nil"/>
              <w:right w:val="nil"/>
            </w:tcBorders>
            <w:shd w:val="clear" w:color="auto" w:fill="D6E7F0"/>
            <w:vAlign w:val="bottom"/>
            <w:hideMark/>
          </w:tcPr>
          <w:p w14:paraId="52090F48" w14:textId="3AED13D0" w:rsidR="00C830C2" w:rsidRPr="00C830C2" w:rsidRDefault="00C830C2" w:rsidP="00C830C2">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 xml:space="preserve">    Total</w:t>
            </w:r>
          </w:p>
        </w:tc>
        <w:tc>
          <w:tcPr>
            <w:tcW w:w="760" w:type="dxa"/>
            <w:tcBorders>
              <w:top w:val="single" w:sz="4" w:space="0" w:color="ADD6EA"/>
              <w:left w:val="nil"/>
              <w:bottom w:val="nil"/>
              <w:right w:val="nil"/>
            </w:tcBorders>
            <w:shd w:val="clear" w:color="auto" w:fill="D6E7F0"/>
            <w:noWrap/>
            <w:vAlign w:val="bottom"/>
            <w:hideMark/>
          </w:tcPr>
          <w:p w14:paraId="409C10ED" w14:textId="7CAC69F2" w:rsidR="00C830C2" w:rsidRPr="00C830C2" w:rsidRDefault="0064338E"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26,</w:t>
            </w:r>
            <w:r w:rsidR="00606098">
              <w:rPr>
                <w:rFonts w:ascii="Open Sans Semibold" w:hAnsi="Open Sans Semibold" w:cs="Open Sans Semibold"/>
                <w:color w:val="000000"/>
                <w:sz w:val="16"/>
                <w:szCs w:val="16"/>
              </w:rPr>
              <w:t>058</w:t>
            </w:r>
          </w:p>
        </w:tc>
        <w:tc>
          <w:tcPr>
            <w:tcW w:w="760" w:type="dxa"/>
            <w:tcBorders>
              <w:top w:val="single" w:sz="4" w:space="0" w:color="ADD6EA"/>
              <w:left w:val="nil"/>
              <w:bottom w:val="nil"/>
              <w:right w:val="nil"/>
            </w:tcBorders>
            <w:shd w:val="clear" w:color="auto" w:fill="D6E7F0"/>
            <w:noWrap/>
            <w:vAlign w:val="bottom"/>
            <w:hideMark/>
          </w:tcPr>
          <w:p w14:paraId="3E4230C9" w14:textId="5076AFB2"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23,</w:t>
            </w:r>
            <w:r w:rsidR="0064338E">
              <w:rPr>
                <w:rFonts w:ascii="Open Sans Semibold" w:hAnsi="Open Sans Semibold" w:cs="Open Sans Semibold"/>
                <w:color w:val="000000"/>
                <w:sz w:val="16"/>
                <w:szCs w:val="16"/>
              </w:rPr>
              <w:t>740</w:t>
            </w:r>
          </w:p>
        </w:tc>
        <w:tc>
          <w:tcPr>
            <w:tcW w:w="760" w:type="dxa"/>
            <w:tcBorders>
              <w:top w:val="single" w:sz="4" w:space="0" w:color="ADD6EA"/>
              <w:left w:val="nil"/>
              <w:bottom w:val="nil"/>
              <w:right w:val="nil"/>
            </w:tcBorders>
            <w:shd w:val="clear" w:color="auto" w:fill="D6E7F0"/>
            <w:noWrap/>
            <w:vAlign w:val="bottom"/>
            <w:hideMark/>
          </w:tcPr>
          <w:p w14:paraId="0C565CF3" w14:textId="35156C47"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18,</w:t>
            </w:r>
            <w:r w:rsidR="0064338E">
              <w:rPr>
                <w:rFonts w:ascii="Open Sans Semibold" w:hAnsi="Open Sans Semibold" w:cs="Open Sans Semibold"/>
                <w:color w:val="000000"/>
                <w:sz w:val="16"/>
                <w:szCs w:val="16"/>
              </w:rPr>
              <w:t>652</w:t>
            </w:r>
          </w:p>
        </w:tc>
        <w:tc>
          <w:tcPr>
            <w:tcW w:w="660" w:type="dxa"/>
            <w:tcBorders>
              <w:top w:val="single" w:sz="4" w:space="0" w:color="ADD6EA"/>
              <w:left w:val="nil"/>
              <w:bottom w:val="nil"/>
              <w:right w:val="nil"/>
            </w:tcBorders>
            <w:shd w:val="clear" w:color="auto" w:fill="D6E7F0"/>
            <w:noWrap/>
            <w:vAlign w:val="bottom"/>
            <w:hideMark/>
          </w:tcPr>
          <w:p w14:paraId="68388628" w14:textId="7DD57B0B"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7,257</w:t>
            </w:r>
          </w:p>
        </w:tc>
        <w:tc>
          <w:tcPr>
            <w:tcW w:w="660" w:type="dxa"/>
            <w:tcBorders>
              <w:top w:val="single" w:sz="4" w:space="0" w:color="ADD6EA"/>
              <w:left w:val="nil"/>
              <w:bottom w:val="nil"/>
              <w:right w:val="nil"/>
            </w:tcBorders>
            <w:shd w:val="clear" w:color="auto" w:fill="D6E7F0"/>
            <w:noWrap/>
            <w:vAlign w:val="bottom"/>
            <w:hideMark/>
          </w:tcPr>
          <w:p w14:paraId="5B7F88FE" w14:textId="48522477"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9,</w:t>
            </w:r>
            <w:r w:rsidR="0064338E">
              <w:rPr>
                <w:rFonts w:ascii="Open Sans Semibold" w:hAnsi="Open Sans Semibold" w:cs="Open Sans Semibold"/>
                <w:color w:val="000000"/>
                <w:sz w:val="16"/>
                <w:szCs w:val="16"/>
              </w:rPr>
              <w:t>063</w:t>
            </w:r>
          </w:p>
        </w:tc>
        <w:tc>
          <w:tcPr>
            <w:tcW w:w="660" w:type="dxa"/>
            <w:tcBorders>
              <w:top w:val="single" w:sz="4" w:space="0" w:color="ADD6EA"/>
              <w:left w:val="nil"/>
              <w:bottom w:val="nil"/>
              <w:right w:val="nil"/>
            </w:tcBorders>
            <w:shd w:val="clear" w:color="auto" w:fill="D6E7F0"/>
            <w:noWrap/>
            <w:vAlign w:val="bottom"/>
            <w:hideMark/>
          </w:tcPr>
          <w:p w14:paraId="46B757A8" w14:textId="4CFC49CF"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3,</w:t>
            </w:r>
            <w:r w:rsidR="0064338E">
              <w:rPr>
                <w:rFonts w:ascii="Open Sans Semibold" w:hAnsi="Open Sans Semibold" w:cs="Open Sans Semibold"/>
                <w:color w:val="000000"/>
                <w:sz w:val="16"/>
                <w:szCs w:val="16"/>
              </w:rPr>
              <w:t>593</w:t>
            </w:r>
          </w:p>
        </w:tc>
        <w:tc>
          <w:tcPr>
            <w:tcW w:w="660" w:type="dxa"/>
            <w:tcBorders>
              <w:top w:val="single" w:sz="4" w:space="0" w:color="ADD6EA"/>
              <w:left w:val="nil"/>
              <w:bottom w:val="nil"/>
              <w:right w:val="nil"/>
            </w:tcBorders>
            <w:shd w:val="clear" w:color="auto" w:fill="D6E7F0"/>
            <w:noWrap/>
            <w:vAlign w:val="bottom"/>
            <w:hideMark/>
          </w:tcPr>
          <w:p w14:paraId="02AAAAA4" w14:textId="26BF7491" w:rsidR="00C830C2" w:rsidRPr="00C830C2" w:rsidRDefault="0064338E"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1,990</w:t>
            </w:r>
          </w:p>
        </w:tc>
        <w:tc>
          <w:tcPr>
            <w:tcW w:w="660" w:type="dxa"/>
            <w:tcBorders>
              <w:top w:val="single" w:sz="4" w:space="0" w:color="ADD6EA"/>
              <w:left w:val="nil"/>
              <w:bottom w:val="nil"/>
              <w:right w:val="nil"/>
            </w:tcBorders>
            <w:shd w:val="clear" w:color="auto" w:fill="D6E7F0"/>
            <w:noWrap/>
            <w:vAlign w:val="bottom"/>
            <w:hideMark/>
          </w:tcPr>
          <w:p w14:paraId="68610A8D" w14:textId="67B007DE"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4,</w:t>
            </w:r>
            <w:r w:rsidR="0064338E">
              <w:rPr>
                <w:rFonts w:ascii="Open Sans Semibold" w:hAnsi="Open Sans Semibold" w:cs="Open Sans Semibold"/>
                <w:color w:val="000000"/>
                <w:sz w:val="16"/>
                <w:szCs w:val="16"/>
              </w:rPr>
              <w:t>296</w:t>
            </w:r>
          </w:p>
        </w:tc>
        <w:tc>
          <w:tcPr>
            <w:tcW w:w="760" w:type="dxa"/>
            <w:tcBorders>
              <w:top w:val="single" w:sz="4" w:space="0" w:color="ADD6EA"/>
              <w:left w:val="nil"/>
              <w:bottom w:val="nil"/>
              <w:right w:val="nil"/>
            </w:tcBorders>
            <w:shd w:val="clear" w:color="auto" w:fill="D6E7F0"/>
            <w:noWrap/>
            <w:vAlign w:val="bottom"/>
            <w:hideMark/>
          </w:tcPr>
          <w:p w14:paraId="6DDEAD2C" w14:textId="6D61134D"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94,</w:t>
            </w:r>
            <w:r w:rsidR="00606098">
              <w:rPr>
                <w:rFonts w:ascii="Open Sans Semibold" w:hAnsi="Open Sans Semibold" w:cs="Open Sans Semibold"/>
                <w:color w:val="000000"/>
                <w:sz w:val="16"/>
                <w:szCs w:val="16"/>
              </w:rPr>
              <w:t>649</w:t>
            </w:r>
          </w:p>
        </w:tc>
      </w:tr>
      <w:tr w:rsidR="00C830C2" w:rsidRPr="00C830C2" w14:paraId="5BD9B51A" w14:textId="77777777">
        <w:trPr>
          <w:trHeight w:val="315"/>
        </w:trPr>
        <w:tc>
          <w:tcPr>
            <w:tcW w:w="2500" w:type="dxa"/>
            <w:tcBorders>
              <w:top w:val="single" w:sz="4" w:space="0" w:color="ADD6EA"/>
              <w:left w:val="nil"/>
              <w:bottom w:val="nil"/>
              <w:right w:val="nil"/>
            </w:tcBorders>
            <w:shd w:val="clear" w:color="auto" w:fill="auto"/>
            <w:vAlign w:val="bottom"/>
            <w:hideMark/>
          </w:tcPr>
          <w:p w14:paraId="1318153B" w14:textId="4D65C360" w:rsidR="00C830C2" w:rsidRPr="00C830C2" w:rsidRDefault="00C830C2" w:rsidP="00C830C2">
            <w:pPr>
              <w:keepNext/>
              <w:keepLines/>
              <w:tabs>
                <w:tab w:val="clear" w:pos="567"/>
              </w:tabs>
              <w:spacing w:before="0" w:line="240" w:lineRule="auto"/>
              <w:rPr>
                <w:rFonts w:eastAsia="Times New Roman" w:cs="Open Sans Light"/>
                <w:color w:val="000000"/>
                <w:sz w:val="16"/>
                <w:szCs w:val="16"/>
                <w:lang w:eastAsia="en-AU"/>
              </w:rPr>
            </w:pPr>
            <w:r w:rsidRPr="00C830C2">
              <w:rPr>
                <w:rFonts w:cs="Open Sans Light"/>
                <w:color w:val="000000"/>
                <w:sz w:val="16"/>
                <w:szCs w:val="16"/>
              </w:rPr>
              <w:t xml:space="preserve">Difference </w:t>
            </w:r>
          </w:p>
        </w:tc>
        <w:tc>
          <w:tcPr>
            <w:tcW w:w="760" w:type="dxa"/>
            <w:tcBorders>
              <w:top w:val="single" w:sz="4" w:space="0" w:color="ADD6EA"/>
              <w:left w:val="nil"/>
              <w:bottom w:val="nil"/>
              <w:right w:val="nil"/>
            </w:tcBorders>
            <w:shd w:val="clear" w:color="auto" w:fill="auto"/>
            <w:vAlign w:val="bottom"/>
            <w:hideMark/>
          </w:tcPr>
          <w:p w14:paraId="1DF324F2" w14:textId="61A14759"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760" w:type="dxa"/>
            <w:tcBorders>
              <w:top w:val="single" w:sz="4" w:space="0" w:color="ADD6EA"/>
              <w:left w:val="nil"/>
              <w:bottom w:val="nil"/>
              <w:right w:val="nil"/>
            </w:tcBorders>
            <w:shd w:val="clear" w:color="auto" w:fill="auto"/>
            <w:vAlign w:val="bottom"/>
            <w:hideMark/>
          </w:tcPr>
          <w:p w14:paraId="13DD0759" w14:textId="0D7142BB"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760" w:type="dxa"/>
            <w:tcBorders>
              <w:top w:val="single" w:sz="4" w:space="0" w:color="ADD6EA"/>
              <w:left w:val="nil"/>
              <w:bottom w:val="nil"/>
              <w:right w:val="nil"/>
            </w:tcBorders>
            <w:shd w:val="clear" w:color="auto" w:fill="auto"/>
            <w:vAlign w:val="bottom"/>
            <w:hideMark/>
          </w:tcPr>
          <w:p w14:paraId="216F93FC" w14:textId="6F213F03"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660" w:type="dxa"/>
            <w:tcBorders>
              <w:top w:val="single" w:sz="4" w:space="0" w:color="ADD6EA"/>
              <w:left w:val="nil"/>
              <w:bottom w:val="nil"/>
              <w:right w:val="nil"/>
            </w:tcBorders>
            <w:shd w:val="clear" w:color="auto" w:fill="auto"/>
            <w:vAlign w:val="bottom"/>
            <w:hideMark/>
          </w:tcPr>
          <w:p w14:paraId="508CFC4B" w14:textId="3C56C53C"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660" w:type="dxa"/>
            <w:tcBorders>
              <w:top w:val="single" w:sz="4" w:space="0" w:color="ADD6EA"/>
              <w:left w:val="nil"/>
              <w:bottom w:val="nil"/>
              <w:right w:val="nil"/>
            </w:tcBorders>
            <w:shd w:val="clear" w:color="auto" w:fill="auto"/>
            <w:vAlign w:val="bottom"/>
            <w:hideMark/>
          </w:tcPr>
          <w:p w14:paraId="4BB7A99A" w14:textId="18FAB920"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660" w:type="dxa"/>
            <w:tcBorders>
              <w:top w:val="single" w:sz="4" w:space="0" w:color="ADD6EA"/>
              <w:left w:val="nil"/>
              <w:bottom w:val="nil"/>
              <w:right w:val="nil"/>
            </w:tcBorders>
            <w:shd w:val="clear" w:color="auto" w:fill="auto"/>
            <w:vAlign w:val="bottom"/>
            <w:hideMark/>
          </w:tcPr>
          <w:p w14:paraId="5FF26969" w14:textId="487C7232"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660" w:type="dxa"/>
            <w:tcBorders>
              <w:top w:val="single" w:sz="4" w:space="0" w:color="ADD6EA"/>
              <w:left w:val="nil"/>
              <w:bottom w:val="nil"/>
              <w:right w:val="nil"/>
            </w:tcBorders>
            <w:shd w:val="clear" w:color="auto" w:fill="auto"/>
            <w:vAlign w:val="bottom"/>
            <w:hideMark/>
          </w:tcPr>
          <w:p w14:paraId="71C2D3A2" w14:textId="4BF0AE19"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660" w:type="dxa"/>
            <w:tcBorders>
              <w:top w:val="single" w:sz="4" w:space="0" w:color="ADD6EA"/>
              <w:left w:val="nil"/>
              <w:bottom w:val="nil"/>
              <w:right w:val="nil"/>
            </w:tcBorders>
            <w:shd w:val="clear" w:color="auto" w:fill="auto"/>
            <w:vAlign w:val="bottom"/>
            <w:hideMark/>
          </w:tcPr>
          <w:p w14:paraId="5A3DDCAB" w14:textId="0AEDD19F"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c>
          <w:tcPr>
            <w:tcW w:w="760" w:type="dxa"/>
            <w:tcBorders>
              <w:top w:val="single" w:sz="4" w:space="0" w:color="ADD6EA"/>
              <w:left w:val="nil"/>
              <w:bottom w:val="nil"/>
              <w:right w:val="nil"/>
            </w:tcBorders>
            <w:shd w:val="clear" w:color="auto" w:fill="auto"/>
            <w:vAlign w:val="bottom"/>
            <w:hideMark/>
          </w:tcPr>
          <w:p w14:paraId="12477ED7" w14:textId="7D9B751A"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 </w:t>
            </w:r>
          </w:p>
        </w:tc>
      </w:tr>
      <w:tr w:rsidR="00C830C2" w:rsidRPr="00C830C2" w14:paraId="13DABE95" w14:textId="77777777">
        <w:trPr>
          <w:trHeight w:val="315"/>
        </w:trPr>
        <w:tc>
          <w:tcPr>
            <w:tcW w:w="2500" w:type="dxa"/>
            <w:tcBorders>
              <w:top w:val="single" w:sz="4" w:space="0" w:color="ADD6EA"/>
              <w:left w:val="nil"/>
              <w:bottom w:val="nil"/>
              <w:right w:val="nil"/>
            </w:tcBorders>
            <w:shd w:val="clear" w:color="auto" w:fill="auto"/>
            <w:vAlign w:val="bottom"/>
            <w:hideMark/>
          </w:tcPr>
          <w:p w14:paraId="4A058CB9" w14:textId="1EBA2274" w:rsidR="00C830C2" w:rsidRPr="00C830C2" w:rsidRDefault="00C830C2" w:rsidP="00C830C2">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C830C2">
              <w:rPr>
                <w:rFonts w:cs="Open Sans Light"/>
                <w:color w:val="000000"/>
                <w:sz w:val="16"/>
                <w:szCs w:val="16"/>
              </w:rPr>
              <w:t>GST distribution</w:t>
            </w:r>
          </w:p>
        </w:tc>
        <w:tc>
          <w:tcPr>
            <w:tcW w:w="760" w:type="dxa"/>
            <w:tcBorders>
              <w:top w:val="single" w:sz="4" w:space="0" w:color="ADD6EA"/>
              <w:left w:val="nil"/>
              <w:bottom w:val="nil"/>
              <w:right w:val="nil"/>
            </w:tcBorders>
            <w:shd w:val="clear" w:color="auto" w:fill="auto"/>
            <w:noWrap/>
            <w:vAlign w:val="bottom"/>
            <w:hideMark/>
          </w:tcPr>
          <w:p w14:paraId="51F46CB9" w14:textId="59B600CC"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w:t>
            </w:r>
            <w:r w:rsidR="0064338E">
              <w:rPr>
                <w:rFonts w:cs="Open Sans Light"/>
                <w:color w:val="000000"/>
                <w:sz w:val="16"/>
                <w:szCs w:val="16"/>
              </w:rPr>
              <w:t>310</w:t>
            </w:r>
          </w:p>
        </w:tc>
        <w:tc>
          <w:tcPr>
            <w:tcW w:w="760" w:type="dxa"/>
            <w:tcBorders>
              <w:top w:val="single" w:sz="4" w:space="0" w:color="ADD6EA"/>
              <w:left w:val="nil"/>
              <w:bottom w:val="nil"/>
              <w:right w:val="nil"/>
            </w:tcBorders>
            <w:shd w:val="clear" w:color="auto" w:fill="auto"/>
            <w:noWrap/>
            <w:vAlign w:val="bottom"/>
            <w:hideMark/>
          </w:tcPr>
          <w:p w14:paraId="28FBD50B" w14:textId="3A1836F1"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3,</w:t>
            </w:r>
            <w:r w:rsidR="0064338E">
              <w:rPr>
                <w:rFonts w:cs="Open Sans Light"/>
                <w:color w:val="000000"/>
                <w:sz w:val="16"/>
                <w:szCs w:val="16"/>
              </w:rPr>
              <w:t>686</w:t>
            </w:r>
          </w:p>
        </w:tc>
        <w:tc>
          <w:tcPr>
            <w:tcW w:w="760" w:type="dxa"/>
            <w:tcBorders>
              <w:top w:val="single" w:sz="4" w:space="0" w:color="ADD6EA"/>
              <w:left w:val="nil"/>
              <w:bottom w:val="nil"/>
              <w:right w:val="nil"/>
            </w:tcBorders>
            <w:shd w:val="clear" w:color="auto" w:fill="auto"/>
            <w:noWrap/>
            <w:vAlign w:val="bottom"/>
            <w:hideMark/>
          </w:tcPr>
          <w:p w14:paraId="6028C6AF" w14:textId="0578E5A3"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w:t>
            </w:r>
            <w:r w:rsidR="0064338E">
              <w:rPr>
                <w:rFonts w:cs="Open Sans Light"/>
                <w:color w:val="000000"/>
                <w:sz w:val="16"/>
                <w:szCs w:val="16"/>
              </w:rPr>
              <w:t>469</w:t>
            </w:r>
          </w:p>
        </w:tc>
        <w:tc>
          <w:tcPr>
            <w:tcW w:w="660" w:type="dxa"/>
            <w:tcBorders>
              <w:top w:val="single" w:sz="4" w:space="0" w:color="ADD6EA"/>
              <w:left w:val="nil"/>
              <w:bottom w:val="nil"/>
              <w:right w:val="nil"/>
            </w:tcBorders>
            <w:shd w:val="clear" w:color="auto" w:fill="auto"/>
            <w:noWrap/>
            <w:vAlign w:val="bottom"/>
            <w:hideMark/>
          </w:tcPr>
          <w:p w14:paraId="175B108D" w14:textId="61277311"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838</w:t>
            </w:r>
          </w:p>
        </w:tc>
        <w:tc>
          <w:tcPr>
            <w:tcW w:w="660" w:type="dxa"/>
            <w:tcBorders>
              <w:top w:val="single" w:sz="4" w:space="0" w:color="ADD6EA"/>
              <w:left w:val="nil"/>
              <w:bottom w:val="nil"/>
              <w:right w:val="nil"/>
            </w:tcBorders>
            <w:shd w:val="clear" w:color="auto" w:fill="auto"/>
            <w:noWrap/>
            <w:vAlign w:val="bottom"/>
            <w:hideMark/>
          </w:tcPr>
          <w:p w14:paraId="1B96B70F" w14:textId="71ABF5F4" w:rsidR="00C830C2" w:rsidRPr="00C830C2" w:rsidRDefault="0064338E" w:rsidP="00C830C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457</w:t>
            </w:r>
          </w:p>
        </w:tc>
        <w:tc>
          <w:tcPr>
            <w:tcW w:w="660" w:type="dxa"/>
            <w:tcBorders>
              <w:top w:val="single" w:sz="4" w:space="0" w:color="ADD6EA"/>
              <w:left w:val="nil"/>
              <w:bottom w:val="nil"/>
              <w:right w:val="nil"/>
            </w:tcBorders>
            <w:shd w:val="clear" w:color="auto" w:fill="auto"/>
            <w:noWrap/>
            <w:vAlign w:val="bottom"/>
            <w:hideMark/>
          </w:tcPr>
          <w:p w14:paraId="7FF97903" w14:textId="545F1537" w:rsidR="00C830C2" w:rsidRPr="00C830C2" w:rsidRDefault="0064338E" w:rsidP="00C830C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219</w:t>
            </w:r>
          </w:p>
        </w:tc>
        <w:tc>
          <w:tcPr>
            <w:tcW w:w="660" w:type="dxa"/>
            <w:tcBorders>
              <w:top w:val="single" w:sz="4" w:space="0" w:color="ADD6EA"/>
              <w:left w:val="nil"/>
              <w:bottom w:val="nil"/>
              <w:right w:val="nil"/>
            </w:tcBorders>
            <w:shd w:val="clear" w:color="auto" w:fill="auto"/>
            <w:noWrap/>
            <w:vAlign w:val="bottom"/>
            <w:hideMark/>
          </w:tcPr>
          <w:p w14:paraId="20A45BA2" w14:textId="30B592F6" w:rsidR="00C830C2" w:rsidRPr="00C830C2" w:rsidRDefault="0064338E" w:rsidP="00C830C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111</w:t>
            </w:r>
          </w:p>
        </w:tc>
        <w:tc>
          <w:tcPr>
            <w:tcW w:w="660" w:type="dxa"/>
            <w:tcBorders>
              <w:top w:val="single" w:sz="4" w:space="0" w:color="ADD6EA"/>
              <w:left w:val="nil"/>
              <w:bottom w:val="nil"/>
              <w:right w:val="nil"/>
            </w:tcBorders>
            <w:shd w:val="clear" w:color="auto" w:fill="auto"/>
            <w:noWrap/>
            <w:vAlign w:val="bottom"/>
            <w:hideMark/>
          </w:tcPr>
          <w:p w14:paraId="5C5C0CEC" w14:textId="13F03F3A" w:rsidR="00C830C2" w:rsidRPr="00C830C2" w:rsidRDefault="0064338E" w:rsidP="00C830C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256</w:t>
            </w:r>
          </w:p>
        </w:tc>
        <w:tc>
          <w:tcPr>
            <w:tcW w:w="760" w:type="dxa"/>
            <w:tcBorders>
              <w:top w:val="single" w:sz="4" w:space="0" w:color="ADD6EA"/>
              <w:left w:val="nil"/>
              <w:bottom w:val="nil"/>
              <w:right w:val="nil"/>
            </w:tcBorders>
            <w:shd w:val="clear" w:color="auto" w:fill="auto"/>
            <w:noWrap/>
            <w:vAlign w:val="bottom"/>
            <w:hideMark/>
          </w:tcPr>
          <w:p w14:paraId="5268A6FB" w14:textId="25CC9891"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4,787</w:t>
            </w:r>
          </w:p>
        </w:tc>
      </w:tr>
      <w:tr w:rsidR="00C830C2" w:rsidRPr="00C830C2" w14:paraId="380ADD39" w14:textId="77777777">
        <w:trPr>
          <w:trHeight w:val="315"/>
        </w:trPr>
        <w:tc>
          <w:tcPr>
            <w:tcW w:w="2500" w:type="dxa"/>
            <w:tcBorders>
              <w:top w:val="single" w:sz="4" w:space="0" w:color="ADD6EA"/>
              <w:left w:val="nil"/>
              <w:bottom w:val="nil"/>
              <w:right w:val="nil"/>
            </w:tcBorders>
            <w:shd w:val="clear" w:color="auto" w:fill="auto"/>
            <w:vAlign w:val="bottom"/>
            <w:hideMark/>
          </w:tcPr>
          <w:p w14:paraId="49CE13F9" w14:textId="39A396B7" w:rsidR="00C830C2" w:rsidRPr="00C830C2" w:rsidRDefault="00C830C2" w:rsidP="00C830C2">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C830C2">
              <w:rPr>
                <w:rFonts w:cs="Open Sans Light"/>
                <w:color w:val="000000"/>
                <w:sz w:val="16"/>
                <w:szCs w:val="16"/>
              </w:rPr>
              <w:t>No worse off payments</w:t>
            </w:r>
          </w:p>
        </w:tc>
        <w:tc>
          <w:tcPr>
            <w:tcW w:w="760" w:type="dxa"/>
            <w:tcBorders>
              <w:top w:val="single" w:sz="4" w:space="0" w:color="ADD6EA"/>
              <w:left w:val="nil"/>
              <w:bottom w:val="nil"/>
              <w:right w:val="nil"/>
            </w:tcBorders>
            <w:shd w:val="clear" w:color="auto" w:fill="auto"/>
            <w:noWrap/>
            <w:vAlign w:val="bottom"/>
            <w:hideMark/>
          </w:tcPr>
          <w:p w14:paraId="01E119FE" w14:textId="650DE6CB" w:rsidR="00C830C2" w:rsidRPr="00C830C2" w:rsidRDefault="0064338E" w:rsidP="00C830C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122</w:t>
            </w:r>
          </w:p>
        </w:tc>
        <w:tc>
          <w:tcPr>
            <w:tcW w:w="760" w:type="dxa"/>
            <w:tcBorders>
              <w:top w:val="single" w:sz="4" w:space="0" w:color="ADD6EA"/>
              <w:left w:val="nil"/>
              <w:bottom w:val="nil"/>
              <w:right w:val="nil"/>
            </w:tcBorders>
            <w:shd w:val="clear" w:color="auto" w:fill="auto"/>
            <w:noWrap/>
            <w:vAlign w:val="bottom"/>
            <w:hideMark/>
          </w:tcPr>
          <w:p w14:paraId="33AED348" w14:textId="1F5D1ECA" w:rsidR="00C830C2" w:rsidRPr="00C830C2" w:rsidRDefault="0064338E" w:rsidP="00C830C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96</w:t>
            </w:r>
          </w:p>
        </w:tc>
        <w:tc>
          <w:tcPr>
            <w:tcW w:w="760" w:type="dxa"/>
            <w:tcBorders>
              <w:top w:val="single" w:sz="4" w:space="0" w:color="ADD6EA"/>
              <w:left w:val="nil"/>
              <w:bottom w:val="nil"/>
              <w:right w:val="nil"/>
            </w:tcBorders>
            <w:shd w:val="clear" w:color="auto" w:fill="auto"/>
            <w:noWrap/>
            <w:vAlign w:val="bottom"/>
            <w:hideMark/>
          </w:tcPr>
          <w:p w14:paraId="54EC38DD" w14:textId="1EA26FA7" w:rsidR="00C830C2" w:rsidRPr="00C830C2" w:rsidRDefault="00606098" w:rsidP="00C830C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85</w:t>
            </w:r>
          </w:p>
        </w:tc>
        <w:tc>
          <w:tcPr>
            <w:tcW w:w="660" w:type="dxa"/>
            <w:tcBorders>
              <w:top w:val="single" w:sz="4" w:space="0" w:color="ADD6EA"/>
              <w:left w:val="nil"/>
              <w:bottom w:val="nil"/>
              <w:right w:val="nil"/>
            </w:tcBorders>
            <w:shd w:val="clear" w:color="auto" w:fill="auto"/>
            <w:noWrap/>
            <w:vAlign w:val="bottom"/>
            <w:hideMark/>
          </w:tcPr>
          <w:p w14:paraId="054E609D" w14:textId="5E7CD7FB" w:rsidR="00C830C2" w:rsidRPr="00C830C2" w:rsidRDefault="00C830C2" w:rsidP="00C830C2">
            <w:pPr>
              <w:keepNext/>
              <w:keepLines/>
              <w:tabs>
                <w:tab w:val="clear" w:pos="567"/>
              </w:tabs>
              <w:spacing w:before="0" w:line="240" w:lineRule="auto"/>
              <w:jc w:val="right"/>
              <w:rPr>
                <w:rFonts w:eastAsia="Times New Roman" w:cs="Open Sans Light"/>
                <w:color w:val="000000"/>
                <w:sz w:val="16"/>
                <w:szCs w:val="16"/>
                <w:lang w:eastAsia="en-AU"/>
              </w:rPr>
            </w:pPr>
            <w:r w:rsidRPr="00C830C2">
              <w:rPr>
                <w:rFonts w:cs="Open Sans Light"/>
                <w:color w:val="000000"/>
                <w:sz w:val="16"/>
                <w:szCs w:val="16"/>
              </w:rPr>
              <w:t>0</w:t>
            </w:r>
          </w:p>
        </w:tc>
        <w:tc>
          <w:tcPr>
            <w:tcW w:w="660" w:type="dxa"/>
            <w:tcBorders>
              <w:top w:val="single" w:sz="4" w:space="0" w:color="ADD6EA"/>
              <w:left w:val="nil"/>
              <w:bottom w:val="nil"/>
              <w:right w:val="nil"/>
            </w:tcBorders>
            <w:shd w:val="clear" w:color="auto" w:fill="auto"/>
            <w:noWrap/>
            <w:vAlign w:val="bottom"/>
            <w:hideMark/>
          </w:tcPr>
          <w:p w14:paraId="2ADD10D9" w14:textId="3D906491" w:rsidR="00C830C2" w:rsidRPr="00C830C2" w:rsidRDefault="0064338E" w:rsidP="00C830C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25</w:t>
            </w:r>
          </w:p>
        </w:tc>
        <w:tc>
          <w:tcPr>
            <w:tcW w:w="660" w:type="dxa"/>
            <w:tcBorders>
              <w:top w:val="single" w:sz="4" w:space="0" w:color="ADD6EA"/>
              <w:left w:val="nil"/>
              <w:bottom w:val="nil"/>
              <w:right w:val="nil"/>
            </w:tcBorders>
            <w:shd w:val="clear" w:color="auto" w:fill="auto"/>
            <w:noWrap/>
            <w:vAlign w:val="bottom"/>
            <w:hideMark/>
          </w:tcPr>
          <w:p w14:paraId="7DDC15F1" w14:textId="26451155" w:rsidR="00C830C2" w:rsidRPr="00C830C2" w:rsidRDefault="0064338E" w:rsidP="00C830C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w:t>
            </w:r>
          </w:p>
        </w:tc>
        <w:tc>
          <w:tcPr>
            <w:tcW w:w="660" w:type="dxa"/>
            <w:tcBorders>
              <w:top w:val="single" w:sz="4" w:space="0" w:color="ADD6EA"/>
              <w:left w:val="nil"/>
              <w:bottom w:val="nil"/>
              <w:right w:val="nil"/>
            </w:tcBorders>
            <w:shd w:val="clear" w:color="auto" w:fill="auto"/>
            <w:noWrap/>
            <w:vAlign w:val="bottom"/>
            <w:hideMark/>
          </w:tcPr>
          <w:p w14:paraId="7F42B8D5" w14:textId="755A5FB9" w:rsidR="00C830C2" w:rsidRPr="00C830C2" w:rsidRDefault="0064338E" w:rsidP="00C830C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w:t>
            </w:r>
          </w:p>
        </w:tc>
        <w:tc>
          <w:tcPr>
            <w:tcW w:w="660" w:type="dxa"/>
            <w:tcBorders>
              <w:top w:val="single" w:sz="4" w:space="0" w:color="ADD6EA"/>
              <w:left w:val="nil"/>
              <w:bottom w:val="nil"/>
              <w:right w:val="nil"/>
            </w:tcBorders>
            <w:shd w:val="clear" w:color="auto" w:fill="auto"/>
            <w:noWrap/>
            <w:vAlign w:val="bottom"/>
            <w:hideMark/>
          </w:tcPr>
          <w:p w14:paraId="3DB9AE01" w14:textId="41D7157F" w:rsidR="00C830C2" w:rsidRPr="00C830C2" w:rsidRDefault="0064338E" w:rsidP="00C830C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w:t>
            </w:r>
          </w:p>
        </w:tc>
        <w:tc>
          <w:tcPr>
            <w:tcW w:w="760" w:type="dxa"/>
            <w:tcBorders>
              <w:top w:val="single" w:sz="4" w:space="0" w:color="ADD6EA"/>
              <w:left w:val="nil"/>
              <w:bottom w:val="nil"/>
              <w:right w:val="nil"/>
            </w:tcBorders>
            <w:shd w:val="clear" w:color="auto" w:fill="auto"/>
            <w:noWrap/>
            <w:vAlign w:val="bottom"/>
            <w:hideMark/>
          </w:tcPr>
          <w:p w14:paraId="17552220" w14:textId="55C7826F" w:rsidR="00C830C2" w:rsidRPr="00C830C2" w:rsidRDefault="00606098" w:rsidP="00C830C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344</w:t>
            </w:r>
          </w:p>
        </w:tc>
      </w:tr>
      <w:tr w:rsidR="00C830C2" w:rsidRPr="00C830C2" w14:paraId="7D45BA8E" w14:textId="77777777">
        <w:trPr>
          <w:trHeight w:val="315"/>
        </w:trPr>
        <w:tc>
          <w:tcPr>
            <w:tcW w:w="2500" w:type="dxa"/>
            <w:tcBorders>
              <w:top w:val="single" w:sz="4" w:space="0" w:color="ADD6EA"/>
              <w:left w:val="nil"/>
              <w:bottom w:val="single" w:sz="4" w:space="0" w:color="ADD6EA"/>
              <w:right w:val="nil"/>
            </w:tcBorders>
            <w:shd w:val="clear" w:color="auto" w:fill="D6E7F0"/>
            <w:vAlign w:val="bottom"/>
            <w:hideMark/>
          </w:tcPr>
          <w:p w14:paraId="13D5A502" w14:textId="7AD29844" w:rsidR="00C830C2" w:rsidRPr="00C830C2" w:rsidRDefault="00C830C2" w:rsidP="00C830C2">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 xml:space="preserve">    Total ($m)</w:t>
            </w:r>
          </w:p>
        </w:tc>
        <w:tc>
          <w:tcPr>
            <w:tcW w:w="760" w:type="dxa"/>
            <w:tcBorders>
              <w:top w:val="single" w:sz="4" w:space="0" w:color="ADD6EA"/>
              <w:left w:val="nil"/>
              <w:bottom w:val="single" w:sz="4" w:space="0" w:color="ADD6EA"/>
              <w:right w:val="nil"/>
            </w:tcBorders>
            <w:shd w:val="clear" w:color="auto" w:fill="D6E7F0"/>
            <w:noWrap/>
            <w:vAlign w:val="bottom"/>
            <w:hideMark/>
          </w:tcPr>
          <w:p w14:paraId="0627F447" w14:textId="367290D6"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w:t>
            </w:r>
            <w:r w:rsidR="0064338E">
              <w:rPr>
                <w:rFonts w:ascii="Open Sans Semibold" w:hAnsi="Open Sans Semibold" w:cs="Open Sans Semibold"/>
                <w:color w:val="000000"/>
                <w:sz w:val="16"/>
                <w:szCs w:val="16"/>
              </w:rPr>
              <w:t>188</w:t>
            </w:r>
          </w:p>
        </w:tc>
        <w:tc>
          <w:tcPr>
            <w:tcW w:w="760" w:type="dxa"/>
            <w:tcBorders>
              <w:top w:val="single" w:sz="4" w:space="0" w:color="ADD6EA"/>
              <w:left w:val="nil"/>
              <w:bottom w:val="single" w:sz="4" w:space="0" w:color="ADD6EA"/>
              <w:right w:val="nil"/>
            </w:tcBorders>
            <w:shd w:val="clear" w:color="auto" w:fill="D6E7F0"/>
            <w:noWrap/>
            <w:vAlign w:val="bottom"/>
            <w:hideMark/>
          </w:tcPr>
          <w:p w14:paraId="45D30443" w14:textId="6AD5C693"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3,</w:t>
            </w:r>
            <w:r w:rsidR="0064338E">
              <w:rPr>
                <w:rFonts w:ascii="Open Sans Semibold" w:hAnsi="Open Sans Semibold" w:cs="Open Sans Semibold"/>
                <w:color w:val="000000"/>
                <w:sz w:val="16"/>
                <w:szCs w:val="16"/>
              </w:rPr>
              <w:t>782</w:t>
            </w:r>
          </w:p>
        </w:tc>
        <w:tc>
          <w:tcPr>
            <w:tcW w:w="760" w:type="dxa"/>
            <w:tcBorders>
              <w:top w:val="single" w:sz="4" w:space="0" w:color="ADD6EA"/>
              <w:left w:val="nil"/>
              <w:bottom w:val="single" w:sz="4" w:space="0" w:color="ADD6EA"/>
              <w:right w:val="nil"/>
            </w:tcBorders>
            <w:shd w:val="clear" w:color="auto" w:fill="D6E7F0"/>
            <w:noWrap/>
            <w:vAlign w:val="bottom"/>
            <w:hideMark/>
          </w:tcPr>
          <w:p w14:paraId="4B574838" w14:textId="142B43E4"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w:t>
            </w:r>
            <w:r w:rsidR="00606098">
              <w:rPr>
                <w:rFonts w:ascii="Open Sans Semibold" w:hAnsi="Open Sans Semibold" w:cs="Open Sans Semibold"/>
                <w:color w:val="000000"/>
                <w:sz w:val="16"/>
                <w:szCs w:val="16"/>
              </w:rPr>
              <w:t>384</w:t>
            </w:r>
          </w:p>
        </w:tc>
        <w:tc>
          <w:tcPr>
            <w:tcW w:w="660" w:type="dxa"/>
            <w:tcBorders>
              <w:top w:val="single" w:sz="4" w:space="0" w:color="ADD6EA"/>
              <w:left w:val="nil"/>
              <w:bottom w:val="single" w:sz="4" w:space="0" w:color="ADD6EA"/>
              <w:right w:val="nil"/>
            </w:tcBorders>
            <w:shd w:val="clear" w:color="auto" w:fill="D6E7F0"/>
            <w:noWrap/>
            <w:vAlign w:val="bottom"/>
            <w:hideMark/>
          </w:tcPr>
          <w:p w14:paraId="6E7A69ED" w14:textId="37A0B38C"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838</w:t>
            </w:r>
          </w:p>
        </w:tc>
        <w:tc>
          <w:tcPr>
            <w:tcW w:w="660" w:type="dxa"/>
            <w:tcBorders>
              <w:top w:val="single" w:sz="4" w:space="0" w:color="ADD6EA"/>
              <w:left w:val="nil"/>
              <w:bottom w:val="single" w:sz="4" w:space="0" w:color="ADD6EA"/>
              <w:right w:val="nil"/>
            </w:tcBorders>
            <w:shd w:val="clear" w:color="auto" w:fill="D6E7F0"/>
            <w:noWrap/>
            <w:vAlign w:val="bottom"/>
            <w:hideMark/>
          </w:tcPr>
          <w:p w14:paraId="693EA447" w14:textId="57BC308A" w:rsidR="00C830C2" w:rsidRPr="00C830C2" w:rsidRDefault="0064338E"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481</w:t>
            </w:r>
          </w:p>
        </w:tc>
        <w:tc>
          <w:tcPr>
            <w:tcW w:w="660" w:type="dxa"/>
            <w:tcBorders>
              <w:top w:val="single" w:sz="4" w:space="0" w:color="ADD6EA"/>
              <w:left w:val="nil"/>
              <w:bottom w:val="single" w:sz="4" w:space="0" w:color="ADD6EA"/>
              <w:right w:val="nil"/>
            </w:tcBorders>
            <w:shd w:val="clear" w:color="auto" w:fill="D6E7F0"/>
            <w:noWrap/>
            <w:vAlign w:val="bottom"/>
            <w:hideMark/>
          </w:tcPr>
          <w:p w14:paraId="23312950" w14:textId="124880E2" w:rsidR="00C830C2" w:rsidRPr="00C830C2" w:rsidRDefault="0064338E"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226</w:t>
            </w:r>
          </w:p>
        </w:tc>
        <w:tc>
          <w:tcPr>
            <w:tcW w:w="660" w:type="dxa"/>
            <w:tcBorders>
              <w:top w:val="single" w:sz="4" w:space="0" w:color="ADD6EA"/>
              <w:left w:val="nil"/>
              <w:bottom w:val="single" w:sz="4" w:space="0" w:color="ADD6EA"/>
              <w:right w:val="nil"/>
            </w:tcBorders>
            <w:shd w:val="clear" w:color="auto" w:fill="D6E7F0"/>
            <w:noWrap/>
            <w:vAlign w:val="bottom"/>
            <w:hideMark/>
          </w:tcPr>
          <w:p w14:paraId="300A9CA8" w14:textId="46988595" w:rsidR="00C830C2" w:rsidRPr="00C830C2" w:rsidRDefault="0064338E"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118</w:t>
            </w:r>
          </w:p>
        </w:tc>
        <w:tc>
          <w:tcPr>
            <w:tcW w:w="660" w:type="dxa"/>
            <w:tcBorders>
              <w:top w:val="single" w:sz="4" w:space="0" w:color="ADD6EA"/>
              <w:left w:val="nil"/>
              <w:bottom w:val="single" w:sz="4" w:space="0" w:color="ADD6EA"/>
              <w:right w:val="nil"/>
            </w:tcBorders>
            <w:shd w:val="clear" w:color="auto" w:fill="D6E7F0"/>
            <w:noWrap/>
            <w:vAlign w:val="bottom"/>
            <w:hideMark/>
          </w:tcPr>
          <w:p w14:paraId="2228B485" w14:textId="744AE53D" w:rsidR="00C830C2" w:rsidRPr="00C830C2" w:rsidRDefault="00606098"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258</w:t>
            </w:r>
          </w:p>
        </w:tc>
        <w:tc>
          <w:tcPr>
            <w:tcW w:w="760" w:type="dxa"/>
            <w:tcBorders>
              <w:top w:val="single" w:sz="4" w:space="0" w:color="ADD6EA"/>
              <w:left w:val="nil"/>
              <w:bottom w:val="single" w:sz="4" w:space="0" w:color="ADD6EA"/>
              <w:right w:val="nil"/>
            </w:tcBorders>
            <w:shd w:val="clear" w:color="auto" w:fill="D6E7F0"/>
            <w:noWrap/>
            <w:vAlign w:val="bottom"/>
            <w:hideMark/>
          </w:tcPr>
          <w:p w14:paraId="0EA223D7" w14:textId="2DAAC192"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5,</w:t>
            </w:r>
            <w:r w:rsidR="00606098">
              <w:rPr>
                <w:rFonts w:ascii="Open Sans Semibold" w:hAnsi="Open Sans Semibold" w:cs="Open Sans Semibold"/>
                <w:color w:val="000000"/>
                <w:sz w:val="16"/>
                <w:szCs w:val="16"/>
              </w:rPr>
              <w:t>131</w:t>
            </w:r>
          </w:p>
        </w:tc>
      </w:tr>
      <w:tr w:rsidR="00C830C2" w:rsidRPr="00C830C2" w14:paraId="4A173629" w14:textId="77777777">
        <w:trPr>
          <w:trHeight w:val="315"/>
        </w:trPr>
        <w:tc>
          <w:tcPr>
            <w:tcW w:w="2500" w:type="dxa"/>
            <w:tcBorders>
              <w:top w:val="nil"/>
              <w:left w:val="nil"/>
              <w:bottom w:val="single" w:sz="4" w:space="0" w:color="ADD6EA"/>
              <w:right w:val="nil"/>
            </w:tcBorders>
            <w:shd w:val="clear" w:color="auto" w:fill="D6E7F0"/>
            <w:vAlign w:val="bottom"/>
            <w:hideMark/>
          </w:tcPr>
          <w:p w14:paraId="7712D66A" w14:textId="08B1A785" w:rsidR="00C830C2" w:rsidRPr="00C830C2" w:rsidRDefault="00C830C2" w:rsidP="00C830C2">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 xml:space="preserve">    Total ($pc)</w:t>
            </w:r>
          </w:p>
        </w:tc>
        <w:tc>
          <w:tcPr>
            <w:tcW w:w="760" w:type="dxa"/>
            <w:tcBorders>
              <w:top w:val="nil"/>
              <w:left w:val="nil"/>
              <w:bottom w:val="single" w:sz="4" w:space="0" w:color="ADD6EA"/>
              <w:right w:val="nil"/>
            </w:tcBorders>
            <w:shd w:val="clear" w:color="auto" w:fill="D6E7F0"/>
            <w:noWrap/>
            <w:vAlign w:val="bottom"/>
            <w:hideMark/>
          </w:tcPr>
          <w:p w14:paraId="28B89207" w14:textId="6034B620"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w:t>
            </w:r>
            <w:r w:rsidR="0064338E">
              <w:rPr>
                <w:rFonts w:ascii="Open Sans Semibold" w:hAnsi="Open Sans Semibold" w:cs="Open Sans Semibold"/>
                <w:color w:val="000000"/>
                <w:sz w:val="16"/>
                <w:szCs w:val="16"/>
              </w:rPr>
              <w:t>22</w:t>
            </w:r>
          </w:p>
        </w:tc>
        <w:tc>
          <w:tcPr>
            <w:tcW w:w="760" w:type="dxa"/>
            <w:tcBorders>
              <w:top w:val="nil"/>
              <w:left w:val="nil"/>
              <w:bottom w:val="single" w:sz="4" w:space="0" w:color="ADD6EA"/>
              <w:right w:val="nil"/>
            </w:tcBorders>
            <w:shd w:val="clear" w:color="auto" w:fill="D6E7F0"/>
            <w:noWrap/>
            <w:vAlign w:val="bottom"/>
            <w:hideMark/>
          </w:tcPr>
          <w:p w14:paraId="4BC6D136" w14:textId="5194C68D" w:rsidR="00C830C2" w:rsidRPr="00C830C2" w:rsidRDefault="0064338E"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537</w:t>
            </w:r>
          </w:p>
        </w:tc>
        <w:tc>
          <w:tcPr>
            <w:tcW w:w="760" w:type="dxa"/>
            <w:tcBorders>
              <w:top w:val="nil"/>
              <w:left w:val="nil"/>
              <w:bottom w:val="single" w:sz="4" w:space="0" w:color="ADD6EA"/>
              <w:right w:val="nil"/>
            </w:tcBorders>
            <w:shd w:val="clear" w:color="auto" w:fill="D6E7F0"/>
            <w:noWrap/>
            <w:vAlign w:val="bottom"/>
            <w:hideMark/>
          </w:tcPr>
          <w:p w14:paraId="2554E713" w14:textId="1FB81BB6"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w:t>
            </w:r>
            <w:r w:rsidR="0064338E">
              <w:rPr>
                <w:rFonts w:ascii="Open Sans Semibold" w:hAnsi="Open Sans Semibold" w:cs="Open Sans Semibold"/>
                <w:color w:val="000000"/>
                <w:sz w:val="16"/>
                <w:szCs w:val="16"/>
              </w:rPr>
              <w:t>69</w:t>
            </w:r>
          </w:p>
        </w:tc>
        <w:tc>
          <w:tcPr>
            <w:tcW w:w="660" w:type="dxa"/>
            <w:tcBorders>
              <w:top w:val="nil"/>
              <w:left w:val="nil"/>
              <w:bottom w:val="single" w:sz="4" w:space="0" w:color="ADD6EA"/>
              <w:right w:val="nil"/>
            </w:tcBorders>
            <w:shd w:val="clear" w:color="auto" w:fill="D6E7F0"/>
            <w:noWrap/>
            <w:vAlign w:val="bottom"/>
            <w:hideMark/>
          </w:tcPr>
          <w:p w14:paraId="4531914E" w14:textId="62152A21"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283</w:t>
            </w:r>
          </w:p>
        </w:tc>
        <w:tc>
          <w:tcPr>
            <w:tcW w:w="660" w:type="dxa"/>
            <w:tcBorders>
              <w:top w:val="nil"/>
              <w:left w:val="nil"/>
              <w:bottom w:val="single" w:sz="4" w:space="0" w:color="ADD6EA"/>
              <w:right w:val="nil"/>
            </w:tcBorders>
            <w:shd w:val="clear" w:color="auto" w:fill="D6E7F0"/>
            <w:noWrap/>
            <w:vAlign w:val="bottom"/>
            <w:hideMark/>
          </w:tcPr>
          <w:p w14:paraId="19A0292B" w14:textId="0DE3CA00" w:rsidR="00C830C2" w:rsidRPr="00C830C2" w:rsidRDefault="0064338E"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255</w:t>
            </w:r>
          </w:p>
        </w:tc>
        <w:tc>
          <w:tcPr>
            <w:tcW w:w="660" w:type="dxa"/>
            <w:tcBorders>
              <w:top w:val="nil"/>
              <w:left w:val="nil"/>
              <w:bottom w:val="single" w:sz="4" w:space="0" w:color="ADD6EA"/>
              <w:right w:val="nil"/>
            </w:tcBorders>
            <w:shd w:val="clear" w:color="auto" w:fill="D6E7F0"/>
            <w:noWrap/>
            <w:vAlign w:val="bottom"/>
            <w:hideMark/>
          </w:tcPr>
          <w:p w14:paraId="30580334" w14:textId="1CCAE9AA" w:rsidR="00C830C2" w:rsidRPr="00C830C2" w:rsidRDefault="0064338E"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389</w:t>
            </w:r>
          </w:p>
        </w:tc>
        <w:tc>
          <w:tcPr>
            <w:tcW w:w="660" w:type="dxa"/>
            <w:tcBorders>
              <w:top w:val="nil"/>
              <w:left w:val="nil"/>
              <w:bottom w:val="single" w:sz="4" w:space="0" w:color="ADD6EA"/>
              <w:right w:val="nil"/>
            </w:tcBorders>
            <w:shd w:val="clear" w:color="auto" w:fill="D6E7F0"/>
            <w:noWrap/>
            <w:vAlign w:val="bottom"/>
            <w:hideMark/>
          </w:tcPr>
          <w:p w14:paraId="3B7FBEA7" w14:textId="6661F227" w:rsidR="00C830C2" w:rsidRPr="00C830C2" w:rsidRDefault="0064338E"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245</w:t>
            </w:r>
          </w:p>
        </w:tc>
        <w:tc>
          <w:tcPr>
            <w:tcW w:w="660" w:type="dxa"/>
            <w:tcBorders>
              <w:top w:val="nil"/>
              <w:left w:val="nil"/>
              <w:bottom w:val="single" w:sz="4" w:space="0" w:color="ADD6EA"/>
              <w:right w:val="nil"/>
            </w:tcBorders>
            <w:shd w:val="clear" w:color="auto" w:fill="D6E7F0"/>
            <w:noWrap/>
            <w:vAlign w:val="bottom"/>
            <w:hideMark/>
          </w:tcPr>
          <w:p w14:paraId="2EC1E190" w14:textId="79BD7469" w:rsidR="00C830C2" w:rsidRPr="00C830C2" w:rsidRDefault="00C830C2"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30C2">
              <w:rPr>
                <w:rFonts w:ascii="Open Sans Semibold" w:hAnsi="Open Sans Semibold" w:cs="Open Sans Semibold"/>
                <w:color w:val="000000"/>
                <w:sz w:val="16"/>
                <w:szCs w:val="16"/>
              </w:rPr>
              <w:t>1,</w:t>
            </w:r>
            <w:r w:rsidR="0064338E">
              <w:rPr>
                <w:rFonts w:ascii="Open Sans Semibold" w:hAnsi="Open Sans Semibold" w:cs="Open Sans Semibold"/>
                <w:color w:val="000000"/>
                <w:sz w:val="16"/>
                <w:szCs w:val="16"/>
              </w:rPr>
              <w:t>003</w:t>
            </w:r>
          </w:p>
        </w:tc>
        <w:tc>
          <w:tcPr>
            <w:tcW w:w="760" w:type="dxa"/>
            <w:tcBorders>
              <w:top w:val="nil"/>
              <w:left w:val="nil"/>
              <w:bottom w:val="single" w:sz="4" w:space="0" w:color="ADD6EA"/>
              <w:right w:val="nil"/>
            </w:tcBorders>
            <w:shd w:val="clear" w:color="auto" w:fill="D6E7F0"/>
            <w:noWrap/>
            <w:vAlign w:val="bottom"/>
            <w:hideMark/>
          </w:tcPr>
          <w:p w14:paraId="5EF7236F" w14:textId="37441A2F" w:rsidR="00C830C2" w:rsidRPr="00C830C2" w:rsidRDefault="0064338E" w:rsidP="00C830C2">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188</w:t>
            </w:r>
          </w:p>
        </w:tc>
      </w:tr>
    </w:tbl>
    <w:p w14:paraId="16275EB3" w14:textId="7003BA25" w:rsidR="0064338E" w:rsidRPr="00C830C2" w:rsidRDefault="00C830C2" w:rsidP="0064338E">
      <w:pPr>
        <w:keepNext/>
        <w:keepLines/>
        <w:tabs>
          <w:tab w:val="left" w:pos="680"/>
        </w:tabs>
        <w:spacing w:before="40" w:line="240" w:lineRule="auto"/>
        <w:ind w:left="340" w:hanging="227"/>
        <w:rPr>
          <w:rFonts w:ascii="Work Sans" w:hAnsi="Work Sans"/>
          <w:sz w:val="14"/>
        </w:rPr>
      </w:pPr>
      <w:r w:rsidRPr="00C830C2">
        <w:rPr>
          <w:rFonts w:ascii="Work Sans" w:hAnsi="Work Sans"/>
          <w:sz w:val="14"/>
        </w:rPr>
        <w:t xml:space="preserve">Source: Commission calculation. </w:t>
      </w:r>
    </w:p>
    <w:p w14:paraId="1D70A0D2" w14:textId="77777777" w:rsidR="00E45903" w:rsidRDefault="00E45903">
      <w:pPr>
        <w:tabs>
          <w:tab w:val="clear" w:pos="567"/>
        </w:tabs>
        <w:spacing w:before="0" w:line="240" w:lineRule="auto"/>
        <w:rPr>
          <w:rFonts w:ascii="Work Sans" w:eastAsiaTheme="majorEastAsia" w:hAnsi="Work Sans" w:cs="Open Sans"/>
          <w:b/>
          <w:bCs/>
          <w:color w:val="006991"/>
          <w:sz w:val="36"/>
          <w:szCs w:val="36"/>
        </w:rPr>
      </w:pPr>
      <w:r>
        <w:br w:type="page"/>
      </w:r>
    </w:p>
    <w:p w14:paraId="652E2FB5" w14:textId="04647888" w:rsidR="00FD7C9C" w:rsidRDefault="00FD7C9C" w:rsidP="00FD7C9C">
      <w:pPr>
        <w:pStyle w:val="Heading2"/>
      </w:pPr>
      <w:r>
        <w:lastRenderedPageBreak/>
        <w:t>Conclusion</w:t>
      </w:r>
    </w:p>
    <w:p w14:paraId="37E92AF1" w14:textId="520E473D" w:rsidR="00FD7C9C" w:rsidRDefault="00FD7C9C" w:rsidP="00E62CF1">
      <w:pPr>
        <w:pStyle w:val="CGCBodyCopy"/>
      </w:pPr>
      <w:r>
        <w:t>The Commission has provided the Commonwealth Treasurer its recommended GST relativities for 202</w:t>
      </w:r>
      <w:r w:rsidR="00465649">
        <w:t>4</w:t>
      </w:r>
      <w:r w:rsidR="006A670F">
        <w:t>–</w:t>
      </w:r>
      <w:r>
        <w:t>2</w:t>
      </w:r>
      <w:r w:rsidR="00465649">
        <w:t>5</w:t>
      </w:r>
      <w:r>
        <w:t xml:space="preserve">. </w:t>
      </w:r>
      <w:r w:rsidR="007D7DF0">
        <w:t>Al</w:t>
      </w:r>
      <w:r w:rsidR="00DC071A">
        <w:t>l</w:t>
      </w:r>
      <w:r>
        <w:t xml:space="preserve"> states </w:t>
      </w:r>
      <w:r w:rsidR="007D7DF0">
        <w:t>except New South Wales and Queensland are</w:t>
      </w:r>
      <w:r>
        <w:t xml:space="preserve"> expected to receive higher payments </w:t>
      </w:r>
      <w:r w:rsidR="009A71BF">
        <w:t xml:space="preserve">from the GST pool compared </w:t>
      </w:r>
      <w:r>
        <w:t>with 202</w:t>
      </w:r>
      <w:r w:rsidR="00465649">
        <w:t>3</w:t>
      </w:r>
      <w:r w:rsidR="006A670F">
        <w:t>–</w:t>
      </w:r>
      <w:r w:rsidR="006A670F">
        <w:rPr>
          <w:rFonts w:ascii="Times New Roman" w:hAnsi="Times New Roman" w:cs="Times New Roman"/>
        </w:rPr>
        <w:t>‍</w:t>
      </w:r>
      <w:r>
        <w:t>2</w:t>
      </w:r>
      <w:r w:rsidR="00465649">
        <w:t>4</w:t>
      </w:r>
      <w:r>
        <w:t>.</w:t>
      </w:r>
    </w:p>
    <w:p w14:paraId="200B0F68" w14:textId="7A31C881" w:rsidR="008E6F06" w:rsidRDefault="00532ADC" w:rsidP="00E62CF1">
      <w:pPr>
        <w:pStyle w:val="CGCBodyCopy"/>
      </w:pPr>
      <w:r w:rsidRPr="00DA198D">
        <w:t xml:space="preserve">Changes </w:t>
      </w:r>
      <w:r w:rsidR="0063062F">
        <w:t>since 2023</w:t>
      </w:r>
      <w:r w:rsidR="002E62F0">
        <w:t>–</w:t>
      </w:r>
      <w:r w:rsidR="0063062F">
        <w:t xml:space="preserve">24 </w:t>
      </w:r>
      <w:r w:rsidRPr="00DA198D">
        <w:t>in state revenue</w:t>
      </w:r>
      <w:r w:rsidR="00BA2607">
        <w:t xml:space="preserve"> </w:t>
      </w:r>
      <w:r w:rsidRPr="00DA198D">
        <w:t xml:space="preserve">raising capacities </w:t>
      </w:r>
      <w:r>
        <w:t>w</w:t>
      </w:r>
      <w:r w:rsidR="008B201A">
        <w:t>ere</w:t>
      </w:r>
      <w:r w:rsidRPr="00DA198D">
        <w:t xml:space="preserve"> the largest </w:t>
      </w:r>
      <w:r>
        <w:t>driver of</w:t>
      </w:r>
      <w:r w:rsidRPr="00B460D5">
        <w:t xml:space="preserve"> changes in the Commission’s recommendations for the distribution of the GST pool in 2024–25</w:t>
      </w:r>
      <w:r w:rsidR="00DA198D" w:rsidRPr="00DA198D">
        <w:t xml:space="preserve">. A significant increase in </w:t>
      </w:r>
      <w:r w:rsidR="009B05B1">
        <w:t>capacity to r</w:t>
      </w:r>
      <w:r w:rsidR="00CF5524">
        <w:t>aise</w:t>
      </w:r>
      <w:r w:rsidR="009B05B1">
        <w:t xml:space="preserve"> </w:t>
      </w:r>
      <w:r w:rsidR="00CF5524">
        <w:t xml:space="preserve">revenue </w:t>
      </w:r>
      <w:r w:rsidR="009B05B1">
        <w:t xml:space="preserve">from coal </w:t>
      </w:r>
      <w:r w:rsidR="00CF5524">
        <w:t>royalties</w:t>
      </w:r>
      <w:r w:rsidR="00DA198D" w:rsidRPr="00DA198D">
        <w:t xml:space="preserve"> reduced the assessed GST needs of New South Wales and Queensland and increased those of</w:t>
      </w:r>
      <w:r w:rsidR="0030225B">
        <w:t xml:space="preserve"> the</w:t>
      </w:r>
      <w:r w:rsidR="00DA198D" w:rsidRPr="00DA198D">
        <w:t xml:space="preserve"> other states, including Western</w:t>
      </w:r>
      <w:r w:rsidR="007F2782">
        <w:t> </w:t>
      </w:r>
      <w:r w:rsidR="00DA198D" w:rsidRPr="00DA198D">
        <w:t>Australia. Above-average growth in land tax capacity in New</w:t>
      </w:r>
      <w:r w:rsidR="003D2AD3">
        <w:t> </w:t>
      </w:r>
      <w:r w:rsidR="00DA198D" w:rsidRPr="00DA198D">
        <w:t>South Wales and Tasmania reduced their assessed GST needs. Above-average growth in property sales in Queensland, Western Australia and the ACT reduced their assessed GST</w:t>
      </w:r>
      <w:r w:rsidR="0030305E">
        <w:t> </w:t>
      </w:r>
      <w:r w:rsidR="00DA198D" w:rsidRPr="00DA198D">
        <w:t>needs.</w:t>
      </w:r>
      <w:r w:rsidR="00466D48">
        <w:t xml:space="preserve"> </w:t>
      </w:r>
    </w:p>
    <w:p w14:paraId="4C18CE56" w14:textId="5AAC0DBB" w:rsidR="00312B5D" w:rsidRDefault="00312B5D" w:rsidP="00E62CF1">
      <w:pPr>
        <w:pStyle w:val="CGCBodyCopy"/>
      </w:pPr>
      <w:r>
        <w:t>A</w:t>
      </w:r>
      <w:r w:rsidRPr="00D534BC">
        <w:t xml:space="preserve"> large </w:t>
      </w:r>
      <w:r w:rsidR="009E1AEF" w:rsidRPr="00D534BC">
        <w:t xml:space="preserve">national </w:t>
      </w:r>
      <w:r w:rsidRPr="00D534BC">
        <w:t xml:space="preserve">increase in </w:t>
      </w:r>
      <w:r w:rsidR="00A84AFA">
        <w:t xml:space="preserve">urban </w:t>
      </w:r>
      <w:r w:rsidR="009E1AEF">
        <w:t>transport investment</w:t>
      </w:r>
      <w:r w:rsidRPr="00D534BC">
        <w:t xml:space="preserve"> resulted in higher assessed GST needs for both New South Wales</w:t>
      </w:r>
      <w:r>
        <w:t xml:space="preserve"> and </w:t>
      </w:r>
      <w:r w:rsidRPr="00D534BC">
        <w:t>Victoria.</w:t>
      </w:r>
      <w:r w:rsidRPr="00312B5D">
        <w:t xml:space="preserve"> </w:t>
      </w:r>
      <w:r w:rsidRPr="00063443">
        <w:t xml:space="preserve">The updated </w:t>
      </w:r>
      <w:r w:rsidR="00AF2F58">
        <w:t xml:space="preserve">2021 Census </w:t>
      </w:r>
      <w:r>
        <w:t xml:space="preserve">urban density data </w:t>
      </w:r>
      <w:r w:rsidRPr="00063443">
        <w:t>resulted in a</w:t>
      </w:r>
      <w:r>
        <w:t xml:space="preserve">n increase in the assessed GST needs of Victoria and </w:t>
      </w:r>
      <w:r w:rsidR="00461EEE">
        <w:t xml:space="preserve">the ACT </w:t>
      </w:r>
      <w:r>
        <w:t xml:space="preserve">and a </w:t>
      </w:r>
      <w:r w:rsidRPr="00063443">
        <w:t xml:space="preserve">reduction </w:t>
      </w:r>
      <w:r>
        <w:t xml:space="preserve">for </w:t>
      </w:r>
      <w:r w:rsidRPr="00063443">
        <w:t>New South Wales.</w:t>
      </w:r>
    </w:p>
    <w:p w14:paraId="588B6955" w14:textId="7FF817E8" w:rsidR="00710B27" w:rsidRDefault="00BE6098" w:rsidP="00E62CF1">
      <w:pPr>
        <w:pStyle w:val="CGCBodyCopy"/>
      </w:pPr>
      <w:r w:rsidRPr="00D8024D">
        <w:t xml:space="preserve">The release of </w:t>
      </w:r>
      <w:r w:rsidR="00FC6E28">
        <w:t>other</w:t>
      </w:r>
      <w:r w:rsidRPr="00D8024D">
        <w:t xml:space="preserve"> data from the 2021 Census</w:t>
      </w:r>
      <w:r w:rsidR="00B460D5" w:rsidRPr="00B460D5">
        <w:t xml:space="preserve"> </w:t>
      </w:r>
      <w:r w:rsidRPr="00D8024D">
        <w:t xml:space="preserve">also impacted the GST distribution. </w:t>
      </w:r>
      <w:r w:rsidR="001A39D1">
        <w:t>R</w:t>
      </w:r>
      <w:r w:rsidR="001A39D1" w:rsidRPr="000842E8">
        <w:t>evisions</w:t>
      </w:r>
      <w:r w:rsidR="000842E8" w:rsidRPr="000842E8">
        <w:t xml:space="preserve"> included the remoteness classification of some locations, the level of disadvantage in some states, and First Nations</w:t>
      </w:r>
      <w:r w:rsidR="00987B84">
        <w:t xml:space="preserve"> population</w:t>
      </w:r>
      <w:r w:rsidR="00E264E2">
        <w:t xml:space="preserve"> in each state</w:t>
      </w:r>
      <w:r w:rsidR="000842E8" w:rsidRPr="000842E8">
        <w:t xml:space="preserve">. </w:t>
      </w:r>
    </w:p>
    <w:p w14:paraId="2F4F2AB9" w14:textId="158F1666" w:rsidR="00D8024D" w:rsidRDefault="00FD7C9C" w:rsidP="00E62CF1">
      <w:pPr>
        <w:pStyle w:val="CGCBodyCopy"/>
      </w:pPr>
      <w:r>
        <w:t>Another important influence on the distribution of GST is the ongoing transition to the 2018</w:t>
      </w:r>
      <w:r w:rsidR="001059F5">
        <w:t> </w:t>
      </w:r>
      <w:r>
        <w:t xml:space="preserve">legislated arrangements, particularly the introduction of a </w:t>
      </w:r>
      <w:r w:rsidR="001125E3">
        <w:t xml:space="preserve">GST </w:t>
      </w:r>
      <w:r>
        <w:t xml:space="preserve">relativity floor, which </w:t>
      </w:r>
      <w:r w:rsidR="00374D01">
        <w:t xml:space="preserve">will be </w:t>
      </w:r>
      <w:r>
        <w:t>0.7</w:t>
      </w:r>
      <w:r w:rsidR="007745A9">
        <w:t>5</w:t>
      </w:r>
      <w:r>
        <w:t xml:space="preserve"> in 202</w:t>
      </w:r>
      <w:r w:rsidR="007745A9">
        <w:t>4</w:t>
      </w:r>
      <w:r w:rsidR="000C43E5">
        <w:t>–</w:t>
      </w:r>
      <w:r>
        <w:t>2</w:t>
      </w:r>
      <w:r w:rsidR="007745A9">
        <w:t>5</w:t>
      </w:r>
      <w:r>
        <w:t>. Th</w:t>
      </w:r>
      <w:r w:rsidR="007E6AF1">
        <w:t>is will</w:t>
      </w:r>
      <w:r w:rsidR="00EE67BE">
        <w:t xml:space="preserve"> significantly </w:t>
      </w:r>
      <w:r>
        <w:t xml:space="preserve">increase Western Australia’s GST share, while lowering the shares of </w:t>
      </w:r>
      <w:r w:rsidR="007E6AF1">
        <w:t xml:space="preserve">the </w:t>
      </w:r>
      <w:r>
        <w:t>other states. The Commonwealth</w:t>
      </w:r>
      <w:r w:rsidR="001D1955">
        <w:t>’s</w:t>
      </w:r>
      <w:r>
        <w:t xml:space="preserve"> top-up</w:t>
      </w:r>
      <w:r w:rsidR="00C1684C">
        <w:t xml:space="preserve"> payments</w:t>
      </w:r>
      <w:r>
        <w:t xml:space="preserve"> and no worse off payments will ameliorate this impact on the other states.</w:t>
      </w:r>
    </w:p>
    <w:sectPr w:rsidR="00D8024D" w:rsidSect="00035FB5">
      <w:footerReference w:type="default" r:id="rId30"/>
      <w:pgSz w:w="11900" w:h="16840"/>
      <w:pgMar w:top="1985" w:right="1418" w:bottom="1418" w:left="1418"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D7C81" w14:textId="77777777" w:rsidR="00035FB5" w:rsidRDefault="00035FB5" w:rsidP="005C0550">
      <w:pPr>
        <w:spacing w:before="0" w:line="240" w:lineRule="auto"/>
      </w:pPr>
      <w:r>
        <w:separator/>
      </w:r>
    </w:p>
  </w:endnote>
  <w:endnote w:type="continuationSeparator" w:id="0">
    <w:p w14:paraId="4DD57A9B" w14:textId="77777777" w:rsidR="00035FB5" w:rsidRDefault="00035FB5" w:rsidP="005C0550">
      <w:pPr>
        <w:spacing w:before="0" w:line="240" w:lineRule="auto"/>
      </w:pPr>
      <w:r>
        <w:continuationSeparator/>
      </w:r>
    </w:p>
  </w:endnote>
  <w:endnote w:type="continuationNotice" w:id="1">
    <w:p w14:paraId="0F86F4F9" w14:textId="77777777" w:rsidR="00035FB5" w:rsidRDefault="00035FB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ork Sans SemiBold">
    <w:charset w:val="00"/>
    <w:family w:val="auto"/>
    <w:pitch w:val="variable"/>
    <w:sig w:usb0="A00000FF" w:usb1="5000E07B" w:usb2="00000000" w:usb3="00000000" w:csb0="00000193" w:csb1="00000000"/>
  </w:font>
  <w:font w:name="Open Sans Semibold">
    <w:altName w:val="Segoe UI"/>
    <w:panose1 w:val="020B0706030804020204"/>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921F" w14:textId="576CBF8F" w:rsidR="008B3F9B" w:rsidRDefault="008B3F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94CA7">
      <w:rPr>
        <w:rStyle w:val="PageNumber"/>
        <w:noProof/>
      </w:rPr>
      <w:t>1</w:t>
    </w:r>
    <w:r>
      <w:rPr>
        <w:rStyle w:val="PageNumber"/>
      </w:rPr>
      <w:fldChar w:fldCharType="end"/>
    </w:r>
  </w:p>
  <w:p w14:paraId="7003134E" w14:textId="77777777" w:rsidR="008B3F9B" w:rsidRDefault="008B3F9B" w:rsidP="008B3F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2061" w14:textId="4F21C976" w:rsidR="0071146B" w:rsidRPr="004742F9" w:rsidRDefault="0071146B">
    <w:pPr>
      <w:pStyle w:val="Footer"/>
      <w:jc w:val="right"/>
      <w:rPr>
        <w:sz w:val="18"/>
        <w:szCs w:val="18"/>
      </w:rPr>
    </w:pPr>
  </w:p>
  <w:p w14:paraId="7F855381" w14:textId="5F5EFF42" w:rsidR="008B3F9B" w:rsidRPr="004742F9" w:rsidRDefault="00C546C3" w:rsidP="0071146B">
    <w:pPr>
      <w:tabs>
        <w:tab w:val="center" w:pos="4513"/>
        <w:tab w:val="right" w:pos="9026"/>
      </w:tabs>
      <w:rPr>
        <w:rFonts w:ascii="Work Sans" w:hAnsi="Work Sans"/>
        <w:color w:val="006991"/>
        <w:sz w:val="18"/>
        <w:szCs w:val="18"/>
      </w:rPr>
    </w:pPr>
    <w:r w:rsidRPr="000665E8">
      <w:rPr>
        <w:rFonts w:ascii="Open Sans Semibold" w:hAnsi="Open Sans Semibold" w:cs="Open Sans Semibold"/>
        <w:color w:val="006991"/>
        <w:sz w:val="14"/>
        <w:szCs w:val="14"/>
      </w:rPr>
      <w:t>Commonwealth Grants Commission</w:t>
    </w:r>
    <w:r w:rsidRPr="00F7581A">
      <w:rPr>
        <w:rFonts w:ascii="Work Sans" w:hAnsi="Work Sans"/>
        <w:color w:val="006991"/>
        <w:sz w:val="14"/>
        <w:szCs w:val="14"/>
      </w:rPr>
      <w:t xml:space="preserve"> </w:t>
    </w:r>
    <w:r w:rsidR="00F7581A" w:rsidRPr="00D455E8">
      <w:rPr>
        <w:rFonts w:ascii="Open Sans" w:hAnsi="Open Sans" w:cs="Open Sans"/>
        <w:sz w:val="14"/>
        <w:szCs w:val="14"/>
      </w:rPr>
      <w:t>Occasional Paper Series</w:t>
    </w:r>
    <w:r w:rsidR="0071146B" w:rsidRPr="004742F9">
      <w:rPr>
        <w:rFonts w:ascii="Work Sans" w:hAnsi="Work Sans"/>
        <w:color w:val="006991"/>
        <w:sz w:val="18"/>
        <w:szCs w:val="18"/>
      </w:rPr>
      <w:tab/>
    </w:r>
    <w:r w:rsidR="0071146B" w:rsidRPr="004742F9">
      <w:rPr>
        <w:rFonts w:ascii="Work Sans" w:hAnsi="Work Sans"/>
        <w:color w:val="006991"/>
        <w:sz w:val="18"/>
        <w:szCs w:val="18"/>
      </w:rPr>
      <w:tab/>
    </w:r>
    <w:r w:rsidR="00F7581A" w:rsidRPr="00D455E8">
      <w:rPr>
        <w:rFonts w:ascii="Work Sans" w:hAnsi="Work Sans"/>
        <w:sz w:val="14"/>
        <w:szCs w:val="14"/>
      </w:rPr>
      <w:fldChar w:fldCharType="begin"/>
    </w:r>
    <w:r w:rsidR="00F7581A" w:rsidRPr="00D455E8">
      <w:rPr>
        <w:rFonts w:ascii="Work Sans" w:hAnsi="Work Sans"/>
        <w:sz w:val="14"/>
        <w:szCs w:val="14"/>
      </w:rPr>
      <w:instrText xml:space="preserve"> PAGE   \* MERGEFORMAT </w:instrText>
    </w:r>
    <w:r w:rsidR="00F7581A" w:rsidRPr="00D455E8">
      <w:rPr>
        <w:rFonts w:ascii="Work Sans" w:hAnsi="Work Sans"/>
        <w:sz w:val="14"/>
        <w:szCs w:val="14"/>
      </w:rPr>
      <w:fldChar w:fldCharType="separate"/>
    </w:r>
    <w:r w:rsidR="00F7581A" w:rsidRPr="00D455E8">
      <w:rPr>
        <w:rFonts w:ascii="Work Sans" w:hAnsi="Work Sans"/>
        <w:noProof/>
        <w:sz w:val="14"/>
        <w:szCs w:val="14"/>
      </w:rPr>
      <w:t>1</w:t>
    </w:r>
    <w:r w:rsidR="00F7581A" w:rsidRPr="00D455E8">
      <w:rPr>
        <w:rFonts w:ascii="Work Sans" w:hAnsi="Work Sans"/>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AB3A" w14:textId="77777777" w:rsidR="00CA7DF1" w:rsidRPr="004742F9" w:rsidRDefault="00CA7DF1">
    <w:pPr>
      <w:pStyle w:val="Footer"/>
      <w:jc w:val="right"/>
      <w:rPr>
        <w:sz w:val="18"/>
        <w:szCs w:val="18"/>
      </w:rPr>
    </w:pPr>
  </w:p>
  <w:p w14:paraId="17809E13" w14:textId="07193261" w:rsidR="00CA7DF1" w:rsidRPr="004742F9" w:rsidRDefault="00CA7DF1" w:rsidP="0071146B">
    <w:pPr>
      <w:tabs>
        <w:tab w:val="center" w:pos="4513"/>
        <w:tab w:val="right" w:pos="9026"/>
      </w:tabs>
      <w:rPr>
        <w:rFonts w:ascii="Work Sans" w:hAnsi="Work Sans"/>
        <w:color w:val="006991"/>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331E" w14:textId="77777777" w:rsidR="00CA7DF1" w:rsidRPr="004742F9" w:rsidRDefault="00CA7DF1">
    <w:pPr>
      <w:pStyle w:val="Footer"/>
      <w:jc w:val="right"/>
      <w:rPr>
        <w:sz w:val="18"/>
        <w:szCs w:val="18"/>
      </w:rPr>
    </w:pPr>
  </w:p>
  <w:p w14:paraId="7AE3C536" w14:textId="77777777" w:rsidR="00CA7DF1" w:rsidRPr="004742F9" w:rsidRDefault="00CA7DF1" w:rsidP="0071146B">
    <w:pPr>
      <w:tabs>
        <w:tab w:val="center" w:pos="4513"/>
        <w:tab w:val="right" w:pos="9026"/>
      </w:tabs>
      <w:rPr>
        <w:rFonts w:ascii="Work Sans" w:hAnsi="Work Sans"/>
        <w:color w:val="006991"/>
        <w:sz w:val="18"/>
        <w:szCs w:val="18"/>
      </w:rPr>
    </w:pPr>
    <w:r w:rsidRPr="000665E8">
      <w:rPr>
        <w:rFonts w:ascii="Open Sans Semibold" w:hAnsi="Open Sans Semibold" w:cs="Open Sans Semibold"/>
        <w:color w:val="006991"/>
        <w:sz w:val="14"/>
        <w:szCs w:val="14"/>
      </w:rPr>
      <w:t>Commonwealth Grants Commission</w:t>
    </w:r>
    <w:r w:rsidRPr="00F7581A">
      <w:rPr>
        <w:rFonts w:ascii="Work Sans" w:hAnsi="Work Sans"/>
        <w:color w:val="006991"/>
        <w:sz w:val="14"/>
        <w:szCs w:val="14"/>
      </w:rPr>
      <w:t xml:space="preserve"> </w:t>
    </w:r>
    <w:r w:rsidRPr="00D455E8">
      <w:rPr>
        <w:rFonts w:ascii="Open Sans" w:hAnsi="Open Sans" w:cs="Open Sans"/>
        <w:sz w:val="14"/>
        <w:szCs w:val="14"/>
      </w:rPr>
      <w:t>Occasional Paper Series</w:t>
    </w:r>
    <w:r w:rsidRPr="004742F9">
      <w:rPr>
        <w:rFonts w:ascii="Work Sans" w:hAnsi="Work Sans"/>
        <w:color w:val="006991"/>
        <w:sz w:val="18"/>
        <w:szCs w:val="18"/>
      </w:rPr>
      <w:tab/>
    </w:r>
    <w:r w:rsidRPr="004742F9">
      <w:rPr>
        <w:rFonts w:ascii="Work Sans" w:hAnsi="Work Sans"/>
        <w:color w:val="006991"/>
        <w:sz w:val="18"/>
        <w:szCs w:val="18"/>
      </w:rPr>
      <w:tab/>
    </w:r>
    <w:r w:rsidRPr="00D455E8">
      <w:rPr>
        <w:rFonts w:ascii="Work Sans" w:hAnsi="Work Sans"/>
        <w:sz w:val="14"/>
        <w:szCs w:val="14"/>
      </w:rPr>
      <w:fldChar w:fldCharType="begin"/>
    </w:r>
    <w:r w:rsidRPr="00D455E8">
      <w:rPr>
        <w:rFonts w:ascii="Work Sans" w:hAnsi="Work Sans"/>
        <w:sz w:val="14"/>
        <w:szCs w:val="14"/>
      </w:rPr>
      <w:instrText xml:space="preserve"> PAGE   \* MERGEFORMAT </w:instrText>
    </w:r>
    <w:r w:rsidRPr="00D455E8">
      <w:rPr>
        <w:rFonts w:ascii="Work Sans" w:hAnsi="Work Sans"/>
        <w:sz w:val="14"/>
        <w:szCs w:val="14"/>
      </w:rPr>
      <w:fldChar w:fldCharType="separate"/>
    </w:r>
    <w:r w:rsidRPr="00D455E8">
      <w:rPr>
        <w:rFonts w:ascii="Work Sans" w:hAnsi="Work Sans"/>
        <w:noProof/>
        <w:sz w:val="14"/>
        <w:szCs w:val="14"/>
      </w:rPr>
      <w:t>1</w:t>
    </w:r>
    <w:r w:rsidRPr="00D455E8">
      <w:rPr>
        <w:rFonts w:ascii="Work Sans" w:hAnsi="Work Sans"/>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D127" w14:textId="77777777" w:rsidR="00035FB5" w:rsidRDefault="00035FB5" w:rsidP="005C0550">
      <w:pPr>
        <w:spacing w:before="0" w:line="240" w:lineRule="auto"/>
      </w:pPr>
      <w:r>
        <w:separator/>
      </w:r>
    </w:p>
  </w:footnote>
  <w:footnote w:type="continuationSeparator" w:id="0">
    <w:p w14:paraId="2E1144C8" w14:textId="77777777" w:rsidR="00035FB5" w:rsidRDefault="00035FB5" w:rsidP="005C0550">
      <w:pPr>
        <w:spacing w:before="0" w:line="240" w:lineRule="auto"/>
      </w:pPr>
      <w:r>
        <w:continuationSeparator/>
      </w:r>
    </w:p>
  </w:footnote>
  <w:footnote w:type="continuationNotice" w:id="1">
    <w:p w14:paraId="77A5D575" w14:textId="77777777" w:rsidR="00035FB5" w:rsidRDefault="00035FB5">
      <w:pPr>
        <w:spacing w:before="0" w:line="240" w:lineRule="auto"/>
      </w:pPr>
    </w:p>
  </w:footnote>
  <w:footnote w:id="2">
    <w:p w14:paraId="682E8937" w14:textId="77777777" w:rsidR="000955E8" w:rsidRPr="00014CAB" w:rsidRDefault="000955E8" w:rsidP="000955E8">
      <w:pPr>
        <w:pStyle w:val="FootnoteText"/>
        <w:ind w:left="142" w:hanging="142"/>
        <w:rPr>
          <w:sz w:val="14"/>
          <w:szCs w:val="14"/>
        </w:rPr>
      </w:pPr>
      <w:r w:rsidRPr="00014CAB">
        <w:rPr>
          <w:rStyle w:val="FootnoteReference"/>
          <w:vertAlign w:val="superscript"/>
        </w:rPr>
        <w:footnoteRef/>
      </w:r>
      <w:r>
        <w:rPr>
          <w:rStyle w:val="cf01"/>
        </w:rPr>
        <w:t xml:space="preserve"> </w:t>
      </w:r>
      <w:r w:rsidRPr="00014CAB">
        <w:rPr>
          <w:rStyle w:val="FootnoteReference"/>
          <w:vertAlign w:val="superscript"/>
        </w:rPr>
        <w:t xml:space="preserve"> </w:t>
      </w:r>
      <w:r>
        <w:rPr>
          <w:sz w:val="14"/>
          <w:szCs w:val="14"/>
        </w:rPr>
        <w:t>Location-based d</w:t>
      </w:r>
      <w:r w:rsidRPr="00B651F8">
        <w:rPr>
          <w:sz w:val="14"/>
          <w:szCs w:val="14"/>
        </w:rPr>
        <w:t xml:space="preserve">ata on where </w:t>
      </w:r>
      <w:r>
        <w:rPr>
          <w:sz w:val="14"/>
          <w:szCs w:val="14"/>
        </w:rPr>
        <w:t>a person lives are used in several of the Commission’s calculations of the drivers of different state spending needs, for example residence in remoteness</w:t>
      </w:r>
      <w:r w:rsidRPr="00BF1CA0">
        <w:rPr>
          <w:sz w:val="14"/>
          <w:szCs w:val="14"/>
        </w:rPr>
        <w:t xml:space="preserve"> areas</w:t>
      </w:r>
      <w:r>
        <w:rPr>
          <w:sz w:val="14"/>
          <w:szCs w:val="14"/>
        </w:rPr>
        <w:t>,</w:t>
      </w:r>
      <w:r w:rsidRPr="00BF1CA0">
        <w:rPr>
          <w:sz w:val="14"/>
          <w:szCs w:val="14"/>
        </w:rPr>
        <w:t xml:space="preserve"> </w:t>
      </w:r>
      <w:r>
        <w:rPr>
          <w:sz w:val="14"/>
          <w:szCs w:val="14"/>
        </w:rPr>
        <w:t xml:space="preserve">significant </w:t>
      </w:r>
      <w:r w:rsidRPr="00F9287E">
        <w:rPr>
          <w:sz w:val="14"/>
          <w:szCs w:val="14"/>
        </w:rPr>
        <w:t>urban areas, small communities</w:t>
      </w:r>
      <w:r>
        <w:rPr>
          <w:sz w:val="14"/>
          <w:szCs w:val="14"/>
        </w:rPr>
        <w:t>,</w:t>
      </w:r>
      <w:r w:rsidRPr="00F9287E">
        <w:rPr>
          <w:sz w:val="14"/>
          <w:szCs w:val="14"/>
        </w:rPr>
        <w:t xml:space="preserve"> remote communities</w:t>
      </w:r>
      <w:r>
        <w:rPr>
          <w:sz w:val="14"/>
          <w:szCs w:val="14"/>
        </w:rPr>
        <w:t xml:space="preserve"> and/or discrete First Nations communities. Location-based data are also used in socio-economic indexes and population density calculations. </w:t>
      </w:r>
    </w:p>
  </w:footnote>
  <w:footnote w:id="3">
    <w:p w14:paraId="6B317904" w14:textId="2ECCEE47" w:rsidR="004248A6" w:rsidRPr="0068086C" w:rsidRDefault="004248A6" w:rsidP="004248A6">
      <w:pPr>
        <w:pStyle w:val="FootnoteText"/>
        <w:rPr>
          <w:sz w:val="14"/>
          <w:szCs w:val="14"/>
        </w:rPr>
      </w:pPr>
      <w:r w:rsidRPr="0068086C">
        <w:rPr>
          <w:rStyle w:val="FootnoteReference"/>
          <w:vertAlign w:val="superscript"/>
        </w:rPr>
        <w:footnoteRef/>
      </w:r>
      <w:r w:rsidRPr="0068086C">
        <w:rPr>
          <w:rStyle w:val="FootnoteReference"/>
          <w:vertAlign w:val="superscript"/>
        </w:rPr>
        <w:t xml:space="preserve"> </w:t>
      </w:r>
      <w:r w:rsidRPr="0068086C">
        <w:rPr>
          <w:sz w:val="14"/>
          <w:szCs w:val="14"/>
        </w:rPr>
        <w:t>Under the 2018 legislated arrangements</w:t>
      </w:r>
      <w:r w:rsidR="00F701F3">
        <w:rPr>
          <w:sz w:val="14"/>
          <w:szCs w:val="14"/>
        </w:rPr>
        <w:t>,</w:t>
      </w:r>
      <w:r w:rsidRPr="0068086C">
        <w:rPr>
          <w:sz w:val="14"/>
          <w:szCs w:val="14"/>
        </w:rPr>
        <w:t xml:space="preserve"> no worse off payments were to be in place over the transition period from 2021</w:t>
      </w:r>
      <w:r w:rsidR="00607339">
        <w:rPr>
          <w:sz w:val="14"/>
          <w:szCs w:val="14"/>
        </w:rPr>
        <w:t>–</w:t>
      </w:r>
      <w:r w:rsidRPr="0068086C">
        <w:rPr>
          <w:sz w:val="14"/>
          <w:szCs w:val="14"/>
        </w:rPr>
        <w:t>22 to 2026</w:t>
      </w:r>
      <w:r w:rsidR="00607339">
        <w:rPr>
          <w:sz w:val="14"/>
          <w:szCs w:val="14"/>
        </w:rPr>
        <w:t>–</w:t>
      </w:r>
      <w:r w:rsidRPr="0068086C">
        <w:rPr>
          <w:sz w:val="14"/>
          <w:szCs w:val="14"/>
        </w:rPr>
        <w:t>27. On 6</w:t>
      </w:r>
      <w:r w:rsidR="001C1C78">
        <w:rPr>
          <w:sz w:val="14"/>
          <w:szCs w:val="14"/>
        </w:rPr>
        <w:t> </w:t>
      </w:r>
      <w:r w:rsidRPr="0068086C">
        <w:rPr>
          <w:sz w:val="14"/>
          <w:szCs w:val="14"/>
        </w:rPr>
        <w:t>December 2023 the Commonwealth and states agreed to extend the guarantee for 3 years to the end of 2029</w:t>
      </w:r>
      <w:r w:rsidR="00607339">
        <w:rPr>
          <w:sz w:val="14"/>
          <w:szCs w:val="14"/>
        </w:rPr>
        <w:t>–</w:t>
      </w:r>
      <w:r w:rsidRPr="0068086C">
        <w:rPr>
          <w:sz w:val="14"/>
          <w:szCs w:val="14"/>
        </w:rPr>
        <w:t xml:space="preserve">30.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FA85" w14:textId="2D57CF36" w:rsidR="00C87C4C" w:rsidRDefault="00C87C4C">
    <w:pPr>
      <w:pStyle w:val="Header"/>
    </w:pPr>
    <w:r w:rsidRPr="009D2E84">
      <w:rPr>
        <w:rFonts w:ascii="Work Sans" w:hAnsi="Work Sans"/>
        <w:noProof/>
      </w:rPr>
      <w:drawing>
        <wp:anchor distT="0" distB="0" distL="114300" distR="114300" simplePos="0" relativeHeight="251658244" behindDoc="1" locked="1" layoutInCell="1" allowOverlap="1" wp14:anchorId="1CB5103A" wp14:editId="1ECD3CB7">
          <wp:simplePos x="0" y="0"/>
          <wp:positionH relativeFrom="page">
            <wp:posOffset>0</wp:posOffset>
          </wp:positionH>
          <wp:positionV relativeFrom="margin">
            <wp:posOffset>-1257300</wp:posOffset>
          </wp:positionV>
          <wp:extent cx="7563485" cy="10691495"/>
          <wp:effectExtent l="0" t="0" r="0" b="0"/>
          <wp:wrapNone/>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59C9" w14:textId="713926D7" w:rsidR="00C25219" w:rsidRDefault="00AB73C2">
    <w:pPr>
      <w:pStyle w:val="Header"/>
    </w:pPr>
    <w:r>
      <w:rPr>
        <w:noProof/>
      </w:rPr>
      <w:drawing>
        <wp:anchor distT="0" distB="0" distL="114300" distR="114300" simplePos="0" relativeHeight="251658240" behindDoc="1" locked="0" layoutInCell="1" allowOverlap="1" wp14:anchorId="3D0DD578" wp14:editId="34A479C4">
          <wp:simplePos x="0" y="0"/>
          <wp:positionH relativeFrom="column">
            <wp:posOffset>-899907</wp:posOffset>
          </wp:positionH>
          <wp:positionV relativeFrom="paragraph">
            <wp:posOffset>-469723</wp:posOffset>
          </wp:positionV>
          <wp:extent cx="7562789" cy="10689589"/>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2789" cy="10689589"/>
                  </a:xfrm>
                  <a:prstGeom prst="rect">
                    <a:avLst/>
                  </a:prstGeom>
                </pic:spPr>
              </pic:pic>
            </a:graphicData>
          </a:graphic>
          <wp14:sizeRelH relativeFrom="margin">
            <wp14:pctWidth>0</wp14:pctWidth>
          </wp14:sizeRelH>
          <wp14:sizeRelV relativeFrom="margin">
            <wp14:pctHeight>0</wp14:pctHeight>
          </wp14:sizeRelV>
        </wp:anchor>
      </w:drawing>
    </w:r>
    <w:r w:rsidR="003759A1">
      <w:rPr>
        <w:noProof/>
      </w:rPr>
      <w:drawing>
        <wp:anchor distT="0" distB="0" distL="114300" distR="114300" simplePos="0" relativeHeight="251658243" behindDoc="1" locked="0" layoutInCell="1" allowOverlap="1" wp14:anchorId="5E0448FF" wp14:editId="3893EFC1">
          <wp:simplePos x="0" y="0"/>
          <wp:positionH relativeFrom="column">
            <wp:posOffset>-923290</wp:posOffset>
          </wp:positionH>
          <wp:positionV relativeFrom="paragraph">
            <wp:posOffset>10351135</wp:posOffset>
          </wp:positionV>
          <wp:extent cx="7580630" cy="10691495"/>
          <wp:effectExtent l="0" t="0" r="127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extLst>
                      <a:ext uri="{28A0092B-C50C-407E-A947-70E740481C1C}">
                        <a14:useLocalDpi xmlns:a14="http://schemas.microsoft.com/office/drawing/2010/main" val="0"/>
                      </a:ext>
                    </a:extLst>
                  </a:blip>
                  <a:stretch>
                    <a:fillRect/>
                  </a:stretch>
                </pic:blipFill>
                <pic:spPr>
                  <a:xfrm>
                    <a:off x="0" y="0"/>
                    <a:ext cx="7580630" cy="10691495"/>
                  </a:xfrm>
                  <a:prstGeom prst="rect">
                    <a:avLst/>
                  </a:prstGeom>
                </pic:spPr>
              </pic:pic>
            </a:graphicData>
          </a:graphic>
          <wp14:sizeRelH relativeFrom="margin">
            <wp14:pctWidth>0</wp14:pctWidth>
          </wp14:sizeRelH>
          <wp14:sizeRelV relativeFrom="margin">
            <wp14:pctHeight>0</wp14:pctHeight>
          </wp14:sizeRelV>
        </wp:anchor>
      </w:drawing>
    </w:r>
    <w:r w:rsidR="00A345CD">
      <w:rPr>
        <w:noProof/>
      </w:rPr>
      <w:drawing>
        <wp:anchor distT="0" distB="0" distL="114300" distR="114300" simplePos="0" relativeHeight="251658242" behindDoc="1" locked="0" layoutInCell="1" allowOverlap="1" wp14:anchorId="2CFE1E5C" wp14:editId="795823A5">
          <wp:simplePos x="0" y="0"/>
          <wp:positionH relativeFrom="column">
            <wp:posOffset>-900430</wp:posOffset>
          </wp:positionH>
          <wp:positionV relativeFrom="paragraph">
            <wp:posOffset>10362565</wp:posOffset>
          </wp:positionV>
          <wp:extent cx="7580630" cy="10691495"/>
          <wp:effectExtent l="0" t="0" r="127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
                    <a:extLst>
                      <a:ext uri="{28A0092B-C50C-407E-A947-70E740481C1C}">
                        <a14:useLocalDpi xmlns:a14="http://schemas.microsoft.com/office/drawing/2010/main" val="0"/>
                      </a:ext>
                    </a:extLst>
                  </a:blip>
                  <a:stretch>
                    <a:fillRect/>
                  </a:stretch>
                </pic:blipFill>
                <pic:spPr>
                  <a:xfrm>
                    <a:off x="0" y="0"/>
                    <a:ext cx="7580630" cy="10691495"/>
                  </a:xfrm>
                  <a:prstGeom prst="rect">
                    <a:avLst/>
                  </a:prstGeom>
                </pic:spPr>
              </pic:pic>
            </a:graphicData>
          </a:graphic>
          <wp14:sizeRelH relativeFrom="margin">
            <wp14:pctWidth>0</wp14:pctWidth>
          </wp14:sizeRelH>
          <wp14:sizeRelV relativeFrom="margin">
            <wp14:pctHeight>0</wp14:pctHeight>
          </wp14:sizeRelV>
        </wp:anchor>
      </w:drawing>
    </w:r>
    <w:r w:rsidR="00C25219" w:rsidRPr="00410188">
      <w:rPr>
        <w:rFonts w:ascii="Open Sans Semibold" w:hAnsi="Open Sans Semibold" w:cs="Open Sans Semibold"/>
        <w:bCs/>
        <w:noProof/>
        <w:sz w:val="40"/>
        <w:szCs w:val="40"/>
        <w:lang w:val="en-US"/>
      </w:rPr>
      <w:drawing>
        <wp:anchor distT="0" distB="0" distL="114300" distR="114300" simplePos="0" relativeHeight="251658241" behindDoc="1" locked="0" layoutInCell="1" allowOverlap="1" wp14:anchorId="355101D3" wp14:editId="6682A560">
          <wp:simplePos x="0" y="0"/>
          <wp:positionH relativeFrom="column">
            <wp:posOffset>-1037590</wp:posOffset>
          </wp:positionH>
          <wp:positionV relativeFrom="paragraph">
            <wp:posOffset>10328275</wp:posOffset>
          </wp:positionV>
          <wp:extent cx="7683500" cy="10836275"/>
          <wp:effectExtent l="38100" t="38100" r="63500" b="349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a:extLst>
                      <a:ext uri="{28A0092B-C50C-407E-A947-70E740481C1C}">
                        <a14:useLocalDpi xmlns:a14="http://schemas.microsoft.com/office/drawing/2010/main" val="0"/>
                      </a:ext>
                    </a:extLst>
                  </a:blip>
                  <a:stretch>
                    <a:fillRect/>
                  </a:stretch>
                </pic:blipFill>
                <pic:spPr>
                  <a:xfrm>
                    <a:off x="0" y="0"/>
                    <a:ext cx="7683500" cy="10836275"/>
                  </a:xfrm>
                  <a:prstGeom prst="rect">
                    <a:avLst/>
                  </a:prstGeom>
                  <a:noFill/>
                  <a:ln w="88900" cap="sq">
                    <a:noFill/>
                    <a:miter lim="800000"/>
                  </a:ln>
                  <a:effectLst>
                    <a:outerShdw blurRad="55000" dist="18000" dir="5400000" algn="tl" rotWithShape="0">
                      <a:srgbClr val="000000">
                        <a:alpha val="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E71B9C"/>
    <w:multiLevelType w:val="hybridMultilevel"/>
    <w:tmpl w:val="7110E312"/>
    <w:lvl w:ilvl="0" w:tplc="DB96A0AC">
      <w:start w:val="1"/>
      <w:numFmt w:val="bullet"/>
      <w:pStyle w:val="CGC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5A2F29"/>
    <w:multiLevelType w:val="hybridMultilevel"/>
    <w:tmpl w:val="AF086F92"/>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4562"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511CFA"/>
    <w:multiLevelType w:val="hybridMultilevel"/>
    <w:tmpl w:val="30160A3A"/>
    <w:lvl w:ilvl="0" w:tplc="BC1C1862">
      <w:start w:val="1"/>
      <w:numFmt w:val="bullet"/>
      <w:pStyle w:val="Body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E84C31"/>
    <w:multiLevelType w:val="hybridMultilevel"/>
    <w:tmpl w:val="A3CE9F36"/>
    <w:lvl w:ilvl="0" w:tplc="89CE2A22">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8286755">
    <w:abstractNumId w:val="3"/>
  </w:num>
  <w:num w:numId="2" w16cid:durableId="1150292093">
    <w:abstractNumId w:val="4"/>
  </w:num>
  <w:num w:numId="3" w16cid:durableId="1045789015">
    <w:abstractNumId w:val="1"/>
  </w:num>
  <w:num w:numId="4" w16cid:durableId="1952275722">
    <w:abstractNumId w:val="0"/>
  </w:num>
  <w:num w:numId="5" w16cid:durableId="488441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50"/>
    <w:rsid w:val="00000BDE"/>
    <w:rsid w:val="00000C0F"/>
    <w:rsid w:val="0000148B"/>
    <w:rsid w:val="000023E8"/>
    <w:rsid w:val="00002D11"/>
    <w:rsid w:val="000030C7"/>
    <w:rsid w:val="000040A9"/>
    <w:rsid w:val="0000442F"/>
    <w:rsid w:val="00005798"/>
    <w:rsid w:val="0000712B"/>
    <w:rsid w:val="00007153"/>
    <w:rsid w:val="00007618"/>
    <w:rsid w:val="000114C4"/>
    <w:rsid w:val="00011756"/>
    <w:rsid w:val="00011BA7"/>
    <w:rsid w:val="00013352"/>
    <w:rsid w:val="00013493"/>
    <w:rsid w:val="00013778"/>
    <w:rsid w:val="0001494E"/>
    <w:rsid w:val="00014EA4"/>
    <w:rsid w:val="00015320"/>
    <w:rsid w:val="00015CE0"/>
    <w:rsid w:val="00015E55"/>
    <w:rsid w:val="00016250"/>
    <w:rsid w:val="00016422"/>
    <w:rsid w:val="0001666B"/>
    <w:rsid w:val="00016D9B"/>
    <w:rsid w:val="00020085"/>
    <w:rsid w:val="00020892"/>
    <w:rsid w:val="000212DE"/>
    <w:rsid w:val="0002153D"/>
    <w:rsid w:val="000215A3"/>
    <w:rsid w:val="00021663"/>
    <w:rsid w:val="00022103"/>
    <w:rsid w:val="0002245A"/>
    <w:rsid w:val="00022CA3"/>
    <w:rsid w:val="00023182"/>
    <w:rsid w:val="00023312"/>
    <w:rsid w:val="00023987"/>
    <w:rsid w:val="00023C23"/>
    <w:rsid w:val="000240B1"/>
    <w:rsid w:val="000240D0"/>
    <w:rsid w:val="00024D40"/>
    <w:rsid w:val="000257E7"/>
    <w:rsid w:val="000262D7"/>
    <w:rsid w:val="00026524"/>
    <w:rsid w:val="0002666D"/>
    <w:rsid w:val="000266DF"/>
    <w:rsid w:val="00026DB3"/>
    <w:rsid w:val="00026E59"/>
    <w:rsid w:val="0002770F"/>
    <w:rsid w:val="000307E6"/>
    <w:rsid w:val="00031458"/>
    <w:rsid w:val="0003309B"/>
    <w:rsid w:val="000338FC"/>
    <w:rsid w:val="000345FE"/>
    <w:rsid w:val="00034892"/>
    <w:rsid w:val="00034C11"/>
    <w:rsid w:val="0003541E"/>
    <w:rsid w:val="000354A2"/>
    <w:rsid w:val="00035D61"/>
    <w:rsid w:val="00035FB5"/>
    <w:rsid w:val="00036600"/>
    <w:rsid w:val="00036F04"/>
    <w:rsid w:val="0003783D"/>
    <w:rsid w:val="00037887"/>
    <w:rsid w:val="00037A0A"/>
    <w:rsid w:val="00037B85"/>
    <w:rsid w:val="00040234"/>
    <w:rsid w:val="000403D7"/>
    <w:rsid w:val="00040EE7"/>
    <w:rsid w:val="00041BB2"/>
    <w:rsid w:val="00042036"/>
    <w:rsid w:val="00042882"/>
    <w:rsid w:val="000437D0"/>
    <w:rsid w:val="00043BE7"/>
    <w:rsid w:val="0004432A"/>
    <w:rsid w:val="00044615"/>
    <w:rsid w:val="0004485F"/>
    <w:rsid w:val="00044B49"/>
    <w:rsid w:val="0004544E"/>
    <w:rsid w:val="0004585A"/>
    <w:rsid w:val="000502FF"/>
    <w:rsid w:val="00050695"/>
    <w:rsid w:val="00050F48"/>
    <w:rsid w:val="00053CAF"/>
    <w:rsid w:val="00053F6A"/>
    <w:rsid w:val="000554E5"/>
    <w:rsid w:val="000561DD"/>
    <w:rsid w:val="000563E8"/>
    <w:rsid w:val="00056B5F"/>
    <w:rsid w:val="0005712E"/>
    <w:rsid w:val="00057540"/>
    <w:rsid w:val="00060545"/>
    <w:rsid w:val="00061D1B"/>
    <w:rsid w:val="0006231C"/>
    <w:rsid w:val="00062AC2"/>
    <w:rsid w:val="00062AE8"/>
    <w:rsid w:val="00062BA8"/>
    <w:rsid w:val="00062F09"/>
    <w:rsid w:val="00063443"/>
    <w:rsid w:val="000636B8"/>
    <w:rsid w:val="00064306"/>
    <w:rsid w:val="00064574"/>
    <w:rsid w:val="000647CB"/>
    <w:rsid w:val="00064D8A"/>
    <w:rsid w:val="00065224"/>
    <w:rsid w:val="00065A2A"/>
    <w:rsid w:val="000660CC"/>
    <w:rsid w:val="000660FB"/>
    <w:rsid w:val="00066134"/>
    <w:rsid w:val="000665E8"/>
    <w:rsid w:val="0006679A"/>
    <w:rsid w:val="00067768"/>
    <w:rsid w:val="00067DFB"/>
    <w:rsid w:val="000709BA"/>
    <w:rsid w:val="000710EA"/>
    <w:rsid w:val="00071A4E"/>
    <w:rsid w:val="00072608"/>
    <w:rsid w:val="00072D14"/>
    <w:rsid w:val="00073B2D"/>
    <w:rsid w:val="000746CE"/>
    <w:rsid w:val="00074F5C"/>
    <w:rsid w:val="0007555B"/>
    <w:rsid w:val="00075D50"/>
    <w:rsid w:val="0007602D"/>
    <w:rsid w:val="000764CE"/>
    <w:rsid w:val="00076812"/>
    <w:rsid w:val="00076FB0"/>
    <w:rsid w:val="00077432"/>
    <w:rsid w:val="00077B65"/>
    <w:rsid w:val="00077EA6"/>
    <w:rsid w:val="00080300"/>
    <w:rsid w:val="00080660"/>
    <w:rsid w:val="00080A68"/>
    <w:rsid w:val="00081193"/>
    <w:rsid w:val="00081378"/>
    <w:rsid w:val="0008172E"/>
    <w:rsid w:val="000817B4"/>
    <w:rsid w:val="00082D04"/>
    <w:rsid w:val="00083C8A"/>
    <w:rsid w:val="000842E8"/>
    <w:rsid w:val="00084D28"/>
    <w:rsid w:val="00084EBF"/>
    <w:rsid w:val="00086194"/>
    <w:rsid w:val="000863FA"/>
    <w:rsid w:val="00086704"/>
    <w:rsid w:val="00087B97"/>
    <w:rsid w:val="00087ECB"/>
    <w:rsid w:val="00090377"/>
    <w:rsid w:val="000906B2"/>
    <w:rsid w:val="00090B08"/>
    <w:rsid w:val="00090B93"/>
    <w:rsid w:val="00091ACB"/>
    <w:rsid w:val="00091C43"/>
    <w:rsid w:val="00091C67"/>
    <w:rsid w:val="00093E8E"/>
    <w:rsid w:val="0009485A"/>
    <w:rsid w:val="00094A6E"/>
    <w:rsid w:val="00095264"/>
    <w:rsid w:val="000955E8"/>
    <w:rsid w:val="000957B5"/>
    <w:rsid w:val="00096538"/>
    <w:rsid w:val="000967C8"/>
    <w:rsid w:val="00097C2F"/>
    <w:rsid w:val="000A1609"/>
    <w:rsid w:val="000A23A5"/>
    <w:rsid w:val="000A2BB0"/>
    <w:rsid w:val="000A2FEB"/>
    <w:rsid w:val="000A332C"/>
    <w:rsid w:val="000A3DE2"/>
    <w:rsid w:val="000A3E35"/>
    <w:rsid w:val="000A4242"/>
    <w:rsid w:val="000A4508"/>
    <w:rsid w:val="000A4944"/>
    <w:rsid w:val="000A4A8D"/>
    <w:rsid w:val="000A554A"/>
    <w:rsid w:val="000A613A"/>
    <w:rsid w:val="000A6C2E"/>
    <w:rsid w:val="000A6FAB"/>
    <w:rsid w:val="000A70D0"/>
    <w:rsid w:val="000A7F68"/>
    <w:rsid w:val="000B03FE"/>
    <w:rsid w:val="000B1E92"/>
    <w:rsid w:val="000B2FCF"/>
    <w:rsid w:val="000B315A"/>
    <w:rsid w:val="000B3704"/>
    <w:rsid w:val="000B3AA3"/>
    <w:rsid w:val="000B3F1C"/>
    <w:rsid w:val="000B4C5B"/>
    <w:rsid w:val="000B4E11"/>
    <w:rsid w:val="000B55B5"/>
    <w:rsid w:val="000B5AC8"/>
    <w:rsid w:val="000C2B87"/>
    <w:rsid w:val="000C2BEF"/>
    <w:rsid w:val="000C300E"/>
    <w:rsid w:val="000C390B"/>
    <w:rsid w:val="000C3E5B"/>
    <w:rsid w:val="000C43E5"/>
    <w:rsid w:val="000C4623"/>
    <w:rsid w:val="000C47DE"/>
    <w:rsid w:val="000C4AD3"/>
    <w:rsid w:val="000C5DBF"/>
    <w:rsid w:val="000C61FB"/>
    <w:rsid w:val="000C6841"/>
    <w:rsid w:val="000C6860"/>
    <w:rsid w:val="000C6914"/>
    <w:rsid w:val="000D00D7"/>
    <w:rsid w:val="000D01C3"/>
    <w:rsid w:val="000D0576"/>
    <w:rsid w:val="000D1799"/>
    <w:rsid w:val="000D1834"/>
    <w:rsid w:val="000D1CA5"/>
    <w:rsid w:val="000D1EAA"/>
    <w:rsid w:val="000D2AAD"/>
    <w:rsid w:val="000D59C0"/>
    <w:rsid w:val="000D7311"/>
    <w:rsid w:val="000E1C24"/>
    <w:rsid w:val="000E288C"/>
    <w:rsid w:val="000E4E68"/>
    <w:rsid w:val="000E5935"/>
    <w:rsid w:val="000E59FB"/>
    <w:rsid w:val="000E5BC8"/>
    <w:rsid w:val="000E5CB0"/>
    <w:rsid w:val="000E71B9"/>
    <w:rsid w:val="000E7673"/>
    <w:rsid w:val="000F0448"/>
    <w:rsid w:val="000F0EB2"/>
    <w:rsid w:val="000F1AB0"/>
    <w:rsid w:val="000F2A28"/>
    <w:rsid w:val="000F2CCA"/>
    <w:rsid w:val="000F2FEC"/>
    <w:rsid w:val="000F3E21"/>
    <w:rsid w:val="000F5817"/>
    <w:rsid w:val="000F5DE2"/>
    <w:rsid w:val="000F5EFD"/>
    <w:rsid w:val="000F6596"/>
    <w:rsid w:val="000F6BBD"/>
    <w:rsid w:val="000F7838"/>
    <w:rsid w:val="00100D68"/>
    <w:rsid w:val="00101EBB"/>
    <w:rsid w:val="00102B81"/>
    <w:rsid w:val="00103012"/>
    <w:rsid w:val="00104240"/>
    <w:rsid w:val="00104575"/>
    <w:rsid w:val="00105305"/>
    <w:rsid w:val="001056A9"/>
    <w:rsid w:val="00105802"/>
    <w:rsid w:val="001059F5"/>
    <w:rsid w:val="00105B1E"/>
    <w:rsid w:val="00107B38"/>
    <w:rsid w:val="001101DE"/>
    <w:rsid w:val="001125E3"/>
    <w:rsid w:val="00112E73"/>
    <w:rsid w:val="00112EF7"/>
    <w:rsid w:val="00113389"/>
    <w:rsid w:val="00113F4A"/>
    <w:rsid w:val="00114767"/>
    <w:rsid w:val="00114B31"/>
    <w:rsid w:val="00115142"/>
    <w:rsid w:val="00115336"/>
    <w:rsid w:val="00115599"/>
    <w:rsid w:val="001155D4"/>
    <w:rsid w:val="0011639C"/>
    <w:rsid w:val="001165FC"/>
    <w:rsid w:val="0011694A"/>
    <w:rsid w:val="001169DD"/>
    <w:rsid w:val="001178A6"/>
    <w:rsid w:val="00117FB0"/>
    <w:rsid w:val="0012019E"/>
    <w:rsid w:val="0012073A"/>
    <w:rsid w:val="00121012"/>
    <w:rsid w:val="00122341"/>
    <w:rsid w:val="001230AD"/>
    <w:rsid w:val="00123F56"/>
    <w:rsid w:val="001262F6"/>
    <w:rsid w:val="001266BA"/>
    <w:rsid w:val="0012766D"/>
    <w:rsid w:val="00132032"/>
    <w:rsid w:val="001328AC"/>
    <w:rsid w:val="001329CB"/>
    <w:rsid w:val="00132AA0"/>
    <w:rsid w:val="001332F0"/>
    <w:rsid w:val="00133A17"/>
    <w:rsid w:val="00134D3D"/>
    <w:rsid w:val="001371EB"/>
    <w:rsid w:val="001374F0"/>
    <w:rsid w:val="001376C2"/>
    <w:rsid w:val="00137E4B"/>
    <w:rsid w:val="00140157"/>
    <w:rsid w:val="001408A2"/>
    <w:rsid w:val="00140931"/>
    <w:rsid w:val="00142936"/>
    <w:rsid w:val="00142E3B"/>
    <w:rsid w:val="001435F2"/>
    <w:rsid w:val="00143AA2"/>
    <w:rsid w:val="00143B1E"/>
    <w:rsid w:val="00143D96"/>
    <w:rsid w:val="00144961"/>
    <w:rsid w:val="001453A4"/>
    <w:rsid w:val="001457D9"/>
    <w:rsid w:val="00145E98"/>
    <w:rsid w:val="00146C28"/>
    <w:rsid w:val="00147088"/>
    <w:rsid w:val="0014791A"/>
    <w:rsid w:val="00147DFA"/>
    <w:rsid w:val="001517B3"/>
    <w:rsid w:val="001519ED"/>
    <w:rsid w:val="0015228E"/>
    <w:rsid w:val="0015261D"/>
    <w:rsid w:val="001527AD"/>
    <w:rsid w:val="00152DA2"/>
    <w:rsid w:val="0015420B"/>
    <w:rsid w:val="0015530F"/>
    <w:rsid w:val="00155D4C"/>
    <w:rsid w:val="00155F63"/>
    <w:rsid w:val="00156A22"/>
    <w:rsid w:val="001570D0"/>
    <w:rsid w:val="00157F87"/>
    <w:rsid w:val="00161633"/>
    <w:rsid w:val="00161A1F"/>
    <w:rsid w:val="00162198"/>
    <w:rsid w:val="001627A0"/>
    <w:rsid w:val="00162C50"/>
    <w:rsid w:val="00162C71"/>
    <w:rsid w:val="0016395F"/>
    <w:rsid w:val="00163D79"/>
    <w:rsid w:val="001642F6"/>
    <w:rsid w:val="0016489B"/>
    <w:rsid w:val="001652E5"/>
    <w:rsid w:val="00165659"/>
    <w:rsid w:val="00165866"/>
    <w:rsid w:val="00165FF1"/>
    <w:rsid w:val="0016641F"/>
    <w:rsid w:val="00166F18"/>
    <w:rsid w:val="001673CA"/>
    <w:rsid w:val="00167F70"/>
    <w:rsid w:val="00171260"/>
    <w:rsid w:val="00171844"/>
    <w:rsid w:val="0017188A"/>
    <w:rsid w:val="00171B5F"/>
    <w:rsid w:val="00171C07"/>
    <w:rsid w:val="001724EB"/>
    <w:rsid w:val="001728A9"/>
    <w:rsid w:val="00172F5D"/>
    <w:rsid w:val="00173435"/>
    <w:rsid w:val="00174313"/>
    <w:rsid w:val="00175521"/>
    <w:rsid w:val="00175A1F"/>
    <w:rsid w:val="00176213"/>
    <w:rsid w:val="00176548"/>
    <w:rsid w:val="001772EB"/>
    <w:rsid w:val="00180565"/>
    <w:rsid w:val="00180B78"/>
    <w:rsid w:val="00180EE2"/>
    <w:rsid w:val="0018104F"/>
    <w:rsid w:val="001811A1"/>
    <w:rsid w:val="001812F1"/>
    <w:rsid w:val="00183EB8"/>
    <w:rsid w:val="00184FED"/>
    <w:rsid w:val="0018569A"/>
    <w:rsid w:val="00185A75"/>
    <w:rsid w:val="00186810"/>
    <w:rsid w:val="00186EF7"/>
    <w:rsid w:val="00187821"/>
    <w:rsid w:val="00187978"/>
    <w:rsid w:val="00190289"/>
    <w:rsid w:val="00190301"/>
    <w:rsid w:val="00190507"/>
    <w:rsid w:val="00190C2F"/>
    <w:rsid w:val="00190F3B"/>
    <w:rsid w:val="00192C2B"/>
    <w:rsid w:val="00192C61"/>
    <w:rsid w:val="001931E7"/>
    <w:rsid w:val="0019372F"/>
    <w:rsid w:val="00193FFA"/>
    <w:rsid w:val="001961E1"/>
    <w:rsid w:val="00196A09"/>
    <w:rsid w:val="00196E2C"/>
    <w:rsid w:val="00197907"/>
    <w:rsid w:val="001A0A18"/>
    <w:rsid w:val="001A2175"/>
    <w:rsid w:val="001A2697"/>
    <w:rsid w:val="001A2805"/>
    <w:rsid w:val="001A33B0"/>
    <w:rsid w:val="001A39D1"/>
    <w:rsid w:val="001A3FF8"/>
    <w:rsid w:val="001A4075"/>
    <w:rsid w:val="001A43EE"/>
    <w:rsid w:val="001A5D7A"/>
    <w:rsid w:val="001A6043"/>
    <w:rsid w:val="001A63A8"/>
    <w:rsid w:val="001A6B51"/>
    <w:rsid w:val="001A6C0F"/>
    <w:rsid w:val="001A76C5"/>
    <w:rsid w:val="001B1271"/>
    <w:rsid w:val="001B1321"/>
    <w:rsid w:val="001B14CF"/>
    <w:rsid w:val="001B2181"/>
    <w:rsid w:val="001B2771"/>
    <w:rsid w:val="001B3238"/>
    <w:rsid w:val="001B3311"/>
    <w:rsid w:val="001B4825"/>
    <w:rsid w:val="001B496C"/>
    <w:rsid w:val="001B4A26"/>
    <w:rsid w:val="001B573F"/>
    <w:rsid w:val="001B5A63"/>
    <w:rsid w:val="001B65AC"/>
    <w:rsid w:val="001B6649"/>
    <w:rsid w:val="001B6CDF"/>
    <w:rsid w:val="001B6CE2"/>
    <w:rsid w:val="001B6F76"/>
    <w:rsid w:val="001C0976"/>
    <w:rsid w:val="001C1A45"/>
    <w:rsid w:val="001C1C78"/>
    <w:rsid w:val="001C1FC8"/>
    <w:rsid w:val="001C307D"/>
    <w:rsid w:val="001C4430"/>
    <w:rsid w:val="001C4DF3"/>
    <w:rsid w:val="001C65F8"/>
    <w:rsid w:val="001C7045"/>
    <w:rsid w:val="001C7341"/>
    <w:rsid w:val="001C771D"/>
    <w:rsid w:val="001C7940"/>
    <w:rsid w:val="001D0094"/>
    <w:rsid w:val="001D0A23"/>
    <w:rsid w:val="001D0C4F"/>
    <w:rsid w:val="001D1955"/>
    <w:rsid w:val="001D1DE3"/>
    <w:rsid w:val="001D1E10"/>
    <w:rsid w:val="001D2761"/>
    <w:rsid w:val="001D28AE"/>
    <w:rsid w:val="001D3805"/>
    <w:rsid w:val="001D3EBD"/>
    <w:rsid w:val="001D4810"/>
    <w:rsid w:val="001D4EC5"/>
    <w:rsid w:val="001D5030"/>
    <w:rsid w:val="001D511A"/>
    <w:rsid w:val="001D5DBB"/>
    <w:rsid w:val="001D6E1B"/>
    <w:rsid w:val="001D7F05"/>
    <w:rsid w:val="001E08ED"/>
    <w:rsid w:val="001E13F5"/>
    <w:rsid w:val="001E1CB7"/>
    <w:rsid w:val="001E3B04"/>
    <w:rsid w:val="001E432E"/>
    <w:rsid w:val="001E528F"/>
    <w:rsid w:val="001E53AD"/>
    <w:rsid w:val="001E581A"/>
    <w:rsid w:val="001E5CFE"/>
    <w:rsid w:val="001E6B4A"/>
    <w:rsid w:val="001E757E"/>
    <w:rsid w:val="001E7596"/>
    <w:rsid w:val="001F0211"/>
    <w:rsid w:val="001F0796"/>
    <w:rsid w:val="001F2F14"/>
    <w:rsid w:val="001F4340"/>
    <w:rsid w:val="001F4480"/>
    <w:rsid w:val="001F4FF0"/>
    <w:rsid w:val="001F54C8"/>
    <w:rsid w:val="001F642E"/>
    <w:rsid w:val="001F6D48"/>
    <w:rsid w:val="001F7AA1"/>
    <w:rsid w:val="002001A7"/>
    <w:rsid w:val="0020075D"/>
    <w:rsid w:val="00200C81"/>
    <w:rsid w:val="00201009"/>
    <w:rsid w:val="0020140D"/>
    <w:rsid w:val="00201881"/>
    <w:rsid w:val="00202B50"/>
    <w:rsid w:val="00203698"/>
    <w:rsid w:val="002048B8"/>
    <w:rsid w:val="00205677"/>
    <w:rsid w:val="002057E5"/>
    <w:rsid w:val="00205DDF"/>
    <w:rsid w:val="00206B32"/>
    <w:rsid w:val="002079CF"/>
    <w:rsid w:val="002101C5"/>
    <w:rsid w:val="00210A6D"/>
    <w:rsid w:val="002119BC"/>
    <w:rsid w:val="00212708"/>
    <w:rsid w:val="00212FBE"/>
    <w:rsid w:val="00213E14"/>
    <w:rsid w:val="002142D1"/>
    <w:rsid w:val="00215078"/>
    <w:rsid w:val="00217FCD"/>
    <w:rsid w:val="002207D8"/>
    <w:rsid w:val="002215BA"/>
    <w:rsid w:val="00221DF6"/>
    <w:rsid w:val="0022298A"/>
    <w:rsid w:val="00223D0F"/>
    <w:rsid w:val="00223E65"/>
    <w:rsid w:val="00225C47"/>
    <w:rsid w:val="00226C60"/>
    <w:rsid w:val="002277DC"/>
    <w:rsid w:val="00227A32"/>
    <w:rsid w:val="00227CA2"/>
    <w:rsid w:val="00230118"/>
    <w:rsid w:val="00230692"/>
    <w:rsid w:val="00230BCC"/>
    <w:rsid w:val="00231D0F"/>
    <w:rsid w:val="00231D3D"/>
    <w:rsid w:val="00232E04"/>
    <w:rsid w:val="002330C0"/>
    <w:rsid w:val="0023430D"/>
    <w:rsid w:val="002343AA"/>
    <w:rsid w:val="00234BB6"/>
    <w:rsid w:val="00234DA7"/>
    <w:rsid w:val="00235474"/>
    <w:rsid w:val="002359D3"/>
    <w:rsid w:val="002363BF"/>
    <w:rsid w:val="00236961"/>
    <w:rsid w:val="00236C98"/>
    <w:rsid w:val="002371B0"/>
    <w:rsid w:val="002406B9"/>
    <w:rsid w:val="00240749"/>
    <w:rsid w:val="00240767"/>
    <w:rsid w:val="00240F2F"/>
    <w:rsid w:val="0024151E"/>
    <w:rsid w:val="00241AB9"/>
    <w:rsid w:val="00241E0A"/>
    <w:rsid w:val="00243909"/>
    <w:rsid w:val="00244E2C"/>
    <w:rsid w:val="0024635B"/>
    <w:rsid w:val="002475E4"/>
    <w:rsid w:val="00247BDD"/>
    <w:rsid w:val="00250980"/>
    <w:rsid w:val="00251106"/>
    <w:rsid w:val="0025159E"/>
    <w:rsid w:val="002517F4"/>
    <w:rsid w:val="00252BCD"/>
    <w:rsid w:val="00254191"/>
    <w:rsid w:val="00254808"/>
    <w:rsid w:val="00254B12"/>
    <w:rsid w:val="00254B1C"/>
    <w:rsid w:val="00254CAB"/>
    <w:rsid w:val="00254DB1"/>
    <w:rsid w:val="002550B5"/>
    <w:rsid w:val="002561B4"/>
    <w:rsid w:val="002605AE"/>
    <w:rsid w:val="00260BC4"/>
    <w:rsid w:val="002623EE"/>
    <w:rsid w:val="00264D0C"/>
    <w:rsid w:val="00265221"/>
    <w:rsid w:val="00265DF0"/>
    <w:rsid w:val="0026790E"/>
    <w:rsid w:val="00270BC0"/>
    <w:rsid w:val="00270C7B"/>
    <w:rsid w:val="00271BB4"/>
    <w:rsid w:val="002727A2"/>
    <w:rsid w:val="002728C6"/>
    <w:rsid w:val="00275813"/>
    <w:rsid w:val="0027588B"/>
    <w:rsid w:val="0027638E"/>
    <w:rsid w:val="00276899"/>
    <w:rsid w:val="00276DDC"/>
    <w:rsid w:val="00277326"/>
    <w:rsid w:val="00277618"/>
    <w:rsid w:val="00277A49"/>
    <w:rsid w:val="00280E28"/>
    <w:rsid w:val="0028103D"/>
    <w:rsid w:val="0028114D"/>
    <w:rsid w:val="00282A29"/>
    <w:rsid w:val="00283309"/>
    <w:rsid w:val="0028340B"/>
    <w:rsid w:val="002835F5"/>
    <w:rsid w:val="00283CCA"/>
    <w:rsid w:val="00284A67"/>
    <w:rsid w:val="00285B1C"/>
    <w:rsid w:val="00285F57"/>
    <w:rsid w:val="002862AF"/>
    <w:rsid w:val="002872F4"/>
    <w:rsid w:val="00287876"/>
    <w:rsid w:val="00287B33"/>
    <w:rsid w:val="00291D93"/>
    <w:rsid w:val="00291F1F"/>
    <w:rsid w:val="00292506"/>
    <w:rsid w:val="002927DF"/>
    <w:rsid w:val="00293151"/>
    <w:rsid w:val="00293A8C"/>
    <w:rsid w:val="00294363"/>
    <w:rsid w:val="00294895"/>
    <w:rsid w:val="002952CC"/>
    <w:rsid w:val="00296A6B"/>
    <w:rsid w:val="00296F4E"/>
    <w:rsid w:val="002978A4"/>
    <w:rsid w:val="002A0E8A"/>
    <w:rsid w:val="002A1C69"/>
    <w:rsid w:val="002A1F9A"/>
    <w:rsid w:val="002A2BD9"/>
    <w:rsid w:val="002A2FFE"/>
    <w:rsid w:val="002A4227"/>
    <w:rsid w:val="002A4346"/>
    <w:rsid w:val="002A4F70"/>
    <w:rsid w:val="002A656C"/>
    <w:rsid w:val="002A6BF1"/>
    <w:rsid w:val="002A6C47"/>
    <w:rsid w:val="002B0387"/>
    <w:rsid w:val="002B0F0D"/>
    <w:rsid w:val="002B0FD0"/>
    <w:rsid w:val="002B1831"/>
    <w:rsid w:val="002B1E42"/>
    <w:rsid w:val="002B21C5"/>
    <w:rsid w:val="002B2FBA"/>
    <w:rsid w:val="002B439A"/>
    <w:rsid w:val="002B4457"/>
    <w:rsid w:val="002B4C3F"/>
    <w:rsid w:val="002B5565"/>
    <w:rsid w:val="002B55D3"/>
    <w:rsid w:val="002B5F12"/>
    <w:rsid w:val="002B68A2"/>
    <w:rsid w:val="002B6FB8"/>
    <w:rsid w:val="002B774D"/>
    <w:rsid w:val="002B797F"/>
    <w:rsid w:val="002B7D3F"/>
    <w:rsid w:val="002B7D48"/>
    <w:rsid w:val="002C0A27"/>
    <w:rsid w:val="002C0C33"/>
    <w:rsid w:val="002C114B"/>
    <w:rsid w:val="002C1268"/>
    <w:rsid w:val="002C1D73"/>
    <w:rsid w:val="002C1EF6"/>
    <w:rsid w:val="002C360F"/>
    <w:rsid w:val="002C3CC9"/>
    <w:rsid w:val="002C3DF6"/>
    <w:rsid w:val="002C4639"/>
    <w:rsid w:val="002C5128"/>
    <w:rsid w:val="002C6A34"/>
    <w:rsid w:val="002C700A"/>
    <w:rsid w:val="002C7B89"/>
    <w:rsid w:val="002D001A"/>
    <w:rsid w:val="002D08DD"/>
    <w:rsid w:val="002D1320"/>
    <w:rsid w:val="002D22E0"/>
    <w:rsid w:val="002D2B3C"/>
    <w:rsid w:val="002D3202"/>
    <w:rsid w:val="002D466C"/>
    <w:rsid w:val="002D4C33"/>
    <w:rsid w:val="002D59B4"/>
    <w:rsid w:val="002D6302"/>
    <w:rsid w:val="002D7160"/>
    <w:rsid w:val="002D73A5"/>
    <w:rsid w:val="002D7BD2"/>
    <w:rsid w:val="002E0475"/>
    <w:rsid w:val="002E0B2D"/>
    <w:rsid w:val="002E0BCD"/>
    <w:rsid w:val="002E10FA"/>
    <w:rsid w:val="002E137D"/>
    <w:rsid w:val="002E1423"/>
    <w:rsid w:val="002E14DE"/>
    <w:rsid w:val="002E1840"/>
    <w:rsid w:val="002E2B20"/>
    <w:rsid w:val="002E2EE4"/>
    <w:rsid w:val="002E3236"/>
    <w:rsid w:val="002E360D"/>
    <w:rsid w:val="002E4512"/>
    <w:rsid w:val="002E4D54"/>
    <w:rsid w:val="002E597C"/>
    <w:rsid w:val="002E62F0"/>
    <w:rsid w:val="002E6929"/>
    <w:rsid w:val="002F0072"/>
    <w:rsid w:val="002F0260"/>
    <w:rsid w:val="002F063B"/>
    <w:rsid w:val="002F0976"/>
    <w:rsid w:val="002F0DE3"/>
    <w:rsid w:val="002F17BC"/>
    <w:rsid w:val="002F18F6"/>
    <w:rsid w:val="002F1B7B"/>
    <w:rsid w:val="002F1E77"/>
    <w:rsid w:val="002F22D2"/>
    <w:rsid w:val="002F3504"/>
    <w:rsid w:val="002F61BE"/>
    <w:rsid w:val="002F63DC"/>
    <w:rsid w:val="002F6DF2"/>
    <w:rsid w:val="002F7915"/>
    <w:rsid w:val="002F7991"/>
    <w:rsid w:val="0030068C"/>
    <w:rsid w:val="0030225B"/>
    <w:rsid w:val="0030305E"/>
    <w:rsid w:val="00303556"/>
    <w:rsid w:val="00303EBD"/>
    <w:rsid w:val="00303F90"/>
    <w:rsid w:val="00303F9B"/>
    <w:rsid w:val="00304166"/>
    <w:rsid w:val="00304194"/>
    <w:rsid w:val="00304B04"/>
    <w:rsid w:val="00305E34"/>
    <w:rsid w:val="00306045"/>
    <w:rsid w:val="0030666B"/>
    <w:rsid w:val="00306770"/>
    <w:rsid w:val="00306EF7"/>
    <w:rsid w:val="003077E1"/>
    <w:rsid w:val="003108B4"/>
    <w:rsid w:val="00310A49"/>
    <w:rsid w:val="003118DF"/>
    <w:rsid w:val="00311C9F"/>
    <w:rsid w:val="0031276A"/>
    <w:rsid w:val="00312B5D"/>
    <w:rsid w:val="0031387B"/>
    <w:rsid w:val="00313CCB"/>
    <w:rsid w:val="00314AC0"/>
    <w:rsid w:val="00314D13"/>
    <w:rsid w:val="00315FD7"/>
    <w:rsid w:val="00316DE7"/>
    <w:rsid w:val="00317337"/>
    <w:rsid w:val="00317C60"/>
    <w:rsid w:val="003202C4"/>
    <w:rsid w:val="00320652"/>
    <w:rsid w:val="00320A17"/>
    <w:rsid w:val="00321837"/>
    <w:rsid w:val="00321AF5"/>
    <w:rsid w:val="00321BF3"/>
    <w:rsid w:val="00321CB3"/>
    <w:rsid w:val="0032230F"/>
    <w:rsid w:val="003247DD"/>
    <w:rsid w:val="00324DE3"/>
    <w:rsid w:val="00326DE2"/>
    <w:rsid w:val="00326E38"/>
    <w:rsid w:val="00326ED1"/>
    <w:rsid w:val="00327921"/>
    <w:rsid w:val="00330A3B"/>
    <w:rsid w:val="00331AE2"/>
    <w:rsid w:val="00333206"/>
    <w:rsid w:val="00334BE2"/>
    <w:rsid w:val="003353D5"/>
    <w:rsid w:val="003361E1"/>
    <w:rsid w:val="00337EDA"/>
    <w:rsid w:val="003400A8"/>
    <w:rsid w:val="0034030A"/>
    <w:rsid w:val="003403FA"/>
    <w:rsid w:val="0034075B"/>
    <w:rsid w:val="00340891"/>
    <w:rsid w:val="00340A67"/>
    <w:rsid w:val="00340C8C"/>
    <w:rsid w:val="0034166D"/>
    <w:rsid w:val="00341E89"/>
    <w:rsid w:val="003424B9"/>
    <w:rsid w:val="003428A3"/>
    <w:rsid w:val="0034334A"/>
    <w:rsid w:val="00345180"/>
    <w:rsid w:val="003452EA"/>
    <w:rsid w:val="00346219"/>
    <w:rsid w:val="003464C7"/>
    <w:rsid w:val="00346669"/>
    <w:rsid w:val="00346D42"/>
    <w:rsid w:val="003473D2"/>
    <w:rsid w:val="0034743F"/>
    <w:rsid w:val="00347CD3"/>
    <w:rsid w:val="00350AC0"/>
    <w:rsid w:val="003514E1"/>
    <w:rsid w:val="00351B5C"/>
    <w:rsid w:val="00352303"/>
    <w:rsid w:val="00352457"/>
    <w:rsid w:val="00352BB5"/>
    <w:rsid w:val="00353F73"/>
    <w:rsid w:val="00355513"/>
    <w:rsid w:val="00355BD1"/>
    <w:rsid w:val="0036099D"/>
    <w:rsid w:val="00360A16"/>
    <w:rsid w:val="003614F8"/>
    <w:rsid w:val="003619E5"/>
    <w:rsid w:val="00361A84"/>
    <w:rsid w:val="00362DCA"/>
    <w:rsid w:val="00362EAA"/>
    <w:rsid w:val="00363149"/>
    <w:rsid w:val="003639A2"/>
    <w:rsid w:val="00364CB4"/>
    <w:rsid w:val="00367067"/>
    <w:rsid w:val="00367271"/>
    <w:rsid w:val="00367651"/>
    <w:rsid w:val="00367E08"/>
    <w:rsid w:val="00367EEE"/>
    <w:rsid w:val="00367F23"/>
    <w:rsid w:val="003728A9"/>
    <w:rsid w:val="0037381B"/>
    <w:rsid w:val="00373B7E"/>
    <w:rsid w:val="003740A7"/>
    <w:rsid w:val="00374D01"/>
    <w:rsid w:val="00374E52"/>
    <w:rsid w:val="003759A1"/>
    <w:rsid w:val="00375FE7"/>
    <w:rsid w:val="00376750"/>
    <w:rsid w:val="003769EB"/>
    <w:rsid w:val="00377351"/>
    <w:rsid w:val="003806BA"/>
    <w:rsid w:val="00380ACE"/>
    <w:rsid w:val="00380FDE"/>
    <w:rsid w:val="00381794"/>
    <w:rsid w:val="00381809"/>
    <w:rsid w:val="00382788"/>
    <w:rsid w:val="00382B8C"/>
    <w:rsid w:val="003833FA"/>
    <w:rsid w:val="00383B56"/>
    <w:rsid w:val="00383F88"/>
    <w:rsid w:val="003859C0"/>
    <w:rsid w:val="00385C62"/>
    <w:rsid w:val="00385D07"/>
    <w:rsid w:val="003870E7"/>
    <w:rsid w:val="0039005F"/>
    <w:rsid w:val="003901CE"/>
    <w:rsid w:val="003917DE"/>
    <w:rsid w:val="00391AAA"/>
    <w:rsid w:val="00391B87"/>
    <w:rsid w:val="003922BA"/>
    <w:rsid w:val="00392473"/>
    <w:rsid w:val="00393507"/>
    <w:rsid w:val="00393DA0"/>
    <w:rsid w:val="003956B4"/>
    <w:rsid w:val="00395C88"/>
    <w:rsid w:val="00397D54"/>
    <w:rsid w:val="003A1683"/>
    <w:rsid w:val="003A2BE9"/>
    <w:rsid w:val="003A375D"/>
    <w:rsid w:val="003A3976"/>
    <w:rsid w:val="003A3A55"/>
    <w:rsid w:val="003A458C"/>
    <w:rsid w:val="003A50DE"/>
    <w:rsid w:val="003A580C"/>
    <w:rsid w:val="003A5CB6"/>
    <w:rsid w:val="003A6C29"/>
    <w:rsid w:val="003A742A"/>
    <w:rsid w:val="003A75A2"/>
    <w:rsid w:val="003A7892"/>
    <w:rsid w:val="003A7FEF"/>
    <w:rsid w:val="003B0587"/>
    <w:rsid w:val="003B069E"/>
    <w:rsid w:val="003B074A"/>
    <w:rsid w:val="003B0B8F"/>
    <w:rsid w:val="003B2799"/>
    <w:rsid w:val="003B299B"/>
    <w:rsid w:val="003B2ADE"/>
    <w:rsid w:val="003B34B6"/>
    <w:rsid w:val="003B3BF4"/>
    <w:rsid w:val="003B4134"/>
    <w:rsid w:val="003B4476"/>
    <w:rsid w:val="003B4746"/>
    <w:rsid w:val="003B4A57"/>
    <w:rsid w:val="003B4D66"/>
    <w:rsid w:val="003B5C35"/>
    <w:rsid w:val="003B5E35"/>
    <w:rsid w:val="003B6D83"/>
    <w:rsid w:val="003B71A7"/>
    <w:rsid w:val="003B7CA7"/>
    <w:rsid w:val="003C090B"/>
    <w:rsid w:val="003C0B6E"/>
    <w:rsid w:val="003C0B92"/>
    <w:rsid w:val="003C109F"/>
    <w:rsid w:val="003C1459"/>
    <w:rsid w:val="003C19F6"/>
    <w:rsid w:val="003C1E94"/>
    <w:rsid w:val="003C2314"/>
    <w:rsid w:val="003C2C57"/>
    <w:rsid w:val="003C3F3A"/>
    <w:rsid w:val="003C47F7"/>
    <w:rsid w:val="003C5CFB"/>
    <w:rsid w:val="003C782A"/>
    <w:rsid w:val="003D0625"/>
    <w:rsid w:val="003D1BC2"/>
    <w:rsid w:val="003D2316"/>
    <w:rsid w:val="003D28AF"/>
    <w:rsid w:val="003D2AD3"/>
    <w:rsid w:val="003D2D14"/>
    <w:rsid w:val="003D46B7"/>
    <w:rsid w:val="003D49D7"/>
    <w:rsid w:val="003D5AA9"/>
    <w:rsid w:val="003D69D0"/>
    <w:rsid w:val="003D786F"/>
    <w:rsid w:val="003D7E81"/>
    <w:rsid w:val="003E1C07"/>
    <w:rsid w:val="003E27AE"/>
    <w:rsid w:val="003E4D7E"/>
    <w:rsid w:val="003E5060"/>
    <w:rsid w:val="003E563E"/>
    <w:rsid w:val="003E712E"/>
    <w:rsid w:val="003E7333"/>
    <w:rsid w:val="003F0655"/>
    <w:rsid w:val="003F0CED"/>
    <w:rsid w:val="003F1D07"/>
    <w:rsid w:val="003F324B"/>
    <w:rsid w:val="003F3DDC"/>
    <w:rsid w:val="003F432D"/>
    <w:rsid w:val="003F4AE8"/>
    <w:rsid w:val="003F5B8A"/>
    <w:rsid w:val="003F5E83"/>
    <w:rsid w:val="003F6E05"/>
    <w:rsid w:val="003F760C"/>
    <w:rsid w:val="00401EC3"/>
    <w:rsid w:val="00402F89"/>
    <w:rsid w:val="0040341F"/>
    <w:rsid w:val="00403B32"/>
    <w:rsid w:val="004046DD"/>
    <w:rsid w:val="00404ADD"/>
    <w:rsid w:val="00404B6E"/>
    <w:rsid w:val="00404E60"/>
    <w:rsid w:val="00405632"/>
    <w:rsid w:val="004063D5"/>
    <w:rsid w:val="00406808"/>
    <w:rsid w:val="00407867"/>
    <w:rsid w:val="00410D88"/>
    <w:rsid w:val="00412337"/>
    <w:rsid w:val="004131C2"/>
    <w:rsid w:val="00413F16"/>
    <w:rsid w:val="0041423D"/>
    <w:rsid w:val="004143F8"/>
    <w:rsid w:val="0041510A"/>
    <w:rsid w:val="004151C9"/>
    <w:rsid w:val="00415B48"/>
    <w:rsid w:val="00416840"/>
    <w:rsid w:val="00416D0B"/>
    <w:rsid w:val="004173EF"/>
    <w:rsid w:val="004175FD"/>
    <w:rsid w:val="004177BD"/>
    <w:rsid w:val="00417821"/>
    <w:rsid w:val="0042052D"/>
    <w:rsid w:val="004222DB"/>
    <w:rsid w:val="00423C60"/>
    <w:rsid w:val="00424628"/>
    <w:rsid w:val="004246B5"/>
    <w:rsid w:val="004248A6"/>
    <w:rsid w:val="004248AE"/>
    <w:rsid w:val="00424944"/>
    <w:rsid w:val="00425741"/>
    <w:rsid w:val="00426463"/>
    <w:rsid w:val="00430475"/>
    <w:rsid w:val="00430B70"/>
    <w:rsid w:val="00430BD1"/>
    <w:rsid w:val="00431614"/>
    <w:rsid w:val="00432063"/>
    <w:rsid w:val="00433E65"/>
    <w:rsid w:val="00434555"/>
    <w:rsid w:val="0043488D"/>
    <w:rsid w:val="00435BC1"/>
    <w:rsid w:val="00435E1E"/>
    <w:rsid w:val="004368FE"/>
    <w:rsid w:val="00436D11"/>
    <w:rsid w:val="00440352"/>
    <w:rsid w:val="0044076F"/>
    <w:rsid w:val="0044079E"/>
    <w:rsid w:val="00440A17"/>
    <w:rsid w:val="00442B8E"/>
    <w:rsid w:val="00443A78"/>
    <w:rsid w:val="00445D59"/>
    <w:rsid w:val="00445EDB"/>
    <w:rsid w:val="004461D4"/>
    <w:rsid w:val="0044625F"/>
    <w:rsid w:val="00446547"/>
    <w:rsid w:val="00447695"/>
    <w:rsid w:val="00447D5B"/>
    <w:rsid w:val="00447E85"/>
    <w:rsid w:val="00450C1B"/>
    <w:rsid w:val="00450CFB"/>
    <w:rsid w:val="00451B9F"/>
    <w:rsid w:val="00451D42"/>
    <w:rsid w:val="00451D45"/>
    <w:rsid w:val="00451E30"/>
    <w:rsid w:val="00451F92"/>
    <w:rsid w:val="004526F7"/>
    <w:rsid w:val="00452FB1"/>
    <w:rsid w:val="0045333A"/>
    <w:rsid w:val="00453B5B"/>
    <w:rsid w:val="00454661"/>
    <w:rsid w:val="00454817"/>
    <w:rsid w:val="00454C0F"/>
    <w:rsid w:val="004555A5"/>
    <w:rsid w:val="00456335"/>
    <w:rsid w:val="004566B5"/>
    <w:rsid w:val="00456B76"/>
    <w:rsid w:val="00457513"/>
    <w:rsid w:val="004577B7"/>
    <w:rsid w:val="00457ABC"/>
    <w:rsid w:val="00457EAB"/>
    <w:rsid w:val="0046105A"/>
    <w:rsid w:val="00461299"/>
    <w:rsid w:val="00461987"/>
    <w:rsid w:val="00461BE1"/>
    <w:rsid w:val="00461EEE"/>
    <w:rsid w:val="00462721"/>
    <w:rsid w:val="00463920"/>
    <w:rsid w:val="00463EC3"/>
    <w:rsid w:val="00464368"/>
    <w:rsid w:val="00464B43"/>
    <w:rsid w:val="00464FE4"/>
    <w:rsid w:val="00465649"/>
    <w:rsid w:val="0046622E"/>
    <w:rsid w:val="0046625D"/>
    <w:rsid w:val="004662D7"/>
    <w:rsid w:val="004664DE"/>
    <w:rsid w:val="00466D48"/>
    <w:rsid w:val="004705BC"/>
    <w:rsid w:val="0047078C"/>
    <w:rsid w:val="00471C62"/>
    <w:rsid w:val="00471D81"/>
    <w:rsid w:val="00471FFB"/>
    <w:rsid w:val="00473213"/>
    <w:rsid w:val="004742F9"/>
    <w:rsid w:val="00474BF2"/>
    <w:rsid w:val="00474C6B"/>
    <w:rsid w:val="0047556A"/>
    <w:rsid w:val="00476D73"/>
    <w:rsid w:val="00477613"/>
    <w:rsid w:val="00480518"/>
    <w:rsid w:val="00480F67"/>
    <w:rsid w:val="0048109E"/>
    <w:rsid w:val="0048278C"/>
    <w:rsid w:val="0048464C"/>
    <w:rsid w:val="00485022"/>
    <w:rsid w:val="00486A8C"/>
    <w:rsid w:val="0048727F"/>
    <w:rsid w:val="0048758B"/>
    <w:rsid w:val="0049042D"/>
    <w:rsid w:val="00490BD8"/>
    <w:rsid w:val="00491DAA"/>
    <w:rsid w:val="004921C7"/>
    <w:rsid w:val="004931B5"/>
    <w:rsid w:val="004939B4"/>
    <w:rsid w:val="00496371"/>
    <w:rsid w:val="0049652A"/>
    <w:rsid w:val="00496599"/>
    <w:rsid w:val="00496B57"/>
    <w:rsid w:val="00496DFA"/>
    <w:rsid w:val="00497BD3"/>
    <w:rsid w:val="00497C7C"/>
    <w:rsid w:val="004A07CB"/>
    <w:rsid w:val="004A0852"/>
    <w:rsid w:val="004A1517"/>
    <w:rsid w:val="004A2B2F"/>
    <w:rsid w:val="004A3DA2"/>
    <w:rsid w:val="004A4469"/>
    <w:rsid w:val="004A46C1"/>
    <w:rsid w:val="004A483D"/>
    <w:rsid w:val="004A4A05"/>
    <w:rsid w:val="004A4D63"/>
    <w:rsid w:val="004A515C"/>
    <w:rsid w:val="004A5EFF"/>
    <w:rsid w:val="004A70D2"/>
    <w:rsid w:val="004A7221"/>
    <w:rsid w:val="004B0D25"/>
    <w:rsid w:val="004B0D3E"/>
    <w:rsid w:val="004B163E"/>
    <w:rsid w:val="004B22BA"/>
    <w:rsid w:val="004B2571"/>
    <w:rsid w:val="004B4BA3"/>
    <w:rsid w:val="004B513A"/>
    <w:rsid w:val="004B58DC"/>
    <w:rsid w:val="004B59E2"/>
    <w:rsid w:val="004B5E0F"/>
    <w:rsid w:val="004B6360"/>
    <w:rsid w:val="004B7D07"/>
    <w:rsid w:val="004C0B59"/>
    <w:rsid w:val="004C283D"/>
    <w:rsid w:val="004C3381"/>
    <w:rsid w:val="004C3E98"/>
    <w:rsid w:val="004C46F7"/>
    <w:rsid w:val="004C495F"/>
    <w:rsid w:val="004C4DA0"/>
    <w:rsid w:val="004C50E8"/>
    <w:rsid w:val="004C5113"/>
    <w:rsid w:val="004C6303"/>
    <w:rsid w:val="004C78B6"/>
    <w:rsid w:val="004C79EE"/>
    <w:rsid w:val="004C7CBF"/>
    <w:rsid w:val="004C7FF4"/>
    <w:rsid w:val="004D075A"/>
    <w:rsid w:val="004D0E6D"/>
    <w:rsid w:val="004D0F01"/>
    <w:rsid w:val="004D0F5C"/>
    <w:rsid w:val="004D3118"/>
    <w:rsid w:val="004D5229"/>
    <w:rsid w:val="004D54AF"/>
    <w:rsid w:val="004D5836"/>
    <w:rsid w:val="004D6D10"/>
    <w:rsid w:val="004D6E89"/>
    <w:rsid w:val="004D7086"/>
    <w:rsid w:val="004D7907"/>
    <w:rsid w:val="004D7A9B"/>
    <w:rsid w:val="004D7F36"/>
    <w:rsid w:val="004E0719"/>
    <w:rsid w:val="004E08C5"/>
    <w:rsid w:val="004E1147"/>
    <w:rsid w:val="004E1549"/>
    <w:rsid w:val="004E2713"/>
    <w:rsid w:val="004E339A"/>
    <w:rsid w:val="004E42A6"/>
    <w:rsid w:val="004E4B17"/>
    <w:rsid w:val="004E542A"/>
    <w:rsid w:val="004E57D3"/>
    <w:rsid w:val="004E5CFC"/>
    <w:rsid w:val="004E6794"/>
    <w:rsid w:val="004E6F96"/>
    <w:rsid w:val="004E73C6"/>
    <w:rsid w:val="004E770D"/>
    <w:rsid w:val="004F0425"/>
    <w:rsid w:val="004F11EA"/>
    <w:rsid w:val="004F143D"/>
    <w:rsid w:val="004F151F"/>
    <w:rsid w:val="004F1D2D"/>
    <w:rsid w:val="004F2803"/>
    <w:rsid w:val="004F34E9"/>
    <w:rsid w:val="004F365E"/>
    <w:rsid w:val="004F3751"/>
    <w:rsid w:val="004F3AD4"/>
    <w:rsid w:val="004F502F"/>
    <w:rsid w:val="004F5525"/>
    <w:rsid w:val="004F5EFC"/>
    <w:rsid w:val="004F69AF"/>
    <w:rsid w:val="005012BC"/>
    <w:rsid w:val="00501520"/>
    <w:rsid w:val="005020D1"/>
    <w:rsid w:val="00502FAC"/>
    <w:rsid w:val="00503717"/>
    <w:rsid w:val="00503F11"/>
    <w:rsid w:val="00504408"/>
    <w:rsid w:val="0050464C"/>
    <w:rsid w:val="005050DA"/>
    <w:rsid w:val="005052BA"/>
    <w:rsid w:val="00505405"/>
    <w:rsid w:val="00507986"/>
    <w:rsid w:val="0051042F"/>
    <w:rsid w:val="0051133A"/>
    <w:rsid w:val="005129E9"/>
    <w:rsid w:val="005135D5"/>
    <w:rsid w:val="00513A88"/>
    <w:rsid w:val="005147A5"/>
    <w:rsid w:val="00514D41"/>
    <w:rsid w:val="00515B2A"/>
    <w:rsid w:val="00515BCD"/>
    <w:rsid w:val="00516366"/>
    <w:rsid w:val="00520A2B"/>
    <w:rsid w:val="00521C90"/>
    <w:rsid w:val="00522379"/>
    <w:rsid w:val="005227A7"/>
    <w:rsid w:val="005227DE"/>
    <w:rsid w:val="00523728"/>
    <w:rsid w:val="00523DB3"/>
    <w:rsid w:val="00523EB0"/>
    <w:rsid w:val="00524DC0"/>
    <w:rsid w:val="00524E9C"/>
    <w:rsid w:val="00524F99"/>
    <w:rsid w:val="00525130"/>
    <w:rsid w:val="0052605B"/>
    <w:rsid w:val="00526877"/>
    <w:rsid w:val="00526B58"/>
    <w:rsid w:val="005276BE"/>
    <w:rsid w:val="0052791F"/>
    <w:rsid w:val="00530C9A"/>
    <w:rsid w:val="00530D19"/>
    <w:rsid w:val="00531886"/>
    <w:rsid w:val="005329C0"/>
    <w:rsid w:val="00532A82"/>
    <w:rsid w:val="00532ADC"/>
    <w:rsid w:val="00532BDB"/>
    <w:rsid w:val="005333A5"/>
    <w:rsid w:val="005348CC"/>
    <w:rsid w:val="00535337"/>
    <w:rsid w:val="005358EF"/>
    <w:rsid w:val="00535F07"/>
    <w:rsid w:val="00535F7E"/>
    <w:rsid w:val="00535FC5"/>
    <w:rsid w:val="0053606F"/>
    <w:rsid w:val="005368CE"/>
    <w:rsid w:val="0053707D"/>
    <w:rsid w:val="00537757"/>
    <w:rsid w:val="005378CA"/>
    <w:rsid w:val="0054004D"/>
    <w:rsid w:val="00540546"/>
    <w:rsid w:val="00540D09"/>
    <w:rsid w:val="00541983"/>
    <w:rsid w:val="00541DF5"/>
    <w:rsid w:val="0054228D"/>
    <w:rsid w:val="00543837"/>
    <w:rsid w:val="00543A7E"/>
    <w:rsid w:val="00543EA5"/>
    <w:rsid w:val="00544FBA"/>
    <w:rsid w:val="00545272"/>
    <w:rsid w:val="005452A5"/>
    <w:rsid w:val="0054617A"/>
    <w:rsid w:val="005461BF"/>
    <w:rsid w:val="00546915"/>
    <w:rsid w:val="00547A6D"/>
    <w:rsid w:val="00547B01"/>
    <w:rsid w:val="00547E96"/>
    <w:rsid w:val="005506F6"/>
    <w:rsid w:val="0055077D"/>
    <w:rsid w:val="00550C1C"/>
    <w:rsid w:val="00551B58"/>
    <w:rsid w:val="0055222B"/>
    <w:rsid w:val="00553271"/>
    <w:rsid w:val="0055421F"/>
    <w:rsid w:val="00555DCE"/>
    <w:rsid w:val="00556BD1"/>
    <w:rsid w:val="005614B4"/>
    <w:rsid w:val="005620CD"/>
    <w:rsid w:val="005627E0"/>
    <w:rsid w:val="00563633"/>
    <w:rsid w:val="005649BD"/>
    <w:rsid w:val="00564D3D"/>
    <w:rsid w:val="0056570D"/>
    <w:rsid w:val="00567184"/>
    <w:rsid w:val="005671F1"/>
    <w:rsid w:val="005676BA"/>
    <w:rsid w:val="00567950"/>
    <w:rsid w:val="005701E5"/>
    <w:rsid w:val="005707F4"/>
    <w:rsid w:val="005709CE"/>
    <w:rsid w:val="0057237D"/>
    <w:rsid w:val="005727EC"/>
    <w:rsid w:val="00573928"/>
    <w:rsid w:val="00573E75"/>
    <w:rsid w:val="00573F34"/>
    <w:rsid w:val="0057595E"/>
    <w:rsid w:val="00575F2C"/>
    <w:rsid w:val="00576C72"/>
    <w:rsid w:val="00577E29"/>
    <w:rsid w:val="0058012C"/>
    <w:rsid w:val="005802DB"/>
    <w:rsid w:val="00580820"/>
    <w:rsid w:val="00580B36"/>
    <w:rsid w:val="00582A7A"/>
    <w:rsid w:val="00582BBE"/>
    <w:rsid w:val="00582CB1"/>
    <w:rsid w:val="00583510"/>
    <w:rsid w:val="00583784"/>
    <w:rsid w:val="0058385F"/>
    <w:rsid w:val="005853A5"/>
    <w:rsid w:val="005861F1"/>
    <w:rsid w:val="00587907"/>
    <w:rsid w:val="0059013D"/>
    <w:rsid w:val="00590E72"/>
    <w:rsid w:val="005912A1"/>
    <w:rsid w:val="005913DC"/>
    <w:rsid w:val="00591834"/>
    <w:rsid w:val="00591CAE"/>
    <w:rsid w:val="005927B1"/>
    <w:rsid w:val="00592CE3"/>
    <w:rsid w:val="005934F5"/>
    <w:rsid w:val="00593803"/>
    <w:rsid w:val="00594AB0"/>
    <w:rsid w:val="00594B64"/>
    <w:rsid w:val="00595074"/>
    <w:rsid w:val="00595112"/>
    <w:rsid w:val="00595174"/>
    <w:rsid w:val="0059532F"/>
    <w:rsid w:val="00595F56"/>
    <w:rsid w:val="00596203"/>
    <w:rsid w:val="0059760A"/>
    <w:rsid w:val="00597723"/>
    <w:rsid w:val="005A0AEB"/>
    <w:rsid w:val="005A17E3"/>
    <w:rsid w:val="005A29C0"/>
    <w:rsid w:val="005A3545"/>
    <w:rsid w:val="005A35DB"/>
    <w:rsid w:val="005A3F02"/>
    <w:rsid w:val="005A4487"/>
    <w:rsid w:val="005A4951"/>
    <w:rsid w:val="005A4B29"/>
    <w:rsid w:val="005A5234"/>
    <w:rsid w:val="005A5A4F"/>
    <w:rsid w:val="005A5D3E"/>
    <w:rsid w:val="005A649C"/>
    <w:rsid w:val="005A765C"/>
    <w:rsid w:val="005A7AB6"/>
    <w:rsid w:val="005A7C22"/>
    <w:rsid w:val="005B00B7"/>
    <w:rsid w:val="005B019E"/>
    <w:rsid w:val="005B0AC1"/>
    <w:rsid w:val="005B1096"/>
    <w:rsid w:val="005B27D4"/>
    <w:rsid w:val="005B2BB6"/>
    <w:rsid w:val="005B2E5C"/>
    <w:rsid w:val="005B3FFD"/>
    <w:rsid w:val="005B424D"/>
    <w:rsid w:val="005B473E"/>
    <w:rsid w:val="005B4A06"/>
    <w:rsid w:val="005B55B0"/>
    <w:rsid w:val="005B5781"/>
    <w:rsid w:val="005B62C2"/>
    <w:rsid w:val="005B72C5"/>
    <w:rsid w:val="005C0550"/>
    <w:rsid w:val="005C0BF4"/>
    <w:rsid w:val="005C0EA8"/>
    <w:rsid w:val="005C1D60"/>
    <w:rsid w:val="005C27C7"/>
    <w:rsid w:val="005C39D7"/>
    <w:rsid w:val="005C4B38"/>
    <w:rsid w:val="005C552C"/>
    <w:rsid w:val="005C6997"/>
    <w:rsid w:val="005C7519"/>
    <w:rsid w:val="005C7EEF"/>
    <w:rsid w:val="005D016D"/>
    <w:rsid w:val="005D02F2"/>
    <w:rsid w:val="005D1401"/>
    <w:rsid w:val="005D25BA"/>
    <w:rsid w:val="005D33FB"/>
    <w:rsid w:val="005D3ABC"/>
    <w:rsid w:val="005D3E9E"/>
    <w:rsid w:val="005D4F38"/>
    <w:rsid w:val="005D640D"/>
    <w:rsid w:val="005D7039"/>
    <w:rsid w:val="005D7109"/>
    <w:rsid w:val="005D71F7"/>
    <w:rsid w:val="005E00CB"/>
    <w:rsid w:val="005E04A3"/>
    <w:rsid w:val="005E04E0"/>
    <w:rsid w:val="005E0D94"/>
    <w:rsid w:val="005E26CE"/>
    <w:rsid w:val="005E4514"/>
    <w:rsid w:val="005E65C7"/>
    <w:rsid w:val="005E6883"/>
    <w:rsid w:val="005E6A8B"/>
    <w:rsid w:val="005E7513"/>
    <w:rsid w:val="005F103C"/>
    <w:rsid w:val="005F216F"/>
    <w:rsid w:val="005F2379"/>
    <w:rsid w:val="005F2D34"/>
    <w:rsid w:val="005F3023"/>
    <w:rsid w:val="005F3367"/>
    <w:rsid w:val="005F3FC3"/>
    <w:rsid w:val="005F4874"/>
    <w:rsid w:val="005F4AD5"/>
    <w:rsid w:val="005F586D"/>
    <w:rsid w:val="005F616C"/>
    <w:rsid w:val="005F67C7"/>
    <w:rsid w:val="005F6C0B"/>
    <w:rsid w:val="005F717B"/>
    <w:rsid w:val="005F726E"/>
    <w:rsid w:val="005F763C"/>
    <w:rsid w:val="005F7B93"/>
    <w:rsid w:val="0060020E"/>
    <w:rsid w:val="00601D1A"/>
    <w:rsid w:val="006022D5"/>
    <w:rsid w:val="006023B9"/>
    <w:rsid w:val="006028D4"/>
    <w:rsid w:val="00602B04"/>
    <w:rsid w:val="00602E11"/>
    <w:rsid w:val="00603F08"/>
    <w:rsid w:val="00604149"/>
    <w:rsid w:val="00604A57"/>
    <w:rsid w:val="006050DB"/>
    <w:rsid w:val="00606098"/>
    <w:rsid w:val="00606872"/>
    <w:rsid w:val="006068C8"/>
    <w:rsid w:val="00607319"/>
    <w:rsid w:val="00607339"/>
    <w:rsid w:val="00610570"/>
    <w:rsid w:val="00610AA0"/>
    <w:rsid w:val="00610F03"/>
    <w:rsid w:val="00611370"/>
    <w:rsid w:val="00611DAE"/>
    <w:rsid w:val="0061344D"/>
    <w:rsid w:val="006143F7"/>
    <w:rsid w:val="00615C8B"/>
    <w:rsid w:val="00616493"/>
    <w:rsid w:val="00616A3F"/>
    <w:rsid w:val="006178B1"/>
    <w:rsid w:val="00617EEE"/>
    <w:rsid w:val="0062032F"/>
    <w:rsid w:val="006204FB"/>
    <w:rsid w:val="00620791"/>
    <w:rsid w:val="00620DF4"/>
    <w:rsid w:val="0062177F"/>
    <w:rsid w:val="006229DE"/>
    <w:rsid w:val="00622B25"/>
    <w:rsid w:val="00623566"/>
    <w:rsid w:val="006239C7"/>
    <w:rsid w:val="00624CF6"/>
    <w:rsid w:val="00624EE1"/>
    <w:rsid w:val="00624FA9"/>
    <w:rsid w:val="00625371"/>
    <w:rsid w:val="0062538E"/>
    <w:rsid w:val="0062542F"/>
    <w:rsid w:val="006255C6"/>
    <w:rsid w:val="00625713"/>
    <w:rsid w:val="00625D22"/>
    <w:rsid w:val="00625FC5"/>
    <w:rsid w:val="00627DF7"/>
    <w:rsid w:val="00630524"/>
    <w:rsid w:val="0063062F"/>
    <w:rsid w:val="00630746"/>
    <w:rsid w:val="00630CFF"/>
    <w:rsid w:val="006317B3"/>
    <w:rsid w:val="006318ED"/>
    <w:rsid w:val="006320DB"/>
    <w:rsid w:val="006322CC"/>
    <w:rsid w:val="006325CA"/>
    <w:rsid w:val="00632F6C"/>
    <w:rsid w:val="006330E5"/>
    <w:rsid w:val="006333CC"/>
    <w:rsid w:val="0063364C"/>
    <w:rsid w:val="0063392B"/>
    <w:rsid w:val="00633DCF"/>
    <w:rsid w:val="00633FBB"/>
    <w:rsid w:val="0063551E"/>
    <w:rsid w:val="00635865"/>
    <w:rsid w:val="00640D3F"/>
    <w:rsid w:val="00641330"/>
    <w:rsid w:val="0064338E"/>
    <w:rsid w:val="00643554"/>
    <w:rsid w:val="00643F32"/>
    <w:rsid w:val="00644138"/>
    <w:rsid w:val="00644D64"/>
    <w:rsid w:val="00644DD3"/>
    <w:rsid w:val="00646233"/>
    <w:rsid w:val="00646E65"/>
    <w:rsid w:val="0064787B"/>
    <w:rsid w:val="00647E69"/>
    <w:rsid w:val="006504DE"/>
    <w:rsid w:val="006505A6"/>
    <w:rsid w:val="00650B37"/>
    <w:rsid w:val="00650C31"/>
    <w:rsid w:val="00650C59"/>
    <w:rsid w:val="00650FBE"/>
    <w:rsid w:val="00651C99"/>
    <w:rsid w:val="00651CBC"/>
    <w:rsid w:val="0065252A"/>
    <w:rsid w:val="0065290F"/>
    <w:rsid w:val="00652EAA"/>
    <w:rsid w:val="00653F1A"/>
    <w:rsid w:val="006541EB"/>
    <w:rsid w:val="00654294"/>
    <w:rsid w:val="0065490D"/>
    <w:rsid w:val="0065528E"/>
    <w:rsid w:val="00655409"/>
    <w:rsid w:val="00656977"/>
    <w:rsid w:val="00656980"/>
    <w:rsid w:val="00656D54"/>
    <w:rsid w:val="00656E51"/>
    <w:rsid w:val="00657231"/>
    <w:rsid w:val="0065791C"/>
    <w:rsid w:val="006612EE"/>
    <w:rsid w:val="00661A86"/>
    <w:rsid w:val="00662EB1"/>
    <w:rsid w:val="0066411F"/>
    <w:rsid w:val="00664474"/>
    <w:rsid w:val="0066461F"/>
    <w:rsid w:val="0066498F"/>
    <w:rsid w:val="00665413"/>
    <w:rsid w:val="0066612E"/>
    <w:rsid w:val="00666B0C"/>
    <w:rsid w:val="00666E53"/>
    <w:rsid w:val="00667522"/>
    <w:rsid w:val="00667754"/>
    <w:rsid w:val="00667FA9"/>
    <w:rsid w:val="00670411"/>
    <w:rsid w:val="006706E5"/>
    <w:rsid w:val="00670D2E"/>
    <w:rsid w:val="00671FE6"/>
    <w:rsid w:val="0067204D"/>
    <w:rsid w:val="006722E0"/>
    <w:rsid w:val="00672974"/>
    <w:rsid w:val="00672E8C"/>
    <w:rsid w:val="00673C51"/>
    <w:rsid w:val="00674112"/>
    <w:rsid w:val="0067551A"/>
    <w:rsid w:val="00676812"/>
    <w:rsid w:val="00676AE3"/>
    <w:rsid w:val="00676DE8"/>
    <w:rsid w:val="006807B9"/>
    <w:rsid w:val="00680ABF"/>
    <w:rsid w:val="006833FF"/>
    <w:rsid w:val="006835CB"/>
    <w:rsid w:val="0068374E"/>
    <w:rsid w:val="006839DA"/>
    <w:rsid w:val="0068405C"/>
    <w:rsid w:val="00684112"/>
    <w:rsid w:val="00685B1D"/>
    <w:rsid w:val="00686A1A"/>
    <w:rsid w:val="00686EC3"/>
    <w:rsid w:val="00687AB4"/>
    <w:rsid w:val="00687DDF"/>
    <w:rsid w:val="006900F9"/>
    <w:rsid w:val="006907F8"/>
    <w:rsid w:val="006911E0"/>
    <w:rsid w:val="006914BC"/>
    <w:rsid w:val="006915ED"/>
    <w:rsid w:val="00691B05"/>
    <w:rsid w:val="00692193"/>
    <w:rsid w:val="00692EEB"/>
    <w:rsid w:val="0069691B"/>
    <w:rsid w:val="00697589"/>
    <w:rsid w:val="006A01D0"/>
    <w:rsid w:val="006A0DE4"/>
    <w:rsid w:val="006A0DF9"/>
    <w:rsid w:val="006A0EB1"/>
    <w:rsid w:val="006A1382"/>
    <w:rsid w:val="006A260E"/>
    <w:rsid w:val="006A38B4"/>
    <w:rsid w:val="006A4140"/>
    <w:rsid w:val="006A4166"/>
    <w:rsid w:val="006A437A"/>
    <w:rsid w:val="006A4631"/>
    <w:rsid w:val="006A4711"/>
    <w:rsid w:val="006A4B54"/>
    <w:rsid w:val="006A516E"/>
    <w:rsid w:val="006A5A4C"/>
    <w:rsid w:val="006A66D3"/>
    <w:rsid w:val="006A670F"/>
    <w:rsid w:val="006A6E1E"/>
    <w:rsid w:val="006A6F8F"/>
    <w:rsid w:val="006A7734"/>
    <w:rsid w:val="006A7FFD"/>
    <w:rsid w:val="006B153E"/>
    <w:rsid w:val="006B1C7B"/>
    <w:rsid w:val="006B200D"/>
    <w:rsid w:val="006B2E7C"/>
    <w:rsid w:val="006B3105"/>
    <w:rsid w:val="006B3535"/>
    <w:rsid w:val="006B4228"/>
    <w:rsid w:val="006B4BD7"/>
    <w:rsid w:val="006B533F"/>
    <w:rsid w:val="006B58EC"/>
    <w:rsid w:val="006B644F"/>
    <w:rsid w:val="006B7184"/>
    <w:rsid w:val="006B7363"/>
    <w:rsid w:val="006B7553"/>
    <w:rsid w:val="006C01B0"/>
    <w:rsid w:val="006C089D"/>
    <w:rsid w:val="006C09AF"/>
    <w:rsid w:val="006C0D9F"/>
    <w:rsid w:val="006C1405"/>
    <w:rsid w:val="006C2090"/>
    <w:rsid w:val="006C2618"/>
    <w:rsid w:val="006C28CD"/>
    <w:rsid w:val="006C32A7"/>
    <w:rsid w:val="006C36C2"/>
    <w:rsid w:val="006C3828"/>
    <w:rsid w:val="006C4C01"/>
    <w:rsid w:val="006C4D51"/>
    <w:rsid w:val="006C547E"/>
    <w:rsid w:val="006C5AB8"/>
    <w:rsid w:val="006C6434"/>
    <w:rsid w:val="006C7CDE"/>
    <w:rsid w:val="006D08EE"/>
    <w:rsid w:val="006D0A29"/>
    <w:rsid w:val="006D148E"/>
    <w:rsid w:val="006D22E6"/>
    <w:rsid w:val="006D2897"/>
    <w:rsid w:val="006D2BEA"/>
    <w:rsid w:val="006D366C"/>
    <w:rsid w:val="006D3A68"/>
    <w:rsid w:val="006D4567"/>
    <w:rsid w:val="006D46D2"/>
    <w:rsid w:val="006D4AE7"/>
    <w:rsid w:val="006D4F00"/>
    <w:rsid w:val="006D6943"/>
    <w:rsid w:val="006D7C25"/>
    <w:rsid w:val="006E02AA"/>
    <w:rsid w:val="006E0A11"/>
    <w:rsid w:val="006E1016"/>
    <w:rsid w:val="006E2C6B"/>
    <w:rsid w:val="006E4DA9"/>
    <w:rsid w:val="006E5216"/>
    <w:rsid w:val="006E53DD"/>
    <w:rsid w:val="006E567C"/>
    <w:rsid w:val="006E56BD"/>
    <w:rsid w:val="006E6000"/>
    <w:rsid w:val="006E65B1"/>
    <w:rsid w:val="006E6693"/>
    <w:rsid w:val="006E6939"/>
    <w:rsid w:val="006F0E5E"/>
    <w:rsid w:val="006F115F"/>
    <w:rsid w:val="006F183B"/>
    <w:rsid w:val="006F1881"/>
    <w:rsid w:val="006F33B7"/>
    <w:rsid w:val="006F3460"/>
    <w:rsid w:val="006F415B"/>
    <w:rsid w:val="006F529A"/>
    <w:rsid w:val="006F75B5"/>
    <w:rsid w:val="006F7B83"/>
    <w:rsid w:val="006F7FD0"/>
    <w:rsid w:val="007006DF"/>
    <w:rsid w:val="007010FB"/>
    <w:rsid w:val="00701427"/>
    <w:rsid w:val="00702E94"/>
    <w:rsid w:val="007031C9"/>
    <w:rsid w:val="00703F0E"/>
    <w:rsid w:val="0070517D"/>
    <w:rsid w:val="0070538D"/>
    <w:rsid w:val="00706021"/>
    <w:rsid w:val="007069E4"/>
    <w:rsid w:val="00706A86"/>
    <w:rsid w:val="0071038A"/>
    <w:rsid w:val="0071059F"/>
    <w:rsid w:val="007106C3"/>
    <w:rsid w:val="00710B27"/>
    <w:rsid w:val="0071119F"/>
    <w:rsid w:val="0071146B"/>
    <w:rsid w:val="00711A1B"/>
    <w:rsid w:val="00711F6D"/>
    <w:rsid w:val="007138C4"/>
    <w:rsid w:val="00713AD7"/>
    <w:rsid w:val="00713B79"/>
    <w:rsid w:val="007144BE"/>
    <w:rsid w:val="00716683"/>
    <w:rsid w:val="00717A67"/>
    <w:rsid w:val="00717FCF"/>
    <w:rsid w:val="007205F6"/>
    <w:rsid w:val="0072130F"/>
    <w:rsid w:val="0072237A"/>
    <w:rsid w:val="00723816"/>
    <w:rsid w:val="0072389B"/>
    <w:rsid w:val="00724A5F"/>
    <w:rsid w:val="00724DDD"/>
    <w:rsid w:val="007251EB"/>
    <w:rsid w:val="00725221"/>
    <w:rsid w:val="00725446"/>
    <w:rsid w:val="007262CE"/>
    <w:rsid w:val="00726CFD"/>
    <w:rsid w:val="00730063"/>
    <w:rsid w:val="007304F5"/>
    <w:rsid w:val="00731BFD"/>
    <w:rsid w:val="00731E46"/>
    <w:rsid w:val="00732D61"/>
    <w:rsid w:val="0073410C"/>
    <w:rsid w:val="00734D14"/>
    <w:rsid w:val="00735DD2"/>
    <w:rsid w:val="00736210"/>
    <w:rsid w:val="00736828"/>
    <w:rsid w:val="00736A53"/>
    <w:rsid w:val="00737177"/>
    <w:rsid w:val="00737979"/>
    <w:rsid w:val="00737E55"/>
    <w:rsid w:val="00737F78"/>
    <w:rsid w:val="00740753"/>
    <w:rsid w:val="007415DA"/>
    <w:rsid w:val="00742B2E"/>
    <w:rsid w:val="00742F3A"/>
    <w:rsid w:val="00743774"/>
    <w:rsid w:val="0074387D"/>
    <w:rsid w:val="00745AB7"/>
    <w:rsid w:val="00745B21"/>
    <w:rsid w:val="00745CB2"/>
    <w:rsid w:val="00746A0D"/>
    <w:rsid w:val="00746A8E"/>
    <w:rsid w:val="00746BC2"/>
    <w:rsid w:val="00747895"/>
    <w:rsid w:val="00747B0A"/>
    <w:rsid w:val="00750261"/>
    <w:rsid w:val="0075047D"/>
    <w:rsid w:val="007505EE"/>
    <w:rsid w:val="00750796"/>
    <w:rsid w:val="007507AF"/>
    <w:rsid w:val="00750E0E"/>
    <w:rsid w:val="0075115A"/>
    <w:rsid w:val="00751487"/>
    <w:rsid w:val="00751B05"/>
    <w:rsid w:val="00751D1E"/>
    <w:rsid w:val="007521D9"/>
    <w:rsid w:val="007524D6"/>
    <w:rsid w:val="00752F10"/>
    <w:rsid w:val="0075352C"/>
    <w:rsid w:val="00754C33"/>
    <w:rsid w:val="00755D5B"/>
    <w:rsid w:val="007563EC"/>
    <w:rsid w:val="00756666"/>
    <w:rsid w:val="00756882"/>
    <w:rsid w:val="00757785"/>
    <w:rsid w:val="00757C5D"/>
    <w:rsid w:val="00761283"/>
    <w:rsid w:val="007627FF"/>
    <w:rsid w:val="00762B84"/>
    <w:rsid w:val="00762C49"/>
    <w:rsid w:val="00762EA2"/>
    <w:rsid w:val="00762F5C"/>
    <w:rsid w:val="00763757"/>
    <w:rsid w:val="00764B51"/>
    <w:rsid w:val="00766A1E"/>
    <w:rsid w:val="00766A26"/>
    <w:rsid w:val="00766EA8"/>
    <w:rsid w:val="0077050A"/>
    <w:rsid w:val="00770DC4"/>
    <w:rsid w:val="00770DFE"/>
    <w:rsid w:val="00771362"/>
    <w:rsid w:val="0077153D"/>
    <w:rsid w:val="00772208"/>
    <w:rsid w:val="0077278E"/>
    <w:rsid w:val="007727B4"/>
    <w:rsid w:val="00773138"/>
    <w:rsid w:val="007734D1"/>
    <w:rsid w:val="007734E3"/>
    <w:rsid w:val="00773F06"/>
    <w:rsid w:val="007745A9"/>
    <w:rsid w:val="007754C4"/>
    <w:rsid w:val="007763B1"/>
    <w:rsid w:val="00776952"/>
    <w:rsid w:val="0077763B"/>
    <w:rsid w:val="00777920"/>
    <w:rsid w:val="00777AFC"/>
    <w:rsid w:val="00777ECB"/>
    <w:rsid w:val="007801A2"/>
    <w:rsid w:val="007804C3"/>
    <w:rsid w:val="0078052A"/>
    <w:rsid w:val="00781458"/>
    <w:rsid w:val="0078253A"/>
    <w:rsid w:val="00783191"/>
    <w:rsid w:val="00784049"/>
    <w:rsid w:val="00785A01"/>
    <w:rsid w:val="00785A32"/>
    <w:rsid w:val="0078713A"/>
    <w:rsid w:val="0078737D"/>
    <w:rsid w:val="00791143"/>
    <w:rsid w:val="0079243C"/>
    <w:rsid w:val="00793802"/>
    <w:rsid w:val="007945B9"/>
    <w:rsid w:val="00794BB5"/>
    <w:rsid w:val="00794C5F"/>
    <w:rsid w:val="00795008"/>
    <w:rsid w:val="00795F92"/>
    <w:rsid w:val="007960E2"/>
    <w:rsid w:val="0079678E"/>
    <w:rsid w:val="007968F5"/>
    <w:rsid w:val="00796958"/>
    <w:rsid w:val="007A001E"/>
    <w:rsid w:val="007A0117"/>
    <w:rsid w:val="007A062B"/>
    <w:rsid w:val="007A0EA7"/>
    <w:rsid w:val="007A10DC"/>
    <w:rsid w:val="007A13A9"/>
    <w:rsid w:val="007A1F3E"/>
    <w:rsid w:val="007A2159"/>
    <w:rsid w:val="007A2222"/>
    <w:rsid w:val="007A30F6"/>
    <w:rsid w:val="007A3157"/>
    <w:rsid w:val="007A3291"/>
    <w:rsid w:val="007A3F08"/>
    <w:rsid w:val="007A411A"/>
    <w:rsid w:val="007A4A32"/>
    <w:rsid w:val="007A4ABA"/>
    <w:rsid w:val="007A4BA9"/>
    <w:rsid w:val="007A4C62"/>
    <w:rsid w:val="007A4F01"/>
    <w:rsid w:val="007A55F1"/>
    <w:rsid w:val="007A56D2"/>
    <w:rsid w:val="007A5BCD"/>
    <w:rsid w:val="007A6093"/>
    <w:rsid w:val="007A6CBC"/>
    <w:rsid w:val="007A7B5D"/>
    <w:rsid w:val="007B05C2"/>
    <w:rsid w:val="007B2992"/>
    <w:rsid w:val="007B2B06"/>
    <w:rsid w:val="007B2D36"/>
    <w:rsid w:val="007B2F76"/>
    <w:rsid w:val="007B494B"/>
    <w:rsid w:val="007B5B98"/>
    <w:rsid w:val="007B5BFA"/>
    <w:rsid w:val="007B6E93"/>
    <w:rsid w:val="007B6F12"/>
    <w:rsid w:val="007B7B18"/>
    <w:rsid w:val="007C0248"/>
    <w:rsid w:val="007C0890"/>
    <w:rsid w:val="007C0DFC"/>
    <w:rsid w:val="007C1F03"/>
    <w:rsid w:val="007C4F04"/>
    <w:rsid w:val="007C56EC"/>
    <w:rsid w:val="007C60FC"/>
    <w:rsid w:val="007C632F"/>
    <w:rsid w:val="007C6383"/>
    <w:rsid w:val="007C693F"/>
    <w:rsid w:val="007C6FD1"/>
    <w:rsid w:val="007C7589"/>
    <w:rsid w:val="007C7C98"/>
    <w:rsid w:val="007D16C5"/>
    <w:rsid w:val="007D3EB1"/>
    <w:rsid w:val="007D48A2"/>
    <w:rsid w:val="007D5223"/>
    <w:rsid w:val="007D55AE"/>
    <w:rsid w:val="007D57B1"/>
    <w:rsid w:val="007D60FB"/>
    <w:rsid w:val="007D6A7D"/>
    <w:rsid w:val="007D7DF0"/>
    <w:rsid w:val="007E0163"/>
    <w:rsid w:val="007E0210"/>
    <w:rsid w:val="007E09E6"/>
    <w:rsid w:val="007E0F1B"/>
    <w:rsid w:val="007E1473"/>
    <w:rsid w:val="007E14B5"/>
    <w:rsid w:val="007E2356"/>
    <w:rsid w:val="007E24E6"/>
    <w:rsid w:val="007E2862"/>
    <w:rsid w:val="007E2997"/>
    <w:rsid w:val="007E2B68"/>
    <w:rsid w:val="007E4060"/>
    <w:rsid w:val="007E40A2"/>
    <w:rsid w:val="007E4977"/>
    <w:rsid w:val="007E5F9C"/>
    <w:rsid w:val="007E6AF1"/>
    <w:rsid w:val="007E6C50"/>
    <w:rsid w:val="007E7551"/>
    <w:rsid w:val="007F1269"/>
    <w:rsid w:val="007F13B7"/>
    <w:rsid w:val="007F19D8"/>
    <w:rsid w:val="007F1B0F"/>
    <w:rsid w:val="007F1C87"/>
    <w:rsid w:val="007F1CB2"/>
    <w:rsid w:val="007F22F5"/>
    <w:rsid w:val="007F2782"/>
    <w:rsid w:val="007F3654"/>
    <w:rsid w:val="007F402B"/>
    <w:rsid w:val="007F469B"/>
    <w:rsid w:val="007F4FDF"/>
    <w:rsid w:val="007F5128"/>
    <w:rsid w:val="007F79A8"/>
    <w:rsid w:val="008006B4"/>
    <w:rsid w:val="00801A98"/>
    <w:rsid w:val="00802A66"/>
    <w:rsid w:val="00802DCE"/>
    <w:rsid w:val="00804246"/>
    <w:rsid w:val="00804A9D"/>
    <w:rsid w:val="00805EFB"/>
    <w:rsid w:val="008064C8"/>
    <w:rsid w:val="008065DB"/>
    <w:rsid w:val="008068F3"/>
    <w:rsid w:val="00807417"/>
    <w:rsid w:val="0080785D"/>
    <w:rsid w:val="008102CD"/>
    <w:rsid w:val="008103A3"/>
    <w:rsid w:val="00810D67"/>
    <w:rsid w:val="008119A9"/>
    <w:rsid w:val="008126E2"/>
    <w:rsid w:val="008130CF"/>
    <w:rsid w:val="00813DD8"/>
    <w:rsid w:val="00814764"/>
    <w:rsid w:val="00814A26"/>
    <w:rsid w:val="008159A2"/>
    <w:rsid w:val="00817591"/>
    <w:rsid w:val="0081777C"/>
    <w:rsid w:val="00817788"/>
    <w:rsid w:val="0081796D"/>
    <w:rsid w:val="00817CCF"/>
    <w:rsid w:val="00820CA5"/>
    <w:rsid w:val="0082130C"/>
    <w:rsid w:val="008220BC"/>
    <w:rsid w:val="008222DB"/>
    <w:rsid w:val="00822578"/>
    <w:rsid w:val="00823166"/>
    <w:rsid w:val="00823191"/>
    <w:rsid w:val="008232BE"/>
    <w:rsid w:val="00823C01"/>
    <w:rsid w:val="00823CF7"/>
    <w:rsid w:val="00823E47"/>
    <w:rsid w:val="00823FA5"/>
    <w:rsid w:val="00825021"/>
    <w:rsid w:val="0082549E"/>
    <w:rsid w:val="00825A4E"/>
    <w:rsid w:val="00825C79"/>
    <w:rsid w:val="00825F86"/>
    <w:rsid w:val="00826A80"/>
    <w:rsid w:val="00827E19"/>
    <w:rsid w:val="00830140"/>
    <w:rsid w:val="008303A7"/>
    <w:rsid w:val="0083056F"/>
    <w:rsid w:val="0083094C"/>
    <w:rsid w:val="00831124"/>
    <w:rsid w:val="00831D85"/>
    <w:rsid w:val="00831EF0"/>
    <w:rsid w:val="008322C9"/>
    <w:rsid w:val="008325D1"/>
    <w:rsid w:val="00832CE5"/>
    <w:rsid w:val="00832E12"/>
    <w:rsid w:val="00833EFD"/>
    <w:rsid w:val="00834358"/>
    <w:rsid w:val="0083510A"/>
    <w:rsid w:val="00835C3E"/>
    <w:rsid w:val="008367F5"/>
    <w:rsid w:val="008369E0"/>
    <w:rsid w:val="008373CF"/>
    <w:rsid w:val="00837AC7"/>
    <w:rsid w:val="008400E9"/>
    <w:rsid w:val="00840443"/>
    <w:rsid w:val="008410FD"/>
    <w:rsid w:val="00841285"/>
    <w:rsid w:val="00841403"/>
    <w:rsid w:val="00841766"/>
    <w:rsid w:val="0084206E"/>
    <w:rsid w:val="00842102"/>
    <w:rsid w:val="008436EB"/>
    <w:rsid w:val="0084401F"/>
    <w:rsid w:val="008446DE"/>
    <w:rsid w:val="008458FD"/>
    <w:rsid w:val="00845D3A"/>
    <w:rsid w:val="00845DFC"/>
    <w:rsid w:val="008464A4"/>
    <w:rsid w:val="00847012"/>
    <w:rsid w:val="00847370"/>
    <w:rsid w:val="00850039"/>
    <w:rsid w:val="0085136B"/>
    <w:rsid w:val="008524D7"/>
    <w:rsid w:val="00853832"/>
    <w:rsid w:val="0085404B"/>
    <w:rsid w:val="00854506"/>
    <w:rsid w:val="00854E6D"/>
    <w:rsid w:val="00854EFE"/>
    <w:rsid w:val="00856708"/>
    <w:rsid w:val="0085675D"/>
    <w:rsid w:val="00857AB5"/>
    <w:rsid w:val="00857C4A"/>
    <w:rsid w:val="00857FE1"/>
    <w:rsid w:val="008604FE"/>
    <w:rsid w:val="00860A48"/>
    <w:rsid w:val="008618D1"/>
    <w:rsid w:val="0086263A"/>
    <w:rsid w:val="00863063"/>
    <w:rsid w:val="008632B7"/>
    <w:rsid w:val="00864D60"/>
    <w:rsid w:val="00864EEB"/>
    <w:rsid w:val="00865462"/>
    <w:rsid w:val="00865729"/>
    <w:rsid w:val="00866639"/>
    <w:rsid w:val="00866755"/>
    <w:rsid w:val="00867905"/>
    <w:rsid w:val="00867951"/>
    <w:rsid w:val="0087117D"/>
    <w:rsid w:val="0087297A"/>
    <w:rsid w:val="008730F5"/>
    <w:rsid w:val="0087321D"/>
    <w:rsid w:val="008736D3"/>
    <w:rsid w:val="008742C1"/>
    <w:rsid w:val="008743A9"/>
    <w:rsid w:val="008756FD"/>
    <w:rsid w:val="008758E2"/>
    <w:rsid w:val="0087653F"/>
    <w:rsid w:val="0087698C"/>
    <w:rsid w:val="00876ADB"/>
    <w:rsid w:val="00876CC3"/>
    <w:rsid w:val="00876F96"/>
    <w:rsid w:val="00877B76"/>
    <w:rsid w:val="00877F5B"/>
    <w:rsid w:val="008802EC"/>
    <w:rsid w:val="008827D0"/>
    <w:rsid w:val="0088298B"/>
    <w:rsid w:val="00883BF5"/>
    <w:rsid w:val="008843FE"/>
    <w:rsid w:val="00884AFE"/>
    <w:rsid w:val="00885533"/>
    <w:rsid w:val="00886B74"/>
    <w:rsid w:val="0088721D"/>
    <w:rsid w:val="008875F8"/>
    <w:rsid w:val="0089029E"/>
    <w:rsid w:val="00890EA4"/>
    <w:rsid w:val="008912FC"/>
    <w:rsid w:val="008917F9"/>
    <w:rsid w:val="00891A6E"/>
    <w:rsid w:val="00891C2B"/>
    <w:rsid w:val="00892AE9"/>
    <w:rsid w:val="00893847"/>
    <w:rsid w:val="00893930"/>
    <w:rsid w:val="00894764"/>
    <w:rsid w:val="00894770"/>
    <w:rsid w:val="0089506D"/>
    <w:rsid w:val="0089562C"/>
    <w:rsid w:val="00895996"/>
    <w:rsid w:val="00895F01"/>
    <w:rsid w:val="00896B0D"/>
    <w:rsid w:val="0089705F"/>
    <w:rsid w:val="008970D8"/>
    <w:rsid w:val="008976FE"/>
    <w:rsid w:val="008A0853"/>
    <w:rsid w:val="008A0A1F"/>
    <w:rsid w:val="008A10D1"/>
    <w:rsid w:val="008A124A"/>
    <w:rsid w:val="008A1736"/>
    <w:rsid w:val="008A175B"/>
    <w:rsid w:val="008A1D66"/>
    <w:rsid w:val="008A232D"/>
    <w:rsid w:val="008A2339"/>
    <w:rsid w:val="008A55B1"/>
    <w:rsid w:val="008A56B8"/>
    <w:rsid w:val="008A56C3"/>
    <w:rsid w:val="008A5B6E"/>
    <w:rsid w:val="008A5C9B"/>
    <w:rsid w:val="008A6090"/>
    <w:rsid w:val="008A68BF"/>
    <w:rsid w:val="008A6E33"/>
    <w:rsid w:val="008A700C"/>
    <w:rsid w:val="008A709F"/>
    <w:rsid w:val="008A76BB"/>
    <w:rsid w:val="008B10B9"/>
    <w:rsid w:val="008B1B13"/>
    <w:rsid w:val="008B1CFC"/>
    <w:rsid w:val="008B1EFF"/>
    <w:rsid w:val="008B201A"/>
    <w:rsid w:val="008B354A"/>
    <w:rsid w:val="008B35EB"/>
    <w:rsid w:val="008B3F9B"/>
    <w:rsid w:val="008B4311"/>
    <w:rsid w:val="008B4D76"/>
    <w:rsid w:val="008B6B7E"/>
    <w:rsid w:val="008B711B"/>
    <w:rsid w:val="008B7CFD"/>
    <w:rsid w:val="008B7ED8"/>
    <w:rsid w:val="008C0EB7"/>
    <w:rsid w:val="008C0EF9"/>
    <w:rsid w:val="008C151C"/>
    <w:rsid w:val="008C2E83"/>
    <w:rsid w:val="008C3B27"/>
    <w:rsid w:val="008C42E0"/>
    <w:rsid w:val="008C54F3"/>
    <w:rsid w:val="008C5605"/>
    <w:rsid w:val="008C5697"/>
    <w:rsid w:val="008C5C63"/>
    <w:rsid w:val="008C658B"/>
    <w:rsid w:val="008C68DA"/>
    <w:rsid w:val="008C6CFA"/>
    <w:rsid w:val="008C6D9D"/>
    <w:rsid w:val="008C7E1A"/>
    <w:rsid w:val="008D0865"/>
    <w:rsid w:val="008D0BBB"/>
    <w:rsid w:val="008D0BC5"/>
    <w:rsid w:val="008D0D16"/>
    <w:rsid w:val="008D0D58"/>
    <w:rsid w:val="008D1062"/>
    <w:rsid w:val="008D1448"/>
    <w:rsid w:val="008D1A5C"/>
    <w:rsid w:val="008D42C4"/>
    <w:rsid w:val="008D4A10"/>
    <w:rsid w:val="008D4B9A"/>
    <w:rsid w:val="008D7844"/>
    <w:rsid w:val="008E096F"/>
    <w:rsid w:val="008E1AF0"/>
    <w:rsid w:val="008E1C89"/>
    <w:rsid w:val="008E1D18"/>
    <w:rsid w:val="008E2C8C"/>
    <w:rsid w:val="008E3D37"/>
    <w:rsid w:val="008E4527"/>
    <w:rsid w:val="008E460B"/>
    <w:rsid w:val="008E5A29"/>
    <w:rsid w:val="008E5E9F"/>
    <w:rsid w:val="008E5EFD"/>
    <w:rsid w:val="008E5F1E"/>
    <w:rsid w:val="008E5FD2"/>
    <w:rsid w:val="008E60A8"/>
    <w:rsid w:val="008E651F"/>
    <w:rsid w:val="008E6556"/>
    <w:rsid w:val="008E6F06"/>
    <w:rsid w:val="008E6F0D"/>
    <w:rsid w:val="008E7C23"/>
    <w:rsid w:val="008E7D62"/>
    <w:rsid w:val="008F0653"/>
    <w:rsid w:val="008F0814"/>
    <w:rsid w:val="008F0A56"/>
    <w:rsid w:val="008F26CE"/>
    <w:rsid w:val="008F2903"/>
    <w:rsid w:val="008F321C"/>
    <w:rsid w:val="008F3B31"/>
    <w:rsid w:val="008F3CF0"/>
    <w:rsid w:val="008F3CFF"/>
    <w:rsid w:val="008F5068"/>
    <w:rsid w:val="008F53D3"/>
    <w:rsid w:val="008F53DA"/>
    <w:rsid w:val="008F61EF"/>
    <w:rsid w:val="008F678B"/>
    <w:rsid w:val="008F6879"/>
    <w:rsid w:val="008F747E"/>
    <w:rsid w:val="008F7BCA"/>
    <w:rsid w:val="008F7EB7"/>
    <w:rsid w:val="00900635"/>
    <w:rsid w:val="009007A7"/>
    <w:rsid w:val="00900BF4"/>
    <w:rsid w:val="00901372"/>
    <w:rsid w:val="00901448"/>
    <w:rsid w:val="00902B10"/>
    <w:rsid w:val="00902D0C"/>
    <w:rsid w:val="00902F9E"/>
    <w:rsid w:val="00904537"/>
    <w:rsid w:val="009048FE"/>
    <w:rsid w:val="009056C1"/>
    <w:rsid w:val="00905C7C"/>
    <w:rsid w:val="00905FCA"/>
    <w:rsid w:val="00906B0E"/>
    <w:rsid w:val="009071B9"/>
    <w:rsid w:val="0090735F"/>
    <w:rsid w:val="009075BC"/>
    <w:rsid w:val="00907E8C"/>
    <w:rsid w:val="00910D36"/>
    <w:rsid w:val="00910FA6"/>
    <w:rsid w:val="0091134C"/>
    <w:rsid w:val="00913738"/>
    <w:rsid w:val="00913FC4"/>
    <w:rsid w:val="00915AF2"/>
    <w:rsid w:val="00916C73"/>
    <w:rsid w:val="009201EE"/>
    <w:rsid w:val="00920DA2"/>
    <w:rsid w:val="0092100A"/>
    <w:rsid w:val="0092167E"/>
    <w:rsid w:val="00922BF4"/>
    <w:rsid w:val="00923777"/>
    <w:rsid w:val="00924134"/>
    <w:rsid w:val="00924325"/>
    <w:rsid w:val="00924AA4"/>
    <w:rsid w:val="00924CDA"/>
    <w:rsid w:val="009253AF"/>
    <w:rsid w:val="00925BB6"/>
    <w:rsid w:val="00925E38"/>
    <w:rsid w:val="009262AA"/>
    <w:rsid w:val="00926399"/>
    <w:rsid w:val="009266E8"/>
    <w:rsid w:val="00927274"/>
    <w:rsid w:val="00927775"/>
    <w:rsid w:val="00927F2E"/>
    <w:rsid w:val="00930113"/>
    <w:rsid w:val="009311B3"/>
    <w:rsid w:val="009313CD"/>
    <w:rsid w:val="00931F98"/>
    <w:rsid w:val="009324EA"/>
    <w:rsid w:val="00933436"/>
    <w:rsid w:val="0093510B"/>
    <w:rsid w:val="009352E7"/>
    <w:rsid w:val="00935C75"/>
    <w:rsid w:val="00936199"/>
    <w:rsid w:val="00936888"/>
    <w:rsid w:val="009402F5"/>
    <w:rsid w:val="00941311"/>
    <w:rsid w:val="00942625"/>
    <w:rsid w:val="0094262C"/>
    <w:rsid w:val="00942765"/>
    <w:rsid w:val="00942EDC"/>
    <w:rsid w:val="009430B9"/>
    <w:rsid w:val="009436D7"/>
    <w:rsid w:val="00943F12"/>
    <w:rsid w:val="009448BA"/>
    <w:rsid w:val="00944C0E"/>
    <w:rsid w:val="00946E2D"/>
    <w:rsid w:val="00951069"/>
    <w:rsid w:val="00951B13"/>
    <w:rsid w:val="00951C1F"/>
    <w:rsid w:val="0095288C"/>
    <w:rsid w:val="00952AC1"/>
    <w:rsid w:val="0095375C"/>
    <w:rsid w:val="00953811"/>
    <w:rsid w:val="009539A7"/>
    <w:rsid w:val="00954998"/>
    <w:rsid w:val="00954E72"/>
    <w:rsid w:val="00955CF4"/>
    <w:rsid w:val="009561D6"/>
    <w:rsid w:val="009566DF"/>
    <w:rsid w:val="00957200"/>
    <w:rsid w:val="00957A03"/>
    <w:rsid w:val="00957E0C"/>
    <w:rsid w:val="00961B1B"/>
    <w:rsid w:val="00961CC0"/>
    <w:rsid w:val="009626EE"/>
    <w:rsid w:val="00962EFF"/>
    <w:rsid w:val="0096328B"/>
    <w:rsid w:val="0096377F"/>
    <w:rsid w:val="009640F7"/>
    <w:rsid w:val="00965244"/>
    <w:rsid w:val="00966C1E"/>
    <w:rsid w:val="00967231"/>
    <w:rsid w:val="00967258"/>
    <w:rsid w:val="00967CBF"/>
    <w:rsid w:val="009708DA"/>
    <w:rsid w:val="0097094C"/>
    <w:rsid w:val="00970ABB"/>
    <w:rsid w:val="00970ABC"/>
    <w:rsid w:val="00970CC4"/>
    <w:rsid w:val="00973996"/>
    <w:rsid w:val="00973A39"/>
    <w:rsid w:val="00973D0E"/>
    <w:rsid w:val="0097465A"/>
    <w:rsid w:val="00974CA0"/>
    <w:rsid w:val="00974E1C"/>
    <w:rsid w:val="00975B48"/>
    <w:rsid w:val="00977BD5"/>
    <w:rsid w:val="009803E9"/>
    <w:rsid w:val="009809DF"/>
    <w:rsid w:val="00980FCC"/>
    <w:rsid w:val="00981629"/>
    <w:rsid w:val="00981F4A"/>
    <w:rsid w:val="00982EC6"/>
    <w:rsid w:val="00983080"/>
    <w:rsid w:val="00983177"/>
    <w:rsid w:val="00984FFC"/>
    <w:rsid w:val="00985CC5"/>
    <w:rsid w:val="00985FB3"/>
    <w:rsid w:val="0098624F"/>
    <w:rsid w:val="00987526"/>
    <w:rsid w:val="00987B84"/>
    <w:rsid w:val="009903BE"/>
    <w:rsid w:val="009905B8"/>
    <w:rsid w:val="0099154D"/>
    <w:rsid w:val="009916C8"/>
    <w:rsid w:val="00991A45"/>
    <w:rsid w:val="00991A9E"/>
    <w:rsid w:val="00991DAB"/>
    <w:rsid w:val="0099269E"/>
    <w:rsid w:val="00992B08"/>
    <w:rsid w:val="00992B41"/>
    <w:rsid w:val="00992D45"/>
    <w:rsid w:val="00993181"/>
    <w:rsid w:val="00993F04"/>
    <w:rsid w:val="00994008"/>
    <w:rsid w:val="009947BE"/>
    <w:rsid w:val="00994AEC"/>
    <w:rsid w:val="00994B19"/>
    <w:rsid w:val="00994CA7"/>
    <w:rsid w:val="009950D5"/>
    <w:rsid w:val="0099553C"/>
    <w:rsid w:val="009964F0"/>
    <w:rsid w:val="009965A6"/>
    <w:rsid w:val="009973D1"/>
    <w:rsid w:val="009977A0"/>
    <w:rsid w:val="0099789E"/>
    <w:rsid w:val="00997BD8"/>
    <w:rsid w:val="00997D29"/>
    <w:rsid w:val="00997EFA"/>
    <w:rsid w:val="009A055D"/>
    <w:rsid w:val="009A1A9C"/>
    <w:rsid w:val="009A1B45"/>
    <w:rsid w:val="009A2AC4"/>
    <w:rsid w:val="009A2D34"/>
    <w:rsid w:val="009A2DE4"/>
    <w:rsid w:val="009A3B93"/>
    <w:rsid w:val="009A3D74"/>
    <w:rsid w:val="009A4447"/>
    <w:rsid w:val="009A4599"/>
    <w:rsid w:val="009A4BAF"/>
    <w:rsid w:val="009A5436"/>
    <w:rsid w:val="009A55F5"/>
    <w:rsid w:val="009A6401"/>
    <w:rsid w:val="009A6405"/>
    <w:rsid w:val="009A6410"/>
    <w:rsid w:val="009A71BF"/>
    <w:rsid w:val="009B0312"/>
    <w:rsid w:val="009B05B1"/>
    <w:rsid w:val="009B0DD0"/>
    <w:rsid w:val="009B2030"/>
    <w:rsid w:val="009B23C5"/>
    <w:rsid w:val="009B3CAB"/>
    <w:rsid w:val="009B4489"/>
    <w:rsid w:val="009B4553"/>
    <w:rsid w:val="009B45A8"/>
    <w:rsid w:val="009B4712"/>
    <w:rsid w:val="009B51D2"/>
    <w:rsid w:val="009B56C5"/>
    <w:rsid w:val="009B5C23"/>
    <w:rsid w:val="009B5D91"/>
    <w:rsid w:val="009B6936"/>
    <w:rsid w:val="009B69D9"/>
    <w:rsid w:val="009B726F"/>
    <w:rsid w:val="009B7C60"/>
    <w:rsid w:val="009B7EB7"/>
    <w:rsid w:val="009C04B4"/>
    <w:rsid w:val="009C1DE9"/>
    <w:rsid w:val="009C39FB"/>
    <w:rsid w:val="009C4E20"/>
    <w:rsid w:val="009C6F6E"/>
    <w:rsid w:val="009C76D2"/>
    <w:rsid w:val="009C7B7F"/>
    <w:rsid w:val="009D01ED"/>
    <w:rsid w:val="009D0645"/>
    <w:rsid w:val="009D1600"/>
    <w:rsid w:val="009D18AE"/>
    <w:rsid w:val="009D1A26"/>
    <w:rsid w:val="009D234D"/>
    <w:rsid w:val="009D2573"/>
    <w:rsid w:val="009D2910"/>
    <w:rsid w:val="009D2E84"/>
    <w:rsid w:val="009D310A"/>
    <w:rsid w:val="009D34E2"/>
    <w:rsid w:val="009D3787"/>
    <w:rsid w:val="009D402C"/>
    <w:rsid w:val="009D53E8"/>
    <w:rsid w:val="009D576B"/>
    <w:rsid w:val="009D71C7"/>
    <w:rsid w:val="009E0217"/>
    <w:rsid w:val="009E095F"/>
    <w:rsid w:val="009E0BD4"/>
    <w:rsid w:val="009E1AEF"/>
    <w:rsid w:val="009E1B5F"/>
    <w:rsid w:val="009E2F0C"/>
    <w:rsid w:val="009E30FF"/>
    <w:rsid w:val="009E4B98"/>
    <w:rsid w:val="009E6309"/>
    <w:rsid w:val="009E661C"/>
    <w:rsid w:val="009E6B4D"/>
    <w:rsid w:val="009E6DB6"/>
    <w:rsid w:val="009F0A62"/>
    <w:rsid w:val="009F0A90"/>
    <w:rsid w:val="009F27CB"/>
    <w:rsid w:val="009F2DAB"/>
    <w:rsid w:val="009F3AF5"/>
    <w:rsid w:val="009F3B34"/>
    <w:rsid w:val="009F4B78"/>
    <w:rsid w:val="009F521F"/>
    <w:rsid w:val="009F6154"/>
    <w:rsid w:val="009F7547"/>
    <w:rsid w:val="009F754E"/>
    <w:rsid w:val="009F76D6"/>
    <w:rsid w:val="009F7742"/>
    <w:rsid w:val="00A02256"/>
    <w:rsid w:val="00A028AE"/>
    <w:rsid w:val="00A02A97"/>
    <w:rsid w:val="00A03366"/>
    <w:rsid w:val="00A0342F"/>
    <w:rsid w:val="00A037CA"/>
    <w:rsid w:val="00A0413E"/>
    <w:rsid w:val="00A042F7"/>
    <w:rsid w:val="00A04B17"/>
    <w:rsid w:val="00A07138"/>
    <w:rsid w:val="00A07C3A"/>
    <w:rsid w:val="00A1072C"/>
    <w:rsid w:val="00A12C20"/>
    <w:rsid w:val="00A13B29"/>
    <w:rsid w:val="00A153E3"/>
    <w:rsid w:val="00A16041"/>
    <w:rsid w:val="00A21592"/>
    <w:rsid w:val="00A2177E"/>
    <w:rsid w:val="00A21D0D"/>
    <w:rsid w:val="00A22C4E"/>
    <w:rsid w:val="00A2316B"/>
    <w:rsid w:val="00A233F9"/>
    <w:rsid w:val="00A2450E"/>
    <w:rsid w:val="00A24747"/>
    <w:rsid w:val="00A24B5C"/>
    <w:rsid w:val="00A25527"/>
    <w:rsid w:val="00A25645"/>
    <w:rsid w:val="00A25769"/>
    <w:rsid w:val="00A25B49"/>
    <w:rsid w:val="00A266F0"/>
    <w:rsid w:val="00A273E1"/>
    <w:rsid w:val="00A276F5"/>
    <w:rsid w:val="00A31DD0"/>
    <w:rsid w:val="00A321FB"/>
    <w:rsid w:val="00A323FB"/>
    <w:rsid w:val="00A326DC"/>
    <w:rsid w:val="00A327A5"/>
    <w:rsid w:val="00A32BB9"/>
    <w:rsid w:val="00A337B8"/>
    <w:rsid w:val="00A33CE3"/>
    <w:rsid w:val="00A345CD"/>
    <w:rsid w:val="00A34780"/>
    <w:rsid w:val="00A34837"/>
    <w:rsid w:val="00A34C68"/>
    <w:rsid w:val="00A353C9"/>
    <w:rsid w:val="00A35FB5"/>
    <w:rsid w:val="00A36804"/>
    <w:rsid w:val="00A37041"/>
    <w:rsid w:val="00A37390"/>
    <w:rsid w:val="00A37ABD"/>
    <w:rsid w:val="00A41392"/>
    <w:rsid w:val="00A417F1"/>
    <w:rsid w:val="00A4199D"/>
    <w:rsid w:val="00A4223E"/>
    <w:rsid w:val="00A42682"/>
    <w:rsid w:val="00A444DC"/>
    <w:rsid w:val="00A44E5E"/>
    <w:rsid w:val="00A46275"/>
    <w:rsid w:val="00A46970"/>
    <w:rsid w:val="00A4728F"/>
    <w:rsid w:val="00A50D08"/>
    <w:rsid w:val="00A51316"/>
    <w:rsid w:val="00A51D44"/>
    <w:rsid w:val="00A5222E"/>
    <w:rsid w:val="00A53421"/>
    <w:rsid w:val="00A53DA7"/>
    <w:rsid w:val="00A54B2D"/>
    <w:rsid w:val="00A55C43"/>
    <w:rsid w:val="00A56A4D"/>
    <w:rsid w:val="00A56F50"/>
    <w:rsid w:val="00A575A8"/>
    <w:rsid w:val="00A57B52"/>
    <w:rsid w:val="00A60B44"/>
    <w:rsid w:val="00A6272D"/>
    <w:rsid w:val="00A638B9"/>
    <w:rsid w:val="00A63D8E"/>
    <w:rsid w:val="00A6537A"/>
    <w:rsid w:val="00A65523"/>
    <w:rsid w:val="00A662C6"/>
    <w:rsid w:val="00A66692"/>
    <w:rsid w:val="00A667EB"/>
    <w:rsid w:val="00A66ACE"/>
    <w:rsid w:val="00A66D0F"/>
    <w:rsid w:val="00A66E93"/>
    <w:rsid w:val="00A67CA4"/>
    <w:rsid w:val="00A70A0C"/>
    <w:rsid w:val="00A71399"/>
    <w:rsid w:val="00A72ACF"/>
    <w:rsid w:val="00A72C11"/>
    <w:rsid w:val="00A7417E"/>
    <w:rsid w:val="00A74213"/>
    <w:rsid w:val="00A74775"/>
    <w:rsid w:val="00A7583C"/>
    <w:rsid w:val="00A75B44"/>
    <w:rsid w:val="00A7613C"/>
    <w:rsid w:val="00A76486"/>
    <w:rsid w:val="00A772E5"/>
    <w:rsid w:val="00A77670"/>
    <w:rsid w:val="00A8047A"/>
    <w:rsid w:val="00A809B0"/>
    <w:rsid w:val="00A80F10"/>
    <w:rsid w:val="00A830DB"/>
    <w:rsid w:val="00A83912"/>
    <w:rsid w:val="00A8395F"/>
    <w:rsid w:val="00A84376"/>
    <w:rsid w:val="00A848C7"/>
    <w:rsid w:val="00A84AFA"/>
    <w:rsid w:val="00A85FC7"/>
    <w:rsid w:val="00A8657A"/>
    <w:rsid w:val="00A878ED"/>
    <w:rsid w:val="00A90161"/>
    <w:rsid w:val="00A9156A"/>
    <w:rsid w:val="00A91692"/>
    <w:rsid w:val="00A92507"/>
    <w:rsid w:val="00A92C5B"/>
    <w:rsid w:val="00A938A7"/>
    <w:rsid w:val="00A951CF"/>
    <w:rsid w:val="00A958B3"/>
    <w:rsid w:val="00A95B05"/>
    <w:rsid w:val="00A95C08"/>
    <w:rsid w:val="00AA14F7"/>
    <w:rsid w:val="00AA326C"/>
    <w:rsid w:val="00AA3F04"/>
    <w:rsid w:val="00AA4270"/>
    <w:rsid w:val="00AA579B"/>
    <w:rsid w:val="00AA5E0F"/>
    <w:rsid w:val="00AA63D4"/>
    <w:rsid w:val="00AA6676"/>
    <w:rsid w:val="00AA73F4"/>
    <w:rsid w:val="00AA75A0"/>
    <w:rsid w:val="00AA79C3"/>
    <w:rsid w:val="00AA7F8D"/>
    <w:rsid w:val="00AB0B5A"/>
    <w:rsid w:val="00AB12D6"/>
    <w:rsid w:val="00AB1D4B"/>
    <w:rsid w:val="00AB1D5E"/>
    <w:rsid w:val="00AB2324"/>
    <w:rsid w:val="00AB2639"/>
    <w:rsid w:val="00AB2809"/>
    <w:rsid w:val="00AB375F"/>
    <w:rsid w:val="00AB3E6C"/>
    <w:rsid w:val="00AB485C"/>
    <w:rsid w:val="00AB5689"/>
    <w:rsid w:val="00AB5CDD"/>
    <w:rsid w:val="00AB73C2"/>
    <w:rsid w:val="00AB73D7"/>
    <w:rsid w:val="00AB7920"/>
    <w:rsid w:val="00AC10DC"/>
    <w:rsid w:val="00AC219F"/>
    <w:rsid w:val="00AC2BA5"/>
    <w:rsid w:val="00AC2CBD"/>
    <w:rsid w:val="00AC2E31"/>
    <w:rsid w:val="00AC331F"/>
    <w:rsid w:val="00AC36EC"/>
    <w:rsid w:val="00AC3CFE"/>
    <w:rsid w:val="00AC3DE5"/>
    <w:rsid w:val="00AC5667"/>
    <w:rsid w:val="00AC66F1"/>
    <w:rsid w:val="00AD0489"/>
    <w:rsid w:val="00AD06A9"/>
    <w:rsid w:val="00AD129E"/>
    <w:rsid w:val="00AD15FC"/>
    <w:rsid w:val="00AD234B"/>
    <w:rsid w:val="00AD2A15"/>
    <w:rsid w:val="00AD2ECE"/>
    <w:rsid w:val="00AD539C"/>
    <w:rsid w:val="00AD53D2"/>
    <w:rsid w:val="00AD56AE"/>
    <w:rsid w:val="00AD5742"/>
    <w:rsid w:val="00AD586B"/>
    <w:rsid w:val="00AD5947"/>
    <w:rsid w:val="00AD6BFF"/>
    <w:rsid w:val="00AD7068"/>
    <w:rsid w:val="00AD7B0E"/>
    <w:rsid w:val="00AE03AF"/>
    <w:rsid w:val="00AE08D1"/>
    <w:rsid w:val="00AE0AB7"/>
    <w:rsid w:val="00AE15B0"/>
    <w:rsid w:val="00AE1893"/>
    <w:rsid w:val="00AE2B18"/>
    <w:rsid w:val="00AE2FED"/>
    <w:rsid w:val="00AE3BB1"/>
    <w:rsid w:val="00AE41F1"/>
    <w:rsid w:val="00AE5554"/>
    <w:rsid w:val="00AE561A"/>
    <w:rsid w:val="00AE602C"/>
    <w:rsid w:val="00AE6DF9"/>
    <w:rsid w:val="00AE6FBF"/>
    <w:rsid w:val="00AE777D"/>
    <w:rsid w:val="00AF015B"/>
    <w:rsid w:val="00AF11BC"/>
    <w:rsid w:val="00AF1A31"/>
    <w:rsid w:val="00AF242F"/>
    <w:rsid w:val="00AF28C0"/>
    <w:rsid w:val="00AF2F58"/>
    <w:rsid w:val="00AF31E8"/>
    <w:rsid w:val="00AF36B2"/>
    <w:rsid w:val="00AF375C"/>
    <w:rsid w:val="00AF415B"/>
    <w:rsid w:val="00AF4161"/>
    <w:rsid w:val="00B001A5"/>
    <w:rsid w:val="00B010A1"/>
    <w:rsid w:val="00B0356F"/>
    <w:rsid w:val="00B03D61"/>
    <w:rsid w:val="00B03F0A"/>
    <w:rsid w:val="00B05CF9"/>
    <w:rsid w:val="00B06121"/>
    <w:rsid w:val="00B0631E"/>
    <w:rsid w:val="00B06423"/>
    <w:rsid w:val="00B0659A"/>
    <w:rsid w:val="00B068EB"/>
    <w:rsid w:val="00B06ABC"/>
    <w:rsid w:val="00B06D86"/>
    <w:rsid w:val="00B07053"/>
    <w:rsid w:val="00B070F7"/>
    <w:rsid w:val="00B07465"/>
    <w:rsid w:val="00B075B6"/>
    <w:rsid w:val="00B10A6D"/>
    <w:rsid w:val="00B118F2"/>
    <w:rsid w:val="00B11D1D"/>
    <w:rsid w:val="00B12EED"/>
    <w:rsid w:val="00B13330"/>
    <w:rsid w:val="00B148C8"/>
    <w:rsid w:val="00B15A39"/>
    <w:rsid w:val="00B16422"/>
    <w:rsid w:val="00B1677F"/>
    <w:rsid w:val="00B172C4"/>
    <w:rsid w:val="00B176A6"/>
    <w:rsid w:val="00B17D74"/>
    <w:rsid w:val="00B209A6"/>
    <w:rsid w:val="00B20CDB"/>
    <w:rsid w:val="00B23788"/>
    <w:rsid w:val="00B23EB7"/>
    <w:rsid w:val="00B24129"/>
    <w:rsid w:val="00B24831"/>
    <w:rsid w:val="00B2499B"/>
    <w:rsid w:val="00B24E34"/>
    <w:rsid w:val="00B25082"/>
    <w:rsid w:val="00B250DF"/>
    <w:rsid w:val="00B25667"/>
    <w:rsid w:val="00B25A50"/>
    <w:rsid w:val="00B25C5A"/>
    <w:rsid w:val="00B2697B"/>
    <w:rsid w:val="00B27098"/>
    <w:rsid w:val="00B27283"/>
    <w:rsid w:val="00B27F6E"/>
    <w:rsid w:val="00B3002B"/>
    <w:rsid w:val="00B30C00"/>
    <w:rsid w:val="00B3115A"/>
    <w:rsid w:val="00B315D3"/>
    <w:rsid w:val="00B31F18"/>
    <w:rsid w:val="00B32988"/>
    <w:rsid w:val="00B3394B"/>
    <w:rsid w:val="00B34990"/>
    <w:rsid w:val="00B34BBA"/>
    <w:rsid w:val="00B34C77"/>
    <w:rsid w:val="00B357E8"/>
    <w:rsid w:val="00B417A0"/>
    <w:rsid w:val="00B41879"/>
    <w:rsid w:val="00B422B9"/>
    <w:rsid w:val="00B42632"/>
    <w:rsid w:val="00B42829"/>
    <w:rsid w:val="00B42C4A"/>
    <w:rsid w:val="00B43810"/>
    <w:rsid w:val="00B43D41"/>
    <w:rsid w:val="00B449CD"/>
    <w:rsid w:val="00B44A40"/>
    <w:rsid w:val="00B44FDC"/>
    <w:rsid w:val="00B45C52"/>
    <w:rsid w:val="00B45F04"/>
    <w:rsid w:val="00B460D5"/>
    <w:rsid w:val="00B46562"/>
    <w:rsid w:val="00B46D96"/>
    <w:rsid w:val="00B5110A"/>
    <w:rsid w:val="00B5123B"/>
    <w:rsid w:val="00B51A07"/>
    <w:rsid w:val="00B52912"/>
    <w:rsid w:val="00B54E20"/>
    <w:rsid w:val="00B55A90"/>
    <w:rsid w:val="00B56397"/>
    <w:rsid w:val="00B565AF"/>
    <w:rsid w:val="00B56EE6"/>
    <w:rsid w:val="00B57E7F"/>
    <w:rsid w:val="00B57F92"/>
    <w:rsid w:val="00B603A8"/>
    <w:rsid w:val="00B607FA"/>
    <w:rsid w:val="00B62C35"/>
    <w:rsid w:val="00B63400"/>
    <w:rsid w:val="00B65632"/>
    <w:rsid w:val="00B662B1"/>
    <w:rsid w:val="00B67290"/>
    <w:rsid w:val="00B67F44"/>
    <w:rsid w:val="00B71074"/>
    <w:rsid w:val="00B727C4"/>
    <w:rsid w:val="00B72826"/>
    <w:rsid w:val="00B731D4"/>
    <w:rsid w:val="00B7434F"/>
    <w:rsid w:val="00B75CB1"/>
    <w:rsid w:val="00B75E10"/>
    <w:rsid w:val="00B76049"/>
    <w:rsid w:val="00B76448"/>
    <w:rsid w:val="00B76A85"/>
    <w:rsid w:val="00B7728D"/>
    <w:rsid w:val="00B77375"/>
    <w:rsid w:val="00B779EA"/>
    <w:rsid w:val="00B77E25"/>
    <w:rsid w:val="00B81ADD"/>
    <w:rsid w:val="00B8241A"/>
    <w:rsid w:val="00B83242"/>
    <w:rsid w:val="00B83A9E"/>
    <w:rsid w:val="00B842BF"/>
    <w:rsid w:val="00B84959"/>
    <w:rsid w:val="00B84F60"/>
    <w:rsid w:val="00B8543D"/>
    <w:rsid w:val="00B85990"/>
    <w:rsid w:val="00B85EF0"/>
    <w:rsid w:val="00B86BFC"/>
    <w:rsid w:val="00B91EC4"/>
    <w:rsid w:val="00B91FEA"/>
    <w:rsid w:val="00B931BC"/>
    <w:rsid w:val="00B93649"/>
    <w:rsid w:val="00B9417C"/>
    <w:rsid w:val="00B9468E"/>
    <w:rsid w:val="00B94931"/>
    <w:rsid w:val="00B94A55"/>
    <w:rsid w:val="00B95C6A"/>
    <w:rsid w:val="00B9643F"/>
    <w:rsid w:val="00B9683D"/>
    <w:rsid w:val="00BA1C8B"/>
    <w:rsid w:val="00BA1CF6"/>
    <w:rsid w:val="00BA1F92"/>
    <w:rsid w:val="00BA2607"/>
    <w:rsid w:val="00BA28C2"/>
    <w:rsid w:val="00BA306A"/>
    <w:rsid w:val="00BA3526"/>
    <w:rsid w:val="00BA36BC"/>
    <w:rsid w:val="00BA430D"/>
    <w:rsid w:val="00BA54DA"/>
    <w:rsid w:val="00BB0D00"/>
    <w:rsid w:val="00BB0EE4"/>
    <w:rsid w:val="00BB10F3"/>
    <w:rsid w:val="00BB16C1"/>
    <w:rsid w:val="00BB2274"/>
    <w:rsid w:val="00BB2815"/>
    <w:rsid w:val="00BB36B6"/>
    <w:rsid w:val="00BB3DC6"/>
    <w:rsid w:val="00BB3F40"/>
    <w:rsid w:val="00BB47BF"/>
    <w:rsid w:val="00BB49E7"/>
    <w:rsid w:val="00BB4D30"/>
    <w:rsid w:val="00BB549C"/>
    <w:rsid w:val="00BB5C17"/>
    <w:rsid w:val="00BB65B1"/>
    <w:rsid w:val="00BB68AB"/>
    <w:rsid w:val="00BB6C2F"/>
    <w:rsid w:val="00BB6D1C"/>
    <w:rsid w:val="00BC1D99"/>
    <w:rsid w:val="00BC2B3F"/>
    <w:rsid w:val="00BC2CDE"/>
    <w:rsid w:val="00BC405D"/>
    <w:rsid w:val="00BC47E4"/>
    <w:rsid w:val="00BC4D20"/>
    <w:rsid w:val="00BC4F8B"/>
    <w:rsid w:val="00BC5E6B"/>
    <w:rsid w:val="00BC614E"/>
    <w:rsid w:val="00BC6419"/>
    <w:rsid w:val="00BC76B9"/>
    <w:rsid w:val="00BC7BF0"/>
    <w:rsid w:val="00BD03B2"/>
    <w:rsid w:val="00BD06E4"/>
    <w:rsid w:val="00BD0FD6"/>
    <w:rsid w:val="00BD12A8"/>
    <w:rsid w:val="00BD141C"/>
    <w:rsid w:val="00BD2C2D"/>
    <w:rsid w:val="00BD2EFF"/>
    <w:rsid w:val="00BD395F"/>
    <w:rsid w:val="00BD63C7"/>
    <w:rsid w:val="00BD6AA3"/>
    <w:rsid w:val="00BD722D"/>
    <w:rsid w:val="00BD729C"/>
    <w:rsid w:val="00BD72B3"/>
    <w:rsid w:val="00BE1994"/>
    <w:rsid w:val="00BE2CCD"/>
    <w:rsid w:val="00BE2F34"/>
    <w:rsid w:val="00BE42EF"/>
    <w:rsid w:val="00BE466E"/>
    <w:rsid w:val="00BE4A4B"/>
    <w:rsid w:val="00BE5442"/>
    <w:rsid w:val="00BE5E33"/>
    <w:rsid w:val="00BE5EF4"/>
    <w:rsid w:val="00BE6098"/>
    <w:rsid w:val="00BE68C4"/>
    <w:rsid w:val="00BE6917"/>
    <w:rsid w:val="00BE6CDE"/>
    <w:rsid w:val="00BE7B13"/>
    <w:rsid w:val="00BE7D80"/>
    <w:rsid w:val="00BF0604"/>
    <w:rsid w:val="00BF06DD"/>
    <w:rsid w:val="00BF0A70"/>
    <w:rsid w:val="00BF0FBE"/>
    <w:rsid w:val="00BF0FFE"/>
    <w:rsid w:val="00BF127E"/>
    <w:rsid w:val="00BF180D"/>
    <w:rsid w:val="00BF1B76"/>
    <w:rsid w:val="00BF21BB"/>
    <w:rsid w:val="00BF2425"/>
    <w:rsid w:val="00BF41E4"/>
    <w:rsid w:val="00BF568F"/>
    <w:rsid w:val="00BF5836"/>
    <w:rsid w:val="00BF5D4F"/>
    <w:rsid w:val="00BF5EC6"/>
    <w:rsid w:val="00BF68A8"/>
    <w:rsid w:val="00BF7511"/>
    <w:rsid w:val="00BF7F7B"/>
    <w:rsid w:val="00C00337"/>
    <w:rsid w:val="00C00930"/>
    <w:rsid w:val="00C00E90"/>
    <w:rsid w:val="00C017A9"/>
    <w:rsid w:val="00C01F9C"/>
    <w:rsid w:val="00C02162"/>
    <w:rsid w:val="00C026C1"/>
    <w:rsid w:val="00C035B9"/>
    <w:rsid w:val="00C037A9"/>
    <w:rsid w:val="00C0397D"/>
    <w:rsid w:val="00C03A63"/>
    <w:rsid w:val="00C04004"/>
    <w:rsid w:val="00C041C2"/>
    <w:rsid w:val="00C0467C"/>
    <w:rsid w:val="00C04CAB"/>
    <w:rsid w:val="00C060B5"/>
    <w:rsid w:val="00C061A4"/>
    <w:rsid w:val="00C0688C"/>
    <w:rsid w:val="00C06ED6"/>
    <w:rsid w:val="00C06FD5"/>
    <w:rsid w:val="00C07E09"/>
    <w:rsid w:val="00C07EAB"/>
    <w:rsid w:val="00C102E8"/>
    <w:rsid w:val="00C10DAA"/>
    <w:rsid w:val="00C11079"/>
    <w:rsid w:val="00C11634"/>
    <w:rsid w:val="00C12A8C"/>
    <w:rsid w:val="00C12D9C"/>
    <w:rsid w:val="00C131EC"/>
    <w:rsid w:val="00C1412B"/>
    <w:rsid w:val="00C1438D"/>
    <w:rsid w:val="00C14F58"/>
    <w:rsid w:val="00C1516B"/>
    <w:rsid w:val="00C153A9"/>
    <w:rsid w:val="00C1684C"/>
    <w:rsid w:val="00C1769F"/>
    <w:rsid w:val="00C17E72"/>
    <w:rsid w:val="00C20365"/>
    <w:rsid w:val="00C20EA1"/>
    <w:rsid w:val="00C213F1"/>
    <w:rsid w:val="00C23A92"/>
    <w:rsid w:val="00C23E15"/>
    <w:rsid w:val="00C25219"/>
    <w:rsid w:val="00C259E8"/>
    <w:rsid w:val="00C25B44"/>
    <w:rsid w:val="00C25C96"/>
    <w:rsid w:val="00C25D1C"/>
    <w:rsid w:val="00C2603D"/>
    <w:rsid w:val="00C264D8"/>
    <w:rsid w:val="00C26541"/>
    <w:rsid w:val="00C2665D"/>
    <w:rsid w:val="00C26A4C"/>
    <w:rsid w:val="00C26D77"/>
    <w:rsid w:val="00C26DF5"/>
    <w:rsid w:val="00C27733"/>
    <w:rsid w:val="00C307E9"/>
    <w:rsid w:val="00C313BD"/>
    <w:rsid w:val="00C31474"/>
    <w:rsid w:val="00C32E35"/>
    <w:rsid w:val="00C33561"/>
    <w:rsid w:val="00C33CD3"/>
    <w:rsid w:val="00C34065"/>
    <w:rsid w:val="00C349DD"/>
    <w:rsid w:val="00C34CFE"/>
    <w:rsid w:val="00C34FDA"/>
    <w:rsid w:val="00C352BF"/>
    <w:rsid w:val="00C3569D"/>
    <w:rsid w:val="00C35B9C"/>
    <w:rsid w:val="00C35E7C"/>
    <w:rsid w:val="00C3694D"/>
    <w:rsid w:val="00C36E1D"/>
    <w:rsid w:val="00C370AD"/>
    <w:rsid w:val="00C404B7"/>
    <w:rsid w:val="00C4186F"/>
    <w:rsid w:val="00C41D44"/>
    <w:rsid w:val="00C42F44"/>
    <w:rsid w:val="00C43886"/>
    <w:rsid w:val="00C4400D"/>
    <w:rsid w:val="00C4445C"/>
    <w:rsid w:val="00C44E6F"/>
    <w:rsid w:val="00C45279"/>
    <w:rsid w:val="00C4613F"/>
    <w:rsid w:val="00C4660A"/>
    <w:rsid w:val="00C47474"/>
    <w:rsid w:val="00C50389"/>
    <w:rsid w:val="00C518DE"/>
    <w:rsid w:val="00C51B64"/>
    <w:rsid w:val="00C52661"/>
    <w:rsid w:val="00C5270B"/>
    <w:rsid w:val="00C538D9"/>
    <w:rsid w:val="00C5424E"/>
    <w:rsid w:val="00C546C3"/>
    <w:rsid w:val="00C547EF"/>
    <w:rsid w:val="00C54A53"/>
    <w:rsid w:val="00C54EA3"/>
    <w:rsid w:val="00C57A4F"/>
    <w:rsid w:val="00C604D9"/>
    <w:rsid w:val="00C6073A"/>
    <w:rsid w:val="00C60796"/>
    <w:rsid w:val="00C609C6"/>
    <w:rsid w:val="00C617EB"/>
    <w:rsid w:val="00C61890"/>
    <w:rsid w:val="00C62B3D"/>
    <w:rsid w:val="00C64142"/>
    <w:rsid w:val="00C650E1"/>
    <w:rsid w:val="00C666EB"/>
    <w:rsid w:val="00C66C1A"/>
    <w:rsid w:val="00C677EF"/>
    <w:rsid w:val="00C67CDD"/>
    <w:rsid w:val="00C70E1E"/>
    <w:rsid w:val="00C72133"/>
    <w:rsid w:val="00C74155"/>
    <w:rsid w:val="00C74BD8"/>
    <w:rsid w:val="00C74D36"/>
    <w:rsid w:val="00C75768"/>
    <w:rsid w:val="00C765A3"/>
    <w:rsid w:val="00C77766"/>
    <w:rsid w:val="00C80004"/>
    <w:rsid w:val="00C800BE"/>
    <w:rsid w:val="00C80D07"/>
    <w:rsid w:val="00C81299"/>
    <w:rsid w:val="00C814A3"/>
    <w:rsid w:val="00C82712"/>
    <w:rsid w:val="00C830C2"/>
    <w:rsid w:val="00C834DD"/>
    <w:rsid w:val="00C834F8"/>
    <w:rsid w:val="00C83849"/>
    <w:rsid w:val="00C839AA"/>
    <w:rsid w:val="00C83A04"/>
    <w:rsid w:val="00C84B3B"/>
    <w:rsid w:val="00C852D1"/>
    <w:rsid w:val="00C868B4"/>
    <w:rsid w:val="00C87C4C"/>
    <w:rsid w:val="00C87C78"/>
    <w:rsid w:val="00C87D4F"/>
    <w:rsid w:val="00C87F09"/>
    <w:rsid w:val="00C905D0"/>
    <w:rsid w:val="00C9187E"/>
    <w:rsid w:val="00C91A6F"/>
    <w:rsid w:val="00C92057"/>
    <w:rsid w:val="00C92F49"/>
    <w:rsid w:val="00C9315D"/>
    <w:rsid w:val="00C9327A"/>
    <w:rsid w:val="00C94D41"/>
    <w:rsid w:val="00C94EC9"/>
    <w:rsid w:val="00C95532"/>
    <w:rsid w:val="00C96101"/>
    <w:rsid w:val="00C9661F"/>
    <w:rsid w:val="00C973CF"/>
    <w:rsid w:val="00CA0FF2"/>
    <w:rsid w:val="00CA2798"/>
    <w:rsid w:val="00CA282E"/>
    <w:rsid w:val="00CA2AA6"/>
    <w:rsid w:val="00CA2FD0"/>
    <w:rsid w:val="00CA4564"/>
    <w:rsid w:val="00CA4A14"/>
    <w:rsid w:val="00CA65C0"/>
    <w:rsid w:val="00CA6983"/>
    <w:rsid w:val="00CA6FFF"/>
    <w:rsid w:val="00CA72CA"/>
    <w:rsid w:val="00CA7A83"/>
    <w:rsid w:val="00CA7DF1"/>
    <w:rsid w:val="00CB1B0E"/>
    <w:rsid w:val="00CB29E7"/>
    <w:rsid w:val="00CB3025"/>
    <w:rsid w:val="00CB37AE"/>
    <w:rsid w:val="00CB426F"/>
    <w:rsid w:val="00CB49E9"/>
    <w:rsid w:val="00CB550D"/>
    <w:rsid w:val="00CB5611"/>
    <w:rsid w:val="00CB6050"/>
    <w:rsid w:val="00CB6193"/>
    <w:rsid w:val="00CB70DA"/>
    <w:rsid w:val="00CB7209"/>
    <w:rsid w:val="00CB7C63"/>
    <w:rsid w:val="00CC013C"/>
    <w:rsid w:val="00CC03F4"/>
    <w:rsid w:val="00CC0ABD"/>
    <w:rsid w:val="00CC0D7D"/>
    <w:rsid w:val="00CC1A0F"/>
    <w:rsid w:val="00CC2686"/>
    <w:rsid w:val="00CC2D51"/>
    <w:rsid w:val="00CC4392"/>
    <w:rsid w:val="00CC5B67"/>
    <w:rsid w:val="00CC724E"/>
    <w:rsid w:val="00CD0062"/>
    <w:rsid w:val="00CD0B8B"/>
    <w:rsid w:val="00CD0F90"/>
    <w:rsid w:val="00CD10B7"/>
    <w:rsid w:val="00CD1A8D"/>
    <w:rsid w:val="00CD1DB2"/>
    <w:rsid w:val="00CD2FE4"/>
    <w:rsid w:val="00CD3197"/>
    <w:rsid w:val="00CD418F"/>
    <w:rsid w:val="00CD64C9"/>
    <w:rsid w:val="00CD7CF5"/>
    <w:rsid w:val="00CE166F"/>
    <w:rsid w:val="00CE17AD"/>
    <w:rsid w:val="00CE1929"/>
    <w:rsid w:val="00CE2045"/>
    <w:rsid w:val="00CE2A0C"/>
    <w:rsid w:val="00CE3484"/>
    <w:rsid w:val="00CE4574"/>
    <w:rsid w:val="00CE4F28"/>
    <w:rsid w:val="00CE60F4"/>
    <w:rsid w:val="00CE697E"/>
    <w:rsid w:val="00CE73CA"/>
    <w:rsid w:val="00CE778C"/>
    <w:rsid w:val="00CE7AD6"/>
    <w:rsid w:val="00CE7C9F"/>
    <w:rsid w:val="00CE7F42"/>
    <w:rsid w:val="00CF04CC"/>
    <w:rsid w:val="00CF264A"/>
    <w:rsid w:val="00CF2710"/>
    <w:rsid w:val="00CF2E60"/>
    <w:rsid w:val="00CF3007"/>
    <w:rsid w:val="00CF32F5"/>
    <w:rsid w:val="00CF39D4"/>
    <w:rsid w:val="00CF3C78"/>
    <w:rsid w:val="00CF48EE"/>
    <w:rsid w:val="00CF5060"/>
    <w:rsid w:val="00CF5524"/>
    <w:rsid w:val="00CF5C61"/>
    <w:rsid w:val="00CF5CCD"/>
    <w:rsid w:val="00CF5DB1"/>
    <w:rsid w:val="00CF6556"/>
    <w:rsid w:val="00CF68D2"/>
    <w:rsid w:val="00CF746D"/>
    <w:rsid w:val="00D0070D"/>
    <w:rsid w:val="00D00F8A"/>
    <w:rsid w:val="00D015E6"/>
    <w:rsid w:val="00D03AB7"/>
    <w:rsid w:val="00D040F7"/>
    <w:rsid w:val="00D05198"/>
    <w:rsid w:val="00D056D5"/>
    <w:rsid w:val="00D06332"/>
    <w:rsid w:val="00D065DE"/>
    <w:rsid w:val="00D079B2"/>
    <w:rsid w:val="00D1018A"/>
    <w:rsid w:val="00D13B29"/>
    <w:rsid w:val="00D13CA9"/>
    <w:rsid w:val="00D13FFF"/>
    <w:rsid w:val="00D140AE"/>
    <w:rsid w:val="00D14ED5"/>
    <w:rsid w:val="00D15824"/>
    <w:rsid w:val="00D15D7C"/>
    <w:rsid w:val="00D17557"/>
    <w:rsid w:val="00D20129"/>
    <w:rsid w:val="00D20C03"/>
    <w:rsid w:val="00D21360"/>
    <w:rsid w:val="00D21542"/>
    <w:rsid w:val="00D219E2"/>
    <w:rsid w:val="00D21BD2"/>
    <w:rsid w:val="00D21E67"/>
    <w:rsid w:val="00D220F9"/>
    <w:rsid w:val="00D231A7"/>
    <w:rsid w:val="00D23368"/>
    <w:rsid w:val="00D2373F"/>
    <w:rsid w:val="00D23D3F"/>
    <w:rsid w:val="00D23DFA"/>
    <w:rsid w:val="00D247E3"/>
    <w:rsid w:val="00D24C23"/>
    <w:rsid w:val="00D25C22"/>
    <w:rsid w:val="00D25FA6"/>
    <w:rsid w:val="00D260D7"/>
    <w:rsid w:val="00D26152"/>
    <w:rsid w:val="00D271C9"/>
    <w:rsid w:val="00D272E6"/>
    <w:rsid w:val="00D30110"/>
    <w:rsid w:val="00D30BA4"/>
    <w:rsid w:val="00D3246C"/>
    <w:rsid w:val="00D35461"/>
    <w:rsid w:val="00D36BE2"/>
    <w:rsid w:val="00D374D9"/>
    <w:rsid w:val="00D37D93"/>
    <w:rsid w:val="00D401F1"/>
    <w:rsid w:val="00D40C16"/>
    <w:rsid w:val="00D41321"/>
    <w:rsid w:val="00D41F4D"/>
    <w:rsid w:val="00D42398"/>
    <w:rsid w:val="00D42660"/>
    <w:rsid w:val="00D43D71"/>
    <w:rsid w:val="00D44271"/>
    <w:rsid w:val="00D448BA"/>
    <w:rsid w:val="00D455E8"/>
    <w:rsid w:val="00D457B4"/>
    <w:rsid w:val="00D45928"/>
    <w:rsid w:val="00D45AB0"/>
    <w:rsid w:val="00D46B1F"/>
    <w:rsid w:val="00D46C2A"/>
    <w:rsid w:val="00D4700C"/>
    <w:rsid w:val="00D47380"/>
    <w:rsid w:val="00D47936"/>
    <w:rsid w:val="00D5011A"/>
    <w:rsid w:val="00D5099E"/>
    <w:rsid w:val="00D50A17"/>
    <w:rsid w:val="00D51084"/>
    <w:rsid w:val="00D51F3C"/>
    <w:rsid w:val="00D524A6"/>
    <w:rsid w:val="00D530EA"/>
    <w:rsid w:val="00D534BC"/>
    <w:rsid w:val="00D53CBE"/>
    <w:rsid w:val="00D54DE1"/>
    <w:rsid w:val="00D55773"/>
    <w:rsid w:val="00D55D52"/>
    <w:rsid w:val="00D560D0"/>
    <w:rsid w:val="00D56535"/>
    <w:rsid w:val="00D568D9"/>
    <w:rsid w:val="00D5739E"/>
    <w:rsid w:val="00D60001"/>
    <w:rsid w:val="00D60054"/>
    <w:rsid w:val="00D601E6"/>
    <w:rsid w:val="00D606C0"/>
    <w:rsid w:val="00D60D7D"/>
    <w:rsid w:val="00D623BA"/>
    <w:rsid w:val="00D64D7C"/>
    <w:rsid w:val="00D66404"/>
    <w:rsid w:val="00D67118"/>
    <w:rsid w:val="00D671DA"/>
    <w:rsid w:val="00D70ABF"/>
    <w:rsid w:val="00D71F6F"/>
    <w:rsid w:val="00D71F92"/>
    <w:rsid w:val="00D72405"/>
    <w:rsid w:val="00D7271F"/>
    <w:rsid w:val="00D72F9E"/>
    <w:rsid w:val="00D7330F"/>
    <w:rsid w:val="00D73449"/>
    <w:rsid w:val="00D7528A"/>
    <w:rsid w:val="00D76697"/>
    <w:rsid w:val="00D77E5E"/>
    <w:rsid w:val="00D8024D"/>
    <w:rsid w:val="00D80700"/>
    <w:rsid w:val="00D80819"/>
    <w:rsid w:val="00D81481"/>
    <w:rsid w:val="00D81844"/>
    <w:rsid w:val="00D821D3"/>
    <w:rsid w:val="00D8285F"/>
    <w:rsid w:val="00D838D7"/>
    <w:rsid w:val="00D84328"/>
    <w:rsid w:val="00D84B0F"/>
    <w:rsid w:val="00D84CF3"/>
    <w:rsid w:val="00D8505D"/>
    <w:rsid w:val="00D8589F"/>
    <w:rsid w:val="00D85DE8"/>
    <w:rsid w:val="00D8634A"/>
    <w:rsid w:val="00D868E8"/>
    <w:rsid w:val="00D90156"/>
    <w:rsid w:val="00D90690"/>
    <w:rsid w:val="00D909FA"/>
    <w:rsid w:val="00D92135"/>
    <w:rsid w:val="00D92595"/>
    <w:rsid w:val="00D92837"/>
    <w:rsid w:val="00D92922"/>
    <w:rsid w:val="00D940CD"/>
    <w:rsid w:val="00D94A1E"/>
    <w:rsid w:val="00D95749"/>
    <w:rsid w:val="00D95870"/>
    <w:rsid w:val="00D95B39"/>
    <w:rsid w:val="00D96895"/>
    <w:rsid w:val="00D96B5E"/>
    <w:rsid w:val="00D97047"/>
    <w:rsid w:val="00D978AF"/>
    <w:rsid w:val="00D978F4"/>
    <w:rsid w:val="00D97D6E"/>
    <w:rsid w:val="00DA0A54"/>
    <w:rsid w:val="00DA0ABC"/>
    <w:rsid w:val="00DA0E76"/>
    <w:rsid w:val="00DA0FD8"/>
    <w:rsid w:val="00DA11B4"/>
    <w:rsid w:val="00DA130C"/>
    <w:rsid w:val="00DA193E"/>
    <w:rsid w:val="00DA198D"/>
    <w:rsid w:val="00DA1DDE"/>
    <w:rsid w:val="00DA251E"/>
    <w:rsid w:val="00DA2EF8"/>
    <w:rsid w:val="00DA48A2"/>
    <w:rsid w:val="00DA50C1"/>
    <w:rsid w:val="00DA5DB3"/>
    <w:rsid w:val="00DA7962"/>
    <w:rsid w:val="00DA7CC9"/>
    <w:rsid w:val="00DA7F20"/>
    <w:rsid w:val="00DB08DD"/>
    <w:rsid w:val="00DB0A54"/>
    <w:rsid w:val="00DB28CE"/>
    <w:rsid w:val="00DB31A6"/>
    <w:rsid w:val="00DB33EB"/>
    <w:rsid w:val="00DB3539"/>
    <w:rsid w:val="00DB390F"/>
    <w:rsid w:val="00DB558D"/>
    <w:rsid w:val="00DB5AA8"/>
    <w:rsid w:val="00DB70E4"/>
    <w:rsid w:val="00DB71C6"/>
    <w:rsid w:val="00DB71F9"/>
    <w:rsid w:val="00DB79C8"/>
    <w:rsid w:val="00DB7B4D"/>
    <w:rsid w:val="00DC023C"/>
    <w:rsid w:val="00DC02C6"/>
    <w:rsid w:val="00DC04B8"/>
    <w:rsid w:val="00DC04D4"/>
    <w:rsid w:val="00DC071A"/>
    <w:rsid w:val="00DC0910"/>
    <w:rsid w:val="00DC1273"/>
    <w:rsid w:val="00DC12A8"/>
    <w:rsid w:val="00DC22C7"/>
    <w:rsid w:val="00DC413D"/>
    <w:rsid w:val="00DC45EB"/>
    <w:rsid w:val="00DC589D"/>
    <w:rsid w:val="00DC5A34"/>
    <w:rsid w:val="00DC7C19"/>
    <w:rsid w:val="00DD06CF"/>
    <w:rsid w:val="00DD1DC0"/>
    <w:rsid w:val="00DD1E0C"/>
    <w:rsid w:val="00DD1F48"/>
    <w:rsid w:val="00DD2722"/>
    <w:rsid w:val="00DD2FE6"/>
    <w:rsid w:val="00DD3313"/>
    <w:rsid w:val="00DD43C1"/>
    <w:rsid w:val="00DD4D36"/>
    <w:rsid w:val="00DD4FF1"/>
    <w:rsid w:val="00DD548F"/>
    <w:rsid w:val="00DD54D5"/>
    <w:rsid w:val="00DD5D7A"/>
    <w:rsid w:val="00DD5E66"/>
    <w:rsid w:val="00DD62F1"/>
    <w:rsid w:val="00DD6CBB"/>
    <w:rsid w:val="00DD71E0"/>
    <w:rsid w:val="00DE2251"/>
    <w:rsid w:val="00DE2D9C"/>
    <w:rsid w:val="00DE54D9"/>
    <w:rsid w:val="00DE6906"/>
    <w:rsid w:val="00DE7C15"/>
    <w:rsid w:val="00DF087A"/>
    <w:rsid w:val="00DF17DC"/>
    <w:rsid w:val="00DF1CC5"/>
    <w:rsid w:val="00DF312D"/>
    <w:rsid w:val="00DF48C7"/>
    <w:rsid w:val="00DF58C2"/>
    <w:rsid w:val="00DF6B5A"/>
    <w:rsid w:val="00DF70DD"/>
    <w:rsid w:val="00DF777C"/>
    <w:rsid w:val="00E000FB"/>
    <w:rsid w:val="00E0024C"/>
    <w:rsid w:val="00E013A1"/>
    <w:rsid w:val="00E0147C"/>
    <w:rsid w:val="00E01832"/>
    <w:rsid w:val="00E01916"/>
    <w:rsid w:val="00E0280F"/>
    <w:rsid w:val="00E029A1"/>
    <w:rsid w:val="00E029FB"/>
    <w:rsid w:val="00E02BD0"/>
    <w:rsid w:val="00E0325E"/>
    <w:rsid w:val="00E04085"/>
    <w:rsid w:val="00E051FB"/>
    <w:rsid w:val="00E06AFC"/>
    <w:rsid w:val="00E06DD6"/>
    <w:rsid w:val="00E072A2"/>
    <w:rsid w:val="00E07557"/>
    <w:rsid w:val="00E07669"/>
    <w:rsid w:val="00E07792"/>
    <w:rsid w:val="00E10101"/>
    <w:rsid w:val="00E101B2"/>
    <w:rsid w:val="00E10601"/>
    <w:rsid w:val="00E106AE"/>
    <w:rsid w:val="00E110BD"/>
    <w:rsid w:val="00E1116C"/>
    <w:rsid w:val="00E11AFA"/>
    <w:rsid w:val="00E1289A"/>
    <w:rsid w:val="00E12C31"/>
    <w:rsid w:val="00E1314A"/>
    <w:rsid w:val="00E13421"/>
    <w:rsid w:val="00E13801"/>
    <w:rsid w:val="00E13DF9"/>
    <w:rsid w:val="00E1535C"/>
    <w:rsid w:val="00E15B97"/>
    <w:rsid w:val="00E163BE"/>
    <w:rsid w:val="00E1641F"/>
    <w:rsid w:val="00E175F4"/>
    <w:rsid w:val="00E17953"/>
    <w:rsid w:val="00E17AB7"/>
    <w:rsid w:val="00E20122"/>
    <w:rsid w:val="00E204FD"/>
    <w:rsid w:val="00E2233F"/>
    <w:rsid w:val="00E22550"/>
    <w:rsid w:val="00E22754"/>
    <w:rsid w:val="00E23FD6"/>
    <w:rsid w:val="00E24336"/>
    <w:rsid w:val="00E25418"/>
    <w:rsid w:val="00E2550F"/>
    <w:rsid w:val="00E25B3F"/>
    <w:rsid w:val="00E25C88"/>
    <w:rsid w:val="00E260D5"/>
    <w:rsid w:val="00E264E2"/>
    <w:rsid w:val="00E265D8"/>
    <w:rsid w:val="00E26769"/>
    <w:rsid w:val="00E267EB"/>
    <w:rsid w:val="00E26881"/>
    <w:rsid w:val="00E26C4F"/>
    <w:rsid w:val="00E26E14"/>
    <w:rsid w:val="00E26FB0"/>
    <w:rsid w:val="00E3069B"/>
    <w:rsid w:val="00E32275"/>
    <w:rsid w:val="00E32726"/>
    <w:rsid w:val="00E32A9D"/>
    <w:rsid w:val="00E32EEC"/>
    <w:rsid w:val="00E330A1"/>
    <w:rsid w:val="00E33B89"/>
    <w:rsid w:val="00E346B9"/>
    <w:rsid w:val="00E35198"/>
    <w:rsid w:val="00E356D5"/>
    <w:rsid w:val="00E3613F"/>
    <w:rsid w:val="00E36481"/>
    <w:rsid w:val="00E36975"/>
    <w:rsid w:val="00E408CB"/>
    <w:rsid w:val="00E437D2"/>
    <w:rsid w:val="00E45903"/>
    <w:rsid w:val="00E46253"/>
    <w:rsid w:val="00E46914"/>
    <w:rsid w:val="00E47476"/>
    <w:rsid w:val="00E479EF"/>
    <w:rsid w:val="00E506F2"/>
    <w:rsid w:val="00E50C02"/>
    <w:rsid w:val="00E50DD9"/>
    <w:rsid w:val="00E50FB7"/>
    <w:rsid w:val="00E51544"/>
    <w:rsid w:val="00E5169E"/>
    <w:rsid w:val="00E531AA"/>
    <w:rsid w:val="00E53282"/>
    <w:rsid w:val="00E5357B"/>
    <w:rsid w:val="00E53B0A"/>
    <w:rsid w:val="00E54515"/>
    <w:rsid w:val="00E54A46"/>
    <w:rsid w:val="00E5591E"/>
    <w:rsid w:val="00E56176"/>
    <w:rsid w:val="00E5743F"/>
    <w:rsid w:val="00E57E5E"/>
    <w:rsid w:val="00E6092E"/>
    <w:rsid w:val="00E60D8C"/>
    <w:rsid w:val="00E61193"/>
    <w:rsid w:val="00E614DC"/>
    <w:rsid w:val="00E626F2"/>
    <w:rsid w:val="00E62CF1"/>
    <w:rsid w:val="00E63240"/>
    <w:rsid w:val="00E634BE"/>
    <w:rsid w:val="00E63DD7"/>
    <w:rsid w:val="00E63F08"/>
    <w:rsid w:val="00E64AC1"/>
    <w:rsid w:val="00E65471"/>
    <w:rsid w:val="00E65932"/>
    <w:rsid w:val="00E65A6B"/>
    <w:rsid w:val="00E704B1"/>
    <w:rsid w:val="00E704ED"/>
    <w:rsid w:val="00E70CA6"/>
    <w:rsid w:val="00E714BC"/>
    <w:rsid w:val="00E7197C"/>
    <w:rsid w:val="00E7241E"/>
    <w:rsid w:val="00E727AA"/>
    <w:rsid w:val="00E72A77"/>
    <w:rsid w:val="00E733F6"/>
    <w:rsid w:val="00E739CC"/>
    <w:rsid w:val="00E74EB6"/>
    <w:rsid w:val="00E754D7"/>
    <w:rsid w:val="00E7551A"/>
    <w:rsid w:val="00E75616"/>
    <w:rsid w:val="00E7744A"/>
    <w:rsid w:val="00E779A3"/>
    <w:rsid w:val="00E77ED8"/>
    <w:rsid w:val="00E80938"/>
    <w:rsid w:val="00E81C1F"/>
    <w:rsid w:val="00E81FE5"/>
    <w:rsid w:val="00E84B57"/>
    <w:rsid w:val="00E850F5"/>
    <w:rsid w:val="00E86705"/>
    <w:rsid w:val="00E8764F"/>
    <w:rsid w:val="00E87953"/>
    <w:rsid w:val="00E87FAF"/>
    <w:rsid w:val="00E9052E"/>
    <w:rsid w:val="00E90600"/>
    <w:rsid w:val="00E90F94"/>
    <w:rsid w:val="00E916D1"/>
    <w:rsid w:val="00E91BEC"/>
    <w:rsid w:val="00E91C47"/>
    <w:rsid w:val="00E91E25"/>
    <w:rsid w:val="00E92642"/>
    <w:rsid w:val="00E92E16"/>
    <w:rsid w:val="00E93419"/>
    <w:rsid w:val="00E950B4"/>
    <w:rsid w:val="00E957C0"/>
    <w:rsid w:val="00E957F0"/>
    <w:rsid w:val="00E95B74"/>
    <w:rsid w:val="00E95BAE"/>
    <w:rsid w:val="00E96196"/>
    <w:rsid w:val="00E96A7D"/>
    <w:rsid w:val="00E96E35"/>
    <w:rsid w:val="00E970F6"/>
    <w:rsid w:val="00E97140"/>
    <w:rsid w:val="00EA0524"/>
    <w:rsid w:val="00EA177E"/>
    <w:rsid w:val="00EA24A1"/>
    <w:rsid w:val="00EA2DE7"/>
    <w:rsid w:val="00EA306D"/>
    <w:rsid w:val="00EA32A9"/>
    <w:rsid w:val="00EA4725"/>
    <w:rsid w:val="00EA4CC7"/>
    <w:rsid w:val="00EA61FF"/>
    <w:rsid w:val="00EB0DCB"/>
    <w:rsid w:val="00EB18A0"/>
    <w:rsid w:val="00EB26F5"/>
    <w:rsid w:val="00EB28C7"/>
    <w:rsid w:val="00EB2B3B"/>
    <w:rsid w:val="00EB31B7"/>
    <w:rsid w:val="00EB3466"/>
    <w:rsid w:val="00EB3747"/>
    <w:rsid w:val="00EB447F"/>
    <w:rsid w:val="00EB4A5B"/>
    <w:rsid w:val="00EB4A6E"/>
    <w:rsid w:val="00EB54A8"/>
    <w:rsid w:val="00EB6356"/>
    <w:rsid w:val="00EB64B6"/>
    <w:rsid w:val="00EB6D01"/>
    <w:rsid w:val="00EB7B39"/>
    <w:rsid w:val="00EC004C"/>
    <w:rsid w:val="00EC0F01"/>
    <w:rsid w:val="00EC16FC"/>
    <w:rsid w:val="00EC188E"/>
    <w:rsid w:val="00EC1A2C"/>
    <w:rsid w:val="00EC1ABC"/>
    <w:rsid w:val="00EC4205"/>
    <w:rsid w:val="00EC421B"/>
    <w:rsid w:val="00EC458C"/>
    <w:rsid w:val="00EC45C1"/>
    <w:rsid w:val="00EC4C9F"/>
    <w:rsid w:val="00EC5FC9"/>
    <w:rsid w:val="00EC6410"/>
    <w:rsid w:val="00EC6477"/>
    <w:rsid w:val="00EC6996"/>
    <w:rsid w:val="00EC7582"/>
    <w:rsid w:val="00EC78B8"/>
    <w:rsid w:val="00EC792F"/>
    <w:rsid w:val="00ED00EB"/>
    <w:rsid w:val="00ED11EA"/>
    <w:rsid w:val="00ED17F9"/>
    <w:rsid w:val="00ED2B47"/>
    <w:rsid w:val="00ED2C06"/>
    <w:rsid w:val="00ED2C8F"/>
    <w:rsid w:val="00ED3301"/>
    <w:rsid w:val="00ED3F47"/>
    <w:rsid w:val="00ED4042"/>
    <w:rsid w:val="00ED70C5"/>
    <w:rsid w:val="00ED7FCF"/>
    <w:rsid w:val="00EE015F"/>
    <w:rsid w:val="00EE0AB3"/>
    <w:rsid w:val="00EE10C6"/>
    <w:rsid w:val="00EE1946"/>
    <w:rsid w:val="00EE2F8F"/>
    <w:rsid w:val="00EE461A"/>
    <w:rsid w:val="00EE4900"/>
    <w:rsid w:val="00EE4B46"/>
    <w:rsid w:val="00EE513C"/>
    <w:rsid w:val="00EE567D"/>
    <w:rsid w:val="00EE67BE"/>
    <w:rsid w:val="00EE6D09"/>
    <w:rsid w:val="00EE771F"/>
    <w:rsid w:val="00EF0719"/>
    <w:rsid w:val="00EF079C"/>
    <w:rsid w:val="00EF0ACD"/>
    <w:rsid w:val="00EF1939"/>
    <w:rsid w:val="00EF2585"/>
    <w:rsid w:val="00EF2F9B"/>
    <w:rsid w:val="00EF49CF"/>
    <w:rsid w:val="00EF5BBF"/>
    <w:rsid w:val="00EF5C33"/>
    <w:rsid w:val="00EF7652"/>
    <w:rsid w:val="00EF7DCD"/>
    <w:rsid w:val="00EF7F69"/>
    <w:rsid w:val="00F012B4"/>
    <w:rsid w:val="00F01396"/>
    <w:rsid w:val="00F0172A"/>
    <w:rsid w:val="00F01B46"/>
    <w:rsid w:val="00F03FA0"/>
    <w:rsid w:val="00F05A88"/>
    <w:rsid w:val="00F06890"/>
    <w:rsid w:val="00F06DE3"/>
    <w:rsid w:val="00F07752"/>
    <w:rsid w:val="00F079C4"/>
    <w:rsid w:val="00F07B67"/>
    <w:rsid w:val="00F10C1A"/>
    <w:rsid w:val="00F10E0A"/>
    <w:rsid w:val="00F13742"/>
    <w:rsid w:val="00F137A6"/>
    <w:rsid w:val="00F13CDA"/>
    <w:rsid w:val="00F13D72"/>
    <w:rsid w:val="00F140D6"/>
    <w:rsid w:val="00F15041"/>
    <w:rsid w:val="00F153F3"/>
    <w:rsid w:val="00F15F29"/>
    <w:rsid w:val="00F166D8"/>
    <w:rsid w:val="00F17C96"/>
    <w:rsid w:val="00F208FD"/>
    <w:rsid w:val="00F20B34"/>
    <w:rsid w:val="00F20BD9"/>
    <w:rsid w:val="00F20DBE"/>
    <w:rsid w:val="00F21E37"/>
    <w:rsid w:val="00F231F4"/>
    <w:rsid w:val="00F2353A"/>
    <w:rsid w:val="00F25349"/>
    <w:rsid w:val="00F25578"/>
    <w:rsid w:val="00F257AD"/>
    <w:rsid w:val="00F262AE"/>
    <w:rsid w:val="00F26681"/>
    <w:rsid w:val="00F2784D"/>
    <w:rsid w:val="00F27913"/>
    <w:rsid w:val="00F30AFE"/>
    <w:rsid w:val="00F31656"/>
    <w:rsid w:val="00F32174"/>
    <w:rsid w:val="00F32CFE"/>
    <w:rsid w:val="00F32FF6"/>
    <w:rsid w:val="00F3797B"/>
    <w:rsid w:val="00F40687"/>
    <w:rsid w:val="00F40690"/>
    <w:rsid w:val="00F40C85"/>
    <w:rsid w:val="00F4196B"/>
    <w:rsid w:val="00F421F7"/>
    <w:rsid w:val="00F42F4C"/>
    <w:rsid w:val="00F43E07"/>
    <w:rsid w:val="00F4404D"/>
    <w:rsid w:val="00F47756"/>
    <w:rsid w:val="00F47D2B"/>
    <w:rsid w:val="00F5004E"/>
    <w:rsid w:val="00F5121D"/>
    <w:rsid w:val="00F51431"/>
    <w:rsid w:val="00F51729"/>
    <w:rsid w:val="00F52EC6"/>
    <w:rsid w:val="00F52F30"/>
    <w:rsid w:val="00F56366"/>
    <w:rsid w:val="00F56D4F"/>
    <w:rsid w:val="00F57380"/>
    <w:rsid w:val="00F579AE"/>
    <w:rsid w:val="00F57DA3"/>
    <w:rsid w:val="00F606CC"/>
    <w:rsid w:val="00F608AF"/>
    <w:rsid w:val="00F60931"/>
    <w:rsid w:val="00F61589"/>
    <w:rsid w:val="00F62105"/>
    <w:rsid w:val="00F62429"/>
    <w:rsid w:val="00F629C8"/>
    <w:rsid w:val="00F62A7B"/>
    <w:rsid w:val="00F63335"/>
    <w:rsid w:val="00F63B7E"/>
    <w:rsid w:val="00F63D56"/>
    <w:rsid w:val="00F6619D"/>
    <w:rsid w:val="00F66DED"/>
    <w:rsid w:val="00F67278"/>
    <w:rsid w:val="00F67CF6"/>
    <w:rsid w:val="00F67F46"/>
    <w:rsid w:val="00F701F3"/>
    <w:rsid w:val="00F70308"/>
    <w:rsid w:val="00F71570"/>
    <w:rsid w:val="00F71730"/>
    <w:rsid w:val="00F71D55"/>
    <w:rsid w:val="00F72B90"/>
    <w:rsid w:val="00F72DEF"/>
    <w:rsid w:val="00F72E00"/>
    <w:rsid w:val="00F73423"/>
    <w:rsid w:val="00F736A2"/>
    <w:rsid w:val="00F73A55"/>
    <w:rsid w:val="00F73AFA"/>
    <w:rsid w:val="00F7543A"/>
    <w:rsid w:val="00F75717"/>
    <w:rsid w:val="00F7581A"/>
    <w:rsid w:val="00F76590"/>
    <w:rsid w:val="00F76849"/>
    <w:rsid w:val="00F76870"/>
    <w:rsid w:val="00F76BC3"/>
    <w:rsid w:val="00F77841"/>
    <w:rsid w:val="00F807E0"/>
    <w:rsid w:val="00F80A1F"/>
    <w:rsid w:val="00F81249"/>
    <w:rsid w:val="00F81A66"/>
    <w:rsid w:val="00F81DD8"/>
    <w:rsid w:val="00F81FB0"/>
    <w:rsid w:val="00F82457"/>
    <w:rsid w:val="00F82497"/>
    <w:rsid w:val="00F82BF8"/>
    <w:rsid w:val="00F8305F"/>
    <w:rsid w:val="00F858E5"/>
    <w:rsid w:val="00F8605A"/>
    <w:rsid w:val="00F862AA"/>
    <w:rsid w:val="00F86822"/>
    <w:rsid w:val="00F86EB0"/>
    <w:rsid w:val="00F876AA"/>
    <w:rsid w:val="00F8793C"/>
    <w:rsid w:val="00F87B21"/>
    <w:rsid w:val="00F90246"/>
    <w:rsid w:val="00F902EE"/>
    <w:rsid w:val="00F90F50"/>
    <w:rsid w:val="00F91470"/>
    <w:rsid w:val="00F91575"/>
    <w:rsid w:val="00F922D7"/>
    <w:rsid w:val="00F93075"/>
    <w:rsid w:val="00F94D65"/>
    <w:rsid w:val="00F95339"/>
    <w:rsid w:val="00F9630A"/>
    <w:rsid w:val="00F969A8"/>
    <w:rsid w:val="00F96DA4"/>
    <w:rsid w:val="00F96EE2"/>
    <w:rsid w:val="00FA08A3"/>
    <w:rsid w:val="00FA141D"/>
    <w:rsid w:val="00FA2918"/>
    <w:rsid w:val="00FA2B7C"/>
    <w:rsid w:val="00FA2E36"/>
    <w:rsid w:val="00FA3280"/>
    <w:rsid w:val="00FA3AC7"/>
    <w:rsid w:val="00FA4D4E"/>
    <w:rsid w:val="00FA59E8"/>
    <w:rsid w:val="00FA5CF4"/>
    <w:rsid w:val="00FA5EEB"/>
    <w:rsid w:val="00FA66B2"/>
    <w:rsid w:val="00FA66BB"/>
    <w:rsid w:val="00FA76AB"/>
    <w:rsid w:val="00FA78DE"/>
    <w:rsid w:val="00FA7F1C"/>
    <w:rsid w:val="00FB01CF"/>
    <w:rsid w:val="00FB05B8"/>
    <w:rsid w:val="00FB0638"/>
    <w:rsid w:val="00FB06A8"/>
    <w:rsid w:val="00FB2E62"/>
    <w:rsid w:val="00FB2F23"/>
    <w:rsid w:val="00FB3421"/>
    <w:rsid w:val="00FB3EA0"/>
    <w:rsid w:val="00FB5212"/>
    <w:rsid w:val="00FB7424"/>
    <w:rsid w:val="00FB7435"/>
    <w:rsid w:val="00FB7A82"/>
    <w:rsid w:val="00FB7E59"/>
    <w:rsid w:val="00FC062C"/>
    <w:rsid w:val="00FC16F6"/>
    <w:rsid w:val="00FC1B8F"/>
    <w:rsid w:val="00FC1DFE"/>
    <w:rsid w:val="00FC1E8F"/>
    <w:rsid w:val="00FC32F2"/>
    <w:rsid w:val="00FC4EEB"/>
    <w:rsid w:val="00FC6E28"/>
    <w:rsid w:val="00FC7083"/>
    <w:rsid w:val="00FC76B2"/>
    <w:rsid w:val="00FC777A"/>
    <w:rsid w:val="00FC7939"/>
    <w:rsid w:val="00FC7F6E"/>
    <w:rsid w:val="00FD019E"/>
    <w:rsid w:val="00FD0DCA"/>
    <w:rsid w:val="00FD1AED"/>
    <w:rsid w:val="00FD21F3"/>
    <w:rsid w:val="00FD25DB"/>
    <w:rsid w:val="00FD3A9E"/>
    <w:rsid w:val="00FD45CD"/>
    <w:rsid w:val="00FD4C24"/>
    <w:rsid w:val="00FD54A0"/>
    <w:rsid w:val="00FD5C53"/>
    <w:rsid w:val="00FD5D10"/>
    <w:rsid w:val="00FD691A"/>
    <w:rsid w:val="00FD6DE8"/>
    <w:rsid w:val="00FD7982"/>
    <w:rsid w:val="00FD7C9C"/>
    <w:rsid w:val="00FE0911"/>
    <w:rsid w:val="00FE0DEC"/>
    <w:rsid w:val="00FE1072"/>
    <w:rsid w:val="00FE1B0D"/>
    <w:rsid w:val="00FE3860"/>
    <w:rsid w:val="00FE39C2"/>
    <w:rsid w:val="00FE4807"/>
    <w:rsid w:val="00FE507A"/>
    <w:rsid w:val="00FE5237"/>
    <w:rsid w:val="00FE5F8C"/>
    <w:rsid w:val="00FE6708"/>
    <w:rsid w:val="00FE6CEE"/>
    <w:rsid w:val="00FE70B2"/>
    <w:rsid w:val="00FE7373"/>
    <w:rsid w:val="00FF060C"/>
    <w:rsid w:val="00FF1157"/>
    <w:rsid w:val="00FF1D05"/>
    <w:rsid w:val="00FF2154"/>
    <w:rsid w:val="00FF2389"/>
    <w:rsid w:val="00FF299A"/>
    <w:rsid w:val="00FF2B01"/>
    <w:rsid w:val="00FF30FB"/>
    <w:rsid w:val="00FF37CD"/>
    <w:rsid w:val="00FF4366"/>
    <w:rsid w:val="00FF4E9C"/>
    <w:rsid w:val="00FF5462"/>
    <w:rsid w:val="00FF64F4"/>
    <w:rsid w:val="00FF695A"/>
    <w:rsid w:val="03F067F8"/>
    <w:rsid w:val="0829C18B"/>
    <w:rsid w:val="0992800A"/>
    <w:rsid w:val="0B6981A2"/>
    <w:rsid w:val="10B7CEE0"/>
    <w:rsid w:val="12C5D6C5"/>
    <w:rsid w:val="12DD6087"/>
    <w:rsid w:val="170229BC"/>
    <w:rsid w:val="1976504E"/>
    <w:rsid w:val="1CA115A2"/>
    <w:rsid w:val="2C34727F"/>
    <w:rsid w:val="2C5E26F1"/>
    <w:rsid w:val="2D0F675F"/>
    <w:rsid w:val="2F3B8181"/>
    <w:rsid w:val="311AF2A3"/>
    <w:rsid w:val="3C21460F"/>
    <w:rsid w:val="424D89DD"/>
    <w:rsid w:val="4969CC01"/>
    <w:rsid w:val="4C0DB773"/>
    <w:rsid w:val="54B2E072"/>
    <w:rsid w:val="56F2273C"/>
    <w:rsid w:val="659FFB8E"/>
    <w:rsid w:val="68663DD0"/>
    <w:rsid w:val="68E33CCD"/>
    <w:rsid w:val="71251E6B"/>
    <w:rsid w:val="73B013B4"/>
    <w:rsid w:val="74999422"/>
    <w:rsid w:val="78FEFA65"/>
    <w:rsid w:val="79233930"/>
    <w:rsid w:val="7AA6B639"/>
    <w:rsid w:val="7B20476A"/>
    <w:rsid w:val="7F1CDB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F6998"/>
  <w15:chartTrackingRefBased/>
  <w15:docId w15:val="{5FC3DFF5-3C78-4BD2-9F7A-AD8D06EC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550"/>
    <w:pPr>
      <w:tabs>
        <w:tab w:val="left" w:pos="567"/>
      </w:tabs>
      <w:spacing w:before="120" w:line="254" w:lineRule="auto"/>
    </w:pPr>
    <w:rPr>
      <w:rFonts w:ascii="Open Sans Light" w:hAnsi="Open Sans Light"/>
      <w:sz w:val="20"/>
      <w:szCs w:val="22"/>
    </w:rPr>
  </w:style>
  <w:style w:type="paragraph" w:styleId="Heading1">
    <w:name w:val="heading 1"/>
    <w:basedOn w:val="CGCSubHead"/>
    <w:next w:val="Normal"/>
    <w:link w:val="Heading1Char"/>
    <w:uiPriority w:val="9"/>
    <w:qFormat/>
    <w:rsid w:val="00F8305F"/>
    <w:pPr>
      <w:spacing w:before="360"/>
      <w:outlineLvl w:val="0"/>
    </w:pPr>
    <w:rPr>
      <w:sz w:val="40"/>
      <w:szCs w:val="40"/>
    </w:rPr>
  </w:style>
  <w:style w:type="paragraph" w:styleId="Heading2">
    <w:name w:val="heading 2"/>
    <w:basedOn w:val="CGCSubHead"/>
    <w:next w:val="Normal"/>
    <w:link w:val="Heading2Char"/>
    <w:uiPriority w:val="9"/>
    <w:unhideWhenUsed/>
    <w:qFormat/>
    <w:rsid w:val="00D47936"/>
    <w:pPr>
      <w:spacing w:before="120" w:after="120"/>
      <w:outlineLvl w:val="1"/>
    </w:pPr>
    <w:rPr>
      <w:sz w:val="36"/>
      <w:szCs w:val="36"/>
    </w:rPr>
  </w:style>
  <w:style w:type="paragraph" w:styleId="Heading3">
    <w:name w:val="heading 3"/>
    <w:basedOn w:val="CGCSubHead"/>
    <w:next w:val="Normal"/>
    <w:link w:val="Heading3Char"/>
    <w:uiPriority w:val="9"/>
    <w:unhideWhenUsed/>
    <w:qFormat/>
    <w:rsid w:val="00D47936"/>
    <w:pPr>
      <w:spacing w:before="80" w:after="80"/>
      <w:outlineLvl w:val="2"/>
    </w:pPr>
    <w:rPr>
      <w:rFonts w:eastAsiaTheme="minorHAnsi"/>
      <w:shd w:val="clear" w:color="auto" w:fill="FFFFFF"/>
    </w:rPr>
  </w:style>
  <w:style w:type="paragraph" w:styleId="Heading4">
    <w:name w:val="heading 4"/>
    <w:basedOn w:val="Normal"/>
    <w:next w:val="Normal"/>
    <w:link w:val="Heading4Char"/>
    <w:uiPriority w:val="9"/>
    <w:unhideWhenUsed/>
    <w:qFormat/>
    <w:rsid w:val="002B4457"/>
    <w:pPr>
      <w:keepNext/>
      <w:keepLines/>
      <w:spacing w:before="40"/>
      <w:outlineLvl w:val="3"/>
    </w:pPr>
    <w:rPr>
      <w:rFonts w:asciiTheme="majorHAnsi" w:eastAsiaTheme="majorEastAsia" w:hAnsiTheme="majorHAnsi" w:cstheme="majorBidi"/>
      <w:i/>
      <w:iCs/>
      <w:color w:val="00334A" w:themeColor="accent1" w:themeShade="BF"/>
    </w:rPr>
  </w:style>
  <w:style w:type="paragraph" w:styleId="Heading5">
    <w:name w:val="heading 5"/>
    <w:basedOn w:val="Normal"/>
    <w:next w:val="Normal"/>
    <w:link w:val="Heading5Char"/>
    <w:uiPriority w:val="9"/>
    <w:semiHidden/>
    <w:unhideWhenUsed/>
    <w:qFormat/>
    <w:rsid w:val="000A3DE2"/>
    <w:pPr>
      <w:keepNext/>
      <w:keepLines/>
      <w:spacing w:before="40"/>
      <w:outlineLvl w:val="4"/>
    </w:pPr>
    <w:rPr>
      <w:rFonts w:asciiTheme="majorHAnsi" w:eastAsiaTheme="majorEastAsia" w:hAnsiTheme="majorHAnsi" w:cstheme="majorBidi"/>
      <w:color w:val="00334A" w:themeColor="accent1" w:themeShade="BF"/>
    </w:rPr>
  </w:style>
  <w:style w:type="paragraph" w:styleId="Heading6">
    <w:name w:val="heading 6"/>
    <w:basedOn w:val="Normal"/>
    <w:next w:val="Normal"/>
    <w:link w:val="Heading6Char"/>
    <w:uiPriority w:val="9"/>
    <w:semiHidden/>
    <w:unhideWhenUsed/>
    <w:qFormat/>
    <w:rsid w:val="000A3DE2"/>
    <w:pPr>
      <w:keepNext/>
      <w:keepLines/>
      <w:spacing w:before="40"/>
      <w:outlineLvl w:val="5"/>
    </w:pPr>
    <w:rPr>
      <w:rFonts w:asciiTheme="majorHAnsi" w:eastAsiaTheme="majorEastAsia" w:hAnsiTheme="majorHAnsi" w:cstheme="majorBidi"/>
      <w:color w:val="0022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550"/>
    <w:pPr>
      <w:tabs>
        <w:tab w:val="center" w:pos="4513"/>
        <w:tab w:val="right" w:pos="9026"/>
      </w:tabs>
    </w:pPr>
  </w:style>
  <w:style w:type="character" w:customStyle="1" w:styleId="HeaderChar">
    <w:name w:val="Header Char"/>
    <w:basedOn w:val="DefaultParagraphFont"/>
    <w:link w:val="Header"/>
    <w:uiPriority w:val="99"/>
    <w:rsid w:val="005C0550"/>
  </w:style>
  <w:style w:type="paragraph" w:styleId="Footer">
    <w:name w:val="footer"/>
    <w:basedOn w:val="Normal"/>
    <w:link w:val="FooterChar"/>
    <w:uiPriority w:val="99"/>
    <w:unhideWhenUsed/>
    <w:rsid w:val="005C0550"/>
    <w:pPr>
      <w:tabs>
        <w:tab w:val="center" w:pos="4513"/>
        <w:tab w:val="right" w:pos="9026"/>
      </w:tabs>
    </w:pPr>
  </w:style>
  <w:style w:type="character" w:customStyle="1" w:styleId="FooterChar">
    <w:name w:val="Footer Char"/>
    <w:basedOn w:val="DefaultParagraphFont"/>
    <w:link w:val="Footer"/>
    <w:uiPriority w:val="99"/>
    <w:rsid w:val="005C0550"/>
  </w:style>
  <w:style w:type="paragraph" w:styleId="Caption">
    <w:name w:val="caption"/>
    <w:basedOn w:val="Normal"/>
    <w:next w:val="Normal"/>
    <w:link w:val="CaptionChar"/>
    <w:qFormat/>
    <w:rsid w:val="005F4874"/>
    <w:pPr>
      <w:keepNext/>
      <w:keepLines/>
      <w:tabs>
        <w:tab w:val="clear" w:pos="567"/>
        <w:tab w:val="left" w:pos="1134"/>
        <w:tab w:val="left" w:pos="1418"/>
      </w:tabs>
      <w:spacing w:after="120" w:line="240" w:lineRule="auto"/>
      <w:ind w:left="1134" w:hanging="1134"/>
    </w:pPr>
    <w:rPr>
      <w:rFonts w:ascii="Work Sans" w:hAnsi="Work Sans"/>
      <w:b/>
      <w:bCs/>
      <w:szCs w:val="20"/>
    </w:rPr>
  </w:style>
  <w:style w:type="character" w:customStyle="1" w:styleId="CaptionChar">
    <w:name w:val="Caption Char"/>
    <w:basedOn w:val="DefaultParagraphFont"/>
    <w:link w:val="Caption"/>
    <w:rsid w:val="00210A6D"/>
    <w:rPr>
      <w:rFonts w:ascii="Work Sans" w:hAnsi="Work Sans"/>
      <w:b/>
      <w:bCs/>
      <w:sz w:val="20"/>
      <w:szCs w:val="20"/>
    </w:rPr>
  </w:style>
  <w:style w:type="paragraph" w:customStyle="1" w:styleId="CGCTablenote">
    <w:name w:val="CGC Table note"/>
    <w:basedOn w:val="Normal"/>
    <w:next w:val="Normal"/>
    <w:qFormat/>
    <w:rsid w:val="00425741"/>
    <w:pPr>
      <w:tabs>
        <w:tab w:val="left" w:pos="680"/>
      </w:tabs>
      <w:spacing w:before="40" w:after="240" w:line="240" w:lineRule="auto"/>
      <w:ind w:left="340" w:hanging="227"/>
    </w:pPr>
    <w:rPr>
      <w:rFonts w:ascii="Work Sans" w:hAnsi="Work Sans"/>
      <w:sz w:val="14"/>
      <w:shd w:val="clear" w:color="auto" w:fill="FFFFFF"/>
    </w:rPr>
  </w:style>
  <w:style w:type="paragraph" w:styleId="BodyText">
    <w:name w:val="Body Text"/>
    <w:link w:val="BodyTextChar"/>
    <w:qFormat/>
    <w:rsid w:val="00AD2A15"/>
    <w:pPr>
      <w:numPr>
        <w:numId w:val="1"/>
      </w:numPr>
      <w:spacing w:before="240" w:line="300" w:lineRule="atLeast"/>
    </w:pPr>
    <w:rPr>
      <w:rFonts w:ascii="Work Sans" w:eastAsia="Times New Roman" w:hAnsi="Work Sans" w:cs="Times New Roman"/>
      <w:sz w:val="20"/>
      <w:szCs w:val="20"/>
      <w:lang w:eastAsia="en-AU"/>
    </w:rPr>
  </w:style>
  <w:style w:type="character" w:customStyle="1" w:styleId="BodyTextChar">
    <w:name w:val="Body Text Char"/>
    <w:basedOn w:val="DefaultParagraphFont"/>
    <w:link w:val="BodyText"/>
    <w:rsid w:val="00AD2A15"/>
    <w:rPr>
      <w:rFonts w:ascii="Work Sans" w:eastAsia="Times New Roman" w:hAnsi="Work Sans" w:cs="Times New Roman"/>
      <w:sz w:val="20"/>
      <w:szCs w:val="20"/>
      <w:lang w:eastAsia="en-AU"/>
    </w:rPr>
  </w:style>
  <w:style w:type="character" w:customStyle="1" w:styleId="normaltextrun">
    <w:name w:val="normaltextrun"/>
    <w:basedOn w:val="DefaultParagraphFont"/>
    <w:rsid w:val="005C0550"/>
  </w:style>
  <w:style w:type="paragraph" w:customStyle="1" w:styleId="CGCBodyCopy">
    <w:name w:val="CGC Body Copy"/>
    <w:basedOn w:val="Normal"/>
    <w:autoRedefine/>
    <w:qFormat/>
    <w:rsid w:val="00E62CF1"/>
    <w:pPr>
      <w:tabs>
        <w:tab w:val="clear" w:pos="567"/>
        <w:tab w:val="left" w:pos="7773"/>
      </w:tabs>
    </w:pPr>
    <w:rPr>
      <w:rFonts w:ascii="Work Sans" w:hAnsi="Work Sans" w:cs="Cambria Math"/>
      <w:color w:val="000000"/>
      <w:szCs w:val="21"/>
      <w:shd w:val="clear" w:color="auto" w:fill="FFFFFF"/>
    </w:rPr>
  </w:style>
  <w:style w:type="paragraph" w:customStyle="1" w:styleId="CGCSubHead">
    <w:name w:val="CGC Sub Head"/>
    <w:autoRedefine/>
    <w:qFormat/>
    <w:rsid w:val="00F8305F"/>
    <w:pPr>
      <w:spacing w:before="240" w:after="200" w:line="276" w:lineRule="auto"/>
    </w:pPr>
    <w:rPr>
      <w:rFonts w:ascii="Work Sans" w:eastAsiaTheme="majorEastAsia" w:hAnsi="Work Sans" w:cs="Open Sans"/>
      <w:b/>
      <w:bCs/>
      <w:color w:val="006991"/>
      <w:sz w:val="28"/>
      <w:szCs w:val="28"/>
    </w:rPr>
  </w:style>
  <w:style w:type="character" w:styleId="Hyperlink">
    <w:name w:val="Hyperlink"/>
    <w:basedOn w:val="DefaultParagraphFont"/>
    <w:uiPriority w:val="99"/>
    <w:unhideWhenUsed/>
    <w:rsid w:val="008B3F9B"/>
    <w:rPr>
      <w:color w:val="006991" w:themeColor="hyperlink"/>
      <w:u w:val="single"/>
    </w:rPr>
  </w:style>
  <w:style w:type="character" w:styleId="UnresolvedMention">
    <w:name w:val="Unresolved Mention"/>
    <w:basedOn w:val="DefaultParagraphFont"/>
    <w:uiPriority w:val="99"/>
    <w:semiHidden/>
    <w:unhideWhenUsed/>
    <w:rsid w:val="008B3F9B"/>
    <w:rPr>
      <w:color w:val="605E5C"/>
      <w:shd w:val="clear" w:color="auto" w:fill="E1DFDD"/>
    </w:rPr>
  </w:style>
  <w:style w:type="character" w:styleId="PageNumber">
    <w:name w:val="page number"/>
    <w:basedOn w:val="DefaultParagraphFont"/>
    <w:uiPriority w:val="99"/>
    <w:semiHidden/>
    <w:unhideWhenUsed/>
    <w:rsid w:val="008B3F9B"/>
  </w:style>
  <w:style w:type="character" w:customStyle="1" w:styleId="Heading1Char">
    <w:name w:val="Heading 1 Char"/>
    <w:basedOn w:val="DefaultParagraphFont"/>
    <w:link w:val="Heading1"/>
    <w:uiPriority w:val="9"/>
    <w:rsid w:val="00F8305F"/>
    <w:rPr>
      <w:rFonts w:ascii="Work Sans" w:eastAsiaTheme="majorEastAsia" w:hAnsi="Work Sans" w:cs="Open Sans"/>
      <w:b/>
      <w:bCs/>
      <w:color w:val="006991"/>
      <w:sz w:val="40"/>
      <w:szCs w:val="40"/>
    </w:rPr>
  </w:style>
  <w:style w:type="character" w:customStyle="1" w:styleId="Heading2Char">
    <w:name w:val="Heading 2 Char"/>
    <w:basedOn w:val="DefaultParagraphFont"/>
    <w:link w:val="Heading2"/>
    <w:uiPriority w:val="9"/>
    <w:rsid w:val="00F8305F"/>
    <w:rPr>
      <w:rFonts w:ascii="Work Sans" w:eastAsiaTheme="majorEastAsia" w:hAnsi="Work Sans" w:cs="Open Sans"/>
      <w:b/>
      <w:bCs/>
      <w:color w:val="006991"/>
      <w:sz w:val="36"/>
      <w:szCs w:val="36"/>
    </w:rPr>
  </w:style>
  <w:style w:type="character" w:customStyle="1" w:styleId="Heading3Char">
    <w:name w:val="Heading 3 Char"/>
    <w:basedOn w:val="DefaultParagraphFont"/>
    <w:link w:val="Heading3"/>
    <w:uiPriority w:val="9"/>
    <w:rsid w:val="00523EB0"/>
    <w:rPr>
      <w:rFonts w:ascii="Work Sans" w:hAnsi="Work Sans" w:cs="Open Sans"/>
      <w:b/>
      <w:bCs/>
      <w:color w:val="006991"/>
      <w:sz w:val="28"/>
      <w:szCs w:val="28"/>
    </w:rPr>
  </w:style>
  <w:style w:type="paragraph" w:styleId="NormalWeb">
    <w:name w:val="Normal (Web)"/>
    <w:basedOn w:val="Normal"/>
    <w:uiPriority w:val="99"/>
    <w:unhideWhenUsed/>
    <w:rsid w:val="00C87C4C"/>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unhideWhenUsed/>
    <w:qFormat/>
    <w:rsid w:val="00D21542"/>
    <w:pPr>
      <w:spacing w:before="0" w:line="240" w:lineRule="auto"/>
    </w:pPr>
    <w:rPr>
      <w:szCs w:val="20"/>
    </w:rPr>
  </w:style>
  <w:style w:type="character" w:customStyle="1" w:styleId="FootnoteTextChar">
    <w:name w:val="Footnote Text Char"/>
    <w:basedOn w:val="DefaultParagraphFont"/>
    <w:link w:val="FootnoteText"/>
    <w:uiPriority w:val="99"/>
    <w:rsid w:val="00D21542"/>
    <w:rPr>
      <w:rFonts w:ascii="Open Sans Light" w:hAnsi="Open Sans Light"/>
      <w:sz w:val="20"/>
      <w:szCs w:val="20"/>
    </w:rPr>
  </w:style>
  <w:style w:type="character" w:styleId="FootnoteReference">
    <w:name w:val="footnote reference"/>
    <w:unhideWhenUsed/>
    <w:qFormat/>
    <w:rsid w:val="00143AA2"/>
    <w:rPr>
      <w:rFonts w:ascii="Work Sans" w:hAnsi="Work Sans"/>
      <w:sz w:val="16"/>
      <w:szCs w:val="16"/>
    </w:rPr>
  </w:style>
  <w:style w:type="paragraph" w:styleId="ListParagraph">
    <w:name w:val="List Paragraph"/>
    <w:basedOn w:val="Normal"/>
    <w:uiPriority w:val="34"/>
    <w:qFormat/>
    <w:rsid w:val="001A2697"/>
    <w:pPr>
      <w:ind w:left="720"/>
      <w:contextualSpacing/>
    </w:pPr>
  </w:style>
  <w:style w:type="character" w:customStyle="1" w:styleId="cf01">
    <w:name w:val="cf01"/>
    <w:basedOn w:val="DefaultParagraphFont"/>
    <w:rsid w:val="00E02BD0"/>
    <w:rPr>
      <w:rFonts w:ascii="Segoe UI" w:hAnsi="Segoe UI" w:cs="Segoe UI" w:hint="default"/>
      <w:sz w:val="18"/>
      <w:szCs w:val="18"/>
    </w:rPr>
  </w:style>
  <w:style w:type="character" w:styleId="CommentReference">
    <w:name w:val="annotation reference"/>
    <w:basedOn w:val="DefaultParagraphFont"/>
    <w:uiPriority w:val="99"/>
    <w:semiHidden/>
    <w:unhideWhenUsed/>
    <w:rsid w:val="00F8605A"/>
    <w:rPr>
      <w:sz w:val="16"/>
      <w:szCs w:val="16"/>
    </w:rPr>
  </w:style>
  <w:style w:type="paragraph" w:styleId="CommentText">
    <w:name w:val="annotation text"/>
    <w:basedOn w:val="Normal"/>
    <w:link w:val="CommentTextChar"/>
    <w:uiPriority w:val="99"/>
    <w:unhideWhenUsed/>
    <w:rsid w:val="00F8605A"/>
    <w:pPr>
      <w:spacing w:line="240" w:lineRule="auto"/>
      <w:jc w:val="both"/>
    </w:pPr>
    <w:rPr>
      <w:rFonts w:cs="Cambria Math"/>
      <w:color w:val="000000"/>
      <w:szCs w:val="20"/>
      <w:shd w:val="clear" w:color="auto" w:fill="FFFFFF"/>
    </w:rPr>
  </w:style>
  <w:style w:type="character" w:customStyle="1" w:styleId="CommentTextChar">
    <w:name w:val="Comment Text Char"/>
    <w:basedOn w:val="DefaultParagraphFont"/>
    <w:link w:val="CommentText"/>
    <w:uiPriority w:val="99"/>
    <w:rsid w:val="00F8605A"/>
    <w:rPr>
      <w:rFonts w:ascii="Open Sans Light" w:hAnsi="Open Sans Light" w:cs="Cambria Math"/>
      <w:color w:val="000000"/>
      <w:sz w:val="20"/>
      <w:szCs w:val="20"/>
    </w:rPr>
  </w:style>
  <w:style w:type="paragraph" w:styleId="Revision">
    <w:name w:val="Revision"/>
    <w:hidden/>
    <w:uiPriority w:val="99"/>
    <w:semiHidden/>
    <w:rsid w:val="00DB0A54"/>
    <w:rPr>
      <w:rFonts w:ascii="Open Sans Light" w:hAnsi="Open Sans Light"/>
      <w:sz w:val="20"/>
      <w:szCs w:val="22"/>
    </w:rPr>
  </w:style>
  <w:style w:type="paragraph" w:styleId="CommentSubject">
    <w:name w:val="annotation subject"/>
    <w:basedOn w:val="CommentText"/>
    <w:next w:val="CommentText"/>
    <w:link w:val="CommentSubjectChar"/>
    <w:uiPriority w:val="99"/>
    <w:semiHidden/>
    <w:unhideWhenUsed/>
    <w:rsid w:val="00DB0A54"/>
    <w:pPr>
      <w:jc w:val="left"/>
    </w:pPr>
    <w:rPr>
      <w:rFonts w:cstheme="minorBidi"/>
      <w:b/>
      <w:bCs/>
      <w:color w:val="auto"/>
      <w:shd w:val="clear" w:color="auto" w:fill="auto"/>
    </w:rPr>
  </w:style>
  <w:style w:type="character" w:customStyle="1" w:styleId="CommentSubjectChar">
    <w:name w:val="Comment Subject Char"/>
    <w:basedOn w:val="CommentTextChar"/>
    <w:link w:val="CommentSubject"/>
    <w:uiPriority w:val="99"/>
    <w:semiHidden/>
    <w:rsid w:val="00DB0A54"/>
    <w:rPr>
      <w:rFonts w:ascii="Open Sans Light" w:hAnsi="Open Sans Light" w:cs="Cambria Math"/>
      <w:b/>
      <w:bCs/>
      <w:color w:val="000000"/>
      <w:sz w:val="20"/>
      <w:szCs w:val="20"/>
    </w:rPr>
  </w:style>
  <w:style w:type="character" w:styleId="Mention">
    <w:name w:val="Mention"/>
    <w:basedOn w:val="DefaultParagraphFont"/>
    <w:uiPriority w:val="99"/>
    <w:unhideWhenUsed/>
    <w:rsid w:val="009A2AC4"/>
    <w:rPr>
      <w:color w:val="2B579A"/>
      <w:shd w:val="clear" w:color="auto" w:fill="E1DFDD"/>
    </w:rPr>
  </w:style>
  <w:style w:type="character" w:customStyle="1" w:styleId="Heading4Char">
    <w:name w:val="Heading 4 Char"/>
    <w:basedOn w:val="DefaultParagraphFont"/>
    <w:link w:val="Heading4"/>
    <w:uiPriority w:val="9"/>
    <w:rsid w:val="002B4457"/>
    <w:rPr>
      <w:rFonts w:asciiTheme="majorHAnsi" w:eastAsiaTheme="majorEastAsia" w:hAnsiTheme="majorHAnsi" w:cstheme="majorBidi"/>
      <w:i/>
      <w:iCs/>
      <w:color w:val="00334A" w:themeColor="accent1" w:themeShade="BF"/>
      <w:sz w:val="20"/>
      <w:szCs w:val="22"/>
    </w:rPr>
  </w:style>
  <w:style w:type="paragraph" w:customStyle="1" w:styleId="paragraph">
    <w:name w:val="paragraph"/>
    <w:basedOn w:val="Normal"/>
    <w:rsid w:val="009F521F"/>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9F521F"/>
  </w:style>
  <w:style w:type="character" w:customStyle="1" w:styleId="ui-provider">
    <w:name w:val="ui-provider"/>
    <w:basedOn w:val="DefaultParagraphFont"/>
    <w:rsid w:val="009F521F"/>
  </w:style>
  <w:style w:type="paragraph" w:customStyle="1" w:styleId="CGCTableHead">
    <w:name w:val="CGC Table Head"/>
    <w:basedOn w:val="CGCBodyCopy"/>
    <w:qFormat/>
    <w:rsid w:val="009F521F"/>
    <w:pPr>
      <w:tabs>
        <w:tab w:val="left" w:pos="567"/>
      </w:tabs>
      <w:spacing w:before="240" w:after="120" w:line="240" w:lineRule="auto"/>
      <w:jc w:val="both"/>
    </w:pPr>
    <w:rPr>
      <w:rFonts w:ascii="Work Sans SemiBold" w:hAnsi="Work Sans SemiBold"/>
      <w:bCs/>
      <w14:shadow w14:blurRad="50800" w14:dist="50800" w14:dir="5400000" w14:sx="0" w14:sy="0" w14:kx="0" w14:ky="0" w14:algn="ctr">
        <w14:srgbClr w14:val="000000">
          <w14:alpha w14:val="1000"/>
        </w14:srgbClr>
      </w14:shadow>
    </w:rPr>
  </w:style>
  <w:style w:type="character" w:customStyle="1" w:styleId="Heading5Char">
    <w:name w:val="Heading 5 Char"/>
    <w:basedOn w:val="DefaultParagraphFont"/>
    <w:link w:val="Heading5"/>
    <w:uiPriority w:val="9"/>
    <w:semiHidden/>
    <w:rsid w:val="000A3DE2"/>
    <w:rPr>
      <w:rFonts w:asciiTheme="majorHAnsi" w:eastAsiaTheme="majorEastAsia" w:hAnsiTheme="majorHAnsi" w:cstheme="majorBidi"/>
      <w:color w:val="00334A" w:themeColor="accent1" w:themeShade="BF"/>
      <w:sz w:val="20"/>
      <w:szCs w:val="22"/>
    </w:rPr>
  </w:style>
  <w:style w:type="character" w:customStyle="1" w:styleId="Heading6Char">
    <w:name w:val="Heading 6 Char"/>
    <w:basedOn w:val="DefaultParagraphFont"/>
    <w:link w:val="Heading6"/>
    <w:uiPriority w:val="9"/>
    <w:semiHidden/>
    <w:rsid w:val="000A3DE2"/>
    <w:rPr>
      <w:rFonts w:asciiTheme="majorHAnsi" w:eastAsiaTheme="majorEastAsia" w:hAnsiTheme="majorHAnsi" w:cstheme="majorBidi"/>
      <w:color w:val="002231" w:themeColor="accent1" w:themeShade="7F"/>
      <w:sz w:val="20"/>
      <w:szCs w:val="22"/>
    </w:rPr>
  </w:style>
  <w:style w:type="paragraph" w:customStyle="1" w:styleId="CGCParaNumber">
    <w:name w:val="CGC Para Number"/>
    <w:basedOn w:val="Normal"/>
    <w:qFormat/>
    <w:rsid w:val="000A3DE2"/>
    <w:pPr>
      <w:numPr>
        <w:numId w:val="5"/>
      </w:numPr>
    </w:pPr>
    <w:rPr>
      <w:rFonts w:ascii="Work Sans" w:hAnsi="Work Sans"/>
      <w:szCs w:val="20"/>
    </w:rPr>
  </w:style>
  <w:style w:type="paragraph" w:customStyle="1" w:styleId="CGCBullet1">
    <w:name w:val="CGC Bullet 1"/>
    <w:basedOn w:val="Normal"/>
    <w:qFormat/>
    <w:rsid w:val="000A3DE2"/>
    <w:pPr>
      <w:numPr>
        <w:numId w:val="3"/>
      </w:numPr>
    </w:pPr>
    <w:rPr>
      <w:rFonts w:ascii="Work Sans" w:hAnsi="Work Sans"/>
      <w:szCs w:val="20"/>
    </w:rPr>
  </w:style>
  <w:style w:type="paragraph" w:customStyle="1" w:styleId="CGCBullet3">
    <w:name w:val="CGC Bullet 3"/>
    <w:basedOn w:val="Normal"/>
    <w:qFormat/>
    <w:rsid w:val="000A3DE2"/>
    <w:pPr>
      <w:numPr>
        <w:numId w:val="4"/>
      </w:numPr>
    </w:pPr>
  </w:style>
  <w:style w:type="character" w:styleId="FollowedHyperlink">
    <w:name w:val="FollowedHyperlink"/>
    <w:basedOn w:val="DefaultParagraphFont"/>
    <w:uiPriority w:val="99"/>
    <w:semiHidden/>
    <w:unhideWhenUsed/>
    <w:rsid w:val="00E62CF1"/>
    <w:rPr>
      <w:color w:val="93EA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87188">
      <w:bodyDiv w:val="1"/>
      <w:marLeft w:val="0"/>
      <w:marRight w:val="0"/>
      <w:marTop w:val="0"/>
      <w:marBottom w:val="0"/>
      <w:divBdr>
        <w:top w:val="none" w:sz="0" w:space="0" w:color="auto"/>
        <w:left w:val="none" w:sz="0" w:space="0" w:color="auto"/>
        <w:bottom w:val="none" w:sz="0" w:space="0" w:color="auto"/>
        <w:right w:val="none" w:sz="0" w:space="0" w:color="auto"/>
      </w:divBdr>
      <w:divsChild>
        <w:div w:id="577595720">
          <w:marLeft w:val="0"/>
          <w:marRight w:val="0"/>
          <w:marTop w:val="0"/>
          <w:marBottom w:val="0"/>
          <w:divBdr>
            <w:top w:val="none" w:sz="0" w:space="0" w:color="auto"/>
            <w:left w:val="none" w:sz="0" w:space="0" w:color="auto"/>
            <w:bottom w:val="none" w:sz="0" w:space="0" w:color="auto"/>
            <w:right w:val="none" w:sz="0" w:space="0" w:color="auto"/>
          </w:divBdr>
        </w:div>
        <w:div w:id="1381368888">
          <w:marLeft w:val="0"/>
          <w:marRight w:val="0"/>
          <w:marTop w:val="0"/>
          <w:marBottom w:val="0"/>
          <w:divBdr>
            <w:top w:val="none" w:sz="0" w:space="0" w:color="auto"/>
            <w:left w:val="none" w:sz="0" w:space="0" w:color="auto"/>
            <w:bottom w:val="none" w:sz="0" w:space="0" w:color="auto"/>
            <w:right w:val="none" w:sz="0" w:space="0" w:color="auto"/>
          </w:divBdr>
        </w:div>
        <w:div w:id="1634864180">
          <w:marLeft w:val="0"/>
          <w:marRight w:val="0"/>
          <w:marTop w:val="0"/>
          <w:marBottom w:val="0"/>
          <w:divBdr>
            <w:top w:val="none" w:sz="0" w:space="0" w:color="auto"/>
            <w:left w:val="none" w:sz="0" w:space="0" w:color="auto"/>
            <w:bottom w:val="none" w:sz="0" w:space="0" w:color="auto"/>
            <w:right w:val="none" w:sz="0" w:space="0" w:color="auto"/>
          </w:divBdr>
        </w:div>
      </w:divsChild>
    </w:div>
    <w:div w:id="1129859008">
      <w:bodyDiv w:val="1"/>
      <w:marLeft w:val="0"/>
      <w:marRight w:val="0"/>
      <w:marTop w:val="0"/>
      <w:marBottom w:val="0"/>
      <w:divBdr>
        <w:top w:val="none" w:sz="0" w:space="0" w:color="auto"/>
        <w:left w:val="none" w:sz="0" w:space="0" w:color="auto"/>
        <w:bottom w:val="none" w:sz="0" w:space="0" w:color="auto"/>
        <w:right w:val="none" w:sz="0" w:space="0" w:color="auto"/>
      </w:divBdr>
      <w:divsChild>
        <w:div w:id="331177456">
          <w:marLeft w:val="0"/>
          <w:marRight w:val="0"/>
          <w:marTop w:val="0"/>
          <w:marBottom w:val="0"/>
          <w:divBdr>
            <w:top w:val="none" w:sz="0" w:space="0" w:color="auto"/>
            <w:left w:val="none" w:sz="0" w:space="0" w:color="auto"/>
            <w:bottom w:val="none" w:sz="0" w:space="0" w:color="auto"/>
            <w:right w:val="none" w:sz="0" w:space="0" w:color="auto"/>
          </w:divBdr>
        </w:div>
        <w:div w:id="1925065062">
          <w:marLeft w:val="0"/>
          <w:marRight w:val="0"/>
          <w:marTop w:val="0"/>
          <w:marBottom w:val="0"/>
          <w:divBdr>
            <w:top w:val="none" w:sz="0" w:space="0" w:color="auto"/>
            <w:left w:val="none" w:sz="0" w:space="0" w:color="auto"/>
            <w:bottom w:val="none" w:sz="0" w:space="0" w:color="auto"/>
            <w:right w:val="none" w:sz="0" w:space="0" w:color="auto"/>
          </w:divBdr>
        </w:div>
      </w:divsChild>
    </w:div>
    <w:div w:id="1475684532">
      <w:bodyDiv w:val="1"/>
      <w:marLeft w:val="0"/>
      <w:marRight w:val="0"/>
      <w:marTop w:val="0"/>
      <w:marBottom w:val="0"/>
      <w:divBdr>
        <w:top w:val="none" w:sz="0" w:space="0" w:color="auto"/>
        <w:left w:val="none" w:sz="0" w:space="0" w:color="auto"/>
        <w:bottom w:val="none" w:sz="0" w:space="0" w:color="auto"/>
        <w:right w:val="none" w:sz="0" w:space="0" w:color="auto"/>
      </w:divBdr>
      <w:divsChild>
        <w:div w:id="237181055">
          <w:marLeft w:val="0"/>
          <w:marRight w:val="0"/>
          <w:marTop w:val="0"/>
          <w:marBottom w:val="0"/>
          <w:divBdr>
            <w:top w:val="none" w:sz="0" w:space="0" w:color="auto"/>
            <w:left w:val="none" w:sz="0" w:space="0" w:color="auto"/>
            <w:bottom w:val="none" w:sz="0" w:space="0" w:color="auto"/>
            <w:right w:val="none" w:sz="0" w:space="0" w:color="auto"/>
          </w:divBdr>
        </w:div>
        <w:div w:id="442968631">
          <w:marLeft w:val="0"/>
          <w:marRight w:val="0"/>
          <w:marTop w:val="0"/>
          <w:marBottom w:val="0"/>
          <w:divBdr>
            <w:top w:val="none" w:sz="0" w:space="0" w:color="auto"/>
            <w:left w:val="none" w:sz="0" w:space="0" w:color="auto"/>
            <w:bottom w:val="none" w:sz="0" w:space="0" w:color="auto"/>
            <w:right w:val="none" w:sz="0" w:space="0" w:color="auto"/>
          </w:divBdr>
        </w:div>
        <w:div w:id="1263689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7.png"/><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yperlink" Target="https://www.cgc.gov.au/reports-for-government/2024-updat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reativecommons.org/licenses/by/4.0/legalcode" TargetMode="External"/><Relationship Id="rId25" Type="http://schemas.openxmlformats.org/officeDocument/2006/relationships/hyperlink" Target="https://budget.gov.au/content/myefo/index.ht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cgc.gov.au/publications/occasional-paper-4-new-arrangements-distributing-g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gc.gov.au/reports-for-government/2024-updat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gc.gov.au/reports-for-government/2024-update" TargetMode="External"/><Relationship Id="rId28"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hyperlink" Target="http://www.cgc.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gc.gov.au/reports-for-government/2024-update" TargetMode="External"/><Relationship Id="rId27" Type="http://schemas.openxmlformats.org/officeDocument/2006/relationships/chart" Target="charts/chart2.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 Id="rId4"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oleObject" Target="file:///\\CGC-prd-DB01.cbr.cgc.gov.au\AssessmentSystem\Temp\U2024%20GST\7.%20R\Volu\1.%20R\Tables%20for%20report-U202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aron.Prema\Downloads\Tables%20for%20report-U2023(FINAL).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4414543524416111E-2"/>
          <c:y val="6.4649551066217739E-2"/>
          <c:w val="0.88966737438075016"/>
          <c:h val="0.78204433221099889"/>
        </c:manualLayout>
      </c:layout>
      <c:lineChart>
        <c:grouping val="standard"/>
        <c:varyColors val="0"/>
        <c:ser>
          <c:idx val="0"/>
          <c:order val="0"/>
          <c:tx>
            <c:strRef>
              <c:f>'Figure 2.1'!$Y$50</c:f>
              <c:strCache>
                <c:ptCount val="1"/>
                <c:pt idx="0">
                  <c:v>Iron ore</c:v>
                </c:pt>
              </c:strCache>
            </c:strRef>
          </c:tx>
          <c:spPr>
            <a:ln w="31750">
              <a:solidFill>
                <a:srgbClr val="CC5E12"/>
              </a:solidFill>
            </a:ln>
          </c:spPr>
          <c:marker>
            <c:symbol val="none"/>
          </c:marker>
          <c:cat>
            <c:strRef>
              <c:f>'Figure 2.1'!$X$51:$X$63</c:f>
              <c:strCache>
                <c:ptCount val="13"/>
                <c:pt idx="0">
                  <c:v>2010–11</c:v>
                </c:pt>
                <c:pt idx="1">
                  <c:v>2011–12</c:v>
                </c:pt>
                <c:pt idx="2">
                  <c:v>2012–13</c:v>
                </c:pt>
                <c:pt idx="3">
                  <c:v>2013–14</c:v>
                </c:pt>
                <c:pt idx="4">
                  <c:v>2014–15</c:v>
                </c:pt>
                <c:pt idx="5">
                  <c:v>2015–16</c:v>
                </c:pt>
                <c:pt idx="6">
                  <c:v>2016–17</c:v>
                </c:pt>
                <c:pt idx="7">
                  <c:v>2017–18</c:v>
                </c:pt>
                <c:pt idx="8">
                  <c:v>2018–19</c:v>
                </c:pt>
                <c:pt idx="9">
                  <c:v>2019–20</c:v>
                </c:pt>
                <c:pt idx="10">
                  <c:v>2020–21</c:v>
                </c:pt>
                <c:pt idx="11">
                  <c:v>2021–22</c:v>
                </c:pt>
                <c:pt idx="12">
                  <c:v>2022–23</c:v>
                </c:pt>
              </c:strCache>
            </c:strRef>
          </c:cat>
          <c:val>
            <c:numRef>
              <c:f>'Figure 2.1'!$Y$51:$Y$63</c:f>
              <c:numCache>
                <c:formatCode>General</c:formatCode>
                <c:ptCount val="13"/>
                <c:pt idx="0">
                  <c:v>3.6866313544904399</c:v>
                </c:pt>
                <c:pt idx="1">
                  <c:v>3.81336553540701</c:v>
                </c:pt>
                <c:pt idx="2">
                  <c:v>3.8776489394065097</c:v>
                </c:pt>
                <c:pt idx="3">
                  <c:v>5.5164288492077995</c:v>
                </c:pt>
                <c:pt idx="4">
                  <c:v>4.0502292735506904</c:v>
                </c:pt>
                <c:pt idx="5">
                  <c:v>3.59733847895895</c:v>
                </c:pt>
                <c:pt idx="6">
                  <c:v>4.7231835991127502</c:v>
                </c:pt>
                <c:pt idx="7">
                  <c:v>4.4821276164794996</c:v>
                </c:pt>
                <c:pt idx="8">
                  <c:v>5.6284741110000001</c:v>
                </c:pt>
                <c:pt idx="9">
                  <c:v>7.5772971220000001</c:v>
                </c:pt>
                <c:pt idx="10">
                  <c:v>11.321851424950001</c:v>
                </c:pt>
                <c:pt idx="11">
                  <c:v>9.9344231137599994</c:v>
                </c:pt>
                <c:pt idx="12">
                  <c:v>9.0950612465709995</c:v>
                </c:pt>
              </c:numCache>
            </c:numRef>
          </c:val>
          <c:smooth val="0"/>
          <c:extLst>
            <c:ext xmlns:c16="http://schemas.microsoft.com/office/drawing/2014/chart" uri="{C3380CC4-5D6E-409C-BE32-E72D297353CC}">
              <c16:uniqueId val="{00000000-1243-4937-BC33-BDC7A89D89F0}"/>
            </c:ext>
          </c:extLst>
        </c:ser>
        <c:ser>
          <c:idx val="1"/>
          <c:order val="1"/>
          <c:tx>
            <c:strRef>
              <c:f>'Figure 2.1'!$Z$50</c:f>
              <c:strCache>
                <c:ptCount val="1"/>
                <c:pt idx="0">
                  <c:v>Coal</c:v>
                </c:pt>
              </c:strCache>
            </c:strRef>
          </c:tx>
          <c:spPr>
            <a:ln w="31750">
              <a:solidFill>
                <a:srgbClr val="006991"/>
              </a:solidFill>
              <a:prstDash val="dash"/>
            </a:ln>
          </c:spPr>
          <c:marker>
            <c:symbol val="none"/>
          </c:marker>
          <c:cat>
            <c:strRef>
              <c:f>'Figure 2.1'!$X$51:$X$63</c:f>
              <c:strCache>
                <c:ptCount val="13"/>
                <c:pt idx="0">
                  <c:v>2010–11</c:v>
                </c:pt>
                <c:pt idx="1">
                  <c:v>2011–12</c:v>
                </c:pt>
                <c:pt idx="2">
                  <c:v>2012–13</c:v>
                </c:pt>
                <c:pt idx="3">
                  <c:v>2013–14</c:v>
                </c:pt>
                <c:pt idx="4">
                  <c:v>2014–15</c:v>
                </c:pt>
                <c:pt idx="5">
                  <c:v>2015–16</c:v>
                </c:pt>
                <c:pt idx="6">
                  <c:v>2016–17</c:v>
                </c:pt>
                <c:pt idx="7">
                  <c:v>2017–18</c:v>
                </c:pt>
                <c:pt idx="8">
                  <c:v>2018–19</c:v>
                </c:pt>
                <c:pt idx="9">
                  <c:v>2019–20</c:v>
                </c:pt>
                <c:pt idx="10">
                  <c:v>2020–21</c:v>
                </c:pt>
                <c:pt idx="11">
                  <c:v>2021–22</c:v>
                </c:pt>
                <c:pt idx="12">
                  <c:v>2022–23</c:v>
                </c:pt>
              </c:strCache>
            </c:strRef>
          </c:cat>
          <c:val>
            <c:numRef>
              <c:f>'Figure 2.1'!$Z$51:$Z$63</c:f>
              <c:numCache>
                <c:formatCode>General</c:formatCode>
                <c:ptCount val="13"/>
                <c:pt idx="0">
                  <c:v>3.5658348050000002</c:v>
                </c:pt>
                <c:pt idx="1">
                  <c:v>3.806005136</c:v>
                </c:pt>
                <c:pt idx="2">
                  <c:v>3.0105032789999999</c:v>
                </c:pt>
                <c:pt idx="3">
                  <c:v>3.215301073</c:v>
                </c:pt>
                <c:pt idx="4">
                  <c:v>2.8269368680000002</c:v>
                </c:pt>
                <c:pt idx="5">
                  <c:v>2.8381512205500004</c:v>
                </c:pt>
                <c:pt idx="6">
                  <c:v>4.9848741015200009</c:v>
                </c:pt>
                <c:pt idx="7">
                  <c:v>5.5289955661999999</c:v>
                </c:pt>
                <c:pt idx="8">
                  <c:v>6.417221337</c:v>
                </c:pt>
                <c:pt idx="9">
                  <c:v>5.0170578749999999</c:v>
                </c:pt>
                <c:pt idx="10">
                  <c:v>3.0590730509203201</c:v>
                </c:pt>
                <c:pt idx="11">
                  <c:v>10.892517014854</c:v>
                </c:pt>
                <c:pt idx="12">
                  <c:v>20.222477256602502</c:v>
                </c:pt>
              </c:numCache>
            </c:numRef>
          </c:val>
          <c:smooth val="0"/>
          <c:extLst>
            <c:ext xmlns:c16="http://schemas.microsoft.com/office/drawing/2014/chart" uri="{C3380CC4-5D6E-409C-BE32-E72D297353CC}">
              <c16:uniqueId val="{00000001-1243-4937-BC33-BDC7A89D89F0}"/>
            </c:ext>
          </c:extLst>
        </c:ser>
        <c:ser>
          <c:idx val="2"/>
          <c:order val="2"/>
          <c:tx>
            <c:strRef>
              <c:f>'Figure 2.1'!$AA$50</c:f>
              <c:strCache>
                <c:ptCount val="1"/>
                <c:pt idx="0">
                  <c:v>Other mining royalties</c:v>
                </c:pt>
              </c:strCache>
            </c:strRef>
          </c:tx>
          <c:spPr>
            <a:ln w="31750">
              <a:solidFill>
                <a:srgbClr val="008069"/>
              </a:solidFill>
              <a:prstDash val="sysDot"/>
            </a:ln>
          </c:spPr>
          <c:marker>
            <c:symbol val="none"/>
          </c:marker>
          <c:cat>
            <c:strRef>
              <c:f>'Figure 2.1'!$X$51:$X$63</c:f>
              <c:strCache>
                <c:ptCount val="13"/>
                <c:pt idx="0">
                  <c:v>2010–11</c:v>
                </c:pt>
                <c:pt idx="1">
                  <c:v>2011–12</c:v>
                </c:pt>
                <c:pt idx="2">
                  <c:v>2012–13</c:v>
                </c:pt>
                <c:pt idx="3">
                  <c:v>2013–14</c:v>
                </c:pt>
                <c:pt idx="4">
                  <c:v>2014–15</c:v>
                </c:pt>
                <c:pt idx="5">
                  <c:v>2015–16</c:v>
                </c:pt>
                <c:pt idx="6">
                  <c:v>2016–17</c:v>
                </c:pt>
                <c:pt idx="7">
                  <c:v>2017–18</c:v>
                </c:pt>
                <c:pt idx="8">
                  <c:v>2018–19</c:v>
                </c:pt>
                <c:pt idx="9">
                  <c:v>2019–20</c:v>
                </c:pt>
                <c:pt idx="10">
                  <c:v>2020–21</c:v>
                </c:pt>
                <c:pt idx="11">
                  <c:v>2021–22</c:v>
                </c:pt>
                <c:pt idx="12">
                  <c:v>2022–23</c:v>
                </c:pt>
              </c:strCache>
            </c:strRef>
          </c:cat>
          <c:val>
            <c:numRef>
              <c:f>'Figure 2.1'!$AA$51:$AA$63</c:f>
              <c:numCache>
                <c:formatCode>General</c:formatCode>
                <c:ptCount val="13"/>
                <c:pt idx="0">
                  <c:v>1.3216753535095607</c:v>
                </c:pt>
                <c:pt idx="1">
                  <c:v>1.4099930455929903</c:v>
                </c:pt>
                <c:pt idx="2">
                  <c:v>1.3604166315934902</c:v>
                </c:pt>
                <c:pt idx="3">
                  <c:v>1.5359609627922008</c:v>
                </c:pt>
                <c:pt idx="4">
                  <c:v>1.5229768584493093</c:v>
                </c:pt>
                <c:pt idx="5">
                  <c:v>1.4876268214910491</c:v>
                </c:pt>
                <c:pt idx="6">
                  <c:v>1.5255671243672486</c:v>
                </c:pt>
                <c:pt idx="7">
                  <c:v>1.9518252033205012</c:v>
                </c:pt>
                <c:pt idx="8">
                  <c:v>2.5253475080000003</c:v>
                </c:pt>
                <c:pt idx="9">
                  <c:v>2.8516689900000003</c:v>
                </c:pt>
                <c:pt idx="10">
                  <c:v>2.5868190901296781</c:v>
                </c:pt>
                <c:pt idx="11">
                  <c:v>3.9050345363859993</c:v>
                </c:pt>
                <c:pt idx="12">
                  <c:v>5.4653321576465004</c:v>
                </c:pt>
              </c:numCache>
            </c:numRef>
          </c:val>
          <c:smooth val="0"/>
          <c:extLst>
            <c:ext xmlns:c16="http://schemas.microsoft.com/office/drawing/2014/chart" uri="{C3380CC4-5D6E-409C-BE32-E72D297353CC}">
              <c16:uniqueId val="{00000002-1243-4937-BC33-BDC7A89D89F0}"/>
            </c:ext>
          </c:extLst>
        </c:ser>
        <c:dLbls>
          <c:showLegendKey val="0"/>
          <c:showVal val="0"/>
          <c:showCatName val="0"/>
          <c:showSerName val="0"/>
          <c:showPercent val="0"/>
          <c:showBubbleSize val="0"/>
        </c:dLbls>
        <c:smooth val="0"/>
        <c:axId val="266557696"/>
        <c:axId val="266568064"/>
      </c:lineChart>
      <c:catAx>
        <c:axId val="266557696"/>
        <c:scaling>
          <c:orientation val="minMax"/>
        </c:scaling>
        <c:delete val="0"/>
        <c:axPos val="b"/>
        <c:numFmt formatCode="#,##0" sourceLinked="0"/>
        <c:majorTickMark val="none"/>
        <c:minorTickMark val="out"/>
        <c:tickLblPos val="nextTo"/>
        <c:spPr>
          <a:ln>
            <a:noFill/>
          </a:ln>
        </c:spPr>
        <c:txPr>
          <a:bodyPr/>
          <a:lstStyle/>
          <a:p>
            <a:pPr>
              <a:defRPr sz="800">
                <a:latin typeface="Montserrat Ultra Light" panose="00000300000000000000" pitchFamily="50" charset="0"/>
              </a:defRPr>
            </a:pPr>
            <a:endParaRPr lang="en-US"/>
          </a:p>
        </c:txPr>
        <c:crossAx val="266568064"/>
        <c:crosses val="autoZero"/>
        <c:auto val="1"/>
        <c:lblAlgn val="ctr"/>
        <c:lblOffset val="100"/>
        <c:noMultiLvlLbl val="0"/>
      </c:catAx>
      <c:valAx>
        <c:axId val="266568064"/>
        <c:scaling>
          <c:orientation val="minMax"/>
        </c:scaling>
        <c:delete val="0"/>
        <c:axPos val="l"/>
        <c:majorGridlines>
          <c:spPr>
            <a:ln w="6350">
              <a:solidFill>
                <a:sysClr val="window" lastClr="FFFFFF">
                  <a:lumMod val="85000"/>
                </a:sysClr>
              </a:solidFill>
            </a:ln>
          </c:spPr>
        </c:majorGridlines>
        <c:title>
          <c:tx>
            <c:rich>
              <a:bodyPr/>
              <a:lstStyle/>
              <a:p>
                <a:pPr>
                  <a:defRPr sz="800" b="1">
                    <a:latin typeface="Montserrat Semi Bold" panose="00000700000000000000" pitchFamily="50" charset="0"/>
                  </a:defRPr>
                </a:pPr>
                <a:r>
                  <a:rPr lang="en-US"/>
                  <a:t>$ billion</a:t>
                </a:r>
              </a:p>
            </c:rich>
          </c:tx>
          <c:layout>
            <c:manualLayout>
              <c:xMode val="edge"/>
              <c:yMode val="edge"/>
              <c:x val="9.9871422954722795E-3"/>
              <c:y val="0.37301827393871612"/>
            </c:manualLayout>
          </c:layout>
          <c:overlay val="0"/>
        </c:title>
        <c:numFmt formatCode="#,##0" sourceLinked="0"/>
        <c:majorTickMark val="out"/>
        <c:minorTickMark val="none"/>
        <c:tickLblPos val="nextTo"/>
        <c:spPr>
          <a:ln>
            <a:noFill/>
          </a:ln>
        </c:spPr>
        <c:txPr>
          <a:bodyPr/>
          <a:lstStyle/>
          <a:p>
            <a:pPr>
              <a:defRPr sz="800">
                <a:latin typeface="Montserrat Ultra Light" panose="00000300000000000000" pitchFamily="50" charset="0"/>
              </a:defRPr>
            </a:pPr>
            <a:endParaRPr lang="en-US"/>
          </a:p>
        </c:txPr>
        <c:crossAx val="266557696"/>
        <c:crosses val="autoZero"/>
        <c:crossBetween val="between"/>
      </c:valAx>
    </c:plotArea>
    <c:legend>
      <c:legendPos val="t"/>
      <c:overlay val="0"/>
      <c:spPr>
        <a:solidFill>
          <a:sysClr val="window" lastClr="FFFFFF"/>
        </a:solidFill>
        <a:ln w="6350">
          <a:solidFill>
            <a:srgbClr val="939598"/>
          </a:solidFill>
        </a:ln>
      </c:spPr>
      <c:txPr>
        <a:bodyPr/>
        <a:lstStyle/>
        <a:p>
          <a:pPr>
            <a:defRPr sz="800">
              <a:latin typeface="Montserrat Ultra Light" panose="00000300000000000000" pitchFamily="50" charset="0"/>
            </a:defRPr>
          </a:pPr>
          <a:endParaRPr lang="en-US"/>
        </a:p>
      </c:txPr>
    </c:legend>
    <c:plotVisOnly val="1"/>
    <c:dispBlanksAs val="gap"/>
    <c:showDLblsOverMax val="0"/>
  </c:chart>
  <c:spPr>
    <a:ln w="9525">
      <a:solidFill>
        <a:srgbClr val="ADD6EA"/>
      </a:solidFill>
    </a:ln>
  </c:spPr>
  <c:txPr>
    <a:bodyPr/>
    <a:lstStyle/>
    <a:p>
      <a:pPr>
        <a:defRPr>
          <a:latin typeface="Calibri" pitchFamily="34"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524929228591787"/>
          <c:y val="5.0925925925925923E-2"/>
          <c:w val="0.83645222929936258"/>
          <c:h val="0.85740600448933779"/>
        </c:manualLayout>
      </c:layout>
      <c:barChart>
        <c:barDir val="col"/>
        <c:grouping val="clustered"/>
        <c:varyColors val="0"/>
        <c:ser>
          <c:idx val="0"/>
          <c:order val="0"/>
          <c:tx>
            <c:strRef>
              <c:f>'Figure 2.3'!$A$27</c:f>
              <c:strCache>
                <c:ptCount val="1"/>
                <c:pt idx="0">
                  <c:v>2019–20</c:v>
                </c:pt>
              </c:strCache>
            </c:strRef>
          </c:tx>
          <c:spPr>
            <a:solidFill>
              <a:srgbClr val="CC5E12"/>
            </a:solidFill>
            <a:ln>
              <a:noFill/>
            </a:ln>
          </c:spPr>
          <c:invertIfNegative val="0"/>
          <c:cat>
            <c:strRef>
              <c:f>'Figure 2.3'!$B$25:$J$25</c:f>
              <c:strCache>
                <c:ptCount val="9"/>
                <c:pt idx="0">
                  <c:v>NSW</c:v>
                </c:pt>
                <c:pt idx="1">
                  <c:v>Vic</c:v>
                </c:pt>
                <c:pt idx="2">
                  <c:v>Qld</c:v>
                </c:pt>
                <c:pt idx="3">
                  <c:v>WA</c:v>
                </c:pt>
                <c:pt idx="4">
                  <c:v>SA</c:v>
                </c:pt>
                <c:pt idx="5">
                  <c:v>Tas</c:v>
                </c:pt>
                <c:pt idx="6">
                  <c:v>ACT</c:v>
                </c:pt>
                <c:pt idx="7">
                  <c:v>NT</c:v>
                </c:pt>
                <c:pt idx="8">
                  <c:v>Ave</c:v>
                </c:pt>
              </c:strCache>
            </c:strRef>
          </c:cat>
          <c:val>
            <c:numRef>
              <c:f>'Figure 2.3'!$B$27:$J$27</c:f>
              <c:numCache>
                <c:formatCode>#,##0</c:formatCode>
                <c:ptCount val="9"/>
                <c:pt idx="0">
                  <c:v>19807.109774273678</c:v>
                </c:pt>
                <c:pt idx="1">
                  <c:v>21495.217274679253</c:v>
                </c:pt>
                <c:pt idx="2">
                  <c:v>16371.418967197058</c:v>
                </c:pt>
                <c:pt idx="3">
                  <c:v>10595.282938182996</c:v>
                </c:pt>
                <c:pt idx="4">
                  <c:v>13270.234958326701</c:v>
                </c:pt>
                <c:pt idx="5">
                  <c:v>15302.610652036054</c:v>
                </c:pt>
                <c:pt idx="6">
                  <c:v>18629.857790840557</c:v>
                </c:pt>
                <c:pt idx="7">
                  <c:v>7965.4115896759304</c:v>
                </c:pt>
                <c:pt idx="8">
                  <c:v>17893.649501467258</c:v>
                </c:pt>
              </c:numCache>
            </c:numRef>
          </c:val>
          <c:extLst>
            <c:ext xmlns:c16="http://schemas.microsoft.com/office/drawing/2014/chart" uri="{C3380CC4-5D6E-409C-BE32-E72D297353CC}">
              <c16:uniqueId val="{00000000-EF45-4D44-A5A1-332EE16DD95E}"/>
            </c:ext>
          </c:extLst>
        </c:ser>
        <c:ser>
          <c:idx val="1"/>
          <c:order val="1"/>
          <c:tx>
            <c:strRef>
              <c:f>'Figure 2.3'!$A$28</c:f>
              <c:strCache>
                <c:ptCount val="1"/>
                <c:pt idx="0">
                  <c:v>2020–21</c:v>
                </c:pt>
              </c:strCache>
            </c:strRef>
          </c:tx>
          <c:spPr>
            <a:solidFill>
              <a:sysClr val="window" lastClr="FFFFFF">
                <a:lumMod val="85000"/>
              </a:sysClr>
            </a:solidFill>
            <a:ln>
              <a:noFill/>
            </a:ln>
          </c:spPr>
          <c:invertIfNegative val="0"/>
          <c:cat>
            <c:strRef>
              <c:f>'Figure 2.3'!$B$25:$J$25</c:f>
              <c:strCache>
                <c:ptCount val="9"/>
                <c:pt idx="0">
                  <c:v>NSW</c:v>
                </c:pt>
                <c:pt idx="1">
                  <c:v>Vic</c:v>
                </c:pt>
                <c:pt idx="2">
                  <c:v>Qld</c:v>
                </c:pt>
                <c:pt idx="3">
                  <c:v>WA</c:v>
                </c:pt>
                <c:pt idx="4">
                  <c:v>SA</c:v>
                </c:pt>
                <c:pt idx="5">
                  <c:v>Tas</c:v>
                </c:pt>
                <c:pt idx="6">
                  <c:v>ACT</c:v>
                </c:pt>
                <c:pt idx="7">
                  <c:v>NT</c:v>
                </c:pt>
                <c:pt idx="8">
                  <c:v>Ave</c:v>
                </c:pt>
              </c:strCache>
            </c:strRef>
          </c:cat>
          <c:val>
            <c:numRef>
              <c:f>'Figure 2.3'!$B$28:$J$28</c:f>
              <c:numCache>
                <c:formatCode>#,##0</c:formatCode>
                <c:ptCount val="9"/>
                <c:pt idx="0">
                  <c:v>28367.187572093942</c:v>
                </c:pt>
                <c:pt idx="1">
                  <c:v>23100.820735437122</c:v>
                </c:pt>
                <c:pt idx="2">
                  <c:v>22175.21332181503</c:v>
                </c:pt>
                <c:pt idx="3">
                  <c:v>18949.867483442777</c:v>
                </c:pt>
                <c:pt idx="4">
                  <c:v>14863.340408660952</c:v>
                </c:pt>
                <c:pt idx="5">
                  <c:v>15228.306847780847</c:v>
                </c:pt>
                <c:pt idx="6">
                  <c:v>23809.489556573215</c:v>
                </c:pt>
                <c:pt idx="7">
                  <c:v>9794.6835618879904</c:v>
                </c:pt>
                <c:pt idx="8">
                  <c:v>23269.336162595486</c:v>
                </c:pt>
              </c:numCache>
            </c:numRef>
          </c:val>
          <c:extLst>
            <c:ext xmlns:c16="http://schemas.microsoft.com/office/drawing/2014/chart" uri="{C3380CC4-5D6E-409C-BE32-E72D297353CC}">
              <c16:uniqueId val="{00000001-EF45-4D44-A5A1-332EE16DD95E}"/>
            </c:ext>
          </c:extLst>
        </c:ser>
        <c:ser>
          <c:idx val="2"/>
          <c:order val="2"/>
          <c:tx>
            <c:strRef>
              <c:f>'Figure 2.3'!$A$29</c:f>
              <c:strCache>
                <c:ptCount val="1"/>
                <c:pt idx="0">
                  <c:v>2021–22</c:v>
                </c:pt>
              </c:strCache>
            </c:strRef>
          </c:tx>
          <c:spPr>
            <a:solidFill>
              <a:sysClr val="window" lastClr="FFFFFF">
                <a:lumMod val="85000"/>
              </a:sysClr>
            </a:solidFill>
          </c:spPr>
          <c:invertIfNegative val="0"/>
          <c:cat>
            <c:strRef>
              <c:f>'Figure 2.3'!$B$25:$J$25</c:f>
              <c:strCache>
                <c:ptCount val="9"/>
                <c:pt idx="0">
                  <c:v>NSW</c:v>
                </c:pt>
                <c:pt idx="1">
                  <c:v>Vic</c:v>
                </c:pt>
                <c:pt idx="2">
                  <c:v>Qld</c:v>
                </c:pt>
                <c:pt idx="3">
                  <c:v>WA</c:v>
                </c:pt>
                <c:pt idx="4">
                  <c:v>SA</c:v>
                </c:pt>
                <c:pt idx="5">
                  <c:v>Tas</c:v>
                </c:pt>
                <c:pt idx="6">
                  <c:v>ACT</c:v>
                </c:pt>
                <c:pt idx="7">
                  <c:v>NT</c:v>
                </c:pt>
                <c:pt idx="8">
                  <c:v>Ave</c:v>
                </c:pt>
              </c:strCache>
            </c:strRef>
          </c:cat>
          <c:val>
            <c:numRef>
              <c:f>'Figure 2.3'!$B$29:$J$29</c:f>
              <c:numCache>
                <c:formatCode>#,##0</c:formatCode>
                <c:ptCount val="9"/>
                <c:pt idx="0">
                  <c:v>36748.227031017421</c:v>
                </c:pt>
                <c:pt idx="1">
                  <c:v>32251.149076802456</c:v>
                </c:pt>
                <c:pt idx="2">
                  <c:v>28770.682626776943</c:v>
                </c:pt>
                <c:pt idx="3">
                  <c:v>22141.304629451017</c:v>
                </c:pt>
                <c:pt idx="4">
                  <c:v>20395.092895434485</c:v>
                </c:pt>
                <c:pt idx="5">
                  <c:v>19733.02149750364</c:v>
                </c:pt>
                <c:pt idx="6">
                  <c:v>33840.458391322594</c:v>
                </c:pt>
                <c:pt idx="7">
                  <c:v>19177.870157825691</c:v>
                </c:pt>
                <c:pt idx="8">
                  <c:v>30665.213700971402</c:v>
                </c:pt>
              </c:numCache>
            </c:numRef>
          </c:val>
          <c:extLst>
            <c:ext xmlns:c16="http://schemas.microsoft.com/office/drawing/2014/chart" uri="{C3380CC4-5D6E-409C-BE32-E72D297353CC}">
              <c16:uniqueId val="{00000002-EF45-4D44-A5A1-332EE16DD95E}"/>
            </c:ext>
          </c:extLst>
        </c:ser>
        <c:ser>
          <c:idx val="3"/>
          <c:order val="3"/>
          <c:tx>
            <c:strRef>
              <c:f>'Figure 2.3'!$A$30</c:f>
              <c:strCache>
                <c:ptCount val="1"/>
                <c:pt idx="0">
                  <c:v>2022–23</c:v>
                </c:pt>
              </c:strCache>
            </c:strRef>
          </c:tx>
          <c:spPr>
            <a:solidFill>
              <a:srgbClr val="0092C8"/>
            </a:solidFill>
          </c:spPr>
          <c:invertIfNegative val="0"/>
          <c:cat>
            <c:strRef>
              <c:f>'Figure 2.3'!$B$25:$J$25</c:f>
              <c:strCache>
                <c:ptCount val="9"/>
                <c:pt idx="0">
                  <c:v>NSW</c:v>
                </c:pt>
                <c:pt idx="1">
                  <c:v>Vic</c:v>
                </c:pt>
                <c:pt idx="2">
                  <c:v>Qld</c:v>
                </c:pt>
                <c:pt idx="3">
                  <c:v>WA</c:v>
                </c:pt>
                <c:pt idx="4">
                  <c:v>SA</c:v>
                </c:pt>
                <c:pt idx="5">
                  <c:v>Tas</c:v>
                </c:pt>
                <c:pt idx="6">
                  <c:v>ACT</c:v>
                </c:pt>
                <c:pt idx="7">
                  <c:v>NT</c:v>
                </c:pt>
                <c:pt idx="8">
                  <c:v>Ave</c:v>
                </c:pt>
              </c:strCache>
            </c:strRef>
          </c:cat>
          <c:val>
            <c:numRef>
              <c:f>'Figure 2.3'!$B$30:$J$30</c:f>
              <c:numCache>
                <c:formatCode>#,##0</c:formatCode>
                <c:ptCount val="9"/>
                <c:pt idx="0">
                  <c:v>26837.131741653426</c:v>
                </c:pt>
                <c:pt idx="1">
                  <c:v>26453.541497353955</c:v>
                </c:pt>
                <c:pt idx="2">
                  <c:v>23002.920484931619</c:v>
                </c:pt>
                <c:pt idx="3">
                  <c:v>20405.187882055656</c:v>
                </c:pt>
                <c:pt idx="4">
                  <c:v>17630.887827740666</c:v>
                </c:pt>
                <c:pt idx="5">
                  <c:v>16995.129526843903</c:v>
                </c:pt>
                <c:pt idx="6">
                  <c:v>30254.948695931234</c:v>
                </c:pt>
                <c:pt idx="7">
                  <c:v>12116.62981990267</c:v>
                </c:pt>
                <c:pt idx="8">
                  <c:v>24324.414673354011</c:v>
                </c:pt>
              </c:numCache>
            </c:numRef>
          </c:val>
          <c:extLst>
            <c:ext xmlns:c16="http://schemas.microsoft.com/office/drawing/2014/chart" uri="{C3380CC4-5D6E-409C-BE32-E72D297353CC}">
              <c16:uniqueId val="{00000003-EF45-4D44-A5A1-332EE16DD95E}"/>
            </c:ext>
          </c:extLst>
        </c:ser>
        <c:dLbls>
          <c:showLegendKey val="0"/>
          <c:showVal val="0"/>
          <c:showCatName val="0"/>
          <c:showSerName val="0"/>
          <c:showPercent val="0"/>
          <c:showBubbleSize val="0"/>
        </c:dLbls>
        <c:gapWidth val="150"/>
        <c:axId val="243968640"/>
        <c:axId val="263656192"/>
      </c:barChart>
      <c:catAx>
        <c:axId val="243968640"/>
        <c:scaling>
          <c:orientation val="minMax"/>
        </c:scaling>
        <c:delete val="0"/>
        <c:axPos val="b"/>
        <c:numFmt formatCode="#,##0" sourceLinked="0"/>
        <c:majorTickMark val="out"/>
        <c:minorTickMark val="none"/>
        <c:tickLblPos val="low"/>
        <c:spPr>
          <a:ln>
            <a:noFill/>
          </a:ln>
        </c:spPr>
        <c:txPr>
          <a:bodyPr/>
          <a:lstStyle/>
          <a:p>
            <a:pPr>
              <a:defRPr sz="800">
                <a:latin typeface="Work Sans" pitchFamily="2" charset="0"/>
              </a:defRPr>
            </a:pPr>
            <a:endParaRPr lang="en-US"/>
          </a:p>
        </c:txPr>
        <c:crossAx val="263656192"/>
        <c:crosses val="autoZero"/>
        <c:auto val="1"/>
        <c:lblAlgn val="ctr"/>
        <c:lblOffset val="100"/>
        <c:noMultiLvlLbl val="0"/>
      </c:catAx>
      <c:valAx>
        <c:axId val="263656192"/>
        <c:scaling>
          <c:orientation val="minMax"/>
        </c:scaling>
        <c:delete val="0"/>
        <c:axPos val="l"/>
        <c:majorGridlines>
          <c:spPr>
            <a:ln w="6350">
              <a:solidFill>
                <a:sysClr val="window" lastClr="FFFFFF">
                  <a:lumMod val="85000"/>
                </a:sysClr>
              </a:solidFill>
            </a:ln>
          </c:spPr>
        </c:majorGridlines>
        <c:title>
          <c:tx>
            <c:rich>
              <a:bodyPr rot="-5400000" vert="horz"/>
              <a:lstStyle/>
              <a:p>
                <a:pPr>
                  <a:defRPr sz="800">
                    <a:latin typeface="Work Sans" pitchFamily="2" charset="0"/>
                  </a:defRPr>
                </a:pPr>
                <a:r>
                  <a:rPr lang="en-AU"/>
                  <a:t>$ per capita</a:t>
                </a:r>
              </a:p>
            </c:rich>
          </c:tx>
          <c:layout>
            <c:manualLayout>
              <c:xMode val="edge"/>
              <c:yMode val="edge"/>
              <c:x val="1.6666666666666701E-2"/>
              <c:y val="0.35567620650953985"/>
            </c:manualLayout>
          </c:layout>
          <c:overlay val="0"/>
        </c:title>
        <c:numFmt formatCode="#,##0" sourceLinked="0"/>
        <c:majorTickMark val="out"/>
        <c:minorTickMark val="none"/>
        <c:tickLblPos val="nextTo"/>
        <c:spPr>
          <a:ln>
            <a:noFill/>
          </a:ln>
        </c:spPr>
        <c:txPr>
          <a:bodyPr/>
          <a:lstStyle/>
          <a:p>
            <a:pPr>
              <a:defRPr sz="800">
                <a:latin typeface="Work Sans" pitchFamily="2" charset="0"/>
              </a:defRPr>
            </a:pPr>
            <a:endParaRPr lang="en-US"/>
          </a:p>
        </c:txPr>
        <c:crossAx val="243968640"/>
        <c:crosses val="autoZero"/>
        <c:crossBetween val="between"/>
      </c:valAx>
    </c:plotArea>
    <c:legend>
      <c:legendPos val="t"/>
      <c:legendEntry>
        <c:idx val="1"/>
        <c:delete val="1"/>
      </c:legendEntry>
      <c:legendEntry>
        <c:idx val="2"/>
        <c:delete val="1"/>
      </c:legendEntry>
      <c:overlay val="0"/>
      <c:spPr>
        <a:solidFill>
          <a:sysClr val="window" lastClr="FFFFFF"/>
        </a:solidFill>
        <a:ln w="6350">
          <a:solidFill>
            <a:srgbClr val="939598"/>
          </a:solidFill>
        </a:ln>
      </c:spPr>
      <c:txPr>
        <a:bodyPr/>
        <a:lstStyle/>
        <a:p>
          <a:pPr>
            <a:defRPr sz="800">
              <a:latin typeface="Work Sans" pitchFamily="2" charset="0"/>
            </a:defRPr>
          </a:pPr>
          <a:endParaRPr lang="en-US"/>
        </a:p>
      </c:txPr>
    </c:legend>
    <c:plotVisOnly val="1"/>
    <c:dispBlanksAs val="gap"/>
    <c:showDLblsOverMax val="0"/>
  </c:chart>
  <c:spPr>
    <a:ln w="9525">
      <a:solidFill>
        <a:srgbClr val="ADD6EA"/>
      </a:solidFill>
    </a:ln>
  </c:spPr>
  <c:txPr>
    <a:bodyPr/>
    <a:lstStyle/>
    <a:p>
      <a:pPr>
        <a:defRPr>
          <a:latin typeface="Calibri" pitchFamily="34"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CGC Colour Themes">
      <a:dk1>
        <a:srgbClr val="004562"/>
      </a:dk1>
      <a:lt1>
        <a:srgbClr val="FFFFFF"/>
      </a:lt1>
      <a:dk2>
        <a:srgbClr val="004562"/>
      </a:dk2>
      <a:lt2>
        <a:srgbClr val="E7E6E6"/>
      </a:lt2>
      <a:accent1>
        <a:srgbClr val="004563"/>
      </a:accent1>
      <a:accent2>
        <a:srgbClr val="0092C8"/>
      </a:accent2>
      <a:accent3>
        <a:srgbClr val="CC5E12"/>
      </a:accent3>
      <a:accent4>
        <a:srgbClr val="EDAB16"/>
      </a:accent4>
      <a:accent5>
        <a:srgbClr val="008069"/>
      </a:accent5>
      <a:accent6>
        <a:srgbClr val="00CE87"/>
      </a:accent6>
      <a:hlink>
        <a:srgbClr val="006991"/>
      </a:hlink>
      <a:folHlink>
        <a:srgbClr val="93EA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E6CE0E6E4CC94697A9F68B1C3F36F2" ma:contentTypeVersion="14" ma:contentTypeDescription="Create a new document." ma:contentTypeScope="" ma:versionID="31ba00de3cb04b84972644064573591f">
  <xsd:schema xmlns:xsd="http://www.w3.org/2001/XMLSchema" xmlns:xs="http://www.w3.org/2001/XMLSchema" xmlns:p="http://schemas.microsoft.com/office/2006/metadata/properties" xmlns:ns2="c1f37280-f85a-44c5-9b22-991a1a1da086" xmlns:ns3="199f48e7-77a2-4280-bd13-78cc6c8e9b3d" targetNamespace="http://schemas.microsoft.com/office/2006/metadata/properties" ma:root="true" ma:fieldsID="8fc24e42f7a632b8fb35f3751a00328e" ns2:_="" ns3:_="">
    <xsd:import namespace="c1f37280-f85a-44c5-9b22-991a1a1da086"/>
    <xsd:import namespace="199f48e7-77a2-4280-bd13-78cc6c8e9b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37280-f85a-44c5-9b22-991a1a1d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a0b90d-15e3-4b68-b4ed-e1e0d46dd53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9f48e7-77a2-4280-bd13-78cc6c8e9b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303d50f-ef4c-4537-9195-677643098889}" ma:internalName="TaxCatchAll" ma:showField="CatchAllData" ma:web="199f48e7-77a2-4280-bd13-78cc6c8e9b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99f48e7-77a2-4280-bd13-78cc6c8e9b3d">
      <UserInfo>
        <DisplayName>admin pm</DisplayName>
        <AccountId>172</AccountId>
        <AccountType/>
      </UserInfo>
      <UserInfo>
        <DisplayName>Jonathan Rollings</DisplayName>
        <AccountId>23</AccountId>
        <AccountType/>
      </UserInfo>
      <UserInfo>
        <DisplayName>Rose Verspaandonk</DisplayName>
        <AccountId>22</AccountId>
        <AccountType/>
      </UserInfo>
      <UserInfo>
        <DisplayName>Aaron Prema</DisplayName>
        <AccountId>53</AccountId>
        <AccountType/>
      </UserInfo>
      <UserInfo>
        <DisplayName>Shannon Madden</DisplayName>
        <AccountId>13</AccountId>
        <AccountType/>
      </UserInfo>
      <UserInfo>
        <DisplayName>Katrina Baldock</DisplayName>
        <AccountId>31</AccountId>
        <AccountType/>
      </UserInfo>
    </SharedWithUsers>
    <lcf76f155ced4ddcb4097134ff3c332f xmlns="c1f37280-f85a-44c5-9b22-991a1a1da086">
      <Terms xmlns="http://schemas.microsoft.com/office/infopath/2007/PartnerControls"/>
    </lcf76f155ced4ddcb4097134ff3c332f>
    <TaxCatchAll xmlns="199f48e7-77a2-4280-bd13-78cc6c8e9b3d" xsi:nil="true"/>
  </documentManagement>
</p:properties>
</file>

<file path=customXml/itemProps1.xml><?xml version="1.0" encoding="utf-8"?>
<ds:datastoreItem xmlns:ds="http://schemas.openxmlformats.org/officeDocument/2006/customXml" ds:itemID="{463075DD-041B-4AF6-8EC2-B07C3B53DD45}">
  <ds:schemaRefs>
    <ds:schemaRef ds:uri="http://schemas.microsoft.com/sharepoint/v3/contenttype/forms"/>
  </ds:schemaRefs>
</ds:datastoreItem>
</file>

<file path=customXml/itemProps2.xml><?xml version="1.0" encoding="utf-8"?>
<ds:datastoreItem xmlns:ds="http://schemas.openxmlformats.org/officeDocument/2006/customXml" ds:itemID="{37574CAD-3FC5-4163-BBE5-37B7829C8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37280-f85a-44c5-9b22-991a1a1da086"/>
    <ds:schemaRef ds:uri="199f48e7-77a2-4280-bd13-78cc6c8e9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7878B-B41E-4B02-91DE-744A183D4795}">
  <ds:schemaRefs>
    <ds:schemaRef ds:uri="http://schemas.openxmlformats.org/officeDocument/2006/bibliography"/>
  </ds:schemaRefs>
</ds:datastoreItem>
</file>

<file path=customXml/itemProps4.xml><?xml version="1.0" encoding="utf-8"?>
<ds:datastoreItem xmlns:ds="http://schemas.openxmlformats.org/officeDocument/2006/customXml" ds:itemID="{2DEE6138-CC4C-46E4-B76A-DD2F5931E816}">
  <ds:schemaRefs>
    <ds:schemaRef ds:uri="http://purl.org/dc/elements/1.1/"/>
    <ds:schemaRef ds:uri="http://schemas.microsoft.com/office/2006/documentManagement/types"/>
    <ds:schemaRef ds:uri="199f48e7-77a2-4280-bd13-78cc6c8e9b3d"/>
    <ds:schemaRef ds:uri="http://www.w3.org/XML/1998/namespace"/>
    <ds:schemaRef ds:uri="http://purl.org/dc/dcmitype/"/>
    <ds:schemaRef ds:uri="http://purl.org/dc/terms/"/>
    <ds:schemaRef ds:uri="c1f37280-f85a-44c5-9b22-991a1a1da086"/>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15550</CharactersWithSpaces>
  <SharedDoc>false</SharedDoc>
  <HLinks>
    <vt:vector size="66" baseType="variant">
      <vt:variant>
        <vt:i4>589914</vt:i4>
      </vt:variant>
      <vt:variant>
        <vt:i4>21</vt:i4>
      </vt:variant>
      <vt:variant>
        <vt:i4>0</vt:i4>
      </vt:variant>
      <vt:variant>
        <vt:i4>5</vt:i4>
      </vt:variant>
      <vt:variant>
        <vt:lpwstr>https://www.cgc.gov.au/publications/occasional-paper-4-new-arrangements-distributing-gst</vt:lpwstr>
      </vt:variant>
      <vt:variant>
        <vt:lpwstr/>
      </vt:variant>
      <vt:variant>
        <vt:i4>1245279</vt:i4>
      </vt:variant>
      <vt:variant>
        <vt:i4>12</vt:i4>
      </vt:variant>
      <vt:variant>
        <vt:i4>0</vt:i4>
      </vt:variant>
      <vt:variant>
        <vt:i4>5</vt:i4>
      </vt:variant>
      <vt:variant>
        <vt:lpwstr>https://budget.gov.au/content/myefo/index.htm</vt:lpwstr>
      </vt:variant>
      <vt:variant>
        <vt:lpwstr/>
      </vt:variant>
      <vt:variant>
        <vt:i4>786503</vt:i4>
      </vt:variant>
      <vt:variant>
        <vt:i4>9</vt:i4>
      </vt:variant>
      <vt:variant>
        <vt:i4>0</vt:i4>
      </vt:variant>
      <vt:variant>
        <vt:i4>5</vt:i4>
      </vt:variant>
      <vt:variant>
        <vt:lpwstr>https://www.cgc.gov.au/reports-for-government/2024-update</vt:lpwstr>
      </vt:variant>
      <vt:variant>
        <vt:lpwstr/>
      </vt:variant>
      <vt:variant>
        <vt:i4>786503</vt:i4>
      </vt:variant>
      <vt:variant>
        <vt:i4>6</vt:i4>
      </vt:variant>
      <vt:variant>
        <vt:i4>0</vt:i4>
      </vt:variant>
      <vt:variant>
        <vt:i4>5</vt:i4>
      </vt:variant>
      <vt:variant>
        <vt:lpwstr>https://www.cgc.gov.au/reports-for-government/2024-update</vt:lpwstr>
      </vt:variant>
      <vt:variant>
        <vt:lpwstr/>
      </vt:variant>
      <vt:variant>
        <vt:i4>7602221</vt:i4>
      </vt:variant>
      <vt:variant>
        <vt:i4>3</vt:i4>
      </vt:variant>
      <vt:variant>
        <vt:i4>0</vt:i4>
      </vt:variant>
      <vt:variant>
        <vt:i4>5</vt:i4>
      </vt:variant>
      <vt:variant>
        <vt:lpwstr>http://www.cgc.gov.au/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7602241</vt:i4>
      </vt:variant>
      <vt:variant>
        <vt:i4>9</vt:i4>
      </vt:variant>
      <vt:variant>
        <vt:i4>0</vt:i4>
      </vt:variant>
      <vt:variant>
        <vt:i4>5</vt:i4>
      </vt:variant>
      <vt:variant>
        <vt:lpwstr>mailto:Therese.Maher@cgc.gov.au</vt:lpwstr>
      </vt:variant>
      <vt:variant>
        <vt:lpwstr/>
      </vt:variant>
      <vt:variant>
        <vt:i4>7602241</vt:i4>
      </vt:variant>
      <vt:variant>
        <vt:i4>6</vt:i4>
      </vt:variant>
      <vt:variant>
        <vt:i4>0</vt:i4>
      </vt:variant>
      <vt:variant>
        <vt:i4>5</vt:i4>
      </vt:variant>
      <vt:variant>
        <vt:lpwstr>mailto:Therese.Maher@cgc.gov.au</vt:lpwstr>
      </vt:variant>
      <vt:variant>
        <vt:lpwstr/>
      </vt:variant>
      <vt:variant>
        <vt:i4>3538950</vt:i4>
      </vt:variant>
      <vt:variant>
        <vt:i4>3</vt:i4>
      </vt:variant>
      <vt:variant>
        <vt:i4>0</vt:i4>
      </vt:variant>
      <vt:variant>
        <vt:i4>5</vt:i4>
      </vt:variant>
      <vt:variant>
        <vt:lpwstr>mailto:Carrie.Dreese@cgc.gov.au</vt:lpwstr>
      </vt:variant>
      <vt:variant>
        <vt:lpwstr/>
      </vt:variant>
      <vt:variant>
        <vt:i4>7602241</vt:i4>
      </vt:variant>
      <vt:variant>
        <vt:i4>0</vt:i4>
      </vt:variant>
      <vt:variant>
        <vt:i4>0</vt:i4>
      </vt:variant>
      <vt:variant>
        <vt:i4>5</vt:i4>
      </vt:variant>
      <vt:variant>
        <vt:lpwstr>mailto:Therese.Maher@cgc.gov.au</vt:lpwstr>
      </vt:variant>
      <vt:variant>
        <vt:lpwstr/>
      </vt:variant>
      <vt:variant>
        <vt:i4>786503</vt:i4>
      </vt:variant>
      <vt:variant>
        <vt:i4>0</vt:i4>
      </vt:variant>
      <vt:variant>
        <vt:i4>0</vt:i4>
      </vt:variant>
      <vt:variant>
        <vt:i4>5</vt:i4>
      </vt:variant>
      <vt:variant>
        <vt:lpwstr>https://www.cgc.gov.au/reports-for-government/2024-update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Madden</dc:creator>
  <cp:keywords/>
  <dc:description/>
  <cp:lastModifiedBy>Katrina Baldock</cp:lastModifiedBy>
  <cp:revision>75</cp:revision>
  <dcterms:created xsi:type="dcterms:W3CDTF">2024-03-05T00:01:00Z</dcterms:created>
  <dcterms:modified xsi:type="dcterms:W3CDTF">2024-03-06T03:22:00Z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226100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0x010100E7E6CE0E6E4CC94697A9F68B1C3F36F2</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