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DE2C4" w14:textId="400B8876" w:rsidR="00B86A43" w:rsidRDefault="002D497D" w:rsidP="002E614A">
      <w:pPr>
        <w:tabs>
          <w:tab w:val="right" w:pos="9026"/>
        </w:tabs>
        <w:rPr>
          <w:sz w:val="24"/>
          <w:szCs w:val="24"/>
        </w:rPr>
      </w:pPr>
      <w:bookmarkStart w:id="0" w:name="Content"/>
      <w:bookmarkEnd w:id="0"/>
      <w:r>
        <w:rPr>
          <w:noProof/>
        </w:rPr>
        <w:drawing>
          <wp:anchor distT="0" distB="0" distL="114300" distR="114300" simplePos="0" relativeHeight="251658244" behindDoc="1" locked="0" layoutInCell="1" allowOverlap="1" wp14:anchorId="0A038709" wp14:editId="7E1CCAE3">
            <wp:simplePos x="0" y="0"/>
            <wp:positionH relativeFrom="page">
              <wp:posOffset>-2969</wp:posOffset>
            </wp:positionH>
            <wp:positionV relativeFrom="page">
              <wp:posOffset>-803910</wp:posOffset>
            </wp:positionV>
            <wp:extent cx="7557770" cy="11511280"/>
            <wp:effectExtent l="0" t="0" r="5080" b="0"/>
            <wp:wrapNone/>
            <wp:docPr id="23" name="Picture 23"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70" cy="11511280"/>
                    </a:xfrm>
                    <a:prstGeom prst="rect">
                      <a:avLst/>
                    </a:prstGeom>
                  </pic:spPr>
                </pic:pic>
              </a:graphicData>
            </a:graphic>
            <wp14:sizeRelH relativeFrom="margin">
              <wp14:pctWidth>0</wp14:pctWidth>
            </wp14:sizeRelH>
            <wp14:sizeRelV relativeFrom="margin">
              <wp14:pctHeight>0</wp14:pctHeight>
            </wp14:sizeRelV>
          </wp:anchor>
        </w:drawing>
      </w:r>
      <w:r w:rsidR="00182276">
        <w:rPr>
          <w:sz w:val="24"/>
          <w:szCs w:val="24"/>
        </w:rPr>
        <w:tab/>
      </w:r>
    </w:p>
    <w:p w14:paraId="0102E3B7" w14:textId="63E77BE2" w:rsidR="00F0686F" w:rsidRPr="0040294B" w:rsidRDefault="00F0686F" w:rsidP="0040294B">
      <w:pPr>
        <w:rPr>
          <w:rFonts w:ascii="Work Sans" w:hAnsi="Work Sans"/>
          <w:sz w:val="24"/>
          <w:szCs w:val="24"/>
        </w:rPr>
      </w:pPr>
      <w:r>
        <w:rPr>
          <w:noProof/>
        </w:rPr>
        <w:drawing>
          <wp:anchor distT="0" distB="0" distL="114300" distR="114300" simplePos="0" relativeHeight="251658240" behindDoc="0" locked="0" layoutInCell="1" allowOverlap="1" wp14:anchorId="51358AD1" wp14:editId="7E363687">
            <wp:simplePos x="914400" y="1210391"/>
            <wp:positionH relativeFrom="column">
              <wp:align>left</wp:align>
            </wp:positionH>
            <wp:positionV relativeFrom="paragraph">
              <wp:align>top</wp:align>
            </wp:positionV>
            <wp:extent cx="2441749" cy="460926"/>
            <wp:effectExtent l="0" t="0" r="0"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anchor>
        </w:drawing>
      </w:r>
    </w:p>
    <w:p w14:paraId="66E690E3" w14:textId="77777777" w:rsidR="00F0686F" w:rsidRPr="00F0686F" w:rsidRDefault="00F0686F" w:rsidP="00F0686F">
      <w:pPr>
        <w:rPr>
          <w:rFonts w:ascii="Work Sans" w:hAnsi="Work Sans"/>
          <w:sz w:val="24"/>
          <w:szCs w:val="24"/>
        </w:rPr>
      </w:pPr>
    </w:p>
    <w:p w14:paraId="36513127" w14:textId="77777777" w:rsidR="00F0686F" w:rsidRPr="00F0686F" w:rsidRDefault="00F0686F" w:rsidP="00F0686F">
      <w:pPr>
        <w:rPr>
          <w:rFonts w:ascii="Work Sans" w:hAnsi="Work Sans"/>
          <w:sz w:val="24"/>
          <w:szCs w:val="24"/>
        </w:rPr>
      </w:pPr>
    </w:p>
    <w:p w14:paraId="63D77E8E" w14:textId="77777777" w:rsidR="00F0686F" w:rsidRDefault="00F0686F" w:rsidP="00F0686F">
      <w:pPr>
        <w:rPr>
          <w:rFonts w:ascii="Work Sans" w:hAnsi="Work Sans"/>
          <w:sz w:val="24"/>
          <w:szCs w:val="24"/>
        </w:rPr>
      </w:pPr>
    </w:p>
    <w:p w14:paraId="5D1F022C" w14:textId="27EDE383" w:rsidR="00F0686F" w:rsidRDefault="00F0686F" w:rsidP="00F0686F">
      <w:pPr>
        <w:rPr>
          <w:rFonts w:ascii="Work Sans" w:hAnsi="Work Sans"/>
          <w:sz w:val="24"/>
          <w:szCs w:val="24"/>
        </w:rPr>
      </w:pPr>
    </w:p>
    <w:p w14:paraId="6C3DEB3C" w14:textId="77777777" w:rsidR="00B5532F" w:rsidRDefault="00B5532F" w:rsidP="00F0686F">
      <w:pPr>
        <w:rPr>
          <w:rFonts w:ascii="Work Sans" w:hAnsi="Work Sans"/>
          <w:sz w:val="24"/>
          <w:szCs w:val="24"/>
        </w:rPr>
      </w:pPr>
    </w:p>
    <w:p w14:paraId="09A3441B" w14:textId="2F3986D0" w:rsidR="00F0686F" w:rsidRPr="007A0405" w:rsidRDefault="00F0686F" w:rsidP="00F0686F">
      <w:pPr>
        <w:jc w:val="center"/>
        <w:rPr>
          <w:rFonts w:ascii="Work Sans" w:hAnsi="Work Sans" w:cs="Open Sans"/>
          <w:b/>
          <w:color w:val="FFFFFF" w:themeColor="background1"/>
          <w:sz w:val="84"/>
          <w:szCs w:val="84"/>
        </w:rPr>
      </w:pPr>
      <w:r w:rsidRPr="007A0405">
        <w:rPr>
          <w:rFonts w:ascii="Work Sans" w:hAnsi="Work Sans" w:cs="Open Sans"/>
          <w:b/>
          <w:color w:val="FFFFFF" w:themeColor="background1"/>
          <w:sz w:val="84"/>
          <w:szCs w:val="84"/>
        </w:rPr>
        <w:t>Discussion Paper</w:t>
      </w:r>
    </w:p>
    <w:p w14:paraId="5778656C" w14:textId="77777777" w:rsidR="00F0686F" w:rsidRPr="007A0405" w:rsidRDefault="00F0686F" w:rsidP="00F0686F">
      <w:pPr>
        <w:rPr>
          <w:rFonts w:ascii="Work Sans" w:hAnsi="Work Sans"/>
          <w:color w:val="FFFFFF" w:themeColor="background1"/>
          <w:sz w:val="24"/>
          <w:szCs w:val="24"/>
        </w:rPr>
      </w:pPr>
    </w:p>
    <w:p w14:paraId="40D7C11E" w14:textId="77777777" w:rsidR="00F0686F" w:rsidRPr="007A0405" w:rsidRDefault="00F0686F" w:rsidP="00F0686F">
      <w:pPr>
        <w:rPr>
          <w:rFonts w:ascii="Work Sans" w:hAnsi="Work Sans"/>
          <w:color w:val="FFFFFF" w:themeColor="background1"/>
          <w:sz w:val="24"/>
          <w:szCs w:val="24"/>
        </w:rPr>
      </w:pPr>
    </w:p>
    <w:p w14:paraId="3018706B" w14:textId="77777777" w:rsidR="00F0686F" w:rsidRPr="007A0405" w:rsidRDefault="00F0686F" w:rsidP="00F0686F">
      <w:pPr>
        <w:rPr>
          <w:rFonts w:ascii="Work Sans" w:hAnsi="Work Sans"/>
          <w:color w:val="FFFFFF" w:themeColor="background1"/>
          <w:sz w:val="24"/>
          <w:szCs w:val="24"/>
        </w:rPr>
      </w:pPr>
    </w:p>
    <w:p w14:paraId="349D8E84" w14:textId="77777777" w:rsidR="00F0686F" w:rsidRPr="007A0405" w:rsidRDefault="00F0686F" w:rsidP="00F0686F">
      <w:pPr>
        <w:rPr>
          <w:rFonts w:ascii="Work Sans" w:hAnsi="Work Sans"/>
          <w:color w:val="FFFFFF" w:themeColor="background1"/>
          <w:sz w:val="24"/>
          <w:szCs w:val="24"/>
        </w:rPr>
      </w:pPr>
    </w:p>
    <w:p w14:paraId="1B712909" w14:textId="646E1BFC" w:rsidR="00F0686F" w:rsidRPr="007A0405" w:rsidRDefault="000347A2" w:rsidP="00F0686F">
      <w:pPr>
        <w:jc w:val="center"/>
        <w:rPr>
          <w:rFonts w:ascii="Work Sans" w:hAnsi="Work Sans" w:cs="Open Sans"/>
          <w:color w:val="FFFFFF" w:themeColor="background1"/>
          <w:sz w:val="48"/>
          <w:szCs w:val="48"/>
        </w:rPr>
      </w:pPr>
      <w:r w:rsidRPr="007A0405">
        <w:rPr>
          <w:rFonts w:ascii="Work Sans" w:hAnsi="Work Sans" w:cs="Open Sans"/>
          <w:color w:val="FFFFFF" w:themeColor="background1"/>
          <w:sz w:val="48"/>
          <w:szCs w:val="48"/>
        </w:rPr>
        <w:t xml:space="preserve">New </w:t>
      </w:r>
      <w:r w:rsidR="00CA0D38">
        <w:rPr>
          <w:rFonts w:ascii="Work Sans" w:hAnsi="Work Sans" w:cs="Open Sans"/>
          <w:color w:val="FFFFFF" w:themeColor="background1"/>
          <w:sz w:val="48"/>
          <w:szCs w:val="48"/>
        </w:rPr>
        <w:t>i</w:t>
      </w:r>
      <w:r w:rsidRPr="007A0405">
        <w:rPr>
          <w:rFonts w:ascii="Work Sans" w:hAnsi="Work Sans" w:cs="Open Sans"/>
          <w:color w:val="FFFFFF" w:themeColor="background1"/>
          <w:sz w:val="48"/>
          <w:szCs w:val="48"/>
        </w:rPr>
        <w:t>ssues</w:t>
      </w:r>
      <w:r w:rsidR="00C272B9">
        <w:rPr>
          <w:rFonts w:ascii="Work Sans" w:hAnsi="Work Sans" w:cs="Open Sans"/>
          <w:color w:val="FFFFFF" w:themeColor="background1"/>
          <w:sz w:val="48"/>
          <w:szCs w:val="48"/>
        </w:rPr>
        <w:t xml:space="preserve"> in the </w:t>
      </w:r>
      <w:r w:rsidR="0040294B" w:rsidRPr="007A0405">
        <w:rPr>
          <w:rFonts w:ascii="Work Sans" w:hAnsi="Work Sans" w:cs="Open Sans"/>
          <w:color w:val="FFFFFF" w:themeColor="background1"/>
          <w:sz w:val="48"/>
          <w:szCs w:val="48"/>
        </w:rPr>
        <w:t>20</w:t>
      </w:r>
      <w:r w:rsidRPr="007A0405">
        <w:rPr>
          <w:rFonts w:ascii="Work Sans" w:hAnsi="Work Sans" w:cs="Open Sans"/>
          <w:color w:val="FFFFFF" w:themeColor="background1"/>
          <w:sz w:val="48"/>
          <w:szCs w:val="48"/>
        </w:rPr>
        <w:t>2</w:t>
      </w:r>
      <w:r w:rsidR="00A6526F">
        <w:rPr>
          <w:rFonts w:ascii="Work Sans" w:hAnsi="Work Sans" w:cs="Open Sans"/>
          <w:color w:val="FFFFFF" w:themeColor="background1"/>
          <w:sz w:val="48"/>
          <w:szCs w:val="48"/>
        </w:rPr>
        <w:t>4</w:t>
      </w:r>
      <w:r w:rsidR="0040294B" w:rsidRPr="007A0405">
        <w:rPr>
          <w:rFonts w:ascii="Work Sans" w:hAnsi="Work Sans" w:cs="Open Sans"/>
          <w:color w:val="FFFFFF" w:themeColor="background1"/>
          <w:sz w:val="48"/>
          <w:szCs w:val="48"/>
        </w:rPr>
        <w:t xml:space="preserve"> </w:t>
      </w:r>
      <w:r w:rsidR="00F0686F" w:rsidRPr="007A0405">
        <w:rPr>
          <w:rFonts w:ascii="Work Sans" w:hAnsi="Work Sans" w:cs="Open Sans"/>
          <w:color w:val="FFFFFF" w:themeColor="background1"/>
          <w:sz w:val="48"/>
          <w:szCs w:val="48"/>
        </w:rPr>
        <w:t>Update</w:t>
      </w:r>
    </w:p>
    <w:p w14:paraId="5F3FF1E5" w14:textId="77777777" w:rsidR="00F0686F" w:rsidRPr="007A0405" w:rsidRDefault="00F0686F" w:rsidP="00F0686F">
      <w:pPr>
        <w:rPr>
          <w:rFonts w:ascii="Work Sans" w:hAnsi="Work Sans"/>
          <w:color w:val="FFFFFF" w:themeColor="background1"/>
          <w:sz w:val="24"/>
          <w:szCs w:val="24"/>
        </w:rPr>
      </w:pPr>
    </w:p>
    <w:p w14:paraId="332FBDCD" w14:textId="77777777" w:rsidR="00F0686F" w:rsidRPr="007A0405" w:rsidRDefault="00F0686F" w:rsidP="00F0686F">
      <w:pPr>
        <w:rPr>
          <w:rFonts w:ascii="Work Sans" w:hAnsi="Work Sans"/>
          <w:color w:val="FFFFFF" w:themeColor="background1"/>
          <w:sz w:val="24"/>
          <w:szCs w:val="24"/>
        </w:rPr>
      </w:pPr>
    </w:p>
    <w:p w14:paraId="4991329F" w14:textId="77777777" w:rsidR="00F0686F" w:rsidRPr="007A0405" w:rsidRDefault="00F0686F" w:rsidP="00F0686F">
      <w:pPr>
        <w:rPr>
          <w:rFonts w:ascii="Work Sans" w:hAnsi="Work Sans"/>
          <w:color w:val="FFFFFF" w:themeColor="background1"/>
          <w:sz w:val="24"/>
          <w:szCs w:val="24"/>
        </w:rPr>
      </w:pPr>
    </w:p>
    <w:p w14:paraId="624FCCBC" w14:textId="328214FE" w:rsidR="0040294B" w:rsidRPr="007A0405" w:rsidRDefault="00054582" w:rsidP="0040294B">
      <w:pPr>
        <w:jc w:val="center"/>
        <w:rPr>
          <w:rFonts w:ascii="Work Sans" w:hAnsi="Work Sans" w:cs="Open Sans"/>
          <w:color w:val="FFFFFF" w:themeColor="background1"/>
          <w:sz w:val="28"/>
          <w:szCs w:val="28"/>
        </w:rPr>
      </w:pPr>
      <w:r>
        <w:rPr>
          <w:rFonts w:ascii="Work Sans" w:hAnsi="Work Sans" w:cs="Open Sans"/>
          <w:color w:val="FFFFFF" w:themeColor="background1"/>
          <w:sz w:val="28"/>
          <w:szCs w:val="28"/>
        </w:rPr>
        <w:t>September</w:t>
      </w:r>
      <w:r w:rsidR="000347A2" w:rsidRPr="007A0405">
        <w:rPr>
          <w:rFonts w:ascii="Work Sans" w:hAnsi="Work Sans" w:cs="Open Sans"/>
          <w:color w:val="FFFFFF" w:themeColor="background1"/>
          <w:sz w:val="28"/>
          <w:szCs w:val="28"/>
        </w:rPr>
        <w:t xml:space="preserve"> 202</w:t>
      </w:r>
      <w:r w:rsidR="00A6526F">
        <w:rPr>
          <w:rFonts w:ascii="Work Sans" w:hAnsi="Work Sans" w:cs="Open Sans"/>
          <w:color w:val="FFFFFF" w:themeColor="background1"/>
          <w:sz w:val="28"/>
          <w:szCs w:val="28"/>
        </w:rPr>
        <w:t>3</w:t>
      </w:r>
    </w:p>
    <w:p w14:paraId="2A6E335F" w14:textId="77777777" w:rsidR="00F0686F" w:rsidRDefault="00F0686F" w:rsidP="00F0686F">
      <w:pPr>
        <w:rPr>
          <w:rFonts w:ascii="Work Sans" w:hAnsi="Work Sans"/>
          <w:sz w:val="24"/>
          <w:szCs w:val="24"/>
        </w:rPr>
      </w:pPr>
    </w:p>
    <w:p w14:paraId="60B58CA4" w14:textId="77777777" w:rsidR="0040294B" w:rsidRDefault="0040294B" w:rsidP="00F0686F">
      <w:pPr>
        <w:rPr>
          <w:rFonts w:ascii="Work Sans" w:hAnsi="Work Sans"/>
          <w:sz w:val="24"/>
          <w:szCs w:val="24"/>
        </w:rPr>
      </w:pPr>
    </w:p>
    <w:p w14:paraId="2FE15435" w14:textId="77777777" w:rsidR="0040294B" w:rsidRDefault="0040294B" w:rsidP="00F0686F">
      <w:pPr>
        <w:rPr>
          <w:rFonts w:ascii="Work Sans" w:hAnsi="Work Sans"/>
          <w:sz w:val="24"/>
          <w:szCs w:val="24"/>
        </w:rPr>
      </w:pPr>
    </w:p>
    <w:p w14:paraId="72684CEB" w14:textId="77777777" w:rsidR="0040294B" w:rsidRDefault="0040294B" w:rsidP="00F0686F">
      <w:pPr>
        <w:rPr>
          <w:rFonts w:ascii="Work Sans" w:hAnsi="Work Sans"/>
          <w:sz w:val="24"/>
          <w:szCs w:val="24"/>
        </w:rPr>
      </w:pPr>
    </w:p>
    <w:p w14:paraId="265BC125" w14:textId="77777777" w:rsidR="00F0686F" w:rsidRPr="00F0686F" w:rsidRDefault="00F0686F" w:rsidP="00F0686F">
      <w:pPr>
        <w:rPr>
          <w:rFonts w:ascii="Work Sans" w:hAnsi="Work Sans"/>
          <w:sz w:val="24"/>
          <w:szCs w:val="24"/>
        </w:rPr>
      </w:pPr>
    </w:p>
    <w:p w14:paraId="290D5FF7" w14:textId="77777777" w:rsidR="00F0686F" w:rsidRPr="00F0686F" w:rsidRDefault="00F0686F" w:rsidP="00F0686F">
      <w:pPr>
        <w:rPr>
          <w:rFonts w:ascii="Work Sans" w:hAnsi="Work Sans"/>
          <w:sz w:val="24"/>
          <w:szCs w:val="24"/>
        </w:rPr>
      </w:pPr>
    </w:p>
    <w:p w14:paraId="01275110" w14:textId="77777777" w:rsidR="00F0686F" w:rsidRDefault="00F0686F" w:rsidP="00F13451">
      <w:pPr>
        <w:pStyle w:val="Heading1"/>
        <w:sectPr w:rsidR="00F0686F" w:rsidSect="00F0686F">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0C098A25" w14:textId="77777777" w:rsidR="0040294B" w:rsidRPr="0040294B" w:rsidRDefault="0040294B" w:rsidP="0040294B">
      <w:pPr>
        <w:rPr>
          <w:rFonts w:ascii="Work Sans" w:hAnsi="Work Sans"/>
          <w:sz w:val="24"/>
          <w:szCs w:val="24"/>
        </w:rPr>
      </w:pPr>
    </w:p>
    <w:p w14:paraId="65055FF1" w14:textId="77777777" w:rsidR="0040294B" w:rsidRPr="0040294B" w:rsidRDefault="0040294B" w:rsidP="0040294B">
      <w:pPr>
        <w:rPr>
          <w:rFonts w:ascii="Work Sans" w:hAnsi="Work Sans"/>
          <w:sz w:val="24"/>
          <w:szCs w:val="24"/>
        </w:rPr>
      </w:pPr>
    </w:p>
    <w:p w14:paraId="1A3E8ABA" w14:textId="77777777" w:rsidR="0040294B" w:rsidRPr="0040294B" w:rsidRDefault="0040294B" w:rsidP="0040294B">
      <w:pPr>
        <w:rPr>
          <w:rFonts w:ascii="Work Sans" w:hAnsi="Work Sans"/>
          <w:sz w:val="24"/>
          <w:szCs w:val="24"/>
        </w:rPr>
      </w:pPr>
    </w:p>
    <w:p w14:paraId="6C5CC3CE" w14:textId="77777777" w:rsidR="0040294B" w:rsidRPr="0040294B" w:rsidRDefault="0040294B" w:rsidP="0040294B">
      <w:pPr>
        <w:rPr>
          <w:rFonts w:ascii="Work Sans" w:hAnsi="Work Sans"/>
          <w:sz w:val="24"/>
          <w:szCs w:val="24"/>
        </w:rPr>
      </w:pPr>
    </w:p>
    <w:p w14:paraId="3DD0A58E" w14:textId="77777777" w:rsidR="0040294B" w:rsidRPr="0040294B" w:rsidRDefault="0040294B" w:rsidP="0040294B">
      <w:pPr>
        <w:rPr>
          <w:rFonts w:ascii="Work Sans" w:hAnsi="Work Sans"/>
          <w:sz w:val="24"/>
          <w:szCs w:val="24"/>
        </w:rPr>
      </w:pPr>
    </w:p>
    <w:p w14:paraId="086C0BD6" w14:textId="77777777" w:rsidR="0040294B" w:rsidRDefault="0040294B" w:rsidP="0040294B">
      <w:pPr>
        <w:rPr>
          <w:rFonts w:ascii="Work Sans" w:hAnsi="Work Sans"/>
          <w:sz w:val="24"/>
          <w:szCs w:val="24"/>
        </w:rPr>
      </w:pPr>
    </w:p>
    <w:p w14:paraId="340EBCA7" w14:textId="77777777" w:rsidR="00FE2B0F" w:rsidRDefault="00FE2B0F" w:rsidP="0040294B">
      <w:pPr>
        <w:rPr>
          <w:rFonts w:ascii="Work Sans" w:hAnsi="Work Sans"/>
          <w:sz w:val="24"/>
          <w:szCs w:val="24"/>
        </w:rPr>
      </w:pPr>
    </w:p>
    <w:p w14:paraId="34681714" w14:textId="77777777" w:rsidR="00FE2B0F" w:rsidRDefault="00FE2B0F" w:rsidP="0040294B">
      <w:pPr>
        <w:rPr>
          <w:rFonts w:ascii="Work Sans" w:hAnsi="Work Sans"/>
          <w:sz w:val="24"/>
          <w:szCs w:val="24"/>
        </w:rPr>
      </w:pPr>
    </w:p>
    <w:p w14:paraId="184A2DE3" w14:textId="77777777" w:rsidR="00FE2B0F" w:rsidRDefault="00FE2B0F" w:rsidP="0040294B">
      <w:pPr>
        <w:rPr>
          <w:rFonts w:ascii="Work Sans" w:hAnsi="Work Sans"/>
          <w:sz w:val="24"/>
          <w:szCs w:val="24"/>
        </w:rPr>
      </w:pPr>
    </w:p>
    <w:p w14:paraId="70CF2C36" w14:textId="77777777" w:rsidR="00FE2B0F" w:rsidRDefault="00FE2B0F" w:rsidP="0040294B">
      <w:pPr>
        <w:rPr>
          <w:rFonts w:ascii="Work Sans" w:hAnsi="Work Sans"/>
          <w:sz w:val="24"/>
          <w:szCs w:val="24"/>
        </w:rPr>
      </w:pPr>
    </w:p>
    <w:tbl>
      <w:tblPr>
        <w:tblStyle w:val="TableGrid"/>
        <w:tblW w:w="0" w:type="auto"/>
        <w:tblLook w:val="04A0" w:firstRow="1" w:lastRow="0" w:firstColumn="1" w:lastColumn="0" w:noHBand="0" w:noVBand="1"/>
      </w:tblPr>
      <w:tblGrid>
        <w:gridCol w:w="2972"/>
        <w:gridCol w:w="6044"/>
      </w:tblGrid>
      <w:tr w:rsidR="00873C95" w:rsidRPr="00F65608" w14:paraId="429FA1DB" w14:textId="77777777" w:rsidTr="770336AA">
        <w:tc>
          <w:tcPr>
            <w:tcW w:w="2972" w:type="dxa"/>
          </w:tcPr>
          <w:p w14:paraId="56E01026" w14:textId="77777777" w:rsidR="00873C95" w:rsidRPr="009C4724" w:rsidRDefault="00873C95" w:rsidP="0040294B">
            <w:pPr>
              <w:rPr>
                <w:rFonts w:ascii="Work Sans" w:hAnsi="Work Sans"/>
                <w:sz w:val="20"/>
                <w:szCs w:val="20"/>
              </w:rPr>
            </w:pPr>
            <w:r w:rsidRPr="009C4724">
              <w:rPr>
                <w:rFonts w:ascii="Work Sans" w:hAnsi="Work Sans"/>
                <w:sz w:val="20"/>
                <w:szCs w:val="20"/>
              </w:rPr>
              <w:t>Paper issued</w:t>
            </w:r>
          </w:p>
        </w:tc>
        <w:tc>
          <w:tcPr>
            <w:tcW w:w="6044" w:type="dxa"/>
          </w:tcPr>
          <w:p w14:paraId="6CD85772" w14:textId="1FF2EA7C" w:rsidR="00873C95" w:rsidRPr="009C4724" w:rsidRDefault="00355922" w:rsidP="0040294B">
            <w:pPr>
              <w:rPr>
                <w:rFonts w:ascii="Work Sans" w:hAnsi="Work Sans"/>
                <w:sz w:val="20"/>
                <w:szCs w:val="20"/>
              </w:rPr>
            </w:pPr>
            <w:r>
              <w:rPr>
                <w:rFonts w:ascii="Work Sans" w:hAnsi="Work Sans"/>
                <w:sz w:val="20"/>
                <w:szCs w:val="20"/>
              </w:rPr>
              <w:t>29 September 2023</w:t>
            </w:r>
          </w:p>
        </w:tc>
      </w:tr>
      <w:tr w:rsidR="00873C95" w:rsidRPr="00F65608" w14:paraId="32543A86" w14:textId="77777777" w:rsidTr="770336AA">
        <w:tc>
          <w:tcPr>
            <w:tcW w:w="2972" w:type="dxa"/>
          </w:tcPr>
          <w:p w14:paraId="011128B4" w14:textId="77777777" w:rsidR="00873C95" w:rsidRPr="00861714" w:rsidRDefault="00873C95" w:rsidP="0040294B">
            <w:pPr>
              <w:rPr>
                <w:rFonts w:ascii="Work Sans" w:hAnsi="Work Sans"/>
                <w:sz w:val="20"/>
                <w:szCs w:val="20"/>
              </w:rPr>
            </w:pPr>
            <w:r w:rsidRPr="00861714">
              <w:rPr>
                <w:rFonts w:ascii="Work Sans" w:hAnsi="Work Sans"/>
                <w:sz w:val="20"/>
                <w:szCs w:val="20"/>
              </w:rPr>
              <w:t>Commission contact officer</w:t>
            </w:r>
          </w:p>
        </w:tc>
        <w:tc>
          <w:tcPr>
            <w:tcW w:w="6044" w:type="dxa"/>
          </w:tcPr>
          <w:p w14:paraId="0A532236" w14:textId="4928D828" w:rsidR="00873C95" w:rsidRPr="00BC3594" w:rsidRDefault="00697EA5" w:rsidP="7DB9FC05">
            <w:pPr>
              <w:rPr>
                <w:rFonts w:ascii="Work Sans" w:hAnsi="Work Sans"/>
                <w:sz w:val="20"/>
                <w:szCs w:val="20"/>
              </w:rPr>
            </w:pPr>
            <w:r w:rsidRPr="00BC3594">
              <w:rPr>
                <w:rFonts w:ascii="Work Sans" w:hAnsi="Work Sans"/>
                <w:sz w:val="20"/>
                <w:szCs w:val="20"/>
              </w:rPr>
              <w:t xml:space="preserve">Peter Lock, </w:t>
            </w:r>
            <w:r w:rsidR="00262658" w:rsidRPr="00BC3594">
              <w:rPr>
                <w:rFonts w:ascii="Work Sans" w:hAnsi="Work Sans"/>
                <w:sz w:val="20"/>
                <w:szCs w:val="20"/>
              </w:rPr>
              <w:t>02 6218 5718, peter.lock@cgc.gov.au</w:t>
            </w:r>
          </w:p>
        </w:tc>
      </w:tr>
      <w:tr w:rsidR="00873C95" w:rsidRPr="00F65608" w14:paraId="21A3038E" w14:textId="77777777" w:rsidTr="770336AA">
        <w:tc>
          <w:tcPr>
            <w:tcW w:w="2972" w:type="dxa"/>
          </w:tcPr>
          <w:p w14:paraId="645601E7" w14:textId="77777777" w:rsidR="00873C95" w:rsidRPr="00861714" w:rsidRDefault="00873C95" w:rsidP="00873C95">
            <w:pPr>
              <w:rPr>
                <w:rFonts w:ascii="Work Sans" w:hAnsi="Work Sans"/>
                <w:sz w:val="20"/>
                <w:szCs w:val="20"/>
              </w:rPr>
            </w:pPr>
            <w:r w:rsidRPr="00861714">
              <w:rPr>
                <w:rFonts w:ascii="Work Sans" w:hAnsi="Work Sans"/>
                <w:sz w:val="20"/>
                <w:szCs w:val="20"/>
              </w:rPr>
              <w:t>Submissions sought by</w:t>
            </w:r>
          </w:p>
        </w:tc>
        <w:tc>
          <w:tcPr>
            <w:tcW w:w="6044" w:type="dxa"/>
          </w:tcPr>
          <w:p w14:paraId="5293ED98" w14:textId="2D1A8BC3" w:rsidR="00873C95" w:rsidRPr="00861714" w:rsidRDefault="00355922" w:rsidP="00873C95">
            <w:pPr>
              <w:rPr>
                <w:rFonts w:ascii="Work Sans" w:hAnsi="Work Sans"/>
                <w:sz w:val="20"/>
                <w:szCs w:val="20"/>
              </w:rPr>
            </w:pPr>
            <w:r>
              <w:rPr>
                <w:rFonts w:ascii="Work Sans" w:hAnsi="Work Sans"/>
                <w:sz w:val="20"/>
                <w:szCs w:val="20"/>
              </w:rPr>
              <w:t>3 November</w:t>
            </w:r>
            <w:r w:rsidR="00873C95">
              <w:rPr>
                <w:rFonts w:ascii="Work Sans" w:hAnsi="Work Sans"/>
                <w:sz w:val="20"/>
                <w:szCs w:val="20"/>
              </w:rPr>
              <w:t xml:space="preserve"> 20</w:t>
            </w:r>
            <w:r w:rsidR="00307DB3">
              <w:rPr>
                <w:rFonts w:ascii="Work Sans" w:hAnsi="Work Sans"/>
                <w:sz w:val="20"/>
                <w:szCs w:val="20"/>
              </w:rPr>
              <w:t>2</w:t>
            </w:r>
            <w:r w:rsidR="6E5530B1">
              <w:rPr>
                <w:rFonts w:ascii="Work Sans" w:hAnsi="Work Sans"/>
                <w:sz w:val="20"/>
                <w:szCs w:val="20"/>
              </w:rPr>
              <w:t>3</w:t>
            </w:r>
            <w:r w:rsidR="00873C95" w:rsidRPr="770336AA">
              <w:rPr>
                <w:rFonts w:ascii="Work Sans" w:hAnsi="Work Sans"/>
                <w:sz w:val="20"/>
                <w:szCs w:val="20"/>
              </w:rPr>
              <w:t xml:space="preserve">.  Submissions should be </w:t>
            </w:r>
            <w:r w:rsidR="005567A9" w:rsidRPr="770336AA">
              <w:rPr>
                <w:rFonts w:ascii="Work Sans" w:hAnsi="Work Sans"/>
                <w:sz w:val="20"/>
                <w:szCs w:val="20"/>
              </w:rPr>
              <w:t xml:space="preserve">placed in your private state channel in </w:t>
            </w:r>
            <w:bookmarkStart w:id="1" w:name="_Int_wlCMDKtJ"/>
            <w:r w:rsidR="005567A9" w:rsidRPr="770336AA">
              <w:rPr>
                <w:rFonts w:ascii="Work Sans" w:hAnsi="Work Sans"/>
                <w:sz w:val="20"/>
                <w:szCs w:val="20"/>
              </w:rPr>
              <w:t>CGC</w:t>
            </w:r>
            <w:bookmarkEnd w:id="1"/>
            <w:r w:rsidR="005567A9" w:rsidRPr="770336AA">
              <w:rPr>
                <w:rFonts w:ascii="Work Sans" w:hAnsi="Work Sans"/>
                <w:sz w:val="20"/>
                <w:szCs w:val="20"/>
              </w:rPr>
              <w:t xml:space="preserve"> Engagement Teams, with a post notifying </w:t>
            </w:r>
            <w:r>
              <w:rPr>
                <w:rFonts w:ascii="Work Sans" w:hAnsi="Work Sans"/>
                <w:sz w:val="20"/>
                <w:szCs w:val="20"/>
              </w:rPr>
              <w:t>Katrina Baldock</w:t>
            </w:r>
            <w:r w:rsidR="00687289" w:rsidRPr="770336AA">
              <w:rPr>
                <w:rFonts w:ascii="Work Sans" w:hAnsi="Work Sans"/>
                <w:sz w:val="20"/>
                <w:szCs w:val="20"/>
              </w:rPr>
              <w:t>.</w:t>
            </w:r>
          </w:p>
          <w:p w14:paraId="100ECD51" w14:textId="77777777" w:rsidR="00873C95" w:rsidRPr="00861714" w:rsidRDefault="00873C95" w:rsidP="00873C95">
            <w:pPr>
              <w:rPr>
                <w:rFonts w:ascii="Work Sans" w:hAnsi="Work Sans"/>
                <w:sz w:val="20"/>
                <w:szCs w:val="20"/>
              </w:rPr>
            </w:pPr>
          </w:p>
          <w:p w14:paraId="22E761E3" w14:textId="77777777" w:rsidR="00873C95" w:rsidRPr="00861714" w:rsidRDefault="00873C95" w:rsidP="00873C95">
            <w:pPr>
              <w:rPr>
                <w:rFonts w:ascii="Work Sans" w:hAnsi="Work Sans"/>
                <w:sz w:val="20"/>
                <w:szCs w:val="20"/>
              </w:rPr>
            </w:pPr>
            <w:r w:rsidRPr="00861714">
              <w:rPr>
                <w:rFonts w:ascii="Work Sans" w:hAnsi="Work Sans"/>
                <w:sz w:val="20"/>
                <w:szCs w:val="20"/>
              </w:rPr>
              <w:t>Submissions of more than 10 pages in length should include a summary section.</w:t>
            </w:r>
          </w:p>
        </w:tc>
      </w:tr>
      <w:tr w:rsidR="00873C95" w:rsidRPr="00F65608" w14:paraId="6D397A11" w14:textId="77777777" w:rsidTr="770336AA">
        <w:tc>
          <w:tcPr>
            <w:tcW w:w="2972" w:type="dxa"/>
          </w:tcPr>
          <w:p w14:paraId="05CC1A02" w14:textId="77777777" w:rsidR="00873C95" w:rsidRPr="00861714" w:rsidRDefault="00873C95" w:rsidP="00873C95">
            <w:pPr>
              <w:rPr>
                <w:rFonts w:ascii="Work Sans" w:hAnsi="Work Sans"/>
                <w:sz w:val="20"/>
                <w:szCs w:val="20"/>
              </w:rPr>
            </w:pPr>
            <w:r w:rsidRPr="00861714">
              <w:rPr>
                <w:rFonts w:ascii="Work Sans" w:hAnsi="Work Sans"/>
                <w:sz w:val="20"/>
                <w:szCs w:val="20"/>
              </w:rPr>
              <w:t>Confidential material</w:t>
            </w:r>
          </w:p>
        </w:tc>
        <w:tc>
          <w:tcPr>
            <w:tcW w:w="6044" w:type="dxa"/>
          </w:tcPr>
          <w:p w14:paraId="020E73C8" w14:textId="07B470CE" w:rsidR="00873C95" w:rsidRPr="00861714" w:rsidRDefault="00873C95" w:rsidP="00873C95">
            <w:pPr>
              <w:rPr>
                <w:rFonts w:ascii="Work Sans" w:hAnsi="Work Sans"/>
                <w:sz w:val="20"/>
                <w:szCs w:val="20"/>
              </w:rPr>
            </w:pPr>
            <w:r w:rsidRPr="00861714">
              <w:rPr>
                <w:rFonts w:ascii="Work Sans" w:hAnsi="Work Sans"/>
                <w:sz w:val="20"/>
                <w:szCs w:val="20"/>
              </w:rPr>
              <w:t xml:space="preserve">It is the </w:t>
            </w:r>
            <w:r w:rsidR="00B409DE" w:rsidRPr="00861714">
              <w:rPr>
                <w:rFonts w:ascii="Work Sans" w:hAnsi="Work Sans"/>
                <w:sz w:val="20"/>
                <w:szCs w:val="20"/>
              </w:rPr>
              <w:t>C</w:t>
            </w:r>
            <w:r w:rsidRPr="00861714">
              <w:rPr>
                <w:rFonts w:ascii="Work Sans" w:hAnsi="Work Sans"/>
                <w:sz w:val="20"/>
                <w:szCs w:val="20"/>
              </w:rPr>
              <w:t xml:space="preserve">ommission’s normal practice to make </w:t>
            </w:r>
            <w:r w:rsidR="001A40C1" w:rsidRPr="00861714">
              <w:rPr>
                <w:rFonts w:ascii="Work Sans" w:hAnsi="Work Sans"/>
                <w:sz w:val="20"/>
                <w:szCs w:val="20"/>
              </w:rPr>
              <w:t>s</w:t>
            </w:r>
            <w:r w:rsidRPr="00861714">
              <w:rPr>
                <w:rFonts w:ascii="Work Sans" w:hAnsi="Work Sans"/>
                <w:sz w:val="20"/>
                <w:szCs w:val="20"/>
              </w:rPr>
              <w:t xml:space="preserve">tate submissions available on its website under the CC BY licence, allowing free use of content by third parties. </w:t>
            </w:r>
          </w:p>
          <w:p w14:paraId="7F7C63D8" w14:textId="77777777" w:rsidR="00873C95" w:rsidRPr="0057431F" w:rsidRDefault="00873C95" w:rsidP="00873C95">
            <w:pPr>
              <w:rPr>
                <w:rFonts w:ascii="Work Sans" w:hAnsi="Work Sans"/>
                <w:sz w:val="20"/>
                <w:szCs w:val="20"/>
              </w:rPr>
            </w:pPr>
            <w:r w:rsidRPr="0057431F">
              <w:rPr>
                <w:noProof/>
                <w:sz w:val="20"/>
                <w:szCs w:val="20"/>
                <w:lang w:eastAsia="en-AU"/>
              </w:rPr>
              <w:drawing>
                <wp:inline distT="0" distB="0" distL="0" distR="0" wp14:anchorId="48C26708" wp14:editId="64F7695B">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6"/>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620F4B68" w14:textId="77777777" w:rsidR="00873C95" w:rsidRPr="0057431F" w:rsidRDefault="00873C95" w:rsidP="00873C95">
            <w:pPr>
              <w:rPr>
                <w:rFonts w:ascii="Work Sans" w:hAnsi="Work Sans"/>
                <w:sz w:val="20"/>
                <w:szCs w:val="20"/>
              </w:rPr>
            </w:pPr>
            <w:r w:rsidRPr="0057431F">
              <w:rPr>
                <w:rFonts w:ascii="Work Sans" w:hAnsi="Work Sans"/>
                <w:sz w:val="20"/>
                <w:szCs w:val="20"/>
              </w:rPr>
              <w:t xml:space="preserve">Further information on the CC BY licence can be found on the Creative Commons website (http://creativecommons.org). </w:t>
            </w:r>
          </w:p>
          <w:p w14:paraId="7FCCC1F3" w14:textId="77777777" w:rsidR="00873C95" w:rsidRPr="0057431F" w:rsidRDefault="00873C95" w:rsidP="00873C95">
            <w:pPr>
              <w:rPr>
                <w:rFonts w:ascii="Work Sans" w:hAnsi="Work Sans"/>
                <w:sz w:val="20"/>
                <w:szCs w:val="20"/>
              </w:rPr>
            </w:pPr>
            <w:r w:rsidRPr="0057431F">
              <w:rPr>
                <w:rFonts w:ascii="Work Sans" w:hAnsi="Work Sans"/>
                <w:sz w:val="20"/>
                <w:szCs w:val="20"/>
              </w:rPr>
              <w:t>Confidential material contained in submissions must be clearly identified or included in separate attachment/s, and details provided in the covering email. Identified confidential material will not be published on the commission’s website.</w:t>
            </w:r>
          </w:p>
        </w:tc>
      </w:tr>
    </w:tbl>
    <w:p w14:paraId="510CC281" w14:textId="77777777" w:rsidR="0040294B" w:rsidRPr="0040294B" w:rsidRDefault="0040294B" w:rsidP="0040294B">
      <w:pPr>
        <w:rPr>
          <w:rFonts w:ascii="Work Sans" w:hAnsi="Work Sans"/>
          <w:sz w:val="24"/>
          <w:szCs w:val="24"/>
        </w:rPr>
      </w:pPr>
    </w:p>
    <w:p w14:paraId="718EB117" w14:textId="1975389C" w:rsidR="0040294B" w:rsidRDefault="0040294B" w:rsidP="0040294B"/>
    <w:p w14:paraId="0A2CC495" w14:textId="77777777" w:rsidR="0040294B" w:rsidRPr="0040294B" w:rsidRDefault="0040294B" w:rsidP="0040294B">
      <w:pPr>
        <w:sectPr w:rsidR="0040294B" w:rsidRPr="0040294B" w:rsidSect="00635CB3">
          <w:pgSz w:w="11906" w:h="16838"/>
          <w:pgMar w:top="1440" w:right="1440" w:bottom="1440" w:left="1440" w:header="708" w:footer="708" w:gutter="0"/>
          <w:pgNumType w:fmt="lowerRoman" w:start="1"/>
          <w:cols w:space="708"/>
          <w:titlePg/>
          <w:docGrid w:linePitch="360"/>
        </w:sectPr>
      </w:pPr>
    </w:p>
    <w:p w14:paraId="12732BDC" w14:textId="3531A10C" w:rsidR="0093509B" w:rsidRDefault="0093509B" w:rsidP="00F13451">
      <w:pPr>
        <w:pStyle w:val="Heading1"/>
      </w:pPr>
      <w:r>
        <w:lastRenderedPageBreak/>
        <w:t>Background</w:t>
      </w:r>
    </w:p>
    <w:p w14:paraId="21AC6842" w14:textId="790A6184" w:rsidR="0093509B" w:rsidRPr="00B5532F" w:rsidRDefault="0093509B" w:rsidP="00D648D5">
      <w:pPr>
        <w:pStyle w:val="CGCParaNumber"/>
        <w:ind w:left="567" w:hanging="567"/>
      </w:pPr>
      <w:r>
        <w:t xml:space="preserve">In expectation </w:t>
      </w:r>
      <w:r w:rsidR="006C2163">
        <w:t>of receiving</w:t>
      </w:r>
      <w:r>
        <w:t xml:space="preserve"> </w:t>
      </w:r>
      <w:r w:rsidR="003F426E">
        <w:t>t</w:t>
      </w:r>
      <w:r>
        <w:t xml:space="preserve">erms of </w:t>
      </w:r>
      <w:r w:rsidR="003F426E">
        <w:t>r</w:t>
      </w:r>
      <w:r>
        <w:t xml:space="preserve">eference for </w:t>
      </w:r>
      <w:r w:rsidR="00065A70">
        <w:t>the</w:t>
      </w:r>
      <w:r>
        <w:t xml:space="preserve"> 202</w:t>
      </w:r>
      <w:r w:rsidR="0B0BC250">
        <w:t>4</w:t>
      </w:r>
      <w:r w:rsidR="007C0E87">
        <w:t> </w:t>
      </w:r>
      <w:r>
        <w:t>Update</w:t>
      </w:r>
      <w:r w:rsidR="00E93F27">
        <w:t xml:space="preserve"> of GST relativities</w:t>
      </w:r>
      <w:r>
        <w:t xml:space="preserve">, this paper sets out the new issues and Commonwealth </w:t>
      </w:r>
      <w:r w:rsidR="007C0E87">
        <w:t>p</w:t>
      </w:r>
      <w:r>
        <w:t xml:space="preserve">ayments identified by </w:t>
      </w:r>
      <w:r w:rsidR="000B070A">
        <w:t xml:space="preserve">the </w:t>
      </w:r>
      <w:r>
        <w:t>Commission as relevant to th</w:t>
      </w:r>
      <w:r w:rsidR="009418F5">
        <w:t>is</w:t>
      </w:r>
      <w:r>
        <w:t xml:space="preserve"> update. The Commission is seeking the views of </w:t>
      </w:r>
      <w:r w:rsidR="00F91894">
        <w:t>Commonwealth</w:t>
      </w:r>
      <w:r w:rsidR="000454A9">
        <w:t xml:space="preserve"> and</w:t>
      </w:r>
      <w:r w:rsidR="00F91894">
        <w:t xml:space="preserve"> </w:t>
      </w:r>
      <w:r>
        <w:t>state and territory (state) treasuries on proposals for the treatment of new issues and Commonwealth payments.</w:t>
      </w:r>
    </w:p>
    <w:p w14:paraId="6E286957" w14:textId="42F18D17" w:rsidR="0093509B" w:rsidRDefault="0093509B" w:rsidP="00D648D5">
      <w:pPr>
        <w:pStyle w:val="CGCParaNumber"/>
        <w:ind w:left="567" w:hanging="567"/>
      </w:pPr>
      <w:r>
        <w:t xml:space="preserve">States are asked to provide comments and raise any other issues relevant to this update by </w:t>
      </w:r>
      <w:r w:rsidR="0092045A">
        <w:t>3 </w:t>
      </w:r>
      <w:r w:rsidR="5A227E92">
        <w:t>November</w:t>
      </w:r>
      <w:r>
        <w:t xml:space="preserve"> 202</w:t>
      </w:r>
      <w:r w:rsidR="00DF39AE">
        <w:t>3</w:t>
      </w:r>
      <w:r>
        <w:t xml:space="preserve">. States should upload their submissions to their private CGC Engagement channel in Teams. The contact officer for queries is </w:t>
      </w:r>
      <w:r w:rsidR="06466BF0">
        <w:t xml:space="preserve">Peter Lock </w:t>
      </w:r>
      <w:r>
        <w:t>(</w:t>
      </w:r>
      <w:r w:rsidR="477705F8">
        <w:t>peter.lock</w:t>
      </w:r>
      <w:r>
        <w:t>@cgc.gov.au).</w:t>
      </w:r>
    </w:p>
    <w:p w14:paraId="1F5E25BE" w14:textId="3CECF8CE" w:rsidR="0093509B" w:rsidRDefault="0093509B" w:rsidP="00D648D5">
      <w:pPr>
        <w:pStyle w:val="CGCParaNumber"/>
        <w:ind w:left="567" w:hanging="567"/>
      </w:pPr>
      <w:r>
        <w:t xml:space="preserve">In addition to the formal submission process, Commission staff will continue to engage in discussions with state officials </w:t>
      </w:r>
      <w:r w:rsidR="00B37D5E">
        <w:t xml:space="preserve">through the </w:t>
      </w:r>
      <w:r w:rsidR="00203690">
        <w:t>new issues consultation process.</w:t>
      </w:r>
    </w:p>
    <w:p w14:paraId="7ECAFE68" w14:textId="40C7A814" w:rsidR="0093509B" w:rsidRPr="008C617E" w:rsidRDefault="0093509B" w:rsidP="00D648D5">
      <w:pPr>
        <w:pStyle w:val="CGCParaNumber"/>
        <w:ind w:left="567" w:hanging="567"/>
      </w:pPr>
      <w:r>
        <w:t xml:space="preserve">The issues in this paper have been divided into </w:t>
      </w:r>
      <w:r w:rsidR="00BF788B">
        <w:t>3</w:t>
      </w:r>
      <w:r>
        <w:t xml:space="preserve"> sections:</w:t>
      </w:r>
    </w:p>
    <w:p w14:paraId="1B29C785" w14:textId="09C3F013" w:rsidR="00885261" w:rsidRDefault="00300A58" w:rsidP="00D648D5">
      <w:pPr>
        <w:pStyle w:val="CGCBullet1"/>
        <w:numPr>
          <w:ilvl w:val="0"/>
          <w:numId w:val="34"/>
        </w:numPr>
      </w:pPr>
      <w:r>
        <w:t>u</w:t>
      </w:r>
      <w:r w:rsidR="001F7C8A">
        <w:t>pdated d</w:t>
      </w:r>
      <w:r w:rsidR="0093509B">
        <w:t>ata</w:t>
      </w:r>
      <w:r w:rsidR="00D451E1">
        <w:t xml:space="preserve"> for information</w:t>
      </w:r>
      <w:r w:rsidR="0093509B" w:rsidRPr="000A3F90">
        <w:t xml:space="preserve">, </w:t>
      </w:r>
      <w:r w:rsidR="004F1E9B">
        <w:t xml:space="preserve">which </w:t>
      </w:r>
      <w:r w:rsidR="0093509B" w:rsidRPr="000A3F90">
        <w:t>includ</w:t>
      </w:r>
      <w:r w:rsidR="00937468">
        <w:t>e</w:t>
      </w:r>
      <w:r w:rsidR="00F07F51">
        <w:t>s</w:t>
      </w:r>
      <w:r w:rsidR="0093509B" w:rsidRPr="000A3F90">
        <w:t xml:space="preserve"> the incorporation of </w:t>
      </w:r>
      <w:r w:rsidR="00F50CAD">
        <w:t>A</w:t>
      </w:r>
      <w:r w:rsidR="00330343">
        <w:t xml:space="preserve">ustralian Bureau of </w:t>
      </w:r>
      <w:r w:rsidR="00F50CAD">
        <w:t>S</w:t>
      </w:r>
      <w:r w:rsidR="00330343">
        <w:t>tatistics (ABS)</w:t>
      </w:r>
      <w:r w:rsidR="00F50CAD">
        <w:t xml:space="preserve"> </w:t>
      </w:r>
      <w:r w:rsidR="0093509B" w:rsidRPr="000A3F90">
        <w:t xml:space="preserve">2021 Census data into </w:t>
      </w:r>
      <w:r w:rsidR="00914EDC">
        <w:t xml:space="preserve">the </w:t>
      </w:r>
      <w:proofErr w:type="gramStart"/>
      <w:r w:rsidR="0093509B" w:rsidRPr="000A3F90">
        <w:t>assessments</w:t>
      </w:r>
      <w:proofErr w:type="gramEnd"/>
    </w:p>
    <w:p w14:paraId="6D889C69" w14:textId="20EC6612" w:rsidR="00BF763A" w:rsidRDefault="00300A58" w:rsidP="00D648D5">
      <w:pPr>
        <w:pStyle w:val="CGCBullet1"/>
        <w:numPr>
          <w:ilvl w:val="0"/>
          <w:numId w:val="34"/>
        </w:numPr>
      </w:pPr>
      <w:r>
        <w:t>d</w:t>
      </w:r>
      <w:r w:rsidR="0060632A">
        <w:t>ata issues for consideration</w:t>
      </w:r>
      <w:r w:rsidR="00897C1F">
        <w:t>, which</w:t>
      </w:r>
      <w:r w:rsidR="0060632A">
        <w:t xml:space="preserve"> includ</w:t>
      </w:r>
      <w:r w:rsidR="00C11BDE">
        <w:t>e</w:t>
      </w:r>
      <w:r w:rsidR="00027B40">
        <w:t>:</w:t>
      </w:r>
      <w:r w:rsidR="0060632A">
        <w:t xml:space="preserve"> </w:t>
      </w:r>
    </w:p>
    <w:p w14:paraId="28B81450" w14:textId="175DB865" w:rsidR="00BF763A" w:rsidRDefault="0093509B" w:rsidP="00C11BDE">
      <w:pPr>
        <w:pStyle w:val="CGCBullet1"/>
        <w:numPr>
          <w:ilvl w:val="1"/>
          <w:numId w:val="34"/>
        </w:numPr>
      </w:pPr>
      <w:r w:rsidRPr="000A3F90">
        <w:t>new</w:t>
      </w:r>
      <w:r w:rsidR="00BB5912">
        <w:t xml:space="preserve"> geograph</w:t>
      </w:r>
      <w:r w:rsidR="00146028">
        <w:t>y</w:t>
      </w:r>
      <w:r w:rsidR="00F20F90">
        <w:t>,</w:t>
      </w:r>
      <w:r w:rsidR="00FE753B">
        <w:t xml:space="preserve"> </w:t>
      </w:r>
      <w:r w:rsidR="006F5B03">
        <w:t>distance to</w:t>
      </w:r>
      <w:r w:rsidR="000B0590">
        <w:t xml:space="preserve"> work and</w:t>
      </w:r>
      <w:r w:rsidR="00DC3EF0" w:rsidRPr="000A3F90">
        <w:t xml:space="preserve"> average</w:t>
      </w:r>
      <w:r w:rsidR="006D3C98" w:rsidRPr="000A3F90">
        <w:t xml:space="preserve"> slope</w:t>
      </w:r>
      <w:r w:rsidRPr="000A3F90">
        <w:t xml:space="preserve"> data for use in the </w:t>
      </w:r>
      <w:r w:rsidR="00B755B7" w:rsidRPr="000A3F90">
        <w:t>urban transport</w:t>
      </w:r>
      <w:r w:rsidRPr="000A3F90">
        <w:t xml:space="preserve"> </w:t>
      </w:r>
      <w:proofErr w:type="gramStart"/>
      <w:r w:rsidRPr="000A3F90">
        <w:t>assessment</w:t>
      </w:r>
      <w:proofErr w:type="gramEnd"/>
    </w:p>
    <w:p w14:paraId="39EDBDE3" w14:textId="61BCC2E9" w:rsidR="00BF763A" w:rsidRDefault="00CF5C77" w:rsidP="00C11BDE">
      <w:pPr>
        <w:pStyle w:val="CGCBullet1"/>
        <w:numPr>
          <w:ilvl w:val="1"/>
          <w:numId w:val="34"/>
        </w:numPr>
      </w:pPr>
      <w:r>
        <w:t>First Nations population estimates in the jus</w:t>
      </w:r>
      <w:r w:rsidR="00CA4479">
        <w:t xml:space="preserve">tice </w:t>
      </w:r>
      <w:proofErr w:type="gramStart"/>
      <w:r w:rsidR="00F00936">
        <w:t>assessment</w:t>
      </w:r>
      <w:proofErr w:type="gramEnd"/>
    </w:p>
    <w:p w14:paraId="4C8EE8DF" w14:textId="26A242E9" w:rsidR="0093509B" w:rsidRPr="000A3F90" w:rsidRDefault="000A3F90" w:rsidP="00C11BDE">
      <w:pPr>
        <w:pStyle w:val="CGCBullet1"/>
        <w:numPr>
          <w:ilvl w:val="1"/>
          <w:numId w:val="34"/>
        </w:numPr>
      </w:pPr>
      <w:r w:rsidRPr="000A3F90">
        <w:t>changes in payroll tax</w:t>
      </w:r>
      <w:r w:rsidR="0093509B" w:rsidRPr="000A3F90">
        <w:t xml:space="preserve"> </w:t>
      </w:r>
      <w:r w:rsidR="00D6784B">
        <w:t xml:space="preserve">source </w:t>
      </w:r>
      <w:r w:rsidR="0093509B" w:rsidRPr="000A3F90">
        <w:t>data</w:t>
      </w:r>
    </w:p>
    <w:p w14:paraId="703B4FDC" w14:textId="6E6A6C02" w:rsidR="0093509B" w:rsidRPr="00E10A85" w:rsidRDefault="00300A58" w:rsidP="00D648D5">
      <w:pPr>
        <w:pStyle w:val="CGCBullet1"/>
        <w:numPr>
          <w:ilvl w:val="0"/>
          <w:numId w:val="34"/>
        </w:numPr>
      </w:pPr>
      <w:r>
        <w:t>o</w:t>
      </w:r>
      <w:r w:rsidR="0093509B">
        <w:t>ther</w:t>
      </w:r>
      <w:r w:rsidR="0093509B" w:rsidRPr="00E10A85">
        <w:t xml:space="preserve"> issues</w:t>
      </w:r>
      <w:r w:rsidR="005D5699">
        <w:t xml:space="preserve"> for consid</w:t>
      </w:r>
      <w:r w:rsidR="008E2532">
        <w:t>e</w:t>
      </w:r>
      <w:r w:rsidR="005D5699">
        <w:t>ration</w:t>
      </w:r>
      <w:r w:rsidR="0093509B" w:rsidRPr="00E10A85">
        <w:t xml:space="preserve">, </w:t>
      </w:r>
      <w:r w:rsidR="00EB18A9">
        <w:t xml:space="preserve">which </w:t>
      </w:r>
      <w:r w:rsidR="0093509B">
        <w:t>includ</w:t>
      </w:r>
      <w:r w:rsidR="0049234F">
        <w:t>e</w:t>
      </w:r>
      <w:r w:rsidR="0093509B" w:rsidRPr="00E10A85">
        <w:t xml:space="preserve"> the treatment </w:t>
      </w:r>
      <w:r w:rsidR="000D3D07" w:rsidRPr="00E10A85">
        <w:t xml:space="preserve">of </w:t>
      </w:r>
      <w:r w:rsidR="00B07EE2" w:rsidRPr="00E10A85">
        <w:t>ACT’s</w:t>
      </w:r>
      <w:r w:rsidR="000D3D07" w:rsidRPr="00E10A85">
        <w:t xml:space="preserve"> potential</w:t>
      </w:r>
      <w:r w:rsidR="0093509B" w:rsidRPr="00E10A85">
        <w:t xml:space="preserve"> negative </w:t>
      </w:r>
      <w:r w:rsidR="007E56E0" w:rsidRPr="00E10A85">
        <w:t>assessed GST needs f</w:t>
      </w:r>
      <w:r w:rsidR="00B07EE2" w:rsidRPr="00E10A85">
        <w:t xml:space="preserve">or the national capital </w:t>
      </w:r>
      <w:r w:rsidR="007F7C82">
        <w:t>assessment</w:t>
      </w:r>
      <w:r w:rsidR="009530AB" w:rsidRPr="00E10A85">
        <w:t xml:space="preserve"> </w:t>
      </w:r>
      <w:r w:rsidR="0093509B" w:rsidRPr="00E10A85">
        <w:t xml:space="preserve">and </w:t>
      </w:r>
      <w:r w:rsidR="000B6C42" w:rsidRPr="00E10A85">
        <w:t xml:space="preserve">the treatment of new </w:t>
      </w:r>
      <w:r w:rsidR="0093509B" w:rsidRPr="00E10A85">
        <w:t>Commonwealth payments.</w:t>
      </w:r>
    </w:p>
    <w:p w14:paraId="362A6052" w14:textId="12BDFADD" w:rsidR="00873102" w:rsidRDefault="00873102">
      <w:pPr>
        <w:rPr>
          <w:rFonts w:ascii="Work Sans" w:eastAsia="Times New Roman" w:hAnsi="Work Sans" w:cs="Times New Roman"/>
          <w:sz w:val="24"/>
          <w:szCs w:val="24"/>
          <w:lang w:eastAsia="en-AU"/>
        </w:rPr>
      </w:pPr>
      <w:r w:rsidRPr="21B70E7F">
        <w:rPr>
          <w:highlight w:val="yellow"/>
        </w:rPr>
        <w:br w:type="page"/>
      </w:r>
    </w:p>
    <w:p w14:paraId="094C672D" w14:textId="44407ED2" w:rsidR="0093509B" w:rsidRDefault="0093509B" w:rsidP="00492329">
      <w:pPr>
        <w:pStyle w:val="Heading1"/>
      </w:pPr>
      <w:r>
        <w:lastRenderedPageBreak/>
        <w:t xml:space="preserve">Summary of </w:t>
      </w:r>
      <w:r w:rsidR="006E468F">
        <w:t>Commission</w:t>
      </w:r>
      <w:r w:rsidR="00B6167D">
        <w:t>’</w:t>
      </w:r>
      <w:r w:rsidR="006E468F">
        <w:t xml:space="preserve">s </w:t>
      </w:r>
      <w:r w:rsidR="00621085">
        <w:t>preliminary views</w:t>
      </w:r>
    </w:p>
    <w:p w14:paraId="59B4B180" w14:textId="77777777" w:rsidR="002D5D12" w:rsidRDefault="007F1CC7">
      <w:r>
        <w:rPr>
          <w:noProof/>
        </w:rPr>
        <mc:AlternateContent>
          <mc:Choice Requires="wps">
            <w:drawing>
              <wp:inline distT="0" distB="0" distL="114300" distR="114300" wp14:anchorId="681A8594" wp14:editId="5E82E085">
                <wp:extent cx="5780405" cy="5933872"/>
                <wp:effectExtent l="0" t="0" r="0" b="0"/>
                <wp:docPr id="1871461841" name="Rectangle 1871461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0405" cy="5933872"/>
                        </a:xfrm>
                        <a:prstGeom prst="rect">
                          <a:avLst/>
                        </a:prstGeom>
                        <a:solidFill>
                          <a:srgbClr val="E5F8FF"/>
                        </a:solidFill>
                        <a:ln w="25400" cap="flat" cmpd="sng" algn="ctr">
                          <a:noFill/>
                          <a:prstDash val="solid"/>
                        </a:ln>
                        <a:effectLst/>
                      </wps:spPr>
                      <wps:txbx>
                        <w:txbxContent>
                          <w:p w14:paraId="4387B9D8" w14:textId="683FB0F6" w:rsidR="0093509B" w:rsidRPr="002D5D12" w:rsidRDefault="001A0D9D" w:rsidP="001E36CF">
                            <w:pPr>
                              <w:pStyle w:val="Heading3"/>
                            </w:pPr>
                            <w:bookmarkStart w:id="2" w:name="_Hlk143853742"/>
                            <w:r>
                              <w:t xml:space="preserve">Updated </w:t>
                            </w:r>
                            <w:r w:rsidR="007F7093">
                              <w:t xml:space="preserve">ABS </w:t>
                            </w:r>
                            <w:r w:rsidR="001E36CF">
                              <w:t xml:space="preserve">census </w:t>
                            </w:r>
                            <w:r w:rsidR="00305F7D">
                              <w:t>d</w:t>
                            </w:r>
                            <w:r w:rsidR="0093509B" w:rsidRPr="002D5D12">
                              <w:t>ata</w:t>
                            </w:r>
                            <w:r>
                              <w:t xml:space="preserve"> for</w:t>
                            </w:r>
                            <w:r w:rsidR="0093509B" w:rsidRPr="002D5D12">
                              <w:t xml:space="preserve"> </w:t>
                            </w:r>
                            <w:r>
                              <w:t>information</w:t>
                            </w:r>
                            <w:bookmarkEnd w:id="2"/>
                          </w:p>
                          <w:p w14:paraId="702C4AAE" w14:textId="4B060C7D" w:rsidR="00683F58" w:rsidRDefault="00E474EC" w:rsidP="00643145">
                            <w:pPr>
                              <w:pStyle w:val="CGCBullet1"/>
                            </w:pPr>
                            <w:r>
                              <w:t xml:space="preserve">Adjust </w:t>
                            </w:r>
                            <w:r w:rsidR="00DE0420">
                              <w:t xml:space="preserve">First </w:t>
                            </w:r>
                            <w:r w:rsidR="00054A65">
                              <w:t>N</w:t>
                            </w:r>
                            <w:r w:rsidR="00DE0420">
                              <w:t xml:space="preserve">ations </w:t>
                            </w:r>
                            <w:r w:rsidR="00E02BD8">
                              <w:t xml:space="preserve">population projections based on the ratio between </w:t>
                            </w:r>
                            <w:r w:rsidR="005012C7">
                              <w:t xml:space="preserve">actual and projected First Nations </w:t>
                            </w:r>
                            <w:r w:rsidR="005012C7" w:rsidRPr="00210980">
                              <w:t>population</w:t>
                            </w:r>
                            <w:r w:rsidR="00A55489">
                              <w:t>s</w:t>
                            </w:r>
                            <w:r w:rsidR="005012C7">
                              <w:t xml:space="preserve"> for 2021.</w:t>
                            </w:r>
                          </w:p>
                          <w:p w14:paraId="6E39EAC5" w14:textId="15B8CE57" w:rsidR="0093509B" w:rsidRPr="002D5D12" w:rsidRDefault="00F32CC0" w:rsidP="00643145">
                            <w:pPr>
                              <w:pStyle w:val="CGCBullet1"/>
                            </w:pPr>
                            <w:r w:rsidRPr="002D5D12">
                              <w:t>Use</w:t>
                            </w:r>
                            <w:r w:rsidR="009604AB" w:rsidRPr="002D5D12">
                              <w:t xml:space="preserve"> 2021 Census data to update</w:t>
                            </w:r>
                            <w:r w:rsidR="009A43EF" w:rsidRPr="002D5D12">
                              <w:t xml:space="preserve"> </w:t>
                            </w:r>
                            <w:r w:rsidR="00DC0355" w:rsidRPr="002D5D12">
                              <w:t xml:space="preserve">measures </w:t>
                            </w:r>
                            <w:r w:rsidR="00FC49CE" w:rsidRPr="002D5D12">
                              <w:t xml:space="preserve">of </w:t>
                            </w:r>
                            <w:r w:rsidR="0093509B" w:rsidRPr="002D5D12">
                              <w:t>remoteness area and socio</w:t>
                            </w:r>
                            <w:r w:rsidR="00C0746E" w:rsidRPr="002D5D12">
                              <w:noBreakHyphen/>
                            </w:r>
                            <w:r w:rsidR="0093509B" w:rsidRPr="002D5D12">
                              <w:t>economic status.</w:t>
                            </w:r>
                          </w:p>
                          <w:p w14:paraId="3EF0879F" w14:textId="77777777" w:rsidR="0043714A" w:rsidRDefault="00C96002" w:rsidP="00643145">
                            <w:pPr>
                              <w:pStyle w:val="CGCBullet1"/>
                            </w:pPr>
                            <w:r w:rsidRPr="002D5D12">
                              <w:t xml:space="preserve">Use 2021 Census data to </w:t>
                            </w:r>
                            <w:r w:rsidR="007950E1" w:rsidRPr="002D5D12">
                              <w:t xml:space="preserve">update </w:t>
                            </w:r>
                            <w:r w:rsidR="000A6F93">
                              <w:t>d</w:t>
                            </w:r>
                            <w:r w:rsidR="00853BB1" w:rsidRPr="002D5D12">
                              <w:t xml:space="preserve">iscrete </w:t>
                            </w:r>
                            <w:r w:rsidR="001B6315">
                              <w:t>First Nations</w:t>
                            </w:r>
                            <w:r w:rsidR="00853BB1" w:rsidRPr="002D5D12">
                              <w:t xml:space="preserve"> </w:t>
                            </w:r>
                            <w:r w:rsidR="000A6F93">
                              <w:t>c</w:t>
                            </w:r>
                            <w:r w:rsidR="00853BB1" w:rsidRPr="002D5D12">
                              <w:t>ommunities</w:t>
                            </w:r>
                            <w:r w:rsidR="00A2052C" w:rsidRPr="002D5D12">
                              <w:t xml:space="preserve">, </w:t>
                            </w:r>
                            <w:r w:rsidR="00F65EC7" w:rsidRPr="002D5D12">
                              <w:t>si</w:t>
                            </w:r>
                            <w:r w:rsidR="00E2141C" w:rsidRPr="002D5D12">
                              <w:t xml:space="preserve">gnificant urban </w:t>
                            </w:r>
                            <w:proofErr w:type="gramStart"/>
                            <w:r w:rsidR="00E2141C" w:rsidRPr="002D5D12">
                              <w:t>areas</w:t>
                            </w:r>
                            <w:proofErr w:type="gramEnd"/>
                            <w:r w:rsidR="00E2141C" w:rsidRPr="002D5D12">
                              <w:t xml:space="preserve"> and urban centres</w:t>
                            </w:r>
                            <w:r w:rsidR="00853BB1" w:rsidRPr="002D5D12">
                              <w:t>.</w:t>
                            </w:r>
                          </w:p>
                          <w:p w14:paraId="2C8FA293" w14:textId="77777777" w:rsidR="000A6F93" w:rsidRDefault="000A6F93" w:rsidP="00931022">
                            <w:pPr>
                              <w:pStyle w:val="Heading3"/>
                            </w:pPr>
                            <w:r w:rsidRPr="00F320C4">
                              <w:t>Data</w:t>
                            </w:r>
                            <w:r>
                              <w:t xml:space="preserve"> issues for</w:t>
                            </w:r>
                            <w:r w:rsidRPr="00F320C4">
                              <w:t xml:space="preserve"> </w:t>
                            </w:r>
                            <w:r>
                              <w:t>consideration</w:t>
                            </w:r>
                          </w:p>
                          <w:p w14:paraId="05FE93F0" w14:textId="32A812C3" w:rsidR="00C474D8" w:rsidRPr="00434DA8" w:rsidRDefault="00F74DC9" w:rsidP="00643145">
                            <w:pPr>
                              <w:pStyle w:val="CGCBullet1"/>
                            </w:pPr>
                            <w:r>
                              <w:t>In the justice assessment, r</w:t>
                            </w:r>
                            <w:r w:rsidR="00C474D8" w:rsidRPr="00434DA8">
                              <w:t xml:space="preserve">etain </w:t>
                            </w:r>
                            <w:r w:rsidR="00FB2B75">
                              <w:t xml:space="preserve">ABS </w:t>
                            </w:r>
                            <w:r w:rsidR="00C474D8" w:rsidRPr="00434DA8">
                              <w:t>Estimated Resident Population data with First Nations population estimates based on the 2016</w:t>
                            </w:r>
                            <w:r w:rsidR="00A90000">
                              <w:t xml:space="preserve"> </w:t>
                            </w:r>
                            <w:r w:rsidR="00C474D8" w:rsidRPr="00434DA8">
                              <w:t>Census.</w:t>
                            </w:r>
                          </w:p>
                          <w:p w14:paraId="127E0AFF" w14:textId="3F0268C4" w:rsidR="00690DB0" w:rsidRPr="002D5D12" w:rsidRDefault="007D6F2E" w:rsidP="00643145">
                            <w:pPr>
                              <w:pStyle w:val="CGCBullet1"/>
                            </w:pPr>
                            <w:r w:rsidRPr="002D5D12">
                              <w:t>U</w:t>
                            </w:r>
                            <w:r w:rsidR="00E77E1A" w:rsidRPr="002D5D12">
                              <w:t xml:space="preserve">pdate the transport assessment </w:t>
                            </w:r>
                            <w:r w:rsidR="002F4A4A" w:rsidRPr="002D5D12">
                              <w:t xml:space="preserve">with </w:t>
                            </w:r>
                            <w:r w:rsidR="003C1108">
                              <w:t xml:space="preserve">ABS </w:t>
                            </w:r>
                            <w:r w:rsidR="004B478C" w:rsidRPr="002D5D12">
                              <w:t>2021 Census</w:t>
                            </w:r>
                            <w:r w:rsidR="00682F1E">
                              <w:t xml:space="preserve"> geographies</w:t>
                            </w:r>
                            <w:r w:rsidR="00193B42">
                              <w:t xml:space="preserve"> and</w:t>
                            </w:r>
                            <w:r w:rsidR="00193B42" w:rsidRPr="002D5D12">
                              <w:t xml:space="preserve"> distance</w:t>
                            </w:r>
                            <w:r w:rsidR="004B478C" w:rsidRPr="002D5D12">
                              <w:t xml:space="preserve"> to work data</w:t>
                            </w:r>
                            <w:r w:rsidR="005A747C">
                              <w:t>,</w:t>
                            </w:r>
                            <w:r w:rsidR="004B478C" w:rsidRPr="002D5D12">
                              <w:t xml:space="preserve"> </w:t>
                            </w:r>
                            <w:r w:rsidR="00841936">
                              <w:t xml:space="preserve">2016 Census </w:t>
                            </w:r>
                            <w:r w:rsidR="00DE0F80">
                              <w:t>passenger numbers</w:t>
                            </w:r>
                            <w:r w:rsidR="004B478C" w:rsidRPr="002D5D12">
                              <w:t xml:space="preserve"> and </w:t>
                            </w:r>
                            <w:r w:rsidR="006A48C3" w:rsidRPr="002D5D12">
                              <w:t xml:space="preserve">Geoscience </w:t>
                            </w:r>
                            <w:r w:rsidR="00F21D52" w:rsidRPr="002D5D12">
                              <w:t xml:space="preserve">Australia </w:t>
                            </w:r>
                            <w:r w:rsidR="00165980" w:rsidRPr="002D5D12">
                              <w:t>slope data</w:t>
                            </w:r>
                            <w:r w:rsidR="00690DB0" w:rsidRPr="002D5D12">
                              <w:t>.</w:t>
                            </w:r>
                          </w:p>
                          <w:p w14:paraId="120681E1" w14:textId="5EC2EBFB" w:rsidR="002C78BA" w:rsidRPr="002D5D12" w:rsidRDefault="00FE3A3B" w:rsidP="00643145">
                            <w:pPr>
                              <w:pStyle w:val="CGCBullet1"/>
                            </w:pPr>
                            <w:r w:rsidRPr="002D5D12">
                              <w:t>A</w:t>
                            </w:r>
                            <w:r w:rsidR="00D82F7C" w:rsidRPr="002D5D12">
                              <w:t>mend the payroll tax assessment by removing the defence force personnel and D</w:t>
                            </w:r>
                            <w:r w:rsidR="00725908" w:rsidRPr="002D5D12">
                              <w:t>e</w:t>
                            </w:r>
                            <w:r w:rsidR="00ED24F1" w:rsidRPr="002D5D12">
                              <w:t xml:space="preserve">partment of </w:t>
                            </w:r>
                            <w:r w:rsidR="00D82F7C" w:rsidRPr="002D5D12">
                              <w:t>F</w:t>
                            </w:r>
                            <w:r w:rsidR="00ED24F1" w:rsidRPr="002D5D12">
                              <w:t xml:space="preserve">oreign </w:t>
                            </w:r>
                            <w:r w:rsidR="00D82F7C" w:rsidRPr="002D5D12">
                              <w:t>A</w:t>
                            </w:r>
                            <w:r w:rsidR="00ED24F1" w:rsidRPr="002D5D12">
                              <w:t xml:space="preserve">ffairs and </w:t>
                            </w:r>
                            <w:r w:rsidR="00D82F7C" w:rsidRPr="002D5D12">
                              <w:t>T</w:t>
                            </w:r>
                            <w:r w:rsidR="00ED24F1" w:rsidRPr="002D5D12">
                              <w:t>rade</w:t>
                            </w:r>
                            <w:r w:rsidR="00D82F7C" w:rsidRPr="002D5D12">
                              <w:t xml:space="preserve"> overseas employees</w:t>
                            </w:r>
                            <w:r w:rsidR="002410D1">
                              <w:t>’</w:t>
                            </w:r>
                            <w:r w:rsidR="00D82F7C" w:rsidRPr="002D5D12">
                              <w:t xml:space="preserve"> adjustment from Compensation of Employees data</w:t>
                            </w:r>
                            <w:r w:rsidR="00C10523">
                              <w:t xml:space="preserve">. This </w:t>
                            </w:r>
                            <w:r w:rsidR="007C0D43">
                              <w:t xml:space="preserve">adjustment </w:t>
                            </w:r>
                            <w:r w:rsidR="00C10523">
                              <w:t>is</w:t>
                            </w:r>
                            <w:r w:rsidR="00D82F7C" w:rsidRPr="002D5D12">
                              <w:t xml:space="preserve"> </w:t>
                            </w:r>
                            <w:r w:rsidR="007C0D43">
                              <w:t xml:space="preserve">no longer needed due to </w:t>
                            </w:r>
                            <w:r w:rsidR="00D82F7C" w:rsidRPr="002D5D12">
                              <w:t xml:space="preserve">the </w:t>
                            </w:r>
                            <w:r w:rsidR="007C0D43" w:rsidRPr="002D5D12">
                              <w:t>change</w:t>
                            </w:r>
                            <w:r w:rsidR="007C0D43">
                              <w:t xml:space="preserve"> in </w:t>
                            </w:r>
                            <w:r w:rsidR="00D82F7C" w:rsidRPr="002D5D12">
                              <w:t xml:space="preserve">scope of the </w:t>
                            </w:r>
                            <w:r w:rsidR="00C10523">
                              <w:t xml:space="preserve">ABS </w:t>
                            </w:r>
                            <w:r w:rsidR="00D82F7C" w:rsidRPr="002D5D12">
                              <w:t>Employment and Earnings, Public Sector, Australia data</w:t>
                            </w:r>
                            <w:r w:rsidR="002C78BA" w:rsidRPr="002D5D12">
                              <w:t>.</w:t>
                            </w:r>
                          </w:p>
                          <w:p w14:paraId="1EB140A6" w14:textId="77777777" w:rsidR="00434BD8" w:rsidRPr="002D5D12" w:rsidRDefault="00434BD8" w:rsidP="00931022">
                            <w:pPr>
                              <w:pStyle w:val="Heading3"/>
                            </w:pPr>
                            <w:r w:rsidRPr="002D5D12">
                              <w:t>Other issues</w:t>
                            </w:r>
                            <w:r w:rsidR="00AC19FF">
                              <w:t xml:space="preserve"> for</w:t>
                            </w:r>
                            <w:r w:rsidR="00AC19FF" w:rsidRPr="00F320C4">
                              <w:t xml:space="preserve"> </w:t>
                            </w:r>
                            <w:r w:rsidR="00AC19FF">
                              <w:t>consideration</w:t>
                            </w:r>
                          </w:p>
                          <w:p w14:paraId="3C47F832" w14:textId="6D7DE95D" w:rsidR="002C78BA" w:rsidRDefault="00DC1E0C" w:rsidP="00924C86">
                            <w:pPr>
                              <w:pStyle w:val="CGCBullet1"/>
                            </w:pPr>
                            <w:r>
                              <w:t>It is expected that there will be n</w:t>
                            </w:r>
                            <w:r w:rsidR="0065304E" w:rsidRPr="002D5D12">
                              <w:t>egative assessed GST needs</w:t>
                            </w:r>
                            <w:r w:rsidR="001607F4" w:rsidRPr="002D5D12">
                              <w:t xml:space="preserve"> for </w:t>
                            </w:r>
                            <w:r>
                              <w:t xml:space="preserve">the </w:t>
                            </w:r>
                            <w:r w:rsidR="001607F4" w:rsidRPr="002D5D12">
                              <w:t>national capital</w:t>
                            </w:r>
                            <w:r>
                              <w:t xml:space="preserve"> assessment. The Commission </w:t>
                            </w:r>
                            <w:r w:rsidRPr="00D153F1">
                              <w:t xml:space="preserve">proposes </w:t>
                            </w:r>
                            <w:r w:rsidR="006523D5" w:rsidRPr="00D153F1">
                              <w:t>to</w:t>
                            </w:r>
                            <w:r w:rsidR="004613B3" w:rsidRPr="00D153F1">
                              <w:t xml:space="preserve"> </w:t>
                            </w:r>
                            <w:r w:rsidR="00FC1970" w:rsidRPr="00D153F1">
                              <w:t>suspend</w:t>
                            </w:r>
                            <w:r w:rsidR="004613B3" w:rsidRPr="002D5D12">
                              <w:t xml:space="preserve"> the national capital assessment from the calculation of GST relativities for the 2024 Update if the ACT’s assessed GST needs for the </w:t>
                            </w:r>
                            <w:r w:rsidR="004613B3" w:rsidRPr="00D153F1">
                              <w:t xml:space="preserve">national capital </w:t>
                            </w:r>
                            <w:r w:rsidR="00DC1816" w:rsidRPr="00D153F1">
                              <w:t>assessment</w:t>
                            </w:r>
                            <w:r w:rsidR="004613B3" w:rsidRPr="00D153F1">
                              <w:t xml:space="preserve"> are negative</w:t>
                            </w:r>
                            <w:r w:rsidR="002C78BA" w:rsidRPr="002D5D12">
                              <w:t>.</w:t>
                            </w:r>
                          </w:p>
                          <w:p w14:paraId="63926AD0" w14:textId="36428C13" w:rsidR="00990792" w:rsidRPr="0024598E" w:rsidRDefault="00F237E6" w:rsidP="00924C86">
                            <w:pPr>
                              <w:pStyle w:val="CGCBullet1"/>
                            </w:pPr>
                            <w:r>
                              <w:t xml:space="preserve">In </w:t>
                            </w:r>
                            <w:r w:rsidR="00AC43DF">
                              <w:t xml:space="preserve">the </w:t>
                            </w:r>
                            <w:r w:rsidR="00463F77">
                              <w:t>m</w:t>
                            </w:r>
                            <w:r w:rsidR="008F779C">
                              <w:t xml:space="preserve">ining </w:t>
                            </w:r>
                            <w:r w:rsidR="00463F77">
                              <w:t>r</w:t>
                            </w:r>
                            <w:r w:rsidR="008F779C">
                              <w:t xml:space="preserve">evenue </w:t>
                            </w:r>
                            <w:r w:rsidR="00AC43DF">
                              <w:t>assessment,</w:t>
                            </w:r>
                            <w:r w:rsidR="008F779C">
                              <w:t xml:space="preserve"> </w:t>
                            </w:r>
                            <w:r>
                              <w:t>n</w:t>
                            </w:r>
                            <w:r w:rsidR="008F779C">
                              <w:t>ickel has become material</w:t>
                            </w:r>
                            <w:r w:rsidR="00EA72D7">
                              <w:t>.</w:t>
                            </w:r>
                            <w:r w:rsidR="00DC1E0C">
                              <w:t xml:space="preserve"> </w:t>
                            </w:r>
                            <w:r w:rsidR="00E17970">
                              <w:t>Consistent with the 202</w:t>
                            </w:r>
                            <w:r w:rsidR="002B6EE2">
                              <w:t>0</w:t>
                            </w:r>
                            <w:r w:rsidR="00E17970">
                              <w:t xml:space="preserve"> Review method, the Commission</w:t>
                            </w:r>
                            <w:r w:rsidR="00DC1E0C">
                              <w:t xml:space="preserve"> </w:t>
                            </w:r>
                            <w:r w:rsidR="00302C32">
                              <w:t xml:space="preserve">proposes to </w:t>
                            </w:r>
                            <w:r w:rsidR="00DC1E0C">
                              <w:t>i</w:t>
                            </w:r>
                            <w:r w:rsidR="008F779C" w:rsidRPr="002D5D12">
                              <w:t>ntroduce a separate mining revenue assessment for nickel</w:t>
                            </w:r>
                            <w:r w:rsidR="00DC1E0C">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1A8594" id="Rectangle 1871461841" o:spid="_x0000_s1026" alt="&quot;&quot;" style="width:455.15pt;height:46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" fillcolor="#e5f8ff" stroked="f" strokeweight="2pt">
                <v:textbox>
                  <w:txbxContent>
                    <w:p w14:paraId="4387B9D8" w14:textId="683FB0F6" w:rsidR="0093509B" w:rsidRPr="002D5D12" w:rsidRDefault="001A0D9D" w:rsidP="001E36CF">
                      <w:pPr>
                        <w:pStyle w:val="Heading3"/>
                      </w:pPr>
                      <w:bookmarkStart w:id="3" w:name="_Hlk143853742"/>
                      <w:r>
                        <w:t xml:space="preserve">Updated </w:t>
                      </w:r>
                      <w:r w:rsidR="007F7093">
                        <w:t xml:space="preserve">ABS </w:t>
                      </w:r>
                      <w:r w:rsidR="001E36CF">
                        <w:t xml:space="preserve">census </w:t>
                      </w:r>
                      <w:r w:rsidR="00305F7D">
                        <w:t>d</w:t>
                      </w:r>
                      <w:r w:rsidR="0093509B" w:rsidRPr="002D5D12">
                        <w:t>ata</w:t>
                      </w:r>
                      <w:r>
                        <w:t xml:space="preserve"> for</w:t>
                      </w:r>
                      <w:r w:rsidR="0093509B" w:rsidRPr="002D5D12">
                        <w:t xml:space="preserve"> </w:t>
                      </w:r>
                      <w:r>
                        <w:t>information</w:t>
                      </w:r>
                      <w:bookmarkEnd w:id="3"/>
                    </w:p>
                    <w:p w14:paraId="702C4AAE" w14:textId="4B060C7D" w:rsidR="00683F58" w:rsidRDefault="00E474EC" w:rsidP="00643145">
                      <w:pPr>
                        <w:pStyle w:val="CGCBullet1"/>
                      </w:pPr>
                      <w:r>
                        <w:t xml:space="preserve">Adjust </w:t>
                      </w:r>
                      <w:r w:rsidR="00DE0420">
                        <w:t xml:space="preserve">First </w:t>
                      </w:r>
                      <w:r w:rsidR="00054A65">
                        <w:t>N</w:t>
                      </w:r>
                      <w:r w:rsidR="00DE0420">
                        <w:t xml:space="preserve">ations </w:t>
                      </w:r>
                      <w:r w:rsidR="00E02BD8">
                        <w:t xml:space="preserve">population projections based on the ratio between </w:t>
                      </w:r>
                      <w:r w:rsidR="005012C7">
                        <w:t xml:space="preserve">actual and projected First Nations </w:t>
                      </w:r>
                      <w:r w:rsidR="005012C7" w:rsidRPr="00210980">
                        <w:t>population</w:t>
                      </w:r>
                      <w:r w:rsidR="00A55489">
                        <w:t>s</w:t>
                      </w:r>
                      <w:r w:rsidR="005012C7">
                        <w:t xml:space="preserve"> for 2021.</w:t>
                      </w:r>
                    </w:p>
                    <w:p w14:paraId="6E39EAC5" w14:textId="15B8CE57" w:rsidR="0093509B" w:rsidRPr="002D5D12" w:rsidRDefault="00F32CC0" w:rsidP="00643145">
                      <w:pPr>
                        <w:pStyle w:val="CGCBullet1"/>
                      </w:pPr>
                      <w:r w:rsidRPr="002D5D12">
                        <w:t>Use</w:t>
                      </w:r>
                      <w:r w:rsidR="009604AB" w:rsidRPr="002D5D12">
                        <w:t xml:space="preserve"> 2021 Census data to update</w:t>
                      </w:r>
                      <w:r w:rsidR="009A43EF" w:rsidRPr="002D5D12">
                        <w:t xml:space="preserve"> </w:t>
                      </w:r>
                      <w:r w:rsidR="00DC0355" w:rsidRPr="002D5D12">
                        <w:t xml:space="preserve">measures </w:t>
                      </w:r>
                      <w:r w:rsidR="00FC49CE" w:rsidRPr="002D5D12">
                        <w:t xml:space="preserve">of </w:t>
                      </w:r>
                      <w:r w:rsidR="0093509B" w:rsidRPr="002D5D12">
                        <w:t>remoteness area and socio</w:t>
                      </w:r>
                      <w:r w:rsidR="00C0746E" w:rsidRPr="002D5D12">
                        <w:noBreakHyphen/>
                      </w:r>
                      <w:r w:rsidR="0093509B" w:rsidRPr="002D5D12">
                        <w:t>economic status.</w:t>
                      </w:r>
                    </w:p>
                    <w:p w14:paraId="3EF0879F" w14:textId="77777777" w:rsidR="0043714A" w:rsidRDefault="00C96002" w:rsidP="00643145">
                      <w:pPr>
                        <w:pStyle w:val="CGCBullet1"/>
                      </w:pPr>
                      <w:r w:rsidRPr="002D5D12">
                        <w:t xml:space="preserve">Use 2021 Census data to </w:t>
                      </w:r>
                      <w:r w:rsidR="007950E1" w:rsidRPr="002D5D12">
                        <w:t xml:space="preserve">update </w:t>
                      </w:r>
                      <w:r w:rsidR="000A6F93">
                        <w:t>d</w:t>
                      </w:r>
                      <w:r w:rsidR="00853BB1" w:rsidRPr="002D5D12">
                        <w:t xml:space="preserve">iscrete </w:t>
                      </w:r>
                      <w:r w:rsidR="001B6315">
                        <w:t>First Nations</w:t>
                      </w:r>
                      <w:r w:rsidR="00853BB1" w:rsidRPr="002D5D12">
                        <w:t xml:space="preserve"> </w:t>
                      </w:r>
                      <w:r w:rsidR="000A6F93">
                        <w:t>c</w:t>
                      </w:r>
                      <w:r w:rsidR="00853BB1" w:rsidRPr="002D5D12">
                        <w:t>ommunities</w:t>
                      </w:r>
                      <w:r w:rsidR="00A2052C" w:rsidRPr="002D5D12">
                        <w:t xml:space="preserve">, </w:t>
                      </w:r>
                      <w:r w:rsidR="00F65EC7" w:rsidRPr="002D5D12">
                        <w:t>si</w:t>
                      </w:r>
                      <w:r w:rsidR="00E2141C" w:rsidRPr="002D5D12">
                        <w:t xml:space="preserve">gnificant urban </w:t>
                      </w:r>
                      <w:proofErr w:type="gramStart"/>
                      <w:r w:rsidR="00E2141C" w:rsidRPr="002D5D12">
                        <w:t>areas</w:t>
                      </w:r>
                      <w:proofErr w:type="gramEnd"/>
                      <w:r w:rsidR="00E2141C" w:rsidRPr="002D5D12">
                        <w:t xml:space="preserve"> and urban centres</w:t>
                      </w:r>
                      <w:r w:rsidR="00853BB1" w:rsidRPr="002D5D12">
                        <w:t>.</w:t>
                      </w:r>
                    </w:p>
                    <w:p w14:paraId="2C8FA293" w14:textId="77777777" w:rsidR="000A6F93" w:rsidRDefault="000A6F93" w:rsidP="00931022">
                      <w:pPr>
                        <w:pStyle w:val="Heading3"/>
                      </w:pPr>
                      <w:r w:rsidRPr="00F320C4">
                        <w:t>Data</w:t>
                      </w:r>
                      <w:r>
                        <w:t xml:space="preserve"> issues for</w:t>
                      </w:r>
                      <w:r w:rsidRPr="00F320C4">
                        <w:t xml:space="preserve"> </w:t>
                      </w:r>
                      <w:r>
                        <w:t>consideration</w:t>
                      </w:r>
                    </w:p>
                    <w:p w14:paraId="05FE93F0" w14:textId="32A812C3" w:rsidR="00C474D8" w:rsidRPr="00434DA8" w:rsidRDefault="00F74DC9" w:rsidP="00643145">
                      <w:pPr>
                        <w:pStyle w:val="CGCBullet1"/>
                      </w:pPr>
                      <w:r>
                        <w:t>In the justice assessment, r</w:t>
                      </w:r>
                      <w:r w:rsidR="00C474D8" w:rsidRPr="00434DA8">
                        <w:t xml:space="preserve">etain </w:t>
                      </w:r>
                      <w:r w:rsidR="00FB2B75">
                        <w:t xml:space="preserve">ABS </w:t>
                      </w:r>
                      <w:r w:rsidR="00C474D8" w:rsidRPr="00434DA8">
                        <w:t>Estimated Resident Population data with First Nations population estimates based on the 2016</w:t>
                      </w:r>
                      <w:r w:rsidR="00A90000">
                        <w:t xml:space="preserve"> </w:t>
                      </w:r>
                      <w:r w:rsidR="00C474D8" w:rsidRPr="00434DA8">
                        <w:t>Census.</w:t>
                      </w:r>
                    </w:p>
                    <w:p w14:paraId="127E0AFF" w14:textId="3F0268C4" w:rsidR="00690DB0" w:rsidRPr="002D5D12" w:rsidRDefault="007D6F2E" w:rsidP="00643145">
                      <w:pPr>
                        <w:pStyle w:val="CGCBullet1"/>
                      </w:pPr>
                      <w:r w:rsidRPr="002D5D12">
                        <w:t>U</w:t>
                      </w:r>
                      <w:r w:rsidR="00E77E1A" w:rsidRPr="002D5D12">
                        <w:t xml:space="preserve">pdate the transport assessment </w:t>
                      </w:r>
                      <w:r w:rsidR="002F4A4A" w:rsidRPr="002D5D12">
                        <w:t xml:space="preserve">with </w:t>
                      </w:r>
                      <w:r w:rsidR="003C1108">
                        <w:t xml:space="preserve">ABS </w:t>
                      </w:r>
                      <w:r w:rsidR="004B478C" w:rsidRPr="002D5D12">
                        <w:t>2021 Census</w:t>
                      </w:r>
                      <w:r w:rsidR="00682F1E">
                        <w:t xml:space="preserve"> geographies</w:t>
                      </w:r>
                      <w:r w:rsidR="00193B42">
                        <w:t xml:space="preserve"> and</w:t>
                      </w:r>
                      <w:r w:rsidR="00193B42" w:rsidRPr="002D5D12">
                        <w:t xml:space="preserve"> distance</w:t>
                      </w:r>
                      <w:r w:rsidR="004B478C" w:rsidRPr="002D5D12">
                        <w:t xml:space="preserve"> to work data</w:t>
                      </w:r>
                      <w:r w:rsidR="005A747C">
                        <w:t>,</w:t>
                      </w:r>
                      <w:r w:rsidR="004B478C" w:rsidRPr="002D5D12">
                        <w:t xml:space="preserve"> </w:t>
                      </w:r>
                      <w:r w:rsidR="00841936">
                        <w:t xml:space="preserve">2016 Census </w:t>
                      </w:r>
                      <w:r w:rsidR="00DE0F80">
                        <w:t>passenger numbers</w:t>
                      </w:r>
                      <w:r w:rsidR="004B478C" w:rsidRPr="002D5D12">
                        <w:t xml:space="preserve"> and </w:t>
                      </w:r>
                      <w:r w:rsidR="006A48C3" w:rsidRPr="002D5D12">
                        <w:t xml:space="preserve">Geoscience </w:t>
                      </w:r>
                      <w:r w:rsidR="00F21D52" w:rsidRPr="002D5D12">
                        <w:t xml:space="preserve">Australia </w:t>
                      </w:r>
                      <w:r w:rsidR="00165980" w:rsidRPr="002D5D12">
                        <w:t>slope data</w:t>
                      </w:r>
                      <w:r w:rsidR="00690DB0" w:rsidRPr="002D5D12">
                        <w:t>.</w:t>
                      </w:r>
                    </w:p>
                    <w:p w14:paraId="120681E1" w14:textId="5EC2EBFB" w:rsidR="002C78BA" w:rsidRPr="002D5D12" w:rsidRDefault="00FE3A3B" w:rsidP="00643145">
                      <w:pPr>
                        <w:pStyle w:val="CGCBullet1"/>
                      </w:pPr>
                      <w:r w:rsidRPr="002D5D12">
                        <w:t>A</w:t>
                      </w:r>
                      <w:r w:rsidR="00D82F7C" w:rsidRPr="002D5D12">
                        <w:t>mend the payroll tax assessment by removing the defence force personnel and D</w:t>
                      </w:r>
                      <w:r w:rsidR="00725908" w:rsidRPr="002D5D12">
                        <w:t>e</w:t>
                      </w:r>
                      <w:r w:rsidR="00ED24F1" w:rsidRPr="002D5D12">
                        <w:t xml:space="preserve">partment of </w:t>
                      </w:r>
                      <w:r w:rsidR="00D82F7C" w:rsidRPr="002D5D12">
                        <w:t>F</w:t>
                      </w:r>
                      <w:r w:rsidR="00ED24F1" w:rsidRPr="002D5D12">
                        <w:t xml:space="preserve">oreign </w:t>
                      </w:r>
                      <w:r w:rsidR="00D82F7C" w:rsidRPr="002D5D12">
                        <w:t>A</w:t>
                      </w:r>
                      <w:r w:rsidR="00ED24F1" w:rsidRPr="002D5D12">
                        <w:t xml:space="preserve">ffairs and </w:t>
                      </w:r>
                      <w:r w:rsidR="00D82F7C" w:rsidRPr="002D5D12">
                        <w:t>T</w:t>
                      </w:r>
                      <w:r w:rsidR="00ED24F1" w:rsidRPr="002D5D12">
                        <w:t>rade</w:t>
                      </w:r>
                      <w:r w:rsidR="00D82F7C" w:rsidRPr="002D5D12">
                        <w:t xml:space="preserve"> overseas employees</w:t>
                      </w:r>
                      <w:r w:rsidR="002410D1">
                        <w:t>’</w:t>
                      </w:r>
                      <w:r w:rsidR="00D82F7C" w:rsidRPr="002D5D12">
                        <w:t xml:space="preserve"> adjustment from Compensation of Employees data</w:t>
                      </w:r>
                      <w:r w:rsidR="00C10523">
                        <w:t xml:space="preserve">. This </w:t>
                      </w:r>
                      <w:r w:rsidR="007C0D43">
                        <w:t xml:space="preserve">adjustment </w:t>
                      </w:r>
                      <w:r w:rsidR="00C10523">
                        <w:t>is</w:t>
                      </w:r>
                      <w:r w:rsidR="00D82F7C" w:rsidRPr="002D5D12">
                        <w:t xml:space="preserve"> </w:t>
                      </w:r>
                      <w:r w:rsidR="007C0D43">
                        <w:t xml:space="preserve">no longer needed due to </w:t>
                      </w:r>
                      <w:r w:rsidR="00D82F7C" w:rsidRPr="002D5D12">
                        <w:t xml:space="preserve">the </w:t>
                      </w:r>
                      <w:r w:rsidR="007C0D43" w:rsidRPr="002D5D12">
                        <w:t>change</w:t>
                      </w:r>
                      <w:r w:rsidR="007C0D43">
                        <w:t xml:space="preserve"> in </w:t>
                      </w:r>
                      <w:r w:rsidR="00D82F7C" w:rsidRPr="002D5D12">
                        <w:t xml:space="preserve">scope of the </w:t>
                      </w:r>
                      <w:r w:rsidR="00C10523">
                        <w:t xml:space="preserve">ABS </w:t>
                      </w:r>
                      <w:r w:rsidR="00D82F7C" w:rsidRPr="002D5D12">
                        <w:t>Employment and Earnings, Public Sector, Australia data</w:t>
                      </w:r>
                      <w:r w:rsidR="002C78BA" w:rsidRPr="002D5D12">
                        <w:t>.</w:t>
                      </w:r>
                    </w:p>
                    <w:p w14:paraId="1EB140A6" w14:textId="77777777" w:rsidR="00434BD8" w:rsidRPr="002D5D12" w:rsidRDefault="00434BD8" w:rsidP="00931022">
                      <w:pPr>
                        <w:pStyle w:val="Heading3"/>
                      </w:pPr>
                      <w:r w:rsidRPr="002D5D12">
                        <w:t>Other issues</w:t>
                      </w:r>
                      <w:r w:rsidR="00AC19FF">
                        <w:t xml:space="preserve"> for</w:t>
                      </w:r>
                      <w:r w:rsidR="00AC19FF" w:rsidRPr="00F320C4">
                        <w:t xml:space="preserve"> </w:t>
                      </w:r>
                      <w:r w:rsidR="00AC19FF">
                        <w:t>consideration</w:t>
                      </w:r>
                    </w:p>
                    <w:p w14:paraId="3C47F832" w14:textId="6D7DE95D" w:rsidR="002C78BA" w:rsidRDefault="00DC1E0C" w:rsidP="00924C86">
                      <w:pPr>
                        <w:pStyle w:val="CGCBullet1"/>
                      </w:pPr>
                      <w:r>
                        <w:t>It is expected that there will be n</w:t>
                      </w:r>
                      <w:r w:rsidR="0065304E" w:rsidRPr="002D5D12">
                        <w:t>egative assessed GST needs</w:t>
                      </w:r>
                      <w:r w:rsidR="001607F4" w:rsidRPr="002D5D12">
                        <w:t xml:space="preserve"> for </w:t>
                      </w:r>
                      <w:r>
                        <w:t xml:space="preserve">the </w:t>
                      </w:r>
                      <w:r w:rsidR="001607F4" w:rsidRPr="002D5D12">
                        <w:t>national capital</w:t>
                      </w:r>
                      <w:r>
                        <w:t xml:space="preserve"> assessment. The Commission </w:t>
                      </w:r>
                      <w:r w:rsidRPr="00D153F1">
                        <w:t xml:space="preserve">proposes </w:t>
                      </w:r>
                      <w:r w:rsidR="006523D5" w:rsidRPr="00D153F1">
                        <w:t>to</w:t>
                      </w:r>
                      <w:r w:rsidR="004613B3" w:rsidRPr="00D153F1">
                        <w:t xml:space="preserve"> </w:t>
                      </w:r>
                      <w:r w:rsidR="00FC1970" w:rsidRPr="00D153F1">
                        <w:t>suspend</w:t>
                      </w:r>
                      <w:r w:rsidR="004613B3" w:rsidRPr="002D5D12">
                        <w:t xml:space="preserve"> the national capital assessment from the calculation of GST relativities for the 2024 Update if the ACT’s assessed GST needs for the </w:t>
                      </w:r>
                      <w:r w:rsidR="004613B3" w:rsidRPr="00D153F1">
                        <w:t xml:space="preserve">national capital </w:t>
                      </w:r>
                      <w:r w:rsidR="00DC1816" w:rsidRPr="00D153F1">
                        <w:t>assessment</w:t>
                      </w:r>
                      <w:r w:rsidR="004613B3" w:rsidRPr="00D153F1">
                        <w:t xml:space="preserve"> are negative</w:t>
                      </w:r>
                      <w:r w:rsidR="002C78BA" w:rsidRPr="002D5D12">
                        <w:t>.</w:t>
                      </w:r>
                    </w:p>
                    <w:p w14:paraId="63926AD0" w14:textId="36428C13" w:rsidR="00990792" w:rsidRPr="0024598E" w:rsidRDefault="00F237E6" w:rsidP="00924C86">
                      <w:pPr>
                        <w:pStyle w:val="CGCBullet1"/>
                      </w:pPr>
                      <w:r>
                        <w:t xml:space="preserve">In </w:t>
                      </w:r>
                      <w:r w:rsidR="00AC43DF">
                        <w:t xml:space="preserve">the </w:t>
                      </w:r>
                      <w:r w:rsidR="00463F77">
                        <w:t>m</w:t>
                      </w:r>
                      <w:r w:rsidR="008F779C">
                        <w:t xml:space="preserve">ining </w:t>
                      </w:r>
                      <w:r w:rsidR="00463F77">
                        <w:t>r</w:t>
                      </w:r>
                      <w:r w:rsidR="008F779C">
                        <w:t xml:space="preserve">evenue </w:t>
                      </w:r>
                      <w:r w:rsidR="00AC43DF">
                        <w:t>assessment,</w:t>
                      </w:r>
                      <w:r w:rsidR="008F779C">
                        <w:t xml:space="preserve"> </w:t>
                      </w:r>
                      <w:r>
                        <w:t>n</w:t>
                      </w:r>
                      <w:r w:rsidR="008F779C">
                        <w:t>ickel has become material</w:t>
                      </w:r>
                      <w:r w:rsidR="00EA72D7">
                        <w:t>.</w:t>
                      </w:r>
                      <w:r w:rsidR="00DC1E0C">
                        <w:t xml:space="preserve"> </w:t>
                      </w:r>
                      <w:r w:rsidR="00E17970">
                        <w:t>Consistent with the 202</w:t>
                      </w:r>
                      <w:r w:rsidR="002B6EE2">
                        <w:t>0</w:t>
                      </w:r>
                      <w:r w:rsidR="00E17970">
                        <w:t xml:space="preserve"> Review method, the Commission</w:t>
                      </w:r>
                      <w:r w:rsidR="00DC1E0C">
                        <w:t xml:space="preserve"> </w:t>
                      </w:r>
                      <w:r w:rsidR="00302C32">
                        <w:t xml:space="preserve">proposes to </w:t>
                      </w:r>
                      <w:r w:rsidR="00DC1E0C">
                        <w:t>i</w:t>
                      </w:r>
                      <w:r w:rsidR="008F779C" w:rsidRPr="002D5D12">
                        <w:t>ntroduce a separate mining revenue assessment for nickel</w:t>
                      </w:r>
                      <w:r w:rsidR="00DC1E0C">
                        <w:t>.</w:t>
                      </w:r>
                    </w:p>
                  </w:txbxContent>
                </v:textbox>
                <w10:anchorlock/>
              </v:rect>
            </w:pict>
          </mc:Fallback>
        </mc:AlternateContent>
      </w:r>
    </w:p>
    <w:p w14:paraId="6412CA36" w14:textId="66515848" w:rsidR="00C25147" w:rsidRPr="00255C60" w:rsidRDefault="007F1CC7">
      <w:r>
        <w:br w:type="page"/>
      </w:r>
    </w:p>
    <w:p w14:paraId="0ACBE683" w14:textId="4E57AA26" w:rsidR="00916690" w:rsidRDefault="00916690" w:rsidP="002E7B64">
      <w:pPr>
        <w:pStyle w:val="Heading1"/>
      </w:pPr>
      <w:r>
        <w:lastRenderedPageBreak/>
        <w:t>Updated data for information</w:t>
      </w:r>
    </w:p>
    <w:p w14:paraId="0991FA4C" w14:textId="654E1FC2" w:rsidR="001C7DFA" w:rsidRDefault="00F55731" w:rsidP="00273CA5">
      <w:pPr>
        <w:pStyle w:val="Heading2"/>
      </w:pPr>
      <w:r>
        <w:t xml:space="preserve">Incorporating additional </w:t>
      </w:r>
      <w:r w:rsidR="001A41A2">
        <w:t xml:space="preserve">ABS </w:t>
      </w:r>
      <w:r>
        <w:t>2021</w:t>
      </w:r>
      <w:r w:rsidR="00840AF2">
        <w:t xml:space="preserve"> </w:t>
      </w:r>
      <w:r w:rsidR="00600751">
        <w:t>C</w:t>
      </w:r>
      <w:r w:rsidR="00840AF2">
        <w:t>ensus data</w:t>
      </w:r>
    </w:p>
    <w:p w14:paraId="517C6C35" w14:textId="2F4354DD" w:rsidR="00566F3D" w:rsidRDefault="00F77EE6">
      <w:pPr>
        <w:pStyle w:val="CGCParaNumber"/>
        <w:ind w:left="567" w:hanging="567"/>
      </w:pPr>
      <w:r>
        <w:t xml:space="preserve">The 2021 Census was conducted in August 2021 and data have become progressively available. </w:t>
      </w:r>
      <w:r w:rsidR="00917A7A">
        <w:t xml:space="preserve">In the 2023 Update, </w:t>
      </w:r>
      <w:r w:rsidR="00834C17">
        <w:t>t</w:t>
      </w:r>
      <w:r w:rsidR="006A6497">
        <w:t>he</w:t>
      </w:r>
      <w:r w:rsidR="00563E1D">
        <w:t xml:space="preserve"> following</w:t>
      </w:r>
      <w:r w:rsidR="006A6497">
        <w:t xml:space="preserve"> </w:t>
      </w:r>
      <w:r w:rsidR="00834C17">
        <w:t>c</w:t>
      </w:r>
      <w:r w:rsidR="006C6539">
        <w:t>ensus</w:t>
      </w:r>
      <w:r w:rsidR="00C463DE">
        <w:t xml:space="preserve">-based </w:t>
      </w:r>
      <w:r w:rsidR="006C6539">
        <w:t xml:space="preserve">data were </w:t>
      </w:r>
      <w:r w:rsidR="00C463DE">
        <w:t>updated</w:t>
      </w:r>
      <w:r w:rsidR="00566F3D">
        <w:t>:</w:t>
      </w:r>
    </w:p>
    <w:p w14:paraId="0F50AFF5" w14:textId="2E63A952" w:rsidR="007270B4" w:rsidRPr="00A027D0" w:rsidRDefault="00D23F49" w:rsidP="007270B4">
      <w:pPr>
        <w:pStyle w:val="CGCBullet1"/>
        <w:numPr>
          <w:ilvl w:val="0"/>
          <w:numId w:val="34"/>
        </w:numPr>
        <w:rPr>
          <w:rStyle w:val="normaltextrun"/>
        </w:rPr>
      </w:pPr>
      <w:r w:rsidRPr="00A027D0">
        <w:rPr>
          <w:rStyle w:val="normaltextrun"/>
        </w:rPr>
        <w:t xml:space="preserve">total </w:t>
      </w:r>
      <w:r w:rsidR="007270B4" w:rsidRPr="00A027D0">
        <w:rPr>
          <w:rStyle w:val="normaltextrun"/>
        </w:rPr>
        <w:t>disaggregated estimated resident population</w:t>
      </w:r>
    </w:p>
    <w:p w14:paraId="7B2D6877" w14:textId="0D915355" w:rsidR="000C11FC" w:rsidRPr="00A027D0" w:rsidRDefault="007270B4">
      <w:pPr>
        <w:pStyle w:val="CGCBullet1"/>
        <w:numPr>
          <w:ilvl w:val="0"/>
          <w:numId w:val="34"/>
        </w:numPr>
        <w:rPr>
          <w:rStyle w:val="normaltextrun"/>
        </w:rPr>
      </w:pPr>
      <w:r w:rsidRPr="00A027D0">
        <w:rPr>
          <w:rStyle w:val="normaltextrun"/>
        </w:rPr>
        <w:t>social housing use rates</w:t>
      </w:r>
      <w:r w:rsidR="00F83888" w:rsidRPr="00A027D0">
        <w:rPr>
          <w:rStyle w:val="normaltextrun"/>
        </w:rPr>
        <w:t xml:space="preserve"> </w:t>
      </w:r>
      <w:r w:rsidR="00611C5B">
        <w:rPr>
          <w:rStyle w:val="normaltextrun"/>
        </w:rPr>
        <w:t xml:space="preserve">in the </w:t>
      </w:r>
      <w:r w:rsidR="00074A0C" w:rsidRPr="00A027D0">
        <w:rPr>
          <w:rStyle w:val="normaltextrun"/>
        </w:rPr>
        <w:t>h</w:t>
      </w:r>
      <w:r w:rsidR="007C7C35" w:rsidRPr="00A027D0">
        <w:rPr>
          <w:rStyle w:val="normaltextrun"/>
        </w:rPr>
        <w:t>ousing assessment</w:t>
      </w:r>
    </w:p>
    <w:p w14:paraId="257AF16B" w14:textId="1A5C4F12" w:rsidR="007270B4" w:rsidRPr="00A027D0" w:rsidRDefault="006D0E5C">
      <w:pPr>
        <w:pStyle w:val="CGCBullet1"/>
        <w:numPr>
          <w:ilvl w:val="0"/>
          <w:numId w:val="34"/>
        </w:numPr>
        <w:rPr>
          <w:rStyle w:val="normaltextrun"/>
        </w:rPr>
      </w:pPr>
      <w:r w:rsidRPr="00A027D0">
        <w:rPr>
          <w:rStyle w:val="normaltextrun"/>
        </w:rPr>
        <w:t>c</w:t>
      </w:r>
      <w:r w:rsidR="00CE5A12" w:rsidRPr="008B534F">
        <w:rPr>
          <w:rStyle w:val="normaltextrun"/>
        </w:rPr>
        <w:t xml:space="preserve">lient base for services to industry regional costs </w:t>
      </w:r>
      <w:r w:rsidR="00BD7CA5" w:rsidRPr="00A027D0">
        <w:rPr>
          <w:rStyle w:val="normaltextrun"/>
        </w:rPr>
        <w:t xml:space="preserve">data </w:t>
      </w:r>
      <w:r w:rsidR="00611C5B">
        <w:rPr>
          <w:rStyle w:val="normaltextrun"/>
        </w:rPr>
        <w:t xml:space="preserve">in the </w:t>
      </w:r>
      <w:r w:rsidR="00074A0C" w:rsidRPr="00A027D0">
        <w:rPr>
          <w:rStyle w:val="normaltextrun"/>
        </w:rPr>
        <w:t>s</w:t>
      </w:r>
      <w:r w:rsidR="00BD7CA5" w:rsidRPr="00A027D0">
        <w:rPr>
          <w:rStyle w:val="normaltextrun"/>
        </w:rPr>
        <w:t>ervices</w:t>
      </w:r>
      <w:r w:rsidR="00BD7CA5" w:rsidRPr="008B534F">
        <w:rPr>
          <w:rStyle w:val="normaltextrun"/>
        </w:rPr>
        <w:t xml:space="preserve"> to industries assessment</w:t>
      </w:r>
      <w:r w:rsidR="00CE5A12" w:rsidRPr="00A027D0">
        <w:rPr>
          <w:rStyle w:val="normaltextrun"/>
        </w:rPr>
        <w:t>.</w:t>
      </w:r>
    </w:p>
    <w:p w14:paraId="259ADA71" w14:textId="14A2D2C0" w:rsidR="00401059" w:rsidRPr="003C5257" w:rsidRDefault="00396E8B">
      <w:pPr>
        <w:pStyle w:val="CGCParaNumber"/>
        <w:ind w:left="567" w:hanging="567"/>
      </w:pPr>
      <w:r>
        <w:t xml:space="preserve">The </w:t>
      </w:r>
      <w:r w:rsidR="001D15D3">
        <w:t>following section</w:t>
      </w:r>
      <w:r w:rsidR="0055294B">
        <w:t xml:space="preserve"> </w:t>
      </w:r>
      <w:r w:rsidR="00125B59">
        <w:t xml:space="preserve">describes </w:t>
      </w:r>
      <w:r w:rsidR="003D6BD9">
        <w:t>the</w:t>
      </w:r>
      <w:r w:rsidR="006A5147">
        <w:t xml:space="preserve"> </w:t>
      </w:r>
      <w:r w:rsidR="00D4658B">
        <w:t xml:space="preserve">updates the </w:t>
      </w:r>
      <w:r w:rsidR="006A5147">
        <w:t xml:space="preserve">Commission </w:t>
      </w:r>
      <w:r w:rsidR="009B011C">
        <w:t xml:space="preserve">will </w:t>
      </w:r>
      <w:r w:rsidR="00D4658B">
        <w:t>make to</w:t>
      </w:r>
      <w:r w:rsidR="00A91B2E">
        <w:t xml:space="preserve"> </w:t>
      </w:r>
      <w:r w:rsidR="009E5F47">
        <w:t>the</w:t>
      </w:r>
      <w:r w:rsidR="00941C86">
        <w:t xml:space="preserve"> </w:t>
      </w:r>
      <w:r w:rsidR="33E23F3B">
        <w:t xml:space="preserve">census </w:t>
      </w:r>
      <w:r w:rsidR="00F05D5C">
        <w:t>data</w:t>
      </w:r>
      <w:r w:rsidR="001B0435">
        <w:t xml:space="preserve"> used in </w:t>
      </w:r>
      <w:r w:rsidR="004B5A0E">
        <w:t>the assessments</w:t>
      </w:r>
      <w:r>
        <w:t xml:space="preserve"> </w:t>
      </w:r>
      <w:r w:rsidR="00C26115">
        <w:t xml:space="preserve">for </w:t>
      </w:r>
      <w:r>
        <w:t>the 2024</w:t>
      </w:r>
      <w:r w:rsidR="004E44B5">
        <w:t> </w:t>
      </w:r>
      <w:r>
        <w:t>Update</w:t>
      </w:r>
      <w:r w:rsidR="00D86EF1">
        <w:t>.</w:t>
      </w:r>
    </w:p>
    <w:p w14:paraId="52447FD0" w14:textId="26ABAD7E" w:rsidR="006769BC" w:rsidRPr="003C5257" w:rsidRDefault="00EB450A">
      <w:pPr>
        <w:pStyle w:val="CGCParaNumber"/>
        <w:ind w:left="567" w:hanging="567"/>
      </w:pPr>
      <w:r>
        <w:t>The Commission</w:t>
      </w:r>
      <w:r w:rsidR="001903EE">
        <w:t xml:space="preserve"> will share </w:t>
      </w:r>
      <w:r>
        <w:t>an indicative</w:t>
      </w:r>
      <w:r w:rsidR="001903EE">
        <w:t xml:space="preserve"> impact</w:t>
      </w:r>
      <w:r w:rsidR="00BF4EB7">
        <w:t xml:space="preserve"> of the population changes</w:t>
      </w:r>
      <w:r w:rsidR="001903EE">
        <w:t xml:space="preserve"> </w:t>
      </w:r>
      <w:r w:rsidR="00A21002">
        <w:t>on the GST distr</w:t>
      </w:r>
      <w:r w:rsidR="001E385C">
        <w:t xml:space="preserve">ibution </w:t>
      </w:r>
      <w:r w:rsidR="00D32822">
        <w:t>when</w:t>
      </w:r>
      <w:r w:rsidR="008942A2">
        <w:t xml:space="preserve"> data </w:t>
      </w:r>
      <w:r w:rsidR="000F1113">
        <w:t>ha</w:t>
      </w:r>
      <w:r w:rsidR="00385E26">
        <w:t>ve</w:t>
      </w:r>
      <w:r w:rsidR="000F1113">
        <w:t xml:space="preserve"> been provided by</w:t>
      </w:r>
      <w:r w:rsidR="008942A2">
        <w:t xml:space="preserve"> the ABS</w:t>
      </w:r>
      <w:r w:rsidR="000F1113">
        <w:t xml:space="preserve"> and incorporated into the </w:t>
      </w:r>
      <w:r w:rsidR="005537F3">
        <w:t xml:space="preserve">assessment calculations. This </w:t>
      </w:r>
      <w:r w:rsidR="001903EE">
        <w:t>i</w:t>
      </w:r>
      <w:r w:rsidR="005537F3">
        <w:t>s likely</w:t>
      </w:r>
      <w:r w:rsidR="009D7D1D">
        <w:t xml:space="preserve"> to </w:t>
      </w:r>
      <w:r w:rsidR="00C12ED5">
        <w:t xml:space="preserve">be </w:t>
      </w:r>
      <w:r w:rsidR="001903EE">
        <w:t xml:space="preserve">in </w:t>
      </w:r>
      <w:r w:rsidR="00570E61">
        <w:t>late</w:t>
      </w:r>
      <w:r w:rsidR="001903EE">
        <w:t xml:space="preserve"> October or </w:t>
      </w:r>
      <w:r w:rsidR="003E094A">
        <w:t xml:space="preserve">early </w:t>
      </w:r>
      <w:r w:rsidR="001903EE">
        <w:t>November</w:t>
      </w:r>
      <w:r w:rsidR="00570E61">
        <w:t>.</w:t>
      </w:r>
    </w:p>
    <w:p w14:paraId="7BD0F4FF" w14:textId="37878C46" w:rsidR="00D77B6C" w:rsidRPr="003C5257" w:rsidRDefault="00F123BC">
      <w:pPr>
        <w:pStyle w:val="CGCParaNumber"/>
        <w:ind w:left="567" w:hanging="567"/>
      </w:pPr>
      <w:r>
        <w:t>A</w:t>
      </w:r>
      <w:r w:rsidR="00D77B6C">
        <w:t xml:space="preserve"> list of census variables used in assessments</w:t>
      </w:r>
      <w:r w:rsidR="007F0CE2">
        <w:t>,</w:t>
      </w:r>
      <w:r w:rsidR="00D77B6C">
        <w:t xml:space="preserve"> by component</w:t>
      </w:r>
      <w:r w:rsidR="007F0CE2">
        <w:t>,</w:t>
      </w:r>
      <w:r w:rsidR="00D77B6C">
        <w:t xml:space="preserve"> is included at Attachment A.</w:t>
      </w:r>
    </w:p>
    <w:p w14:paraId="6CEAC5B2" w14:textId="10185BAD" w:rsidR="00581232" w:rsidRDefault="00AE74E2" w:rsidP="00581232">
      <w:pPr>
        <w:pStyle w:val="Heading3"/>
        <w:rPr>
          <w:rStyle w:val="normaltextrun"/>
        </w:rPr>
      </w:pPr>
      <w:r>
        <w:rPr>
          <w:rStyle w:val="normaltextrun"/>
        </w:rPr>
        <w:t xml:space="preserve">First Nations </w:t>
      </w:r>
      <w:r w:rsidR="0037742D">
        <w:rPr>
          <w:rStyle w:val="normaltextrun"/>
        </w:rPr>
        <w:t>population</w:t>
      </w:r>
    </w:p>
    <w:p w14:paraId="6D789658" w14:textId="20A23E08" w:rsidR="002E139C" w:rsidRPr="00CF0402" w:rsidRDefault="007353DD" w:rsidP="00F91BBE">
      <w:pPr>
        <w:pStyle w:val="CGCParaNumber"/>
        <w:ind w:left="567" w:hanging="567"/>
      </w:pPr>
      <w:r>
        <w:t>Apart from census year</w:t>
      </w:r>
      <w:r w:rsidR="00EC4A67">
        <w:t>s</w:t>
      </w:r>
      <w:r>
        <w:t xml:space="preserve">, the ABS </w:t>
      </w:r>
      <w:bookmarkStart w:id="4" w:name="_Int_JIO1jttG"/>
      <w:proofErr w:type="gramStart"/>
      <w:r>
        <w:t>does</w:t>
      </w:r>
      <w:bookmarkEnd w:id="4"/>
      <w:proofErr w:type="gramEnd"/>
      <w:r>
        <w:t xml:space="preserve"> not </w:t>
      </w:r>
      <w:r w:rsidR="00EC4A67">
        <w:t>estimate</w:t>
      </w:r>
      <w:r>
        <w:t xml:space="preserve"> population data </w:t>
      </w:r>
      <w:r w:rsidR="00E33EED">
        <w:t>f</w:t>
      </w:r>
      <w:r w:rsidR="00D371BC">
        <w:t>or First</w:t>
      </w:r>
      <w:r w:rsidR="007B0DDD">
        <w:t> </w:t>
      </w:r>
      <w:r w:rsidR="00D371BC">
        <w:t>Nations</w:t>
      </w:r>
      <w:r w:rsidR="006F4248">
        <w:t xml:space="preserve"> people. </w:t>
      </w:r>
      <w:r w:rsidR="00C03D1F">
        <w:t>Hence i</w:t>
      </w:r>
      <w:r w:rsidR="007F3B7A">
        <w:t>n the 2023 Update</w:t>
      </w:r>
      <w:r w:rsidR="00AE4CB0">
        <w:t>,</w:t>
      </w:r>
      <w:r w:rsidR="007F3B7A">
        <w:t xml:space="preserve"> </w:t>
      </w:r>
      <w:r w:rsidR="00784273">
        <w:t xml:space="preserve">the </w:t>
      </w:r>
      <w:r w:rsidR="008016F4">
        <w:t xml:space="preserve">Commission </w:t>
      </w:r>
      <w:r w:rsidR="00E10F92">
        <w:t xml:space="preserve">estimated the </w:t>
      </w:r>
      <w:r w:rsidR="009B75A7">
        <w:t xml:space="preserve">disaggregated </w:t>
      </w:r>
      <w:r w:rsidR="00922625">
        <w:t xml:space="preserve">First Nations population </w:t>
      </w:r>
      <w:r w:rsidR="00DC1771">
        <w:t>using the</w:t>
      </w:r>
      <w:r w:rsidR="00423376">
        <w:t xml:space="preserve"> 2016</w:t>
      </w:r>
      <w:r w:rsidR="002E504D">
        <w:t> Census</w:t>
      </w:r>
      <w:r w:rsidR="00423376">
        <w:t xml:space="preserve"> shares </w:t>
      </w:r>
      <w:r w:rsidR="00FE6096">
        <w:t xml:space="preserve">applied </w:t>
      </w:r>
      <w:r w:rsidR="00423376">
        <w:t xml:space="preserve">to </w:t>
      </w:r>
      <w:r w:rsidR="00F77915">
        <w:t xml:space="preserve">the </w:t>
      </w:r>
      <w:r w:rsidR="00423376">
        <w:t xml:space="preserve">total </w:t>
      </w:r>
      <w:r w:rsidR="000A7A3A">
        <w:t>disaggregated population.</w:t>
      </w:r>
      <w:r w:rsidR="00074ADD">
        <w:t xml:space="preserve"> </w:t>
      </w:r>
      <w:r w:rsidR="00A23267">
        <w:t>The</w:t>
      </w:r>
      <w:r w:rsidR="00DB73B6">
        <w:t xml:space="preserve"> </w:t>
      </w:r>
      <w:r w:rsidR="00051DAD">
        <w:t xml:space="preserve">resulting </w:t>
      </w:r>
      <w:r w:rsidR="000F596B">
        <w:t xml:space="preserve">First Nations </w:t>
      </w:r>
      <w:r w:rsidR="00AA0D18">
        <w:t xml:space="preserve">population </w:t>
      </w:r>
      <w:r w:rsidR="00943CFA">
        <w:t xml:space="preserve">estimates </w:t>
      </w:r>
      <w:r w:rsidR="00183C54">
        <w:t>(</w:t>
      </w:r>
      <w:r w:rsidR="003B774A">
        <w:t xml:space="preserve">by </w:t>
      </w:r>
      <w:r w:rsidR="003E7D4F">
        <w:t xml:space="preserve">state </w:t>
      </w:r>
      <w:r w:rsidR="00183C54" w:rsidRPr="00CF0402">
        <w:t xml:space="preserve">and age) </w:t>
      </w:r>
      <w:r w:rsidR="000114C5" w:rsidRPr="00CF0402">
        <w:t xml:space="preserve">were then </w:t>
      </w:r>
      <w:r w:rsidR="003B774A" w:rsidRPr="00CF0402">
        <w:t>scaled to match</w:t>
      </w:r>
      <w:r w:rsidR="00F225B5" w:rsidRPr="00CF0402">
        <w:t xml:space="preserve"> ABS projections</w:t>
      </w:r>
      <w:r w:rsidR="00752F94" w:rsidRPr="00CF0402">
        <w:t xml:space="preserve"> </w:t>
      </w:r>
      <w:r w:rsidR="004238CC" w:rsidRPr="00CF0402">
        <w:t>based on the 20</w:t>
      </w:r>
      <w:r w:rsidR="00555DAB" w:rsidRPr="00CF0402">
        <w:t>16</w:t>
      </w:r>
      <w:r w:rsidR="004238CC" w:rsidRPr="00CF0402">
        <w:t xml:space="preserve"> Census</w:t>
      </w:r>
      <w:r w:rsidR="008B2FC3" w:rsidRPr="00CF0402">
        <w:t>.</w:t>
      </w:r>
    </w:p>
    <w:p w14:paraId="371DA4F5" w14:textId="734D7FEF" w:rsidR="002E139C" w:rsidRPr="00CF0402" w:rsidRDefault="0068629A" w:rsidP="00F91BBE">
      <w:pPr>
        <w:pStyle w:val="CGCParaNumber"/>
        <w:ind w:left="567" w:hanging="567"/>
      </w:pPr>
      <w:r w:rsidRPr="00CF0402">
        <w:t>ABS s</w:t>
      </w:r>
      <w:r w:rsidR="00A644FC" w:rsidRPr="00CF0402">
        <w:t xml:space="preserve">ub-state </w:t>
      </w:r>
      <w:r w:rsidR="00B56120" w:rsidRPr="00CF0402">
        <w:t xml:space="preserve">First Nations population </w:t>
      </w:r>
      <w:r w:rsidR="00E03416" w:rsidRPr="00CF0402">
        <w:t>estimates</w:t>
      </w:r>
      <w:r w:rsidR="00F90FFF" w:rsidRPr="00CF0402">
        <w:t xml:space="preserve"> </w:t>
      </w:r>
      <w:r w:rsidR="003D69AF" w:rsidRPr="00CF0402">
        <w:t xml:space="preserve">for 2021 </w:t>
      </w:r>
      <w:r w:rsidR="00F9215C" w:rsidRPr="00CF0402">
        <w:t>will be</w:t>
      </w:r>
      <w:r w:rsidR="00A85951" w:rsidRPr="00CF0402">
        <w:t xml:space="preserve"> </w:t>
      </w:r>
      <w:r w:rsidR="003C262C" w:rsidRPr="00CF0402">
        <w:t>incorporated in</w:t>
      </w:r>
      <w:r w:rsidR="00891A3B" w:rsidRPr="00CF0402">
        <w:t>to</w:t>
      </w:r>
      <w:r w:rsidR="003C262C" w:rsidRPr="00CF0402">
        <w:t xml:space="preserve"> th</w:t>
      </w:r>
      <w:r w:rsidR="00D6598D" w:rsidRPr="00CF0402">
        <w:t>e 2024 Update</w:t>
      </w:r>
      <w:r w:rsidR="00113C2C" w:rsidRPr="00CF0402">
        <w:t>.</w:t>
      </w:r>
    </w:p>
    <w:p w14:paraId="36BCD512" w14:textId="480CB868" w:rsidR="00C44EA4" w:rsidRPr="00F91BBE" w:rsidRDefault="00B24BE9" w:rsidP="00F91BBE">
      <w:pPr>
        <w:pStyle w:val="CGCParaNumber"/>
        <w:ind w:left="567" w:hanging="567"/>
      </w:pPr>
      <w:r w:rsidRPr="00CF0402">
        <w:t xml:space="preserve">The </w:t>
      </w:r>
      <w:r w:rsidR="00BE7DF7" w:rsidRPr="00CF0402">
        <w:t>A</w:t>
      </w:r>
      <w:r w:rsidR="009D08A1" w:rsidRPr="00CF0402">
        <w:t>BS has</w:t>
      </w:r>
      <w:r w:rsidRPr="00CF0402">
        <w:t xml:space="preserve"> not yet </w:t>
      </w:r>
      <w:r w:rsidR="00480A29" w:rsidRPr="00CF0402">
        <w:t xml:space="preserve">updated </w:t>
      </w:r>
      <w:r w:rsidR="007D401D" w:rsidRPr="00CF0402">
        <w:t xml:space="preserve">the </w:t>
      </w:r>
      <w:r w:rsidRPr="00CF0402">
        <w:t xml:space="preserve">First Nations population </w:t>
      </w:r>
      <w:r w:rsidR="00DE171A" w:rsidRPr="00CF0402">
        <w:t xml:space="preserve">projections </w:t>
      </w:r>
      <w:r w:rsidRPr="00CF0402">
        <w:t>based on the 2021 Census.</w:t>
      </w:r>
      <w:r w:rsidR="009D05BE" w:rsidRPr="00CF0402">
        <w:t xml:space="preserve"> Th</w:t>
      </w:r>
      <w:r w:rsidR="007D2977" w:rsidRPr="00CF0402">
        <w:t>ese</w:t>
      </w:r>
      <w:r w:rsidR="00DE171A" w:rsidRPr="00CF0402">
        <w:t xml:space="preserve"> </w:t>
      </w:r>
      <w:r w:rsidR="009D05BE" w:rsidRPr="00CF0402">
        <w:t xml:space="preserve">will be available </w:t>
      </w:r>
      <w:r w:rsidR="007223DB" w:rsidRPr="00CF0402">
        <w:t>in 2024</w:t>
      </w:r>
      <w:r w:rsidR="0BC25BF1" w:rsidRPr="00CF0402">
        <w:t xml:space="preserve"> after finalisation of the update</w:t>
      </w:r>
      <w:r w:rsidR="007223DB" w:rsidRPr="00CF0402">
        <w:t>.</w:t>
      </w:r>
      <w:r w:rsidRPr="00CF0402">
        <w:t xml:space="preserve"> </w:t>
      </w:r>
      <w:r w:rsidR="007223DB" w:rsidRPr="00CF0402">
        <w:t xml:space="preserve">In </w:t>
      </w:r>
      <w:r w:rsidR="000261DA" w:rsidRPr="00CF0402">
        <w:t>the interim,</w:t>
      </w:r>
      <w:r w:rsidR="00081E73" w:rsidRPr="00CF0402">
        <w:t xml:space="preserve"> t</w:t>
      </w:r>
      <w:r w:rsidR="0055427F" w:rsidRPr="00CF0402">
        <w:t xml:space="preserve">he </w:t>
      </w:r>
      <w:r w:rsidR="0068629A" w:rsidRPr="00CF0402">
        <w:t xml:space="preserve">ABS </w:t>
      </w:r>
      <w:r w:rsidR="00AC305D" w:rsidRPr="00CF0402">
        <w:t>First Nation</w:t>
      </w:r>
      <w:r w:rsidR="00650D9C" w:rsidRPr="00CF0402">
        <w:t>s</w:t>
      </w:r>
      <w:r w:rsidR="00AC305D" w:rsidRPr="00CF0402">
        <w:t xml:space="preserve"> </w:t>
      </w:r>
      <w:r w:rsidR="00C8197A" w:rsidRPr="00CF0402">
        <w:t xml:space="preserve">population projections </w:t>
      </w:r>
      <w:r w:rsidR="005B2F64" w:rsidRPr="00CF0402">
        <w:t>will be</w:t>
      </w:r>
      <w:r w:rsidR="00607F39" w:rsidRPr="00CF0402">
        <w:t xml:space="preserve"> </w:t>
      </w:r>
      <w:r w:rsidR="000C76B0" w:rsidRPr="00CF0402">
        <w:t xml:space="preserve">adjusted </w:t>
      </w:r>
      <w:r w:rsidR="00436AD4" w:rsidRPr="00CF0402">
        <w:t xml:space="preserve">by the Commission </w:t>
      </w:r>
      <w:r w:rsidR="00AC305D" w:rsidRPr="00CF0402">
        <w:t>to</w:t>
      </w:r>
      <w:r w:rsidR="00511914" w:rsidRPr="00CF0402">
        <w:t xml:space="preserve"> </w:t>
      </w:r>
      <w:r w:rsidR="00A645B9">
        <w:t>be</w:t>
      </w:r>
      <w:r w:rsidR="00511914" w:rsidRPr="00CF0402">
        <w:t xml:space="preserve"> more current. </w:t>
      </w:r>
      <w:r w:rsidRPr="00CF0402">
        <w:t xml:space="preserve">In this update, First Nations population projections (by state and age) </w:t>
      </w:r>
      <w:r w:rsidR="004055A4" w:rsidRPr="00CF0402">
        <w:t>will be</w:t>
      </w:r>
      <w:r w:rsidR="00ED211C" w:rsidRPr="00CF0402">
        <w:t xml:space="preserve"> </w:t>
      </w:r>
      <w:r w:rsidR="00C43D68" w:rsidRPr="00CF0402">
        <w:t>adjusted</w:t>
      </w:r>
      <w:r w:rsidR="00C43D68">
        <w:t xml:space="preserve"> </w:t>
      </w:r>
      <w:r>
        <w:t>based on the ratio between actual and projected First</w:t>
      </w:r>
      <w:r w:rsidR="00462BBA">
        <w:t> </w:t>
      </w:r>
      <w:r>
        <w:t>Nations</w:t>
      </w:r>
      <w:r w:rsidR="001A55CA">
        <w:t xml:space="preserve"> </w:t>
      </w:r>
      <w:r>
        <w:t>population</w:t>
      </w:r>
      <w:r w:rsidR="00361FE2">
        <w:t>s</w:t>
      </w:r>
      <w:r>
        <w:t xml:space="preserve"> for 2021.</w:t>
      </w:r>
      <w:r w:rsidR="009B021B">
        <w:t xml:space="preserve"> </w:t>
      </w:r>
      <w:r>
        <w:t>This follows the approach used in the 2018</w:t>
      </w:r>
      <w:r w:rsidR="00AF2F53">
        <w:t> </w:t>
      </w:r>
      <w:r>
        <w:t>Update</w:t>
      </w:r>
      <w:r w:rsidR="000679A3">
        <w:t>,</w:t>
      </w:r>
      <w:r w:rsidR="3ADF4C15">
        <w:t xml:space="preserve"> before the projections based on the 2016 Census were available</w:t>
      </w:r>
      <w:r>
        <w:t>.</w:t>
      </w:r>
    </w:p>
    <w:p w14:paraId="5D1BD64D" w14:textId="355DCACA" w:rsidR="002E139C" w:rsidRPr="00751185" w:rsidRDefault="00795515" w:rsidP="00751185">
      <w:pPr>
        <w:pStyle w:val="Heading3"/>
        <w:rPr>
          <w:rStyle w:val="normaltextrun"/>
          <w:sz w:val="20"/>
          <w:szCs w:val="20"/>
        </w:rPr>
      </w:pPr>
      <w:r w:rsidRPr="632C6B10">
        <w:rPr>
          <w:rStyle w:val="normaltextrun"/>
        </w:rPr>
        <w:t>Remoteness</w:t>
      </w:r>
      <w:r w:rsidR="61A21CF3" w:rsidRPr="632C6B10">
        <w:rPr>
          <w:rStyle w:val="normaltextrun"/>
        </w:rPr>
        <w:t xml:space="preserve"> and socio</w:t>
      </w:r>
      <w:r w:rsidR="00523064">
        <w:rPr>
          <w:rStyle w:val="normaltextrun"/>
        </w:rPr>
        <w:t>-</w:t>
      </w:r>
      <w:r w:rsidR="61A21CF3" w:rsidRPr="632C6B10">
        <w:rPr>
          <w:rStyle w:val="normaltextrun"/>
        </w:rPr>
        <w:t>economic status</w:t>
      </w:r>
    </w:p>
    <w:p w14:paraId="09ED5179" w14:textId="232438EE" w:rsidR="00440788" w:rsidRPr="00155AE4" w:rsidRDefault="009630AC" w:rsidP="00440788">
      <w:pPr>
        <w:pStyle w:val="CGCParaNumber"/>
        <w:ind w:left="567" w:hanging="567"/>
      </w:pPr>
      <w:r>
        <w:t xml:space="preserve">The Commission uses remoteness as a key aspect of </w:t>
      </w:r>
      <w:r w:rsidR="007B3B73">
        <w:t xml:space="preserve">some </w:t>
      </w:r>
      <w:r>
        <w:t xml:space="preserve">expense category assessments, affecting both the use of services, and the cost of delivering services. </w:t>
      </w:r>
    </w:p>
    <w:p w14:paraId="3E7F28C8" w14:textId="635BB0D5" w:rsidR="00D63B4D" w:rsidRPr="00155AE4" w:rsidRDefault="00973AD7" w:rsidP="00742DEE">
      <w:pPr>
        <w:pStyle w:val="CGCParaNumber"/>
        <w:ind w:left="567" w:hanging="567"/>
      </w:pPr>
      <w:r>
        <w:t xml:space="preserve">The </w:t>
      </w:r>
      <w:r w:rsidR="00B83EAE">
        <w:t xml:space="preserve">ABS </w:t>
      </w:r>
      <w:r>
        <w:t xml:space="preserve">remoteness </w:t>
      </w:r>
      <w:r w:rsidR="00CA6883">
        <w:t>classification</w:t>
      </w:r>
      <w:r w:rsidR="00020291">
        <w:t xml:space="preserve"> </w:t>
      </w:r>
      <w:r>
        <w:t xml:space="preserve">used by the Commission </w:t>
      </w:r>
      <w:r w:rsidR="00306AAF">
        <w:t>divide</w:t>
      </w:r>
      <w:r w:rsidR="00CA6883">
        <w:t>s</w:t>
      </w:r>
      <w:r w:rsidR="00306AAF">
        <w:t xml:space="preserve"> Australia into </w:t>
      </w:r>
      <w:r w:rsidR="0069369D">
        <w:t>5</w:t>
      </w:r>
      <w:r w:rsidR="006D4244">
        <w:t> </w:t>
      </w:r>
      <w:r w:rsidR="00306AAF">
        <w:t>classes of remoteness</w:t>
      </w:r>
      <w:r w:rsidR="00B26755">
        <w:t xml:space="preserve"> (major cities, inner regional, outer regional, </w:t>
      </w:r>
      <w:proofErr w:type="gramStart"/>
      <w:r w:rsidR="00B26755">
        <w:t>remote</w:t>
      </w:r>
      <w:proofErr w:type="gramEnd"/>
      <w:r w:rsidR="00B26755">
        <w:t xml:space="preserve"> and very remote)</w:t>
      </w:r>
      <w:r w:rsidR="00DA11E1">
        <w:t xml:space="preserve">, </w:t>
      </w:r>
      <w:r w:rsidR="00957144">
        <w:t xml:space="preserve">based on </w:t>
      </w:r>
      <w:r w:rsidR="00D234AB">
        <w:t>distance to various</w:t>
      </w:r>
      <w:r w:rsidR="00CC2FEE">
        <w:t xml:space="preserve"> </w:t>
      </w:r>
      <w:r w:rsidR="00D234AB">
        <w:t>sized population centres.</w:t>
      </w:r>
      <w:r w:rsidR="00306AAF">
        <w:t xml:space="preserve"> </w:t>
      </w:r>
      <w:r w:rsidR="00D63B4D">
        <w:t>The remoteness of certain areas has changed after the 2021 Census, primarily because some urban centres</w:t>
      </w:r>
      <w:r w:rsidR="004919E0">
        <w:t>, along with their surrounding areas,</w:t>
      </w:r>
      <w:r w:rsidR="00D63B4D">
        <w:t xml:space="preserve"> have grown</w:t>
      </w:r>
      <w:r w:rsidR="004919E0">
        <w:t xml:space="preserve"> and become more accessible</w:t>
      </w:r>
      <w:r w:rsidR="00D63B4D">
        <w:t>.</w:t>
      </w:r>
    </w:p>
    <w:p w14:paraId="054F19F0" w14:textId="7FDF5B34" w:rsidR="00160B8D" w:rsidRPr="00155AE4" w:rsidRDefault="00A718F7" w:rsidP="003F55DE">
      <w:pPr>
        <w:pStyle w:val="CGCParaNumber"/>
        <w:keepNext/>
        <w:keepLines/>
        <w:ind w:left="567" w:hanging="567"/>
      </w:pPr>
      <w:r>
        <w:lastRenderedPageBreak/>
        <w:t xml:space="preserve">The Commission relies on </w:t>
      </w:r>
      <w:r w:rsidR="008B54C0">
        <w:t xml:space="preserve">agency </w:t>
      </w:r>
      <w:r>
        <w:t xml:space="preserve">data </w:t>
      </w:r>
      <w:r w:rsidR="00A41511">
        <w:t xml:space="preserve">for states </w:t>
      </w:r>
      <w:r>
        <w:t xml:space="preserve">classified by remoteness </w:t>
      </w:r>
      <w:r w:rsidR="005433B7">
        <w:t>for</w:t>
      </w:r>
      <w:r w:rsidR="005365C7">
        <w:t xml:space="preserve"> th</w:t>
      </w:r>
      <w:r w:rsidR="00E154B6">
        <w:t>e</w:t>
      </w:r>
      <w:r w:rsidR="00160B8D">
        <w:t xml:space="preserve"> following assessments:</w:t>
      </w:r>
    </w:p>
    <w:p w14:paraId="46895786" w14:textId="77777777" w:rsidR="00160B8D" w:rsidRDefault="00935A5E" w:rsidP="003F55DE">
      <w:pPr>
        <w:pStyle w:val="CGCBullet1"/>
        <w:keepNext/>
        <w:keepLines/>
        <w:numPr>
          <w:ilvl w:val="0"/>
          <w:numId w:val="34"/>
        </w:numPr>
        <w:rPr>
          <w:rStyle w:val="normaltextrun"/>
          <w:rFonts w:eastAsiaTheme="minorHAnsi" w:cstheme="minorBidi"/>
          <w:lang w:eastAsia="en-US"/>
        </w:rPr>
      </w:pPr>
      <w:r>
        <w:rPr>
          <w:rStyle w:val="normaltextrun"/>
        </w:rPr>
        <w:t>s</w:t>
      </w:r>
      <w:r w:rsidR="00493781" w:rsidRPr="00493781">
        <w:rPr>
          <w:rStyle w:val="normaltextrun"/>
        </w:rPr>
        <w:t>chools</w:t>
      </w:r>
    </w:p>
    <w:p w14:paraId="1C911308" w14:textId="1BDB1F2F" w:rsidR="00160B8D" w:rsidRDefault="00935A5E" w:rsidP="003F55DE">
      <w:pPr>
        <w:pStyle w:val="CGCBullet1"/>
        <w:keepNext/>
        <w:keepLines/>
        <w:numPr>
          <w:ilvl w:val="0"/>
          <w:numId w:val="34"/>
        </w:numPr>
        <w:rPr>
          <w:rStyle w:val="normaltextrun"/>
        </w:rPr>
      </w:pPr>
      <w:r>
        <w:rPr>
          <w:rStyle w:val="normaltextrun"/>
        </w:rPr>
        <w:t>p</w:t>
      </w:r>
      <w:r w:rsidR="00493781" w:rsidRPr="00493781">
        <w:rPr>
          <w:rStyle w:val="normaltextrun"/>
        </w:rPr>
        <w:t>ost-secondary</w:t>
      </w:r>
      <w:r w:rsidR="005D7FF5">
        <w:rPr>
          <w:rStyle w:val="normaltextrun"/>
        </w:rPr>
        <w:t xml:space="preserve"> education</w:t>
      </w:r>
    </w:p>
    <w:p w14:paraId="1B00BAB7" w14:textId="3025D12F" w:rsidR="00160B8D" w:rsidRDefault="00935A5E" w:rsidP="003F55DE">
      <w:pPr>
        <w:pStyle w:val="CGCBullet1"/>
        <w:keepNext/>
        <w:keepLines/>
        <w:numPr>
          <w:ilvl w:val="0"/>
          <w:numId w:val="34"/>
        </w:numPr>
        <w:rPr>
          <w:rStyle w:val="normaltextrun"/>
        </w:rPr>
      </w:pPr>
      <w:r>
        <w:rPr>
          <w:rStyle w:val="normaltextrun"/>
        </w:rPr>
        <w:t>h</w:t>
      </w:r>
      <w:r w:rsidR="00493781" w:rsidRPr="00493781">
        <w:rPr>
          <w:rStyle w:val="normaltextrun"/>
        </w:rPr>
        <w:t>ealth</w:t>
      </w:r>
    </w:p>
    <w:p w14:paraId="789EE570" w14:textId="10B3D350" w:rsidR="0084780A" w:rsidRDefault="0084780A" w:rsidP="003F55DE">
      <w:pPr>
        <w:pStyle w:val="CGCBullet1"/>
        <w:keepNext/>
        <w:keepLines/>
        <w:numPr>
          <w:ilvl w:val="0"/>
          <w:numId w:val="34"/>
        </w:numPr>
        <w:rPr>
          <w:rStyle w:val="normaltextrun"/>
        </w:rPr>
      </w:pPr>
      <w:r>
        <w:rPr>
          <w:rStyle w:val="normaltextrun"/>
        </w:rPr>
        <w:t>housing</w:t>
      </w:r>
    </w:p>
    <w:p w14:paraId="74F6DCD3" w14:textId="6F420C30" w:rsidR="00160B8D" w:rsidRDefault="00935A5E" w:rsidP="003F55DE">
      <w:pPr>
        <w:pStyle w:val="CGCBullet1"/>
        <w:keepNext/>
        <w:keepLines/>
        <w:numPr>
          <w:ilvl w:val="0"/>
          <w:numId w:val="34"/>
        </w:numPr>
        <w:rPr>
          <w:rStyle w:val="normaltextrun"/>
        </w:rPr>
      </w:pPr>
      <w:r>
        <w:rPr>
          <w:rStyle w:val="normaltextrun"/>
        </w:rPr>
        <w:t>s</w:t>
      </w:r>
      <w:r w:rsidR="00493781" w:rsidRPr="00493781">
        <w:rPr>
          <w:rStyle w:val="normaltextrun"/>
        </w:rPr>
        <w:t>ervices to communities</w:t>
      </w:r>
    </w:p>
    <w:p w14:paraId="6CE0603A" w14:textId="7C7AAA75" w:rsidR="00160B8D" w:rsidRDefault="00935A5E" w:rsidP="003F55DE">
      <w:pPr>
        <w:pStyle w:val="CGCBullet1"/>
        <w:keepNext/>
        <w:keepLines/>
        <w:numPr>
          <w:ilvl w:val="0"/>
          <w:numId w:val="34"/>
        </w:numPr>
        <w:rPr>
          <w:rStyle w:val="normaltextrun"/>
        </w:rPr>
      </w:pPr>
      <w:r>
        <w:rPr>
          <w:rStyle w:val="normaltextrun"/>
        </w:rPr>
        <w:t>w</w:t>
      </w:r>
      <w:r w:rsidR="00493781" w:rsidRPr="00493781">
        <w:rPr>
          <w:rStyle w:val="normaltextrun"/>
        </w:rPr>
        <w:t>elfare</w:t>
      </w:r>
    </w:p>
    <w:p w14:paraId="73CA30E4" w14:textId="2CBBE4BD" w:rsidR="0013078A" w:rsidRDefault="00935A5E" w:rsidP="003F55DE">
      <w:pPr>
        <w:pStyle w:val="CGCBullet1"/>
        <w:keepNext/>
        <w:keepLines/>
        <w:numPr>
          <w:ilvl w:val="0"/>
          <w:numId w:val="34"/>
        </w:numPr>
        <w:rPr>
          <w:rStyle w:val="normaltextrun"/>
        </w:rPr>
      </w:pPr>
      <w:r>
        <w:rPr>
          <w:rStyle w:val="normaltextrun"/>
        </w:rPr>
        <w:t>j</w:t>
      </w:r>
      <w:r w:rsidR="00493781" w:rsidRPr="00493781">
        <w:rPr>
          <w:rStyle w:val="normaltextrun"/>
        </w:rPr>
        <w:t>ustice</w:t>
      </w:r>
    </w:p>
    <w:p w14:paraId="36049ED2" w14:textId="1675205B" w:rsidR="00160B8D" w:rsidRDefault="00A536A4" w:rsidP="003F55DE">
      <w:pPr>
        <w:pStyle w:val="CGCBullet1"/>
        <w:keepNext/>
        <w:keepLines/>
        <w:numPr>
          <w:ilvl w:val="0"/>
          <w:numId w:val="34"/>
        </w:numPr>
        <w:rPr>
          <w:rStyle w:val="normaltextrun"/>
        </w:rPr>
      </w:pPr>
      <w:r>
        <w:rPr>
          <w:rStyle w:val="normaltextrun"/>
        </w:rPr>
        <w:t>geography</w:t>
      </w:r>
      <w:r w:rsidR="00871D51" w:rsidRPr="00D648D5">
        <w:rPr>
          <w:rStyle w:val="normaltextrun"/>
        </w:rPr>
        <w:t>.</w:t>
      </w:r>
    </w:p>
    <w:p w14:paraId="5CE5B67F" w14:textId="08726874" w:rsidR="009B18A2" w:rsidRPr="00BC1337" w:rsidRDefault="00927D85">
      <w:pPr>
        <w:pStyle w:val="CGCParaNumber"/>
        <w:ind w:left="567" w:hanging="567"/>
      </w:pPr>
      <w:r>
        <w:t xml:space="preserve">For </w:t>
      </w:r>
      <w:r w:rsidR="00103DB3">
        <w:t>the 2024 U</w:t>
      </w:r>
      <w:r>
        <w:t>pdate</w:t>
      </w:r>
      <w:r w:rsidR="00356435">
        <w:t>,</w:t>
      </w:r>
      <w:r>
        <w:t xml:space="preserve"> </w:t>
      </w:r>
      <w:r w:rsidR="002F563D">
        <w:t xml:space="preserve">the </w:t>
      </w:r>
      <w:r w:rsidR="00D24C99">
        <w:t xml:space="preserve">remoteness </w:t>
      </w:r>
      <w:r w:rsidR="002F563D">
        <w:t>classification</w:t>
      </w:r>
      <w:r w:rsidR="00D24C99">
        <w:t>s</w:t>
      </w:r>
      <w:r w:rsidR="002F563D">
        <w:t xml:space="preserve"> </w:t>
      </w:r>
      <w:r w:rsidR="00D36902">
        <w:t>have been</w:t>
      </w:r>
      <w:r w:rsidR="0014193F">
        <w:t xml:space="preserve"> </w:t>
      </w:r>
      <w:r w:rsidR="00E01DEC">
        <w:t xml:space="preserve">updated to </w:t>
      </w:r>
      <w:r w:rsidR="00873D44">
        <w:t xml:space="preserve">account </w:t>
      </w:r>
      <w:r w:rsidR="00367955">
        <w:t>for</w:t>
      </w:r>
      <w:r w:rsidR="00873D44">
        <w:t xml:space="preserve"> changes </w:t>
      </w:r>
      <w:r w:rsidR="082124C9">
        <w:t>in</w:t>
      </w:r>
      <w:r w:rsidR="00873D44">
        <w:t xml:space="preserve"> the </w:t>
      </w:r>
      <w:r w:rsidR="00777788">
        <w:t>2021</w:t>
      </w:r>
      <w:r w:rsidR="00873D44">
        <w:t> Census</w:t>
      </w:r>
      <w:r w:rsidR="00050915">
        <w:t>.</w:t>
      </w:r>
      <w:r w:rsidR="005864F7">
        <w:t xml:space="preserve"> </w:t>
      </w:r>
    </w:p>
    <w:p w14:paraId="01CE7D31" w14:textId="2371EB19" w:rsidR="008F5772" w:rsidRPr="00BC1337" w:rsidRDefault="00E55E8C">
      <w:pPr>
        <w:pStyle w:val="CGCParaNumber"/>
        <w:ind w:left="567" w:hanging="567"/>
      </w:pPr>
      <w:r>
        <w:t>S</w:t>
      </w:r>
      <w:r w:rsidR="00490C52">
        <w:t xml:space="preserve">ocio-economic status </w:t>
      </w:r>
      <w:r w:rsidR="00171838">
        <w:t xml:space="preserve">is </w:t>
      </w:r>
      <w:r w:rsidR="005A2428">
        <w:t xml:space="preserve">another </w:t>
      </w:r>
      <w:r w:rsidR="00490C52">
        <w:t xml:space="preserve">element of </w:t>
      </w:r>
      <w:r w:rsidR="00236188">
        <w:t xml:space="preserve">the </w:t>
      </w:r>
      <w:r w:rsidR="00DE476D">
        <w:t xml:space="preserve">socio-demographic </w:t>
      </w:r>
      <w:r w:rsidR="00560644">
        <w:t xml:space="preserve">composition </w:t>
      </w:r>
      <w:r w:rsidR="00DE476D">
        <w:t xml:space="preserve">assessment </w:t>
      </w:r>
      <w:r w:rsidR="00470ED0">
        <w:t xml:space="preserve">used </w:t>
      </w:r>
      <w:r w:rsidR="00DE476D">
        <w:t>in many expense assessments.</w:t>
      </w:r>
      <w:r w:rsidR="00BA5FE8">
        <w:t xml:space="preserve"> </w:t>
      </w:r>
      <w:r w:rsidR="00142368">
        <w:t xml:space="preserve">The </w:t>
      </w:r>
      <w:r w:rsidR="009723A3">
        <w:t>C</w:t>
      </w:r>
      <w:r w:rsidR="00142368">
        <w:t xml:space="preserve">ommission uses </w:t>
      </w:r>
      <w:r w:rsidR="00525217">
        <w:t xml:space="preserve">3 </w:t>
      </w:r>
      <w:r w:rsidR="006B71E8">
        <w:t>measures of s</w:t>
      </w:r>
      <w:r w:rsidR="00142368">
        <w:t>ocio</w:t>
      </w:r>
      <w:r w:rsidR="006B71E8">
        <w:t>-</w:t>
      </w:r>
      <w:r w:rsidR="00142368">
        <w:t>economic status</w:t>
      </w:r>
      <w:r w:rsidR="008F5772">
        <w:t>:</w:t>
      </w:r>
    </w:p>
    <w:p w14:paraId="317429EF" w14:textId="563EF946" w:rsidR="003D0AB2" w:rsidRPr="00AB7BB2" w:rsidRDefault="000B0442" w:rsidP="00AB7BB2">
      <w:pPr>
        <w:pStyle w:val="CGCBullet1"/>
        <w:numPr>
          <w:ilvl w:val="0"/>
          <w:numId w:val="34"/>
        </w:numPr>
        <w:rPr>
          <w:rStyle w:val="normaltextrun"/>
        </w:rPr>
      </w:pPr>
      <w:r w:rsidRPr="00AB7BB2">
        <w:rPr>
          <w:rStyle w:val="normaltextrun"/>
        </w:rPr>
        <w:t>Indigenous Relative Socio</w:t>
      </w:r>
      <w:r w:rsidR="67ADEE83" w:rsidRPr="00AB7BB2">
        <w:rPr>
          <w:rStyle w:val="normaltextrun"/>
        </w:rPr>
        <w:t>-</w:t>
      </w:r>
      <w:r w:rsidRPr="00AB7BB2">
        <w:rPr>
          <w:rStyle w:val="normaltextrun"/>
        </w:rPr>
        <w:t>Economic</w:t>
      </w:r>
      <w:r w:rsidR="00791BD4">
        <w:rPr>
          <w:rStyle w:val="normaltextrun"/>
        </w:rPr>
        <w:t xml:space="preserve"> </w:t>
      </w:r>
      <w:r w:rsidRPr="00AB7BB2">
        <w:rPr>
          <w:rStyle w:val="normaltextrun"/>
        </w:rPr>
        <w:t>Outcomes index (IRSEO)</w:t>
      </w:r>
      <w:r w:rsidR="003B6B79">
        <w:rPr>
          <w:rStyle w:val="normaltextrun"/>
        </w:rPr>
        <w:t xml:space="preserve"> for</w:t>
      </w:r>
      <w:r w:rsidR="00142641">
        <w:rPr>
          <w:rStyle w:val="normaltextrun"/>
        </w:rPr>
        <w:t xml:space="preserve"> the</w:t>
      </w:r>
      <w:r w:rsidR="003B6B79">
        <w:rPr>
          <w:rStyle w:val="normaltextrun"/>
        </w:rPr>
        <w:t xml:space="preserve"> First</w:t>
      </w:r>
      <w:r w:rsidR="00E92832">
        <w:rPr>
          <w:rStyle w:val="normaltextrun"/>
        </w:rPr>
        <w:t> </w:t>
      </w:r>
      <w:r w:rsidR="00650D9C" w:rsidRPr="1C8CF150">
        <w:rPr>
          <w:rStyle w:val="normaltextrun"/>
        </w:rPr>
        <w:t>N</w:t>
      </w:r>
      <w:r w:rsidR="003B6B79" w:rsidRPr="1C8CF150">
        <w:rPr>
          <w:rStyle w:val="normaltextrun"/>
        </w:rPr>
        <w:t>ations</w:t>
      </w:r>
      <w:r w:rsidR="003B6B79">
        <w:rPr>
          <w:rStyle w:val="normaltextrun"/>
        </w:rPr>
        <w:t xml:space="preserve"> </w:t>
      </w:r>
      <w:r w:rsidR="00142641">
        <w:rPr>
          <w:rStyle w:val="normaltextrun"/>
        </w:rPr>
        <w:t>population</w:t>
      </w:r>
      <w:r w:rsidR="00C61EF3" w:rsidRPr="00AF45D3">
        <w:rPr>
          <w:rStyle w:val="FootnoteReference"/>
          <w:sz w:val="24"/>
          <w:szCs w:val="24"/>
          <w:vertAlign w:val="superscript"/>
        </w:rPr>
        <w:footnoteReference w:id="2"/>
      </w:r>
    </w:p>
    <w:p w14:paraId="161A97DC" w14:textId="72E19DDF" w:rsidR="00AB7BB2" w:rsidRDefault="00AB7BB2" w:rsidP="00AB7BB2">
      <w:pPr>
        <w:pStyle w:val="CGCBullet1"/>
        <w:numPr>
          <w:ilvl w:val="0"/>
          <w:numId w:val="34"/>
        </w:numPr>
        <w:rPr>
          <w:rStyle w:val="normaltextrun"/>
        </w:rPr>
      </w:pPr>
      <w:r w:rsidRPr="00AB7BB2">
        <w:rPr>
          <w:rStyle w:val="normaltextrun"/>
        </w:rPr>
        <w:t>Non</w:t>
      </w:r>
      <w:r w:rsidR="13DBD787" w:rsidRPr="00AB7BB2">
        <w:rPr>
          <w:rStyle w:val="normaltextrun"/>
        </w:rPr>
        <w:t>-</w:t>
      </w:r>
      <w:r w:rsidRPr="00AB7BB2">
        <w:rPr>
          <w:rStyle w:val="normaltextrun"/>
        </w:rPr>
        <w:t>Indigenous Socio-Economic Index for Areas (NISEIFA)</w:t>
      </w:r>
      <w:r w:rsidR="00142641">
        <w:rPr>
          <w:rStyle w:val="normaltextrun"/>
        </w:rPr>
        <w:t xml:space="preserve"> for </w:t>
      </w:r>
      <w:r w:rsidR="009B2CD8">
        <w:rPr>
          <w:rStyle w:val="normaltextrun"/>
        </w:rPr>
        <w:t>the non</w:t>
      </w:r>
      <w:r w:rsidR="00D17F2D">
        <w:rPr>
          <w:rStyle w:val="normaltextrun"/>
        </w:rPr>
        <w:noBreakHyphen/>
      </w:r>
      <w:r w:rsidR="004C5828">
        <w:rPr>
          <w:rStyle w:val="normaltextrun"/>
        </w:rPr>
        <w:t>I</w:t>
      </w:r>
      <w:r w:rsidR="009B2CD8">
        <w:rPr>
          <w:rStyle w:val="normaltextrun"/>
        </w:rPr>
        <w:t>ndigenous population</w:t>
      </w:r>
      <w:r w:rsidR="00BC3880" w:rsidRPr="00AF45D3">
        <w:rPr>
          <w:rStyle w:val="FootnoteReference"/>
          <w:sz w:val="24"/>
          <w:szCs w:val="24"/>
          <w:vertAlign w:val="superscript"/>
        </w:rPr>
        <w:footnoteReference w:id="3"/>
      </w:r>
    </w:p>
    <w:p w14:paraId="607874F7" w14:textId="5CDC5632" w:rsidR="009B7AB7" w:rsidRPr="00AB7BB2" w:rsidRDefault="009B7AB7" w:rsidP="00AB7BB2">
      <w:pPr>
        <w:pStyle w:val="CGCBullet1"/>
        <w:numPr>
          <w:ilvl w:val="0"/>
          <w:numId w:val="34"/>
        </w:numPr>
        <w:rPr>
          <w:rStyle w:val="normaltextrun"/>
        </w:rPr>
      </w:pPr>
      <w:r w:rsidRPr="45EFEF23">
        <w:rPr>
          <w:rStyle w:val="normaltextrun"/>
          <w:color w:val="000000" w:themeColor="text1"/>
        </w:rPr>
        <w:t>Socio-Economic Indexes for Areas (SEIFA) Index of Relative Socio-economic Disadvantage a</w:t>
      </w:r>
      <w:r w:rsidR="008A6A85" w:rsidRPr="45EFEF23">
        <w:rPr>
          <w:rStyle w:val="normaltextrun"/>
          <w:color w:val="000000" w:themeColor="text1"/>
        </w:rPr>
        <w:t xml:space="preserve">s a </w:t>
      </w:r>
      <w:r w:rsidRPr="45EFEF23">
        <w:rPr>
          <w:rStyle w:val="normaltextrun"/>
          <w:color w:val="000000" w:themeColor="text1"/>
        </w:rPr>
        <w:t>gener</w:t>
      </w:r>
      <w:r w:rsidR="008A6A85" w:rsidRPr="45EFEF23">
        <w:rPr>
          <w:rStyle w:val="normaltextrun"/>
          <w:color w:val="000000" w:themeColor="text1"/>
        </w:rPr>
        <w:t>al</w:t>
      </w:r>
      <w:r w:rsidRPr="45EFEF23">
        <w:rPr>
          <w:rStyle w:val="normaltextrun"/>
          <w:color w:val="000000" w:themeColor="text1"/>
        </w:rPr>
        <w:t xml:space="preserve"> measure for the total population</w:t>
      </w:r>
      <w:r w:rsidR="00242BB1" w:rsidRPr="45EFEF23">
        <w:rPr>
          <w:rStyle w:val="normaltextrun"/>
          <w:color w:val="000000" w:themeColor="text1"/>
        </w:rPr>
        <w:t>.</w:t>
      </w:r>
      <w:r w:rsidR="008A6A85" w:rsidRPr="00AF45D3">
        <w:rPr>
          <w:rStyle w:val="FootnoteReference"/>
          <w:color w:val="000000"/>
          <w:sz w:val="24"/>
          <w:szCs w:val="24"/>
          <w:shd w:val="clear" w:color="auto" w:fill="FFFFFF"/>
          <w:vertAlign w:val="superscript"/>
        </w:rPr>
        <w:footnoteReference w:id="4"/>
      </w:r>
    </w:p>
    <w:p w14:paraId="6176598D" w14:textId="0ED02249" w:rsidR="00061971" w:rsidRDefault="00972574" w:rsidP="00F63108">
      <w:pPr>
        <w:pStyle w:val="CGCParaNumber"/>
        <w:ind w:left="567" w:hanging="567"/>
      </w:pPr>
      <w:r>
        <w:t xml:space="preserve">The Commission relies on </w:t>
      </w:r>
      <w:r w:rsidR="00653954">
        <w:t xml:space="preserve">agency </w:t>
      </w:r>
      <w:r>
        <w:t>data classified by IRSEO</w:t>
      </w:r>
      <w:r w:rsidR="00DD2C17">
        <w:t>/</w:t>
      </w:r>
      <w:r>
        <w:t>NISEIFA</w:t>
      </w:r>
      <w:r w:rsidR="00DD2C17">
        <w:t xml:space="preserve"> </w:t>
      </w:r>
      <w:r w:rsidR="00343299">
        <w:t xml:space="preserve">and </w:t>
      </w:r>
      <w:r w:rsidR="00DD2C17">
        <w:t>SEIFA</w:t>
      </w:r>
      <w:r w:rsidR="00A555E5">
        <w:t xml:space="preserve"> for the </w:t>
      </w:r>
      <w:r w:rsidR="00954FD5">
        <w:t>p</w:t>
      </w:r>
      <w:r w:rsidR="00B217CF">
        <w:t>ost-secondary</w:t>
      </w:r>
      <w:r w:rsidR="0008046D">
        <w:t xml:space="preserve"> education</w:t>
      </w:r>
      <w:r w:rsidR="00B217CF">
        <w:t xml:space="preserve">, </w:t>
      </w:r>
      <w:r w:rsidR="00954FD5">
        <w:t>h</w:t>
      </w:r>
      <w:r w:rsidR="00B217CF">
        <w:t xml:space="preserve">ealth, </w:t>
      </w:r>
      <w:proofErr w:type="gramStart"/>
      <w:r w:rsidR="00954FD5">
        <w:t>w</w:t>
      </w:r>
      <w:r w:rsidR="00B217CF">
        <w:t>elfare</w:t>
      </w:r>
      <w:proofErr w:type="gramEnd"/>
      <w:r w:rsidR="00B217CF">
        <w:t xml:space="preserve"> and </w:t>
      </w:r>
      <w:r w:rsidR="006C4044">
        <w:t>j</w:t>
      </w:r>
      <w:r w:rsidR="00B217CF">
        <w:t>ustice assessments</w:t>
      </w:r>
      <w:r w:rsidR="00AA7681">
        <w:t>.</w:t>
      </w:r>
    </w:p>
    <w:p w14:paraId="5885EA36" w14:textId="4322814E" w:rsidR="002E22BC" w:rsidRDefault="00C1447F" w:rsidP="00061971">
      <w:pPr>
        <w:pStyle w:val="CGCBullet1"/>
        <w:numPr>
          <w:ilvl w:val="0"/>
          <w:numId w:val="34"/>
        </w:numPr>
        <w:rPr>
          <w:rStyle w:val="normaltextrun"/>
        </w:rPr>
      </w:pPr>
      <w:r w:rsidRPr="00A6206B">
        <w:rPr>
          <w:rStyle w:val="normaltextrun"/>
        </w:rPr>
        <w:t>In the 2024 Update, t</w:t>
      </w:r>
      <w:r w:rsidR="00F519BB" w:rsidRPr="00A6206B">
        <w:rPr>
          <w:rStyle w:val="normaltextrun"/>
        </w:rPr>
        <w:t xml:space="preserve">he </w:t>
      </w:r>
      <w:r w:rsidR="00340B66" w:rsidRPr="00A6206B">
        <w:rPr>
          <w:rStyle w:val="normaltextrun"/>
        </w:rPr>
        <w:t xml:space="preserve">measures of </w:t>
      </w:r>
      <w:r w:rsidR="00F63108" w:rsidRPr="00A6206B">
        <w:rPr>
          <w:rStyle w:val="normaltextrun"/>
        </w:rPr>
        <w:t>IRSEO</w:t>
      </w:r>
      <w:r w:rsidR="001E51B5">
        <w:rPr>
          <w:rStyle w:val="normaltextrun"/>
        </w:rPr>
        <w:t xml:space="preserve">, </w:t>
      </w:r>
      <w:r w:rsidR="00F63108" w:rsidRPr="00134CBF">
        <w:rPr>
          <w:rStyle w:val="normaltextrun"/>
        </w:rPr>
        <w:t xml:space="preserve">NISEIFA </w:t>
      </w:r>
      <w:r w:rsidR="001E51B5">
        <w:rPr>
          <w:rStyle w:val="normaltextrun"/>
        </w:rPr>
        <w:t xml:space="preserve">and SEIFA </w:t>
      </w:r>
      <w:r w:rsidR="000E145D" w:rsidRPr="00134CBF">
        <w:rPr>
          <w:rStyle w:val="normaltextrun"/>
        </w:rPr>
        <w:t xml:space="preserve">used to classify </w:t>
      </w:r>
      <w:r w:rsidR="00F73BC8" w:rsidRPr="00134CBF">
        <w:rPr>
          <w:rStyle w:val="normaltextrun"/>
        </w:rPr>
        <w:t xml:space="preserve">these </w:t>
      </w:r>
      <w:r w:rsidR="00F93408" w:rsidRPr="00134CBF">
        <w:rPr>
          <w:rStyle w:val="normaltextrun"/>
        </w:rPr>
        <w:t xml:space="preserve">data </w:t>
      </w:r>
      <w:r w:rsidR="00D35852">
        <w:rPr>
          <w:rStyle w:val="normaltextrun"/>
        </w:rPr>
        <w:t>have been</w:t>
      </w:r>
      <w:r w:rsidR="00356D76" w:rsidRPr="00A6206B">
        <w:rPr>
          <w:rStyle w:val="normaltextrun"/>
        </w:rPr>
        <w:t xml:space="preserve"> </w:t>
      </w:r>
      <w:r w:rsidR="00F63108" w:rsidRPr="00A6206B">
        <w:rPr>
          <w:rStyle w:val="normaltextrun"/>
        </w:rPr>
        <w:t xml:space="preserve">updated </w:t>
      </w:r>
      <w:r w:rsidR="04E6BD0A" w:rsidRPr="00A6206B">
        <w:rPr>
          <w:rStyle w:val="normaltextrun"/>
        </w:rPr>
        <w:t xml:space="preserve">with new data from the </w:t>
      </w:r>
      <w:r w:rsidR="00F63108" w:rsidRPr="00A6206B">
        <w:rPr>
          <w:rStyle w:val="normaltextrun"/>
        </w:rPr>
        <w:t>2021</w:t>
      </w:r>
      <w:r w:rsidR="00ED6FBF" w:rsidRPr="00A6206B">
        <w:rPr>
          <w:rStyle w:val="normaltextrun"/>
        </w:rPr>
        <w:t xml:space="preserve"> </w:t>
      </w:r>
      <w:r w:rsidR="002252BD" w:rsidRPr="00A6206B">
        <w:rPr>
          <w:rStyle w:val="normaltextrun"/>
        </w:rPr>
        <w:t>C</w:t>
      </w:r>
      <w:r w:rsidR="00ED6FBF" w:rsidRPr="00A6206B">
        <w:rPr>
          <w:rStyle w:val="normaltextrun"/>
        </w:rPr>
        <w:t>ensus</w:t>
      </w:r>
      <w:r w:rsidR="57F034FC" w:rsidRPr="00A6206B">
        <w:rPr>
          <w:rStyle w:val="normaltextrun"/>
        </w:rPr>
        <w:t>.</w:t>
      </w:r>
    </w:p>
    <w:p w14:paraId="333A43B3" w14:textId="0DF36FB9" w:rsidR="007101C3" w:rsidRPr="006153A0" w:rsidRDefault="007101C3" w:rsidP="005249D7">
      <w:pPr>
        <w:pStyle w:val="xmsonormal"/>
        <w:numPr>
          <w:ilvl w:val="0"/>
          <w:numId w:val="34"/>
        </w:numPr>
        <w:rPr>
          <w:sz w:val="20"/>
          <w:szCs w:val="20"/>
        </w:rPr>
      </w:pPr>
      <w:r w:rsidRPr="006153A0">
        <w:rPr>
          <w:rFonts w:ascii="Work Sans" w:hAnsi="Work Sans"/>
          <w:sz w:val="20"/>
          <w:szCs w:val="20"/>
        </w:rPr>
        <w:t xml:space="preserve">The Commission generally uses data classified </w:t>
      </w:r>
      <w:r w:rsidR="000D742E">
        <w:rPr>
          <w:rFonts w:ascii="Work Sans" w:hAnsi="Work Sans"/>
          <w:sz w:val="20"/>
          <w:szCs w:val="20"/>
        </w:rPr>
        <w:t>by</w:t>
      </w:r>
      <w:r w:rsidRPr="006153A0">
        <w:rPr>
          <w:rFonts w:ascii="Work Sans" w:hAnsi="Work Sans"/>
          <w:sz w:val="20"/>
          <w:szCs w:val="20"/>
        </w:rPr>
        <w:t xml:space="preserve"> IRSEO/NISEIFA. In the health assessment</w:t>
      </w:r>
      <w:r w:rsidR="00673925">
        <w:rPr>
          <w:rFonts w:ascii="Work Sans" w:hAnsi="Work Sans"/>
          <w:sz w:val="20"/>
          <w:szCs w:val="20"/>
        </w:rPr>
        <w:t xml:space="preserve">, </w:t>
      </w:r>
      <w:r w:rsidRPr="006153A0">
        <w:rPr>
          <w:rFonts w:ascii="Work Sans" w:hAnsi="Work Sans"/>
          <w:sz w:val="20"/>
          <w:szCs w:val="20"/>
        </w:rPr>
        <w:t>the non-state sector adjustment</w:t>
      </w:r>
      <w:r w:rsidR="00673925">
        <w:rPr>
          <w:rFonts w:ascii="Work Sans" w:hAnsi="Work Sans"/>
          <w:sz w:val="20"/>
          <w:szCs w:val="20"/>
        </w:rPr>
        <w:t xml:space="preserve"> calculations</w:t>
      </w:r>
      <w:r w:rsidRPr="006153A0">
        <w:rPr>
          <w:rFonts w:ascii="Work Sans" w:hAnsi="Work Sans"/>
          <w:sz w:val="20"/>
          <w:szCs w:val="20"/>
        </w:rPr>
        <w:t xml:space="preserve"> are classified </w:t>
      </w:r>
      <w:r w:rsidR="00BB4748">
        <w:rPr>
          <w:rFonts w:ascii="Work Sans" w:hAnsi="Work Sans"/>
          <w:sz w:val="20"/>
          <w:szCs w:val="20"/>
        </w:rPr>
        <w:t>by</w:t>
      </w:r>
      <w:r w:rsidRPr="006153A0">
        <w:rPr>
          <w:rFonts w:ascii="Work Sans" w:hAnsi="Work Sans"/>
          <w:sz w:val="20"/>
          <w:szCs w:val="20"/>
        </w:rPr>
        <w:t xml:space="preserve"> SEIFA. From the 2024</w:t>
      </w:r>
      <w:r w:rsidR="002735D9">
        <w:rPr>
          <w:rFonts w:ascii="Work Sans" w:hAnsi="Work Sans"/>
          <w:sz w:val="20"/>
          <w:szCs w:val="20"/>
        </w:rPr>
        <w:t> </w:t>
      </w:r>
      <w:r w:rsidRPr="006153A0">
        <w:rPr>
          <w:rFonts w:ascii="Work Sans" w:hAnsi="Work Sans"/>
          <w:sz w:val="20"/>
          <w:szCs w:val="20"/>
        </w:rPr>
        <w:t>Update onwards, data will be available that will allow these calculations to shift from SEIFA to IRSEO/NISEIFA based data. This would bring these assessments in line with all other assessments that use IRSEO/NISEIFA. </w:t>
      </w:r>
    </w:p>
    <w:p w14:paraId="57DD28AF" w14:textId="57DAC770" w:rsidR="006B49E2" w:rsidRPr="005A3032" w:rsidRDefault="0074004C" w:rsidP="00134CBF">
      <w:pPr>
        <w:pStyle w:val="Heading3"/>
        <w:keepNext/>
        <w:keepLines/>
        <w:rPr>
          <w:rStyle w:val="normaltextrun"/>
          <w:rFonts w:cs="Times New Roman"/>
          <w:b w:val="0"/>
          <w:color w:val="auto"/>
          <w:sz w:val="20"/>
          <w:szCs w:val="20"/>
          <w:lang w:eastAsia="en-AU"/>
        </w:rPr>
      </w:pPr>
      <w:r w:rsidRPr="0074004C">
        <w:rPr>
          <w:rStyle w:val="normaltextrun"/>
        </w:rPr>
        <w:lastRenderedPageBreak/>
        <w:t xml:space="preserve">Discrete </w:t>
      </w:r>
      <w:r w:rsidR="00CA45CC">
        <w:rPr>
          <w:rStyle w:val="normaltextrun"/>
        </w:rPr>
        <w:t xml:space="preserve">First </w:t>
      </w:r>
      <w:r w:rsidR="00CA45CC" w:rsidRPr="41D70DE8">
        <w:rPr>
          <w:rStyle w:val="normaltextrun"/>
        </w:rPr>
        <w:t>Nations</w:t>
      </w:r>
      <w:r w:rsidRPr="0074004C">
        <w:rPr>
          <w:rStyle w:val="normaltextrun"/>
        </w:rPr>
        <w:t xml:space="preserve"> communities</w:t>
      </w:r>
    </w:p>
    <w:p w14:paraId="188F4352" w14:textId="714A7401" w:rsidR="005210F7" w:rsidRPr="005C356A" w:rsidRDefault="00C856DD" w:rsidP="00134CBF">
      <w:pPr>
        <w:pStyle w:val="CGCParaNumber"/>
        <w:keepNext/>
        <w:keepLines/>
        <w:ind w:left="567" w:hanging="567"/>
      </w:pPr>
      <w:r>
        <w:t xml:space="preserve">The Commission defines </w:t>
      </w:r>
      <w:r w:rsidR="001677AE">
        <w:t>d</w:t>
      </w:r>
      <w:r>
        <w:t xml:space="preserve">iscrete </w:t>
      </w:r>
      <w:r w:rsidR="007279F2">
        <w:t xml:space="preserve">First Nations </w:t>
      </w:r>
      <w:r w:rsidR="0066688E">
        <w:t>c</w:t>
      </w:r>
      <w:r>
        <w:t>ommunities as Statistical Area Level</w:t>
      </w:r>
      <w:r w:rsidR="005A3032">
        <w:t> </w:t>
      </w:r>
      <w:r>
        <w:t xml:space="preserve">1 where </w:t>
      </w:r>
      <w:r w:rsidR="008A24DF">
        <w:t>F</w:t>
      </w:r>
      <w:r w:rsidR="00FB0A3C">
        <w:t xml:space="preserve">irst </w:t>
      </w:r>
      <w:r w:rsidR="008A24DF">
        <w:t>N</w:t>
      </w:r>
      <w:r w:rsidR="00FB0A3C">
        <w:t xml:space="preserve">ations </w:t>
      </w:r>
      <w:r>
        <w:t xml:space="preserve">people </w:t>
      </w:r>
      <w:r w:rsidR="00563D2A">
        <w:t xml:space="preserve">are </w:t>
      </w:r>
      <w:r>
        <w:t>at least 50% of the estimated resident population.</w:t>
      </w:r>
    </w:p>
    <w:p w14:paraId="07A3B2C4" w14:textId="3661D383" w:rsidR="00C33753" w:rsidRPr="005C356A" w:rsidRDefault="00910AA6" w:rsidP="00134CBF">
      <w:pPr>
        <w:pStyle w:val="CGCParaNumber"/>
        <w:keepNext/>
        <w:keepLines/>
        <w:ind w:left="567" w:hanging="567"/>
      </w:pPr>
      <w:r>
        <w:t xml:space="preserve">The population of discrete </w:t>
      </w:r>
      <w:r w:rsidR="00517251">
        <w:t xml:space="preserve">First Nations </w:t>
      </w:r>
      <w:r w:rsidR="00C6650D">
        <w:t>Communities</w:t>
      </w:r>
      <w:r w:rsidR="00C15457">
        <w:t xml:space="preserve"> </w:t>
      </w:r>
      <w:r w:rsidR="00755A32">
        <w:t>have</w:t>
      </w:r>
      <w:r w:rsidR="00082D55">
        <w:t xml:space="preserve"> been </w:t>
      </w:r>
      <w:r w:rsidR="007F3726">
        <w:t xml:space="preserve">updated </w:t>
      </w:r>
      <w:r w:rsidR="005C2F78">
        <w:t xml:space="preserve">by the Commission </w:t>
      </w:r>
      <w:r w:rsidR="009908C5">
        <w:t xml:space="preserve">based on </w:t>
      </w:r>
      <w:r w:rsidR="007F3726">
        <w:t>2021</w:t>
      </w:r>
      <w:r w:rsidR="009908C5">
        <w:t xml:space="preserve"> Census data</w:t>
      </w:r>
      <w:r w:rsidR="007F3726">
        <w:t>. These</w:t>
      </w:r>
      <w:r w:rsidR="006D68DB">
        <w:t xml:space="preserve"> </w:t>
      </w:r>
      <w:r w:rsidR="009908C5">
        <w:t>w</w:t>
      </w:r>
      <w:r w:rsidR="00A54B86">
        <w:t xml:space="preserve">ere </w:t>
      </w:r>
      <w:r w:rsidR="00616C42">
        <w:t xml:space="preserve">estimated based on </w:t>
      </w:r>
      <w:r w:rsidR="000C3F55">
        <w:t>census counts</w:t>
      </w:r>
      <w:r w:rsidR="008276EE">
        <w:t>,</w:t>
      </w:r>
      <w:r w:rsidR="00D74F83">
        <w:t xml:space="preserve"> calibrated to </w:t>
      </w:r>
      <w:r w:rsidR="0043584A">
        <w:t xml:space="preserve">the </w:t>
      </w:r>
      <w:r w:rsidR="003C0493">
        <w:t>ABS</w:t>
      </w:r>
      <w:r w:rsidR="0043584A">
        <w:t xml:space="preserve"> </w:t>
      </w:r>
      <w:r w:rsidR="00E04E40">
        <w:t xml:space="preserve">First Nations </w:t>
      </w:r>
      <w:r w:rsidR="00294A1F">
        <w:t xml:space="preserve">population estimates </w:t>
      </w:r>
      <w:r w:rsidR="00C33753">
        <w:t xml:space="preserve">by </w:t>
      </w:r>
      <w:r w:rsidR="006811FE">
        <w:t>Statistical Area Level 3</w:t>
      </w:r>
      <w:r w:rsidR="00C33753">
        <w:t>.</w:t>
      </w:r>
    </w:p>
    <w:p w14:paraId="1D2E8970" w14:textId="5431EEB7" w:rsidR="007A12B0" w:rsidRPr="00057E2E" w:rsidRDefault="00057E2E" w:rsidP="00256C5A">
      <w:pPr>
        <w:pStyle w:val="Heading3"/>
        <w:keepNext/>
        <w:rPr>
          <w:rStyle w:val="normaltextrun"/>
        </w:rPr>
      </w:pPr>
      <w:r w:rsidRPr="00057E2E">
        <w:rPr>
          <w:rStyle w:val="normaltextrun"/>
        </w:rPr>
        <w:t>Other geographic classifications</w:t>
      </w:r>
      <w:r w:rsidR="00E04E40" w:rsidRPr="00057E2E">
        <w:rPr>
          <w:rStyle w:val="normaltextrun"/>
        </w:rPr>
        <w:t xml:space="preserve"> </w:t>
      </w:r>
    </w:p>
    <w:p w14:paraId="1D5F6DC2" w14:textId="77DA4CEF" w:rsidR="00EC2FB0" w:rsidRPr="00B5318C" w:rsidRDefault="00114AD8" w:rsidP="00CD0736">
      <w:pPr>
        <w:pStyle w:val="CGCParaNumber"/>
        <w:ind w:left="567" w:hanging="567"/>
      </w:pPr>
      <w:r>
        <w:t xml:space="preserve">ABS </w:t>
      </w:r>
      <w:r w:rsidR="009F57CA">
        <w:t xml:space="preserve">population </w:t>
      </w:r>
      <w:r>
        <w:t xml:space="preserve">data </w:t>
      </w:r>
      <w:r w:rsidR="008413D7">
        <w:t xml:space="preserve">classified by significant urban </w:t>
      </w:r>
      <w:r w:rsidR="008413D7" w:rsidRPr="00B5318C">
        <w:t xml:space="preserve">areas and urban centres are used in the </w:t>
      </w:r>
      <w:r w:rsidR="004E3F26" w:rsidRPr="00B5318C">
        <w:t>r</w:t>
      </w:r>
      <w:r w:rsidR="008413D7" w:rsidRPr="00B5318C">
        <w:t xml:space="preserve">oads, </w:t>
      </w:r>
      <w:r w:rsidR="004E3F26" w:rsidRPr="00B5318C">
        <w:t>t</w:t>
      </w:r>
      <w:r w:rsidR="008413D7" w:rsidRPr="00B5318C">
        <w:t xml:space="preserve">ransport and </w:t>
      </w:r>
      <w:r w:rsidR="004E3F26" w:rsidRPr="00B5318C">
        <w:t>s</w:t>
      </w:r>
      <w:r w:rsidR="008413D7" w:rsidRPr="00B5318C">
        <w:t xml:space="preserve">ervices to </w:t>
      </w:r>
      <w:bookmarkStart w:id="5" w:name="_Int_gNE0g68e"/>
      <w:proofErr w:type="gramStart"/>
      <w:r w:rsidR="008413D7" w:rsidRPr="00B5318C">
        <w:t>communities</w:t>
      </w:r>
      <w:bookmarkEnd w:id="5"/>
      <w:proofErr w:type="gramEnd"/>
      <w:r w:rsidR="008413D7" w:rsidRPr="00B5318C">
        <w:t xml:space="preserve"> assessments.</w:t>
      </w:r>
    </w:p>
    <w:p w14:paraId="34E4A43D" w14:textId="398AE707" w:rsidR="00E347B1" w:rsidRPr="00B5318C" w:rsidRDefault="00114AD8">
      <w:pPr>
        <w:pStyle w:val="CGCParaNumber"/>
        <w:ind w:left="567" w:hanging="567"/>
      </w:pPr>
      <w:r w:rsidRPr="00B5318C">
        <w:t>ABS</w:t>
      </w:r>
      <w:r w:rsidR="00CB7461" w:rsidRPr="00B5318C">
        <w:t xml:space="preserve"> </w:t>
      </w:r>
      <w:r w:rsidRPr="00B5318C">
        <w:t xml:space="preserve">data </w:t>
      </w:r>
      <w:r w:rsidR="004808AB" w:rsidRPr="00B5318C">
        <w:t>on significant urban areas and urban centres</w:t>
      </w:r>
      <w:r w:rsidR="00E347B1" w:rsidRPr="00B5318C">
        <w:t xml:space="preserve"> </w:t>
      </w:r>
      <w:r w:rsidR="003134C0" w:rsidRPr="00B5318C">
        <w:t>will be</w:t>
      </w:r>
      <w:r w:rsidR="00CD74BB" w:rsidRPr="00B5318C">
        <w:t xml:space="preserve"> </w:t>
      </w:r>
      <w:r w:rsidR="009D544A" w:rsidRPr="00B5318C">
        <w:t>updated</w:t>
      </w:r>
      <w:r w:rsidR="005858C0" w:rsidRPr="00B5318C">
        <w:t xml:space="preserve"> </w:t>
      </w:r>
      <w:r w:rsidR="00B25142" w:rsidRPr="00B5318C">
        <w:t xml:space="preserve">in the </w:t>
      </w:r>
      <w:r w:rsidR="004E3F26" w:rsidRPr="00B5318C">
        <w:t>t</w:t>
      </w:r>
      <w:r w:rsidR="00E347B1" w:rsidRPr="00B5318C">
        <w:t xml:space="preserve">ransport and </w:t>
      </w:r>
      <w:r w:rsidR="004E3F26" w:rsidRPr="00B5318C">
        <w:t>s</w:t>
      </w:r>
      <w:r w:rsidR="00E347B1" w:rsidRPr="00B5318C">
        <w:t xml:space="preserve">ervices to </w:t>
      </w:r>
      <w:bookmarkStart w:id="6" w:name="_Int_PP2gNZV9"/>
      <w:proofErr w:type="gramStart"/>
      <w:r w:rsidR="00E347B1" w:rsidRPr="00B5318C">
        <w:t>communities</w:t>
      </w:r>
      <w:bookmarkEnd w:id="6"/>
      <w:proofErr w:type="gramEnd"/>
      <w:r w:rsidR="00E347B1" w:rsidRPr="00B5318C">
        <w:t xml:space="preserve"> assessments</w:t>
      </w:r>
      <w:r w:rsidR="00DE2234" w:rsidRPr="00B5318C">
        <w:t xml:space="preserve"> using 2021 Census</w:t>
      </w:r>
      <w:r w:rsidR="009F57CA" w:rsidRPr="00B5318C">
        <w:t xml:space="preserve"> geographies</w:t>
      </w:r>
      <w:r w:rsidR="00E347B1" w:rsidRPr="00B5318C">
        <w:t>.</w:t>
      </w:r>
    </w:p>
    <w:p w14:paraId="43C8D08C" w14:textId="53479950" w:rsidR="00447273" w:rsidRPr="00CD0736" w:rsidRDefault="00D45002" w:rsidP="00651D3E">
      <w:pPr>
        <w:pStyle w:val="CGCParaNumber"/>
        <w:ind w:left="567" w:hanging="567"/>
      </w:pPr>
      <w:r w:rsidRPr="00B5318C">
        <w:t>U</w:t>
      </w:r>
      <w:r w:rsidR="00AF783E" w:rsidRPr="00B5318C">
        <w:t xml:space="preserve">rban </w:t>
      </w:r>
      <w:r w:rsidRPr="00B5318C">
        <w:t xml:space="preserve">populations </w:t>
      </w:r>
      <w:r w:rsidR="00415A20" w:rsidRPr="00B5318C">
        <w:t>will</w:t>
      </w:r>
      <w:r w:rsidRPr="00B5318C">
        <w:t xml:space="preserve"> be updated for the urban roads</w:t>
      </w:r>
      <w:r>
        <w:t xml:space="preserve"> </w:t>
      </w:r>
      <w:r w:rsidR="007310F6">
        <w:t>assessment</w:t>
      </w:r>
      <w:r w:rsidR="00A21D9B">
        <w:t xml:space="preserve"> using the latest </w:t>
      </w:r>
      <w:r w:rsidR="006A3E24">
        <w:t xml:space="preserve">populations and boundaries. </w:t>
      </w:r>
      <w:r w:rsidR="00E719A2">
        <w:t xml:space="preserve">A </w:t>
      </w:r>
      <w:r w:rsidR="004320E8">
        <w:t>syn</w:t>
      </w:r>
      <w:r w:rsidR="00FD74B2">
        <w:t xml:space="preserve">thetic road network, used in the rural roads assessment, is based on </w:t>
      </w:r>
      <w:r w:rsidR="0088035C">
        <w:t>roads be</w:t>
      </w:r>
      <w:r w:rsidR="00544ED6">
        <w:t xml:space="preserve">tween adjacent </w:t>
      </w:r>
      <w:r w:rsidR="008B6318">
        <w:t xml:space="preserve">urban </w:t>
      </w:r>
      <w:r w:rsidR="00544ED6">
        <w:t xml:space="preserve">centres </w:t>
      </w:r>
      <w:r w:rsidR="00DF18AB">
        <w:t>with populations above 1</w:t>
      </w:r>
      <w:r w:rsidR="00491FA2">
        <w:t>,</w:t>
      </w:r>
      <w:r w:rsidR="00DF18AB">
        <w:t>000 people</w:t>
      </w:r>
      <w:r w:rsidR="00544ED6">
        <w:t xml:space="preserve">. The Commission does not propose to re-estimate this network based </w:t>
      </w:r>
      <w:r w:rsidR="004A4D4D">
        <w:t xml:space="preserve">on centres growing above, or falling below, </w:t>
      </w:r>
      <w:r w:rsidR="00DC4517">
        <w:t xml:space="preserve">the </w:t>
      </w:r>
      <w:r w:rsidR="004A4D4D">
        <w:t xml:space="preserve">threshold. </w:t>
      </w:r>
      <w:r w:rsidR="003B4973">
        <w:t>The</w:t>
      </w:r>
      <w:r w:rsidR="004B560B">
        <w:t xml:space="preserve"> assessment of rural roads</w:t>
      </w:r>
      <w:r>
        <w:t xml:space="preserve"> </w:t>
      </w:r>
      <w:r w:rsidR="00077648">
        <w:t xml:space="preserve">will be considered </w:t>
      </w:r>
      <w:r w:rsidR="009602AD">
        <w:t xml:space="preserve">in the </w:t>
      </w:r>
      <w:r w:rsidR="004D023B">
        <w:t xml:space="preserve">2025 </w:t>
      </w:r>
      <w:r w:rsidR="000A1CB1">
        <w:t>Review</w:t>
      </w:r>
      <w:r w:rsidR="004D023B">
        <w:t>.</w:t>
      </w:r>
    </w:p>
    <w:p w14:paraId="470005ED" w14:textId="5431EEB7" w:rsidR="00916690" w:rsidRPr="00DF71B3" w:rsidRDefault="00EB5B9F" w:rsidP="00E82C4B">
      <w:pPr>
        <w:pStyle w:val="Heading1"/>
      </w:pPr>
      <w:r w:rsidRPr="00E82C4B">
        <w:t xml:space="preserve">Data </w:t>
      </w:r>
      <w:r w:rsidR="00651D3E" w:rsidRPr="00DF71B3">
        <w:t>i</w:t>
      </w:r>
      <w:r w:rsidRPr="00DF71B3">
        <w:t>ssues for consideration</w:t>
      </w:r>
    </w:p>
    <w:p w14:paraId="379B7360" w14:textId="1767C3D6" w:rsidR="004E4554" w:rsidRDefault="004E4554" w:rsidP="00104A26">
      <w:pPr>
        <w:pStyle w:val="Heading2"/>
        <w:keepNext/>
      </w:pPr>
      <w:r>
        <w:t xml:space="preserve">Justice — </w:t>
      </w:r>
      <w:r w:rsidR="00F8491F">
        <w:t xml:space="preserve">use of </w:t>
      </w:r>
      <w:r w:rsidRPr="004E08E1">
        <w:t xml:space="preserve">2021 Census disaggregated </w:t>
      </w:r>
      <w:r w:rsidR="00F8491F">
        <w:t>First</w:t>
      </w:r>
      <w:r w:rsidR="00891142">
        <w:t> </w:t>
      </w:r>
      <w:r w:rsidR="00F8491F">
        <w:t>Nations</w:t>
      </w:r>
      <w:r w:rsidRPr="004E08E1">
        <w:t xml:space="preserve"> population </w:t>
      </w:r>
      <w:proofErr w:type="gramStart"/>
      <w:r w:rsidRPr="004E08E1">
        <w:t>estimates</w:t>
      </w:r>
      <w:proofErr w:type="gramEnd"/>
    </w:p>
    <w:p w14:paraId="62D03595" w14:textId="5431EEB7" w:rsidR="00042AC0" w:rsidRPr="00930DD8" w:rsidRDefault="00042AC0" w:rsidP="00104A26">
      <w:pPr>
        <w:pStyle w:val="Heading3"/>
        <w:keepNext/>
      </w:pPr>
      <w:r w:rsidRPr="00930DD8">
        <w:t>Issue</w:t>
      </w:r>
    </w:p>
    <w:p w14:paraId="68A47D6D" w14:textId="4E300116" w:rsidR="00042AC0" w:rsidRDefault="00042AC0" w:rsidP="00CD0736">
      <w:pPr>
        <w:pStyle w:val="CGCParaNumber"/>
        <w:ind w:left="567" w:hanging="567"/>
      </w:pPr>
      <w:r>
        <w:t xml:space="preserve">The </w:t>
      </w:r>
      <w:r w:rsidR="00563737">
        <w:t xml:space="preserve">Commission </w:t>
      </w:r>
      <w:r w:rsidR="00954C73">
        <w:t>needs to</w:t>
      </w:r>
      <w:r w:rsidR="00563737">
        <w:t xml:space="preserve"> consider</w:t>
      </w:r>
      <w:r>
        <w:t xml:space="preserve"> whether it is appropriate to use </w:t>
      </w:r>
      <w:r w:rsidR="00C040D1">
        <w:t xml:space="preserve">ABS </w:t>
      </w:r>
      <w:r>
        <w:t xml:space="preserve">2021 Census estimates </w:t>
      </w:r>
      <w:r w:rsidR="005921C3">
        <w:t xml:space="preserve">of </w:t>
      </w:r>
      <w:r>
        <w:t xml:space="preserve">First Nations populations in the justice assessment </w:t>
      </w:r>
      <w:r w:rsidR="006B25C1">
        <w:t>for</w:t>
      </w:r>
      <w:r>
        <w:t xml:space="preserve"> the 2024</w:t>
      </w:r>
      <w:r w:rsidR="0084588E">
        <w:t> </w:t>
      </w:r>
      <w:r>
        <w:t>Update.</w:t>
      </w:r>
    </w:p>
    <w:p w14:paraId="316A6456" w14:textId="77777777" w:rsidR="009C09A9" w:rsidRPr="00FA2246" w:rsidRDefault="009C09A9" w:rsidP="009C09A9">
      <w:pPr>
        <w:pStyle w:val="Heading3"/>
        <w:keepNext/>
      </w:pPr>
      <w:r>
        <w:t>Background</w:t>
      </w:r>
    </w:p>
    <w:p w14:paraId="01AC7BE0" w14:textId="0FF65421" w:rsidR="00287B8F" w:rsidRDefault="00320ADD" w:rsidP="00CD0736">
      <w:pPr>
        <w:pStyle w:val="CGCParaNumber"/>
        <w:ind w:left="567" w:hanging="567"/>
      </w:pPr>
      <w:r>
        <w:t>T</w:t>
      </w:r>
      <w:r w:rsidR="00287B8F">
        <w:t xml:space="preserve">he ABS </w:t>
      </w:r>
      <w:r w:rsidR="00C22D6C">
        <w:t xml:space="preserve">has </w:t>
      </w:r>
      <w:r w:rsidR="00287B8F">
        <w:t xml:space="preserve">released </w:t>
      </w:r>
      <w:r w:rsidR="002E7A28">
        <w:t xml:space="preserve">First Nations </w:t>
      </w:r>
      <w:r w:rsidR="000A0C19">
        <w:t xml:space="preserve">population estimates </w:t>
      </w:r>
      <w:r w:rsidR="00000789">
        <w:t>based on</w:t>
      </w:r>
      <w:r w:rsidR="00410A7B">
        <w:t xml:space="preserve"> the 2021 </w:t>
      </w:r>
      <w:r w:rsidR="001B7913">
        <w:t>C</w:t>
      </w:r>
      <w:r w:rsidR="00410A7B">
        <w:t>ensus</w:t>
      </w:r>
      <w:r w:rsidR="0030130E">
        <w:t>.</w:t>
      </w:r>
      <w:r w:rsidR="00090E8C">
        <w:t xml:space="preserve"> </w:t>
      </w:r>
      <w:r w:rsidR="00E918FF">
        <w:t>P</w:t>
      </w:r>
      <w:r w:rsidR="00B81522">
        <w:t xml:space="preserve">opulation estimates are </w:t>
      </w:r>
      <w:r w:rsidR="00A12C72">
        <w:t xml:space="preserve">combined with use weights </w:t>
      </w:r>
      <w:r w:rsidR="00CC335F">
        <w:t xml:space="preserve">from the 2020 Review to </w:t>
      </w:r>
      <w:r w:rsidR="00E918FF">
        <w:t>calculate</w:t>
      </w:r>
      <w:r w:rsidR="00CC335F">
        <w:t xml:space="preserve"> a policy neutral </w:t>
      </w:r>
      <w:r w:rsidR="00E918FF">
        <w:t>number</w:t>
      </w:r>
      <w:r w:rsidR="00CC335F">
        <w:t xml:space="preserve"> </w:t>
      </w:r>
      <w:r w:rsidR="006C7CC0">
        <w:t>of justice service users.</w:t>
      </w:r>
    </w:p>
    <w:p w14:paraId="6887F403" w14:textId="163EE135" w:rsidR="00675260" w:rsidRDefault="5258DC58" w:rsidP="00CD0736">
      <w:pPr>
        <w:pStyle w:val="CGCParaNumber"/>
        <w:ind w:left="567" w:hanging="567"/>
      </w:pPr>
      <w:r>
        <w:t>In the 2020 Review</w:t>
      </w:r>
      <w:r w:rsidR="00063118">
        <w:t>,</w:t>
      </w:r>
      <w:r>
        <w:t xml:space="preserve"> u</w:t>
      </w:r>
      <w:r w:rsidR="003824C7">
        <w:t>se weights</w:t>
      </w:r>
      <w:r w:rsidR="00747FE6">
        <w:t xml:space="preserve"> </w:t>
      </w:r>
      <w:r w:rsidR="23292072">
        <w:t>were</w:t>
      </w:r>
      <w:r w:rsidR="00747FE6">
        <w:t xml:space="preserve"> </w:t>
      </w:r>
      <w:r w:rsidR="003824C7">
        <w:t xml:space="preserve">derived using </w:t>
      </w:r>
      <w:r w:rsidR="000D5BFA">
        <w:t xml:space="preserve">state </w:t>
      </w:r>
      <w:r w:rsidR="006C36B9">
        <w:t xml:space="preserve">data for </w:t>
      </w:r>
      <w:r w:rsidR="00D2550A">
        <w:t>offenders and defendants from 2015</w:t>
      </w:r>
      <w:r w:rsidR="009A42C8">
        <w:t xml:space="preserve"> to</w:t>
      </w:r>
      <w:r w:rsidR="000B3370">
        <w:t xml:space="preserve"> </w:t>
      </w:r>
      <w:r w:rsidR="00543ABE">
        <w:t>20</w:t>
      </w:r>
      <w:r w:rsidR="00D2550A">
        <w:t>17</w:t>
      </w:r>
      <w:r w:rsidR="009327E8">
        <w:t xml:space="preserve"> </w:t>
      </w:r>
      <w:r w:rsidR="000D5BFA">
        <w:t>and</w:t>
      </w:r>
      <w:r w:rsidR="00CE6C7D">
        <w:t xml:space="preserve"> </w:t>
      </w:r>
      <w:r w:rsidR="00666F99">
        <w:t xml:space="preserve">ABS </w:t>
      </w:r>
      <w:r w:rsidR="00CE6C7D">
        <w:t>2016 Census</w:t>
      </w:r>
      <w:r w:rsidR="000D5BFA">
        <w:t xml:space="preserve"> </w:t>
      </w:r>
      <w:r w:rsidR="00F96D58">
        <w:t>e</w:t>
      </w:r>
      <w:r w:rsidR="004936E0">
        <w:t xml:space="preserve">stimated residential population </w:t>
      </w:r>
      <w:r w:rsidR="00B83F32">
        <w:t>for</w:t>
      </w:r>
      <w:r w:rsidR="00526EAD">
        <w:t xml:space="preserve"> </w:t>
      </w:r>
      <w:r w:rsidR="00B83F32">
        <w:t>2016</w:t>
      </w:r>
      <w:r w:rsidR="00E91E8F">
        <w:t>–</w:t>
      </w:r>
      <w:r w:rsidR="00B83F32">
        <w:t>17</w:t>
      </w:r>
      <w:r w:rsidR="009327E8">
        <w:t>.</w:t>
      </w:r>
      <w:r w:rsidR="00D2550A">
        <w:t xml:space="preserve"> </w:t>
      </w:r>
      <w:r w:rsidR="008017C4">
        <w:t>Service use</w:t>
      </w:r>
      <w:r w:rsidR="00D2550A">
        <w:t xml:space="preserve"> data </w:t>
      </w:r>
      <w:r w:rsidR="00585BDE">
        <w:t xml:space="preserve">is </w:t>
      </w:r>
      <w:r w:rsidR="00D2550A">
        <w:t xml:space="preserve">collected once during </w:t>
      </w:r>
      <w:r w:rsidR="00585BDE">
        <w:t>each r</w:t>
      </w:r>
      <w:r w:rsidR="00D2550A">
        <w:t xml:space="preserve">eview because it </w:t>
      </w:r>
      <w:r w:rsidR="00945AF9">
        <w:t xml:space="preserve">is highly </w:t>
      </w:r>
      <w:r w:rsidR="00B77432">
        <w:t>disaggregated and</w:t>
      </w:r>
      <w:r w:rsidR="00D2550A">
        <w:t xml:space="preserve"> difficult </w:t>
      </w:r>
      <w:r w:rsidR="00C10478">
        <w:t xml:space="preserve">for states </w:t>
      </w:r>
      <w:r w:rsidR="00D2550A">
        <w:t xml:space="preserve">to collect. </w:t>
      </w:r>
      <w:r w:rsidR="008779C4">
        <w:t xml:space="preserve">From the 2020 Review to the 2023 Update, the use weights and </w:t>
      </w:r>
      <w:r w:rsidR="00BE2A81">
        <w:t>F</w:t>
      </w:r>
      <w:r w:rsidR="008779C4">
        <w:t xml:space="preserve">irst </w:t>
      </w:r>
      <w:r w:rsidR="00BE2A81">
        <w:t>N</w:t>
      </w:r>
      <w:r w:rsidR="008779C4">
        <w:t xml:space="preserve">ations population </w:t>
      </w:r>
      <w:r w:rsidR="00096781">
        <w:t xml:space="preserve">projections </w:t>
      </w:r>
      <w:r w:rsidR="008779C4">
        <w:t>correspond</w:t>
      </w:r>
      <w:r w:rsidR="006C5535">
        <w:t>ed</w:t>
      </w:r>
      <w:r w:rsidR="008779C4">
        <w:t xml:space="preserve"> </w:t>
      </w:r>
      <w:r w:rsidR="00975E2E">
        <w:t>w</w:t>
      </w:r>
      <w:r w:rsidR="00BF50F4">
        <w:t>ith the 2016 Census</w:t>
      </w:r>
      <w:r w:rsidR="001C204F">
        <w:t>.</w:t>
      </w:r>
    </w:p>
    <w:p w14:paraId="120D7D76" w14:textId="77777777" w:rsidR="008823C3" w:rsidRDefault="00632320" w:rsidP="00184129">
      <w:pPr>
        <w:pStyle w:val="CGCParaNumber"/>
        <w:ind w:left="567" w:hanging="567"/>
      </w:pPr>
      <w:r w:rsidRPr="00024CC5">
        <w:t>However,</w:t>
      </w:r>
      <w:r w:rsidR="00873FBB" w:rsidRPr="00024CC5">
        <w:t xml:space="preserve"> use weights </w:t>
      </w:r>
      <w:r w:rsidR="00771A84" w:rsidRPr="0063299F">
        <w:t xml:space="preserve">derived </w:t>
      </w:r>
      <w:r w:rsidR="002A59A1" w:rsidRPr="0063299F">
        <w:t>using 201</w:t>
      </w:r>
      <w:r w:rsidR="00BC19E7" w:rsidRPr="0063299F">
        <w:t xml:space="preserve">6 Census </w:t>
      </w:r>
      <w:r w:rsidR="00AE08BA" w:rsidRPr="0063299F">
        <w:t xml:space="preserve">estimated </w:t>
      </w:r>
      <w:r w:rsidR="00BC19E7" w:rsidRPr="0063299F">
        <w:t>populations</w:t>
      </w:r>
      <w:r w:rsidR="00873FBB" w:rsidRPr="0063299F">
        <w:t xml:space="preserve"> </w:t>
      </w:r>
      <w:r w:rsidR="00873FBB" w:rsidRPr="00024CC5">
        <w:t xml:space="preserve">are </w:t>
      </w:r>
      <w:r w:rsidR="006D6390" w:rsidRPr="00024CC5">
        <w:t>not suit</w:t>
      </w:r>
      <w:r w:rsidR="00037333" w:rsidRPr="00024CC5">
        <w:t>able</w:t>
      </w:r>
      <w:r w:rsidR="00D25653" w:rsidRPr="00024CC5">
        <w:t xml:space="preserve"> for use with</w:t>
      </w:r>
      <w:r w:rsidR="006D6390" w:rsidRPr="00024CC5">
        <w:t xml:space="preserve"> </w:t>
      </w:r>
      <w:r w:rsidRPr="00024CC5">
        <w:t>t</w:t>
      </w:r>
      <w:r w:rsidR="007C70BD" w:rsidRPr="00024CC5">
        <w:t xml:space="preserve">he 2021 </w:t>
      </w:r>
      <w:r w:rsidR="00B52B1C" w:rsidRPr="00024CC5">
        <w:t>C</w:t>
      </w:r>
      <w:r w:rsidR="007C70BD" w:rsidRPr="00024CC5">
        <w:t xml:space="preserve">ensus </w:t>
      </w:r>
      <w:r w:rsidR="007301F2" w:rsidRPr="0063299F">
        <w:t>estimated</w:t>
      </w:r>
      <w:r w:rsidR="00704B87" w:rsidRPr="0063299F">
        <w:t xml:space="preserve"> </w:t>
      </w:r>
      <w:r w:rsidR="4EC069FA" w:rsidRPr="00FA7164">
        <w:t xml:space="preserve">First Nations </w:t>
      </w:r>
      <w:r w:rsidR="00704B87" w:rsidRPr="00024CC5">
        <w:t>population</w:t>
      </w:r>
      <w:r w:rsidR="00263BDD" w:rsidRPr="00024CC5">
        <w:t>s</w:t>
      </w:r>
      <w:r w:rsidR="00E00CF0" w:rsidRPr="00024CC5">
        <w:t xml:space="preserve">. </w:t>
      </w:r>
      <w:r w:rsidR="00263BDD" w:rsidRPr="00024CC5">
        <w:t>T</w:t>
      </w:r>
      <w:r w:rsidR="004174AA" w:rsidRPr="00024CC5">
        <w:t xml:space="preserve">he </w:t>
      </w:r>
      <w:r w:rsidR="004174AA" w:rsidRPr="00024CC5">
        <w:lastRenderedPageBreak/>
        <w:t>2021</w:t>
      </w:r>
      <w:r w:rsidR="00242C62">
        <w:t> </w:t>
      </w:r>
      <w:r w:rsidR="00FD3F8C" w:rsidRPr="00024CC5">
        <w:t xml:space="preserve">Census </w:t>
      </w:r>
      <w:r w:rsidR="00263BDD" w:rsidRPr="00024CC5">
        <w:t xml:space="preserve">First Nations </w:t>
      </w:r>
      <w:r w:rsidR="00FD3F8C" w:rsidRPr="00024CC5">
        <w:t>population</w:t>
      </w:r>
      <w:r w:rsidR="00704B87" w:rsidRPr="00024CC5">
        <w:t xml:space="preserve"> </w:t>
      </w:r>
      <w:r w:rsidR="0055256F" w:rsidRPr="00FA7164">
        <w:t>include</w:t>
      </w:r>
      <w:r w:rsidR="00A728C1" w:rsidRPr="00FA7164">
        <w:t>s</w:t>
      </w:r>
      <w:r w:rsidR="00507985" w:rsidRPr="0063299F">
        <w:t xml:space="preserve"> growth from </w:t>
      </w:r>
      <w:r w:rsidR="006C3246" w:rsidRPr="0063299F">
        <w:t>non</w:t>
      </w:r>
      <w:r w:rsidR="632D1226" w:rsidRPr="0063299F">
        <w:t>-</w:t>
      </w:r>
      <w:r w:rsidR="006C3246" w:rsidRPr="0063299F">
        <w:t xml:space="preserve">demographic as well as </w:t>
      </w:r>
      <w:r w:rsidR="00507985" w:rsidRPr="0063299F">
        <w:t xml:space="preserve">demographic </w:t>
      </w:r>
      <w:r w:rsidR="003B365E" w:rsidRPr="0063299F">
        <w:t>factors</w:t>
      </w:r>
      <w:r w:rsidR="00507985" w:rsidRPr="00FA7164">
        <w:t>.</w:t>
      </w:r>
    </w:p>
    <w:p w14:paraId="07E2CD1C" w14:textId="7718EB72" w:rsidR="0049024F" w:rsidRDefault="00DD318C" w:rsidP="00F8387E">
      <w:pPr>
        <w:pStyle w:val="CGCParaNumber"/>
        <w:ind w:left="567" w:hanging="567"/>
      </w:pPr>
      <w:r w:rsidRPr="0063299F">
        <w:t>According to the 2021 Census, over half the reported growth in First Nations population since the 2016 Census was due to non</w:t>
      </w:r>
      <w:r w:rsidR="26E7F60A" w:rsidRPr="0063299F">
        <w:t>-</w:t>
      </w:r>
      <w:r w:rsidRPr="0063299F">
        <w:t>demographic factors</w:t>
      </w:r>
      <w:r w:rsidR="00730E31">
        <w:t>,</w:t>
      </w:r>
      <w:r w:rsidR="00CC0B8F" w:rsidRPr="0063299F">
        <w:t xml:space="preserve"> including </w:t>
      </w:r>
      <w:r w:rsidR="002338F2" w:rsidRPr="0063299F">
        <w:t xml:space="preserve">increased self-identification and improved census </w:t>
      </w:r>
      <w:r w:rsidR="00C4443E" w:rsidRPr="0063299F">
        <w:t>coverage</w:t>
      </w:r>
      <w:r w:rsidR="00AB55A9" w:rsidRPr="0063299F">
        <w:t xml:space="preserve"> </w:t>
      </w:r>
      <w:r w:rsidR="00AB55A9" w:rsidRPr="00FA7164">
        <w:t>(</w:t>
      </w:r>
      <w:r w:rsidR="007D3702" w:rsidRPr="00FA7164">
        <w:fldChar w:fldCharType="begin"/>
      </w:r>
      <w:r w:rsidR="00632320" w:rsidRPr="00FA7164">
        <w:instrText xml:space="preserve"> REF _Ref144381427 \h </w:instrText>
      </w:r>
      <w:r w:rsidR="00FA7164">
        <w:instrText xml:space="preserve"> \* MERGEFORMAT </w:instrText>
      </w:r>
      <w:r w:rsidR="007D3702" w:rsidRPr="00FA7164">
        <w:fldChar w:fldCharType="separate"/>
      </w:r>
      <w:r w:rsidR="007D3702" w:rsidRPr="00FA7164">
        <w:t>Figure</w:t>
      </w:r>
      <w:r w:rsidR="002A53EA">
        <w:t> </w:t>
      </w:r>
      <w:r w:rsidR="007D3702" w:rsidRPr="00FA7164">
        <w:t>1</w:t>
      </w:r>
      <w:r w:rsidR="007D3702" w:rsidRPr="00FA7164">
        <w:fldChar w:fldCharType="end"/>
      </w:r>
      <w:r w:rsidR="00AB55A9" w:rsidRPr="00FA7164">
        <w:t>).</w:t>
      </w:r>
      <w:r w:rsidR="002338F2" w:rsidRPr="00176527">
        <w:rPr>
          <w:rStyle w:val="FootnoteReference"/>
          <w:sz w:val="24"/>
          <w:szCs w:val="24"/>
          <w:vertAlign w:val="superscript"/>
        </w:rPr>
        <w:footnoteReference w:id="5"/>
      </w:r>
      <w:r w:rsidR="007E59CB" w:rsidRPr="00FA7164">
        <w:t xml:space="preserve"> </w:t>
      </w:r>
      <w:r w:rsidR="00783F6C" w:rsidRPr="00FA7164">
        <w:t>As</w:t>
      </w:r>
      <w:r w:rsidR="00783F6C" w:rsidRPr="00D244A5">
        <w:t xml:space="preserve"> a result</w:t>
      </w:r>
      <w:r w:rsidR="0056493D" w:rsidRPr="00D244A5">
        <w:t>,</w:t>
      </w:r>
      <w:r w:rsidR="00CC299A" w:rsidRPr="00D244A5">
        <w:t xml:space="preserve"> the</w:t>
      </w:r>
      <w:r w:rsidR="00D2550A" w:rsidRPr="00D244A5">
        <w:t xml:space="preserve"> composition of the First Nations population in the 2021 Census </w:t>
      </w:r>
      <w:r w:rsidRPr="00D244A5">
        <w:t xml:space="preserve">is not comparable </w:t>
      </w:r>
      <w:r w:rsidR="00F80A2B" w:rsidRPr="00D244A5">
        <w:t xml:space="preserve">with </w:t>
      </w:r>
      <w:r w:rsidR="00D2550A" w:rsidRPr="00D244A5">
        <w:t>the 2016</w:t>
      </w:r>
      <w:r w:rsidR="009327E8" w:rsidRPr="00D244A5">
        <w:t xml:space="preserve"> </w:t>
      </w:r>
      <w:r w:rsidR="00D2550A" w:rsidRPr="00D244A5">
        <w:t>Census</w:t>
      </w:r>
      <w:r w:rsidRPr="00D244A5">
        <w:t xml:space="preserve"> population projection</w:t>
      </w:r>
      <w:r w:rsidR="008F14DB" w:rsidRPr="00D244A5">
        <w:t>s</w:t>
      </w:r>
      <w:r w:rsidR="00D26E1E">
        <w:t>.</w:t>
      </w:r>
    </w:p>
    <w:p w14:paraId="097AD484" w14:textId="32F31890" w:rsidR="0056493D" w:rsidRPr="00D244A5" w:rsidRDefault="00C52FFC" w:rsidP="008153A5">
      <w:pPr>
        <w:pStyle w:val="CGCParaNumber"/>
        <w:ind w:left="567" w:hanging="567"/>
      </w:pPr>
      <w:r w:rsidRPr="002C0EAF">
        <w:t>Applying</w:t>
      </w:r>
      <w:r w:rsidR="001B7A4C" w:rsidRPr="002C0EAF">
        <w:t xml:space="preserve"> </w:t>
      </w:r>
      <w:r w:rsidR="00A32CE1" w:rsidRPr="002C0EAF">
        <w:t>existing</w:t>
      </w:r>
      <w:r w:rsidR="001B7A4C" w:rsidRPr="002C0EAF">
        <w:t xml:space="preserve"> use rates to 2021</w:t>
      </w:r>
      <w:r w:rsidR="00E279E7" w:rsidRPr="002C0EAF">
        <w:t xml:space="preserve"> projections of First Nations </w:t>
      </w:r>
      <w:r w:rsidR="00BE7007" w:rsidRPr="002C0EAF">
        <w:t>populations</w:t>
      </w:r>
      <w:r w:rsidR="004F1B76" w:rsidRPr="002C0EAF">
        <w:t xml:space="preserve"> would </w:t>
      </w:r>
      <w:r w:rsidRPr="002C0EAF">
        <w:t xml:space="preserve">likely incorrectly </w:t>
      </w:r>
      <w:r w:rsidR="004304A7" w:rsidRPr="002C0EAF">
        <w:t xml:space="preserve">estimate the </w:t>
      </w:r>
      <w:r w:rsidR="00CB6697" w:rsidRPr="002C0EAF">
        <w:t xml:space="preserve">number </w:t>
      </w:r>
      <w:r w:rsidR="004304A7" w:rsidRPr="002C0EAF">
        <w:t xml:space="preserve">of </w:t>
      </w:r>
      <w:r w:rsidRPr="002C0EAF">
        <w:t>j</w:t>
      </w:r>
      <w:r w:rsidR="004304A7" w:rsidRPr="002C0EAF">
        <w:t>ustice service users</w:t>
      </w:r>
      <w:r w:rsidRPr="002C0EAF">
        <w:t>.</w:t>
      </w:r>
      <w:r w:rsidR="18811941" w:rsidRPr="002C0EAF">
        <w:t xml:space="preserve"> </w:t>
      </w:r>
      <w:r w:rsidR="007B6319" w:rsidRPr="002C0EAF">
        <w:t xml:space="preserve">This is because </w:t>
      </w:r>
      <w:r w:rsidR="003F1A07" w:rsidRPr="002C0EAF">
        <w:t xml:space="preserve">data </w:t>
      </w:r>
      <w:r w:rsidR="00CA0BE5" w:rsidRPr="002C0EAF">
        <w:t xml:space="preserve">used </w:t>
      </w:r>
      <w:r w:rsidR="003F1A07" w:rsidRPr="002C0EAF">
        <w:t xml:space="preserve">to derive </w:t>
      </w:r>
      <w:r w:rsidR="00FA49F4" w:rsidRPr="002C0EAF">
        <w:t xml:space="preserve">existing </w:t>
      </w:r>
      <w:r w:rsidR="003F1A07" w:rsidRPr="002C0EAF">
        <w:t xml:space="preserve">use rates </w:t>
      </w:r>
      <w:r w:rsidR="004456FA" w:rsidRPr="002C0EAF">
        <w:t>are</w:t>
      </w:r>
      <w:r w:rsidR="003F1A07" w:rsidRPr="002C0EAF">
        <w:t xml:space="preserve"> sourced from 2015</w:t>
      </w:r>
      <w:r w:rsidR="00B66558">
        <w:t>–</w:t>
      </w:r>
      <w:r w:rsidR="003F1A07" w:rsidRPr="002C0EAF">
        <w:t>17</w:t>
      </w:r>
      <w:r w:rsidR="009D1C1E" w:rsidRPr="002C0EAF">
        <w:t xml:space="preserve">. </w:t>
      </w:r>
      <w:r w:rsidR="00FA57CE" w:rsidRPr="002C0EAF">
        <w:t>U</w:t>
      </w:r>
      <w:r w:rsidR="6D5D66F1" w:rsidRPr="002C0EAF">
        <w:t>ntil</w:t>
      </w:r>
      <w:r w:rsidR="6D5D66F1" w:rsidRPr="00D153F1">
        <w:t xml:space="preserve"> the</w:t>
      </w:r>
      <w:r w:rsidR="6D5D66F1">
        <w:t xml:space="preserve"> 2025 Review is finalised the Commission will not have data on the use of justice services of the First</w:t>
      </w:r>
      <w:r w:rsidR="00CE70CF">
        <w:t> </w:t>
      </w:r>
      <w:r w:rsidR="6D5D66F1">
        <w:t>Nations population from the 2021</w:t>
      </w:r>
      <w:r w:rsidR="003705E4">
        <w:t> </w:t>
      </w:r>
      <w:r w:rsidR="6D5D66F1">
        <w:t>Census.</w:t>
      </w:r>
    </w:p>
    <w:p w14:paraId="002B7B1E" w14:textId="1FC3D83E" w:rsidR="004D786B" w:rsidRDefault="00200C7C" w:rsidP="004D786B">
      <w:pPr>
        <w:pStyle w:val="CGCParaNumber"/>
        <w:ind w:left="567" w:hanging="567"/>
      </w:pPr>
      <w:r>
        <w:t xml:space="preserve">A similar </w:t>
      </w:r>
      <w:r w:rsidR="004D786B">
        <w:t>issue was previously considered in the 2018 Update. The Commission concluded that:</w:t>
      </w:r>
    </w:p>
    <w:p w14:paraId="1F1EE75F" w14:textId="0AD1201A" w:rsidR="004D786B" w:rsidRDefault="004D786B" w:rsidP="00F8387E">
      <w:pPr>
        <w:pStyle w:val="CGCParaNumber"/>
        <w:numPr>
          <w:ilvl w:val="0"/>
          <w:numId w:val="0"/>
        </w:numPr>
        <w:ind w:left="862" w:right="862"/>
      </w:pPr>
      <w:r w:rsidRPr="00F8387E">
        <w:t>While the Commission has data on the distribution of the 2016 Census based Indigenous population, it has no data on their use of justice services. Therefore, it has decided to continue to use the 2011 Census based Indigenous use rates applied to the 2011 Census based Indigenous population distribution</w:t>
      </w:r>
      <w:r w:rsidRPr="00817903">
        <w:t>.</w:t>
      </w:r>
      <w:r w:rsidRPr="00176527">
        <w:rPr>
          <w:rStyle w:val="FootnoteReference"/>
          <w:sz w:val="24"/>
          <w:szCs w:val="24"/>
          <w:vertAlign w:val="superscript"/>
        </w:rPr>
        <w:footnoteReference w:id="6"/>
      </w:r>
    </w:p>
    <w:p w14:paraId="7F9EE733" w14:textId="32D398BB" w:rsidR="004D786B" w:rsidRPr="008E734B" w:rsidRDefault="004D786B" w:rsidP="004D786B">
      <w:pPr>
        <w:numPr>
          <w:ilvl w:val="0"/>
          <w:numId w:val="2"/>
        </w:numPr>
        <w:tabs>
          <w:tab w:val="left" w:pos="567"/>
        </w:tabs>
        <w:spacing w:before="120" w:after="0" w:line="254" w:lineRule="auto"/>
        <w:ind w:left="567" w:hanging="567"/>
        <w:rPr>
          <w:rFonts w:ascii="Work Sans" w:hAnsi="Work Sans"/>
          <w:sz w:val="20"/>
          <w:szCs w:val="20"/>
        </w:rPr>
      </w:pPr>
      <w:r w:rsidRPr="008E734B">
        <w:rPr>
          <w:rFonts w:ascii="Work Sans" w:hAnsi="Work Sans"/>
          <w:sz w:val="20"/>
          <w:szCs w:val="20"/>
        </w:rPr>
        <w:t xml:space="preserve">The Commission’s preliminary view is to </w:t>
      </w:r>
      <w:r w:rsidR="006130EC" w:rsidRPr="008E734B">
        <w:rPr>
          <w:rFonts w:ascii="Work Sans" w:hAnsi="Work Sans"/>
          <w:sz w:val="20"/>
          <w:szCs w:val="20"/>
        </w:rPr>
        <w:t xml:space="preserve">apply </w:t>
      </w:r>
      <w:r w:rsidR="001C4C87" w:rsidRPr="008E734B">
        <w:rPr>
          <w:rFonts w:ascii="Work Sans" w:hAnsi="Work Sans"/>
          <w:sz w:val="20"/>
          <w:szCs w:val="20"/>
        </w:rPr>
        <w:t>2016 Census</w:t>
      </w:r>
      <w:r w:rsidR="007642CD" w:rsidRPr="008E734B">
        <w:rPr>
          <w:rFonts w:ascii="Work Sans" w:hAnsi="Work Sans"/>
          <w:sz w:val="20"/>
          <w:szCs w:val="20"/>
        </w:rPr>
        <w:t xml:space="preserve"> based use </w:t>
      </w:r>
      <w:r w:rsidR="00E4433A" w:rsidRPr="008E734B">
        <w:rPr>
          <w:rFonts w:ascii="Work Sans" w:hAnsi="Work Sans"/>
          <w:sz w:val="20"/>
          <w:szCs w:val="20"/>
        </w:rPr>
        <w:t>weights</w:t>
      </w:r>
      <w:r w:rsidR="00EC19E8" w:rsidRPr="008E734B">
        <w:rPr>
          <w:rFonts w:ascii="Work Sans" w:hAnsi="Work Sans"/>
          <w:sz w:val="20"/>
          <w:szCs w:val="20"/>
        </w:rPr>
        <w:t xml:space="preserve"> </w:t>
      </w:r>
      <w:r w:rsidR="00E776AC" w:rsidRPr="008E734B">
        <w:rPr>
          <w:rFonts w:ascii="Work Sans" w:hAnsi="Work Sans"/>
          <w:sz w:val="20"/>
          <w:szCs w:val="20"/>
        </w:rPr>
        <w:t>to 2016 Census based</w:t>
      </w:r>
      <w:r w:rsidR="00F768D9" w:rsidRPr="008E734B">
        <w:rPr>
          <w:rFonts w:ascii="Work Sans" w:hAnsi="Work Sans"/>
          <w:sz w:val="20"/>
          <w:szCs w:val="20"/>
        </w:rPr>
        <w:t xml:space="preserve"> </w:t>
      </w:r>
      <w:r w:rsidRPr="008E734B">
        <w:rPr>
          <w:rFonts w:ascii="Work Sans" w:hAnsi="Work Sans"/>
          <w:sz w:val="20"/>
          <w:szCs w:val="20"/>
        </w:rPr>
        <w:t xml:space="preserve">population </w:t>
      </w:r>
      <w:r w:rsidR="00451A0F" w:rsidRPr="008E734B">
        <w:rPr>
          <w:rFonts w:ascii="Work Sans" w:hAnsi="Work Sans"/>
          <w:sz w:val="20"/>
          <w:szCs w:val="20"/>
        </w:rPr>
        <w:t>estimates</w:t>
      </w:r>
      <w:r w:rsidRPr="008E734B">
        <w:rPr>
          <w:rFonts w:ascii="Work Sans" w:hAnsi="Work Sans"/>
          <w:sz w:val="20"/>
          <w:szCs w:val="20"/>
        </w:rPr>
        <w:t xml:space="preserve"> </w:t>
      </w:r>
      <w:r w:rsidR="00E2326F" w:rsidRPr="008E734B">
        <w:rPr>
          <w:rFonts w:ascii="Work Sans" w:hAnsi="Work Sans"/>
          <w:sz w:val="20"/>
          <w:szCs w:val="20"/>
        </w:rPr>
        <w:t xml:space="preserve">for </w:t>
      </w:r>
      <w:r w:rsidRPr="008E734B">
        <w:rPr>
          <w:rFonts w:ascii="Work Sans" w:hAnsi="Work Sans"/>
          <w:sz w:val="20"/>
          <w:szCs w:val="20"/>
        </w:rPr>
        <w:t xml:space="preserve">First Nations </w:t>
      </w:r>
      <w:r w:rsidR="00E2326F" w:rsidRPr="008E734B">
        <w:rPr>
          <w:rFonts w:ascii="Work Sans" w:hAnsi="Work Sans"/>
          <w:sz w:val="20"/>
          <w:szCs w:val="20"/>
        </w:rPr>
        <w:t xml:space="preserve">people </w:t>
      </w:r>
      <w:r w:rsidRPr="008E734B">
        <w:rPr>
          <w:rFonts w:ascii="Work Sans" w:hAnsi="Work Sans"/>
          <w:sz w:val="20"/>
          <w:szCs w:val="20"/>
        </w:rPr>
        <w:t>in the 2024 Update justice assessment.</w:t>
      </w:r>
    </w:p>
    <w:p w14:paraId="0E1886E4" w14:textId="1515E919" w:rsidR="004D786B" w:rsidRPr="00BC64FE" w:rsidRDefault="004D786B" w:rsidP="004D786B">
      <w:pPr>
        <w:pStyle w:val="CGCParaNumber"/>
        <w:ind w:left="567" w:hanging="567"/>
      </w:pPr>
      <w:r>
        <w:t xml:space="preserve">In the 2025 Review </w:t>
      </w:r>
      <w:hyperlink r:id="rId17">
        <w:r w:rsidR="00230809">
          <w:rPr>
            <w:rStyle w:val="Hyperlink"/>
          </w:rPr>
          <w:t>J</w:t>
        </w:r>
        <w:r w:rsidRPr="395A046E">
          <w:rPr>
            <w:rStyle w:val="Hyperlink"/>
          </w:rPr>
          <w:t>ustice assessment consultation paper</w:t>
        </w:r>
      </w:hyperlink>
      <w:r w:rsidR="003A2886">
        <w:t>,</w:t>
      </w:r>
      <w:r>
        <w:t xml:space="preserve"> the Commission proposed to recalculate use weights for the police and criminal courts assessments once it has received updated state data. The Commission anticipates that 2021 Census estimates of First Nations populations will be incorporated into the justice assessment during the 2025 Review.</w:t>
      </w:r>
    </w:p>
    <w:p w14:paraId="0BB00B42" w14:textId="4CAA6E4C" w:rsidR="00EC1EFB" w:rsidRPr="00FA7164" w:rsidRDefault="00EC1EFB" w:rsidP="00EC1EFB">
      <w:pPr>
        <w:pStyle w:val="Caption"/>
        <w:rPr>
          <w:b/>
        </w:rPr>
      </w:pPr>
      <w:bookmarkStart w:id="7" w:name="_Ref144381427"/>
      <w:r w:rsidRPr="00FA7164">
        <w:rPr>
          <w:b/>
        </w:rPr>
        <w:lastRenderedPageBreak/>
        <w:t xml:space="preserve">Figure </w:t>
      </w:r>
      <w:r w:rsidRPr="00FA7164">
        <w:rPr>
          <w:b/>
        </w:rPr>
        <w:fldChar w:fldCharType="begin"/>
      </w:r>
      <w:r w:rsidRPr="00FA7164">
        <w:rPr>
          <w:b/>
        </w:rPr>
        <w:instrText xml:space="preserve"> SEQ Figure \* ARABIC </w:instrText>
      </w:r>
      <w:r w:rsidRPr="00FA7164">
        <w:rPr>
          <w:b/>
        </w:rPr>
        <w:fldChar w:fldCharType="separate"/>
      </w:r>
      <w:r w:rsidRPr="00FA7164">
        <w:rPr>
          <w:b/>
        </w:rPr>
        <w:t>1</w:t>
      </w:r>
      <w:r w:rsidRPr="00FA7164">
        <w:rPr>
          <w:b/>
        </w:rPr>
        <w:fldChar w:fldCharType="end"/>
      </w:r>
      <w:bookmarkEnd w:id="7"/>
      <w:r w:rsidRPr="00FA7164">
        <w:rPr>
          <w:b/>
        </w:rPr>
        <w:tab/>
        <w:t>Analysis of 2021 First Nations Census population</w:t>
      </w:r>
    </w:p>
    <w:p w14:paraId="15591288" w14:textId="45541312" w:rsidR="00FE7A05" w:rsidRPr="00545470" w:rsidRDefault="00FE7A05" w:rsidP="00A0690E">
      <w:pPr>
        <w:keepNext/>
        <w:keepLines/>
        <w:tabs>
          <w:tab w:val="left" w:pos="567"/>
        </w:tabs>
        <w:spacing w:before="120" w:after="0" w:line="254" w:lineRule="auto"/>
      </w:pPr>
      <w:r>
        <w:rPr>
          <w:noProof/>
        </w:rPr>
        <w:drawing>
          <wp:inline distT="0" distB="0" distL="0" distR="0" wp14:anchorId="2447D554" wp14:editId="3D49C603">
            <wp:extent cx="5731510" cy="370082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753556" cy="3715056"/>
                    </a:xfrm>
                    <a:prstGeom prst="rect">
                      <a:avLst/>
                    </a:prstGeom>
                  </pic:spPr>
                </pic:pic>
              </a:graphicData>
            </a:graphic>
          </wp:inline>
        </w:drawing>
      </w:r>
    </w:p>
    <w:p w14:paraId="03F9766D" w14:textId="77777777" w:rsidR="005159BD" w:rsidRPr="00086F13" w:rsidRDefault="005159BD" w:rsidP="00A0690E">
      <w:pPr>
        <w:pStyle w:val="CGCTablenote"/>
        <w:keepNext/>
        <w:keepLines/>
        <w:ind w:left="680" w:hanging="567"/>
        <w:rPr>
          <w:rFonts w:ascii="Work Sans" w:hAnsi="Work Sans"/>
          <w:lang w:val="en-US"/>
        </w:rPr>
      </w:pPr>
      <w:r w:rsidRPr="00086F13">
        <w:rPr>
          <w:rFonts w:ascii="Work Sans" w:hAnsi="Work Sans"/>
          <w:lang w:val="en-US"/>
        </w:rPr>
        <w:t>Notes:</w:t>
      </w:r>
      <w:r w:rsidRPr="00086F13">
        <w:rPr>
          <w:rFonts w:ascii="Work Sans" w:hAnsi="Work Sans"/>
          <w:lang w:val="en-US"/>
        </w:rPr>
        <w:tab/>
      </w:r>
    </w:p>
    <w:p w14:paraId="1440D9BD" w14:textId="4AD4CD0E" w:rsidR="005159BD" w:rsidRPr="00086F13" w:rsidRDefault="005159BD" w:rsidP="00A0690E">
      <w:pPr>
        <w:pStyle w:val="CGCTablenote"/>
        <w:keepNext/>
        <w:keepLines/>
        <w:numPr>
          <w:ilvl w:val="0"/>
          <w:numId w:val="38"/>
        </w:numPr>
        <w:rPr>
          <w:rFonts w:ascii="Work Sans" w:hAnsi="Work Sans"/>
          <w:lang w:val="en-US"/>
        </w:rPr>
      </w:pPr>
      <w:r w:rsidRPr="00086F13">
        <w:rPr>
          <w:rFonts w:ascii="Work Sans" w:hAnsi="Work Sans"/>
          <w:lang w:val="en-US"/>
        </w:rPr>
        <w:t xml:space="preserve">Data </w:t>
      </w:r>
      <w:r w:rsidR="00356E1F" w:rsidRPr="00086F13">
        <w:rPr>
          <w:rFonts w:ascii="Work Sans" w:hAnsi="Work Sans"/>
          <w:lang w:val="en-US"/>
        </w:rPr>
        <w:t xml:space="preserve">are </w:t>
      </w:r>
      <w:r w:rsidRPr="00086F13">
        <w:rPr>
          <w:rFonts w:ascii="Work Sans" w:hAnsi="Work Sans"/>
          <w:lang w:val="en-US"/>
        </w:rPr>
        <w:t xml:space="preserve">based on </w:t>
      </w:r>
      <w:r w:rsidR="001C2907" w:rsidRPr="00086F13">
        <w:rPr>
          <w:rFonts w:ascii="Work Sans" w:hAnsi="Work Sans"/>
          <w:lang w:val="en-US"/>
        </w:rPr>
        <w:t>inter-</w:t>
      </w:r>
      <w:r w:rsidR="0024723B" w:rsidRPr="00086F13">
        <w:rPr>
          <w:rFonts w:ascii="Work Sans" w:hAnsi="Work Sans"/>
          <w:lang w:val="en-US"/>
        </w:rPr>
        <w:t>censu</w:t>
      </w:r>
      <w:r w:rsidR="003A2886" w:rsidRPr="00086F13">
        <w:rPr>
          <w:rFonts w:ascii="Work Sans" w:hAnsi="Work Sans"/>
          <w:lang w:val="en-US"/>
        </w:rPr>
        <w:t>s</w:t>
      </w:r>
      <w:r w:rsidR="0024723B" w:rsidRPr="00086F13">
        <w:rPr>
          <w:rFonts w:ascii="Work Sans" w:hAnsi="Work Sans"/>
          <w:lang w:val="en-US"/>
        </w:rPr>
        <w:t xml:space="preserve"> </w:t>
      </w:r>
      <w:r w:rsidRPr="00086F13">
        <w:rPr>
          <w:rFonts w:ascii="Work Sans" w:hAnsi="Work Sans"/>
          <w:lang w:val="en-US"/>
        </w:rPr>
        <w:t>counts rather than estimated resident population</w:t>
      </w:r>
      <w:r w:rsidR="00FE69FD" w:rsidRPr="00086F13">
        <w:rPr>
          <w:rFonts w:ascii="Work Sans" w:hAnsi="Work Sans"/>
          <w:lang w:val="en-US"/>
        </w:rPr>
        <w:t>.</w:t>
      </w:r>
    </w:p>
    <w:p w14:paraId="6A161E3C" w14:textId="0072BD88" w:rsidR="005159BD" w:rsidRPr="00086F13" w:rsidRDefault="005159BD" w:rsidP="00A0690E">
      <w:pPr>
        <w:pStyle w:val="CGCTablenote"/>
        <w:keepNext/>
        <w:keepLines/>
        <w:numPr>
          <w:ilvl w:val="0"/>
          <w:numId w:val="38"/>
        </w:numPr>
        <w:rPr>
          <w:rFonts w:ascii="Work Sans" w:hAnsi="Work Sans"/>
          <w:lang w:val="en-US"/>
        </w:rPr>
      </w:pPr>
      <w:r w:rsidRPr="00086F13">
        <w:rPr>
          <w:rFonts w:ascii="Work Sans" w:hAnsi="Work Sans"/>
          <w:lang w:val="en-US"/>
        </w:rPr>
        <w:t xml:space="preserve">Demographic change refers to growth of First Nations Australians due to births, </w:t>
      </w:r>
      <w:proofErr w:type="gramStart"/>
      <w:r w:rsidRPr="00086F13">
        <w:rPr>
          <w:rFonts w:ascii="Work Sans" w:hAnsi="Work Sans"/>
          <w:lang w:val="en-US"/>
        </w:rPr>
        <w:t>deaths</w:t>
      </w:r>
      <w:proofErr w:type="gramEnd"/>
      <w:r w:rsidRPr="00086F13">
        <w:rPr>
          <w:rFonts w:ascii="Work Sans" w:hAnsi="Work Sans"/>
          <w:lang w:val="en-US"/>
        </w:rPr>
        <w:t xml:space="preserve"> and migration (2021 Census estimates). Non</w:t>
      </w:r>
      <w:r w:rsidR="5BC30E88" w:rsidRPr="00086F13">
        <w:rPr>
          <w:rFonts w:ascii="Work Sans" w:hAnsi="Work Sans"/>
          <w:lang w:val="en-US"/>
        </w:rPr>
        <w:t>-</w:t>
      </w:r>
      <w:r w:rsidR="00976EBC" w:rsidRPr="00086F13">
        <w:rPr>
          <w:rFonts w:ascii="Work Sans" w:hAnsi="Work Sans"/>
          <w:lang w:val="en-US"/>
        </w:rPr>
        <w:noBreakHyphen/>
      </w:r>
      <w:r w:rsidRPr="00086F13">
        <w:rPr>
          <w:rFonts w:ascii="Work Sans" w:hAnsi="Work Sans"/>
          <w:lang w:val="en-US"/>
        </w:rPr>
        <w:t xml:space="preserve">demographic change refers to growth of First Nations Australians due to altering Census coverage and changing patterns of First Nations identification. </w:t>
      </w:r>
    </w:p>
    <w:p w14:paraId="2683942A" w14:textId="41E49E92" w:rsidR="00AA23AE" w:rsidRPr="00086F13" w:rsidRDefault="00625617" w:rsidP="00A0690E">
      <w:pPr>
        <w:pStyle w:val="CGCTablenote"/>
        <w:keepNext/>
        <w:keepLines/>
        <w:ind w:left="680" w:hanging="567"/>
        <w:rPr>
          <w:rFonts w:ascii="Work Sans" w:hAnsi="Work Sans"/>
          <w:lang w:val="en-US"/>
        </w:rPr>
      </w:pPr>
      <w:r w:rsidRPr="00086F13">
        <w:rPr>
          <w:rFonts w:ascii="Work Sans" w:hAnsi="Work Sans"/>
        </w:rPr>
        <w:t>Source:</w:t>
      </w:r>
      <w:r w:rsidRPr="00086F13">
        <w:rPr>
          <w:rFonts w:ascii="Work Sans" w:hAnsi="Work Sans"/>
        </w:rPr>
        <w:tab/>
      </w:r>
      <w:bookmarkStart w:id="8" w:name="_Hlk143699762"/>
      <w:r w:rsidR="001D27E0" w:rsidRPr="00086F13">
        <w:rPr>
          <w:rFonts w:ascii="Work Sans" w:hAnsi="Work Sans"/>
        </w:rPr>
        <w:t>Commission calculation using ABS data</w:t>
      </w:r>
      <w:bookmarkEnd w:id="8"/>
      <w:r w:rsidR="006013CD" w:rsidRPr="00086F13">
        <w:rPr>
          <w:rFonts w:ascii="Work Sans" w:hAnsi="Work Sans"/>
        </w:rPr>
        <w:t>.</w:t>
      </w:r>
      <w:r w:rsidR="002E1A9E" w:rsidRPr="00086F13">
        <w:rPr>
          <w:rFonts w:ascii="Work Sans" w:hAnsi="Work Sans"/>
          <w:kern w:val="2"/>
          <w:sz w:val="20"/>
          <w:szCs w:val="20"/>
          <w:lang w:val="en-US"/>
          <w14:ligatures w14:val="standardContextual"/>
        </w:rPr>
        <w:t xml:space="preserve"> </w:t>
      </w:r>
      <w:r w:rsidR="00F63709" w:rsidRPr="00086F13">
        <w:rPr>
          <w:rFonts w:ascii="Work Sans" w:hAnsi="Work Sans"/>
          <w:lang w:val="en-US"/>
        </w:rPr>
        <w:t>A</w:t>
      </w:r>
      <w:r w:rsidR="006814DB" w:rsidRPr="00086F13">
        <w:rPr>
          <w:rFonts w:ascii="Work Sans" w:hAnsi="Work Sans"/>
          <w:lang w:val="en-US"/>
        </w:rPr>
        <w:t>ustralian Bureau of Statistics (</w:t>
      </w:r>
      <w:r w:rsidR="00F63709" w:rsidRPr="00086F13">
        <w:rPr>
          <w:rFonts w:ascii="Work Sans" w:hAnsi="Work Sans"/>
          <w:lang w:val="en-US"/>
        </w:rPr>
        <w:t>ABS</w:t>
      </w:r>
      <w:r w:rsidR="006814DB" w:rsidRPr="00086F13">
        <w:rPr>
          <w:rFonts w:ascii="Work Sans" w:hAnsi="Work Sans"/>
          <w:lang w:val="en-US"/>
        </w:rPr>
        <w:t>)</w:t>
      </w:r>
      <w:r w:rsidR="00F63709" w:rsidRPr="00086F13">
        <w:rPr>
          <w:rFonts w:ascii="Work Sans" w:hAnsi="Work Sans"/>
          <w:lang w:val="en-US"/>
        </w:rPr>
        <w:t xml:space="preserve">, </w:t>
      </w:r>
      <w:r w:rsidR="00D21E50" w:rsidRPr="00086F13">
        <w:rPr>
          <w:rFonts w:ascii="Work Sans" w:hAnsi="Work Sans"/>
          <w:lang w:val="en-US"/>
        </w:rPr>
        <w:t>‘</w:t>
      </w:r>
      <w:r w:rsidR="001E0114" w:rsidRPr="00086F13">
        <w:rPr>
          <w:rFonts w:ascii="Work Sans" w:hAnsi="Work Sans"/>
          <w:lang w:val="en-US"/>
        </w:rPr>
        <w:t>Table 7</w:t>
      </w:r>
      <w:r w:rsidR="00D21E50" w:rsidRPr="00086F13">
        <w:rPr>
          <w:rFonts w:ascii="Work Sans" w:hAnsi="Work Sans"/>
          <w:lang w:val="en-US"/>
        </w:rPr>
        <w:t>.</w:t>
      </w:r>
      <w:r w:rsidR="001E0114" w:rsidRPr="00086F13">
        <w:rPr>
          <w:rFonts w:ascii="Work Sans" w:hAnsi="Work Sans"/>
          <w:lang w:val="en-US"/>
        </w:rPr>
        <w:t xml:space="preserve"> Components of change in Census counts, Aboriginal and Torres Strait Islander persons, 2016-2021</w:t>
      </w:r>
      <w:r w:rsidR="007F05DF" w:rsidRPr="00086F13">
        <w:rPr>
          <w:rFonts w:ascii="Work Sans" w:hAnsi="Work Sans"/>
          <w:lang w:val="en-US"/>
        </w:rPr>
        <w:t xml:space="preserve">’, </w:t>
      </w:r>
      <w:hyperlink r:id="rId19" w:history="1">
        <w:r w:rsidR="00F63709" w:rsidRPr="00086F13">
          <w:rPr>
            <w:rStyle w:val="Hyperlink"/>
            <w:rFonts w:ascii="Work Sans" w:hAnsi="Work Sans"/>
            <w:lang w:val="en-US"/>
          </w:rPr>
          <w:t>Understanding change in counts of Aboriginal and Torres Strait Islander Australians: Census</w:t>
        </w:r>
      </w:hyperlink>
      <w:r w:rsidR="007F05DF" w:rsidRPr="00086F13">
        <w:rPr>
          <w:rFonts w:ascii="Work Sans" w:hAnsi="Work Sans"/>
          <w:lang w:val="en-US"/>
        </w:rPr>
        <w:t xml:space="preserve">, ABS </w:t>
      </w:r>
      <w:r w:rsidR="006F573D" w:rsidRPr="00086F13">
        <w:rPr>
          <w:rFonts w:ascii="Work Sans" w:hAnsi="Work Sans"/>
          <w:lang w:val="en-US"/>
        </w:rPr>
        <w:t>w</w:t>
      </w:r>
      <w:r w:rsidR="007F05DF" w:rsidRPr="00086F13">
        <w:rPr>
          <w:rFonts w:ascii="Work Sans" w:hAnsi="Work Sans"/>
          <w:lang w:val="en-US"/>
        </w:rPr>
        <w:t>eb</w:t>
      </w:r>
      <w:r w:rsidR="00283EB7" w:rsidRPr="00086F13">
        <w:rPr>
          <w:rFonts w:ascii="Work Sans" w:hAnsi="Work Sans"/>
          <w:lang w:val="en-US"/>
        </w:rPr>
        <w:t>si</w:t>
      </w:r>
      <w:r w:rsidR="00AC5450" w:rsidRPr="00086F13">
        <w:rPr>
          <w:rFonts w:ascii="Work Sans" w:hAnsi="Work Sans"/>
          <w:lang w:val="en-US"/>
        </w:rPr>
        <w:t xml:space="preserve">te, </w:t>
      </w:r>
      <w:r w:rsidR="00D333F4" w:rsidRPr="00086F13">
        <w:rPr>
          <w:rFonts w:ascii="Work Sans" w:hAnsi="Work Sans"/>
          <w:lang w:val="en-US"/>
        </w:rPr>
        <w:t>2023,</w:t>
      </w:r>
      <w:r w:rsidR="00A14496" w:rsidRPr="00086F13">
        <w:rPr>
          <w:rFonts w:ascii="Work Sans" w:hAnsi="Work Sans"/>
          <w:lang w:val="en-US"/>
        </w:rPr>
        <w:t xml:space="preserve"> accessed</w:t>
      </w:r>
      <w:r w:rsidR="00AC5450" w:rsidRPr="00086F13">
        <w:rPr>
          <w:rFonts w:ascii="Work Sans" w:hAnsi="Work Sans"/>
          <w:lang w:val="en-US"/>
        </w:rPr>
        <w:t xml:space="preserve"> 4 </w:t>
      </w:r>
      <w:r w:rsidR="007A197E" w:rsidRPr="00086F13">
        <w:rPr>
          <w:rFonts w:ascii="Work Sans" w:hAnsi="Work Sans"/>
          <w:lang w:val="en-US"/>
        </w:rPr>
        <w:t>September</w:t>
      </w:r>
      <w:r w:rsidR="00F63709" w:rsidRPr="00086F13">
        <w:rPr>
          <w:rFonts w:ascii="Work Sans" w:hAnsi="Work Sans"/>
          <w:lang w:val="en-US"/>
        </w:rPr>
        <w:t xml:space="preserve"> 2023. </w:t>
      </w:r>
    </w:p>
    <w:p w14:paraId="749A8002" w14:textId="54EF32EB" w:rsidR="00042AC0" w:rsidRDefault="00042AC0" w:rsidP="00FA7164">
      <w:pPr>
        <w:pStyle w:val="Heading3"/>
        <w:keepNext/>
      </w:pPr>
      <w:r>
        <w:t xml:space="preserve">Preliminary view </w:t>
      </w:r>
    </w:p>
    <w:p w14:paraId="586625BF" w14:textId="4306378A" w:rsidR="004E4554" w:rsidRDefault="00042AC0" w:rsidP="00042AC0">
      <w:pPr>
        <w:rPr>
          <w:rFonts w:ascii="Work Sans" w:eastAsia="Times New Roman" w:hAnsi="Work Sans" w:cs="Times New Roman"/>
          <w:sz w:val="20"/>
          <w:szCs w:val="20"/>
          <w:lang w:eastAsia="en-AU"/>
        </w:rPr>
      </w:pPr>
      <w:r>
        <w:rPr>
          <w:noProof/>
        </w:rPr>
        <mc:AlternateContent>
          <mc:Choice Requires="wps">
            <w:drawing>
              <wp:inline distT="0" distB="0" distL="114300" distR="114300" wp14:anchorId="4B5B6F67" wp14:editId="09CF1E4E">
                <wp:extent cx="5731510" cy="854015"/>
                <wp:effectExtent l="0" t="0" r="2540" b="3810"/>
                <wp:docPr id="1352910101" name="Rectangle 1352910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854015"/>
                        </a:xfrm>
                        <a:prstGeom prst="rect">
                          <a:avLst/>
                        </a:prstGeom>
                        <a:solidFill>
                          <a:srgbClr val="E5F8FF"/>
                        </a:solidFill>
                        <a:ln w="25400" cap="flat" cmpd="sng" algn="ctr">
                          <a:noFill/>
                          <a:prstDash val="solid"/>
                        </a:ln>
                        <a:effectLst/>
                      </wps:spPr>
                      <wps:txbx>
                        <w:txbxContent>
                          <w:p w14:paraId="7C05F557" w14:textId="7F26B46D" w:rsidR="00042AC0" w:rsidRPr="00EF13FC" w:rsidRDefault="00042AC0" w:rsidP="00F452E6">
                            <w:pPr>
                              <w:pStyle w:val="CGCBullet1"/>
                              <w:numPr>
                                <w:ilvl w:val="0"/>
                                <w:numId w:val="0"/>
                              </w:numPr>
                              <w:ind w:left="142"/>
                            </w:pPr>
                            <w:r>
                              <w:t xml:space="preserve">The </w:t>
                            </w:r>
                            <w:r w:rsidRPr="00AE1330">
                              <w:t>Commission’s preliminary view is</w:t>
                            </w:r>
                            <w:r>
                              <w:t xml:space="preserve"> to </w:t>
                            </w:r>
                            <w:r w:rsidR="003459C0">
                              <w:t>apply</w:t>
                            </w:r>
                            <w:r w:rsidRPr="00AE1330">
                              <w:t xml:space="preserve"> </w:t>
                            </w:r>
                            <w:r w:rsidR="00651492">
                              <w:t xml:space="preserve">2016 </w:t>
                            </w:r>
                            <w:r w:rsidR="003459C0">
                              <w:t xml:space="preserve">Census </w:t>
                            </w:r>
                            <w:r w:rsidR="00651492">
                              <w:t xml:space="preserve">based use weights </w:t>
                            </w:r>
                            <w:r w:rsidR="003459C0">
                              <w:t xml:space="preserve">to </w:t>
                            </w:r>
                            <w:r w:rsidR="00485FBF">
                              <w:t>2016 Census based</w:t>
                            </w:r>
                            <w:r w:rsidR="00651492">
                              <w:t xml:space="preserve"> </w:t>
                            </w:r>
                            <w:r w:rsidR="001F1183">
                              <w:t>population</w:t>
                            </w:r>
                            <w:r w:rsidR="00651492" w:rsidDel="001F1183">
                              <w:t xml:space="preserve"> </w:t>
                            </w:r>
                            <w:r w:rsidR="00A6605E">
                              <w:t>estimates</w:t>
                            </w:r>
                            <w:r w:rsidR="00651492" w:rsidDel="001F1183">
                              <w:t xml:space="preserve"> </w:t>
                            </w:r>
                            <w:r w:rsidR="00485FBF">
                              <w:t xml:space="preserve">for </w:t>
                            </w:r>
                            <w:r>
                              <w:t xml:space="preserve">First Nations </w:t>
                            </w:r>
                            <w:r w:rsidR="00485FBF">
                              <w:t>people</w:t>
                            </w:r>
                            <w:r w:rsidRPr="00AE1330">
                              <w:t xml:space="preserve"> </w:t>
                            </w:r>
                            <w:r>
                              <w:t xml:space="preserve">in </w:t>
                            </w:r>
                            <w:r w:rsidR="00011694">
                              <w:t xml:space="preserve">the </w:t>
                            </w:r>
                            <w:r>
                              <w:t>2024 Update justice assessment</w:t>
                            </w:r>
                            <w:r w:rsidRPr="00AE133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B5B6F67" id="Rectangle 1352910101" o:spid="_x0000_s1027" alt="&quot;&quot;" style="width:451.3pt;height:6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" fillcolor="#e5f8ff" stroked="f" strokeweight="2pt">
                <v:textbox>
                  <w:txbxContent>
                    <w:p w14:paraId="7C05F557" w14:textId="7F26B46D" w:rsidR="00042AC0" w:rsidRPr="00EF13FC" w:rsidRDefault="00042AC0" w:rsidP="00F452E6">
                      <w:pPr>
                        <w:pStyle w:val="CGCBullet1"/>
                        <w:numPr>
                          <w:ilvl w:val="0"/>
                          <w:numId w:val="0"/>
                        </w:numPr>
                        <w:ind w:left="142"/>
                      </w:pPr>
                      <w:r>
                        <w:t xml:space="preserve">The </w:t>
                      </w:r>
                      <w:r w:rsidRPr="00AE1330">
                        <w:t>Commission’s preliminary view is</w:t>
                      </w:r>
                      <w:r>
                        <w:t xml:space="preserve"> to </w:t>
                      </w:r>
                      <w:r w:rsidR="003459C0">
                        <w:t>apply</w:t>
                      </w:r>
                      <w:r w:rsidRPr="00AE1330">
                        <w:t xml:space="preserve"> </w:t>
                      </w:r>
                      <w:r w:rsidR="00651492">
                        <w:t xml:space="preserve">2016 </w:t>
                      </w:r>
                      <w:r w:rsidR="003459C0">
                        <w:t xml:space="preserve">Census </w:t>
                      </w:r>
                      <w:r w:rsidR="00651492">
                        <w:t xml:space="preserve">based use weights </w:t>
                      </w:r>
                      <w:r w:rsidR="003459C0">
                        <w:t xml:space="preserve">to </w:t>
                      </w:r>
                      <w:r w:rsidR="00485FBF">
                        <w:t>2016 Census based</w:t>
                      </w:r>
                      <w:r w:rsidR="00651492">
                        <w:t xml:space="preserve"> </w:t>
                      </w:r>
                      <w:r w:rsidR="001F1183">
                        <w:t>population</w:t>
                      </w:r>
                      <w:r w:rsidR="00651492" w:rsidDel="001F1183">
                        <w:t xml:space="preserve"> </w:t>
                      </w:r>
                      <w:r w:rsidR="00A6605E">
                        <w:t>estimates</w:t>
                      </w:r>
                      <w:r w:rsidR="00651492" w:rsidDel="001F1183">
                        <w:t xml:space="preserve"> </w:t>
                      </w:r>
                      <w:r w:rsidR="00485FBF">
                        <w:t xml:space="preserve">for </w:t>
                      </w:r>
                      <w:r>
                        <w:t xml:space="preserve">First Nations </w:t>
                      </w:r>
                      <w:r w:rsidR="00485FBF">
                        <w:t>people</w:t>
                      </w:r>
                      <w:r w:rsidRPr="00AE1330">
                        <w:t xml:space="preserve"> </w:t>
                      </w:r>
                      <w:r>
                        <w:t xml:space="preserve">in </w:t>
                      </w:r>
                      <w:r w:rsidR="00011694">
                        <w:t xml:space="preserve">the </w:t>
                      </w:r>
                      <w:r>
                        <w:t>2024 Update justice assessment</w:t>
                      </w:r>
                      <w:r w:rsidRPr="00AE1330">
                        <w:t>.</w:t>
                      </w:r>
                    </w:p>
                  </w:txbxContent>
                </v:textbox>
                <w10:anchorlock/>
              </v:rect>
            </w:pict>
          </mc:Fallback>
        </mc:AlternateContent>
      </w:r>
    </w:p>
    <w:p w14:paraId="2D16B681" w14:textId="2CD5EDF4" w:rsidR="00586CC4" w:rsidRDefault="00586CC4" w:rsidP="00586CC4">
      <w:pPr>
        <w:pStyle w:val="Heading2"/>
        <w:keepNext/>
      </w:pPr>
      <w:r>
        <w:t xml:space="preserve">Transport — </w:t>
      </w:r>
      <w:r w:rsidR="004659BC">
        <w:t xml:space="preserve">ABS </w:t>
      </w:r>
      <w:r w:rsidRPr="000F72D4">
        <w:t xml:space="preserve">2021 Census </w:t>
      </w:r>
      <w:r w:rsidR="005D33DE">
        <w:t>—</w:t>
      </w:r>
      <w:r w:rsidRPr="000F72D4">
        <w:t xml:space="preserve"> urban area geography data available</w:t>
      </w:r>
    </w:p>
    <w:p w14:paraId="5B642B95" w14:textId="77777777" w:rsidR="00586CC4" w:rsidRPr="009D0C9B" w:rsidRDefault="00586CC4" w:rsidP="00B5166C">
      <w:pPr>
        <w:pStyle w:val="Heading3"/>
        <w:keepNext/>
      </w:pPr>
      <w:r>
        <w:t>Issue</w:t>
      </w:r>
    </w:p>
    <w:p w14:paraId="7CEED687" w14:textId="5061192E" w:rsidR="00586CC4" w:rsidRDefault="00586CC4" w:rsidP="00254F22">
      <w:pPr>
        <w:pStyle w:val="CGCParaNumber"/>
        <w:ind w:left="567" w:hanging="567"/>
      </w:pPr>
      <w:r>
        <w:t xml:space="preserve">The Commission needs to consider whether to use the </w:t>
      </w:r>
      <w:r w:rsidR="003255AC">
        <w:t xml:space="preserve">ABS </w:t>
      </w:r>
      <w:r>
        <w:t>2021 Census definition of significant urban areas in the urban transport assessment.</w:t>
      </w:r>
    </w:p>
    <w:p w14:paraId="4EDC4FC6" w14:textId="380FE47C" w:rsidR="009C49F8" w:rsidRDefault="007C6070" w:rsidP="00254F22">
      <w:pPr>
        <w:pStyle w:val="CGCParaNumber"/>
        <w:ind w:left="567" w:hanging="567"/>
      </w:pPr>
      <w:r>
        <w:t xml:space="preserve">If the 2021 Census </w:t>
      </w:r>
      <w:r w:rsidR="00362A36">
        <w:t>urban areas are use</w:t>
      </w:r>
      <w:r w:rsidR="00691627">
        <w:t>d</w:t>
      </w:r>
      <w:r w:rsidR="00362A36">
        <w:t xml:space="preserve"> in the 2024 Update, t</w:t>
      </w:r>
      <w:r w:rsidR="004E596E">
        <w:t xml:space="preserve">he Commission also needs to consider </w:t>
      </w:r>
      <w:r w:rsidR="00A7618A">
        <w:t xml:space="preserve">whether to use </w:t>
      </w:r>
      <w:r w:rsidR="00475CE1">
        <w:t xml:space="preserve">updated slope </w:t>
      </w:r>
      <w:r w:rsidR="00513332">
        <w:t>and distance to work data</w:t>
      </w:r>
      <w:r w:rsidR="001220D3">
        <w:t xml:space="preserve"> in the urban transport assessment</w:t>
      </w:r>
      <w:r w:rsidR="004E596E">
        <w:t>.</w:t>
      </w:r>
    </w:p>
    <w:p w14:paraId="5482D57D" w14:textId="6482D119" w:rsidR="003B2493" w:rsidRPr="00BB0EEE" w:rsidRDefault="00394900" w:rsidP="008240E6">
      <w:pPr>
        <w:pStyle w:val="CGCParaNumber"/>
        <w:ind w:left="567" w:hanging="567"/>
      </w:pPr>
      <w:r w:rsidRPr="00BB0EEE">
        <w:lastRenderedPageBreak/>
        <w:t xml:space="preserve">In the 2023 Update, the Commission determined that </w:t>
      </w:r>
      <w:r w:rsidR="007B1C02" w:rsidRPr="00BB0EEE">
        <w:t>passe</w:t>
      </w:r>
      <w:r w:rsidR="00F85C6B" w:rsidRPr="00BB0EEE">
        <w:t>n</w:t>
      </w:r>
      <w:r w:rsidR="007B1C02" w:rsidRPr="00BB0EEE">
        <w:t xml:space="preserve">ger numbers from the </w:t>
      </w:r>
      <w:r w:rsidR="00726F76" w:rsidRPr="00BB0EEE">
        <w:t>2021 Census</w:t>
      </w:r>
      <w:r w:rsidRPr="00BB0EEE">
        <w:t xml:space="preserve"> </w:t>
      </w:r>
      <w:r w:rsidR="007B1C02" w:rsidRPr="00BB0EEE">
        <w:t>were impacted by COVID-19</w:t>
      </w:r>
      <w:r w:rsidR="002E73F7" w:rsidRPr="00BB0EEE">
        <w:t xml:space="preserve"> restrictions and not </w:t>
      </w:r>
      <w:r w:rsidR="000C0B17" w:rsidRPr="00BB0EEE">
        <w:t>appropriate for use in the assessment.</w:t>
      </w:r>
      <w:r w:rsidR="00726F76" w:rsidRPr="00BB0EEE">
        <w:t xml:space="preserve"> </w:t>
      </w:r>
      <w:r w:rsidR="000C0B17" w:rsidRPr="00BB0EEE">
        <w:t xml:space="preserve">Therefore, </w:t>
      </w:r>
      <w:r w:rsidR="005450C9" w:rsidRPr="00BB0EEE">
        <w:t xml:space="preserve">2016 Census </w:t>
      </w:r>
      <w:r w:rsidR="007B4350" w:rsidRPr="00BB0EEE">
        <w:t xml:space="preserve">data will continue to be used </w:t>
      </w:r>
      <w:r w:rsidR="00620D2F" w:rsidRPr="00BB0EEE">
        <w:t xml:space="preserve">to represent passenger numbers until 2026 Census data </w:t>
      </w:r>
      <w:r w:rsidR="00F55B6E">
        <w:t>become</w:t>
      </w:r>
      <w:r w:rsidR="00F55B6E" w:rsidRPr="00BB0EEE">
        <w:t xml:space="preserve"> </w:t>
      </w:r>
      <w:r w:rsidR="00A10E7F" w:rsidRPr="00BB0EEE">
        <w:t>available.</w:t>
      </w:r>
    </w:p>
    <w:p w14:paraId="71A8E17E" w14:textId="77777777" w:rsidR="00586CC4" w:rsidRPr="00FA2246" w:rsidRDefault="00586CC4" w:rsidP="00586CC4">
      <w:pPr>
        <w:pStyle w:val="Heading3"/>
        <w:keepNext/>
      </w:pPr>
      <w:r>
        <w:t>Background</w:t>
      </w:r>
    </w:p>
    <w:p w14:paraId="748D8F39" w14:textId="7ABC579C" w:rsidR="00646D30" w:rsidRPr="00254F22" w:rsidRDefault="00586CC4" w:rsidP="00254F22">
      <w:pPr>
        <w:pStyle w:val="CGCParaNumber"/>
        <w:ind w:left="567" w:hanging="567"/>
      </w:pPr>
      <w:r>
        <w:t xml:space="preserve">The Commission’s urban transport assessment uses regression </w:t>
      </w:r>
      <w:r w:rsidR="0065190A">
        <w:t xml:space="preserve">analysis </w:t>
      </w:r>
      <w:r>
        <w:t xml:space="preserve">to </w:t>
      </w:r>
      <w:r w:rsidR="0065190A">
        <w:t xml:space="preserve">estimate </w:t>
      </w:r>
      <w:r>
        <w:t xml:space="preserve">the impact </w:t>
      </w:r>
      <w:r w:rsidR="0065190A">
        <w:t>of</w:t>
      </w:r>
      <w:r w:rsidR="00D93C1E">
        <w:t xml:space="preserve"> </w:t>
      </w:r>
      <w:r>
        <w:t xml:space="preserve">urban centre characteristics on net per capita expenses. The </w:t>
      </w:r>
      <w:r w:rsidR="00646D30">
        <w:t xml:space="preserve">variables </w:t>
      </w:r>
      <w:r w:rsidR="00E86491">
        <w:t xml:space="preserve">modelled </w:t>
      </w:r>
      <w:r>
        <w:t>include</w:t>
      </w:r>
      <w:r w:rsidR="00E86491">
        <w:t>:</w:t>
      </w:r>
    </w:p>
    <w:p w14:paraId="3C1CAAE6" w14:textId="646016A6" w:rsidR="00646D30" w:rsidRDefault="009E4DF4" w:rsidP="000B5C93">
      <w:pPr>
        <w:pStyle w:val="CGCBullet1"/>
        <w:numPr>
          <w:ilvl w:val="0"/>
          <w:numId w:val="34"/>
        </w:numPr>
        <w:rPr>
          <w:rStyle w:val="normaltextrun"/>
          <w:color w:val="000000" w:themeColor="text1"/>
        </w:rPr>
      </w:pPr>
      <w:r>
        <w:rPr>
          <w:rStyle w:val="normaltextrun"/>
          <w:color w:val="000000" w:themeColor="text1"/>
        </w:rPr>
        <w:t>d</w:t>
      </w:r>
      <w:r w:rsidR="00C067B6">
        <w:rPr>
          <w:rStyle w:val="normaltextrun"/>
          <w:color w:val="000000" w:themeColor="text1"/>
        </w:rPr>
        <w:t>emand</w:t>
      </w:r>
      <w:r w:rsidR="009D3C10">
        <w:rPr>
          <w:rStyle w:val="normaltextrun"/>
          <w:color w:val="000000" w:themeColor="text1"/>
        </w:rPr>
        <w:t xml:space="preserve"> </w:t>
      </w:r>
      <w:r w:rsidR="00C067B6">
        <w:rPr>
          <w:rStyle w:val="normaltextrun"/>
          <w:color w:val="000000" w:themeColor="text1"/>
        </w:rPr>
        <w:t>(</w:t>
      </w:r>
      <w:r w:rsidR="00646D30">
        <w:rPr>
          <w:rStyle w:val="normaltextrun"/>
          <w:color w:val="000000" w:themeColor="text1"/>
        </w:rPr>
        <w:t xml:space="preserve">population weighted </w:t>
      </w:r>
      <w:r w:rsidR="00586CC4">
        <w:rPr>
          <w:rStyle w:val="normaltextrun"/>
          <w:color w:val="000000" w:themeColor="text1"/>
        </w:rPr>
        <w:t>density</w:t>
      </w:r>
      <w:r w:rsidRPr="1C8CF150">
        <w:rPr>
          <w:rStyle w:val="normaltextrun"/>
          <w:color w:val="000000" w:themeColor="text1"/>
        </w:rPr>
        <w:t>)</w:t>
      </w:r>
    </w:p>
    <w:p w14:paraId="4D58BD35" w14:textId="738F87F7" w:rsidR="00646D30" w:rsidRDefault="00037335" w:rsidP="000B5C93">
      <w:pPr>
        <w:pStyle w:val="CGCBullet1"/>
        <w:numPr>
          <w:ilvl w:val="0"/>
          <w:numId w:val="34"/>
        </w:numPr>
        <w:rPr>
          <w:rStyle w:val="normaltextrun"/>
          <w:color w:val="000000" w:themeColor="text1"/>
        </w:rPr>
      </w:pPr>
      <w:r>
        <w:rPr>
          <w:rStyle w:val="normaltextrun"/>
          <w:color w:val="000000" w:themeColor="text1"/>
        </w:rPr>
        <w:t>service provision</w:t>
      </w:r>
      <w:r w:rsidR="009D3C10">
        <w:rPr>
          <w:rStyle w:val="normaltextrun"/>
          <w:color w:val="000000" w:themeColor="text1"/>
        </w:rPr>
        <w:t xml:space="preserve"> (</w:t>
      </w:r>
      <w:r w:rsidR="00586CC4">
        <w:rPr>
          <w:rStyle w:val="normaltextrun"/>
          <w:color w:val="000000" w:themeColor="text1"/>
        </w:rPr>
        <w:t>passenger numbers</w:t>
      </w:r>
      <w:r w:rsidR="009E4DF4" w:rsidRPr="1C8CF150">
        <w:rPr>
          <w:rStyle w:val="normaltextrun"/>
          <w:color w:val="000000" w:themeColor="text1"/>
        </w:rPr>
        <w:t>)</w:t>
      </w:r>
    </w:p>
    <w:p w14:paraId="3FB59E69" w14:textId="621FA87C" w:rsidR="00646D30" w:rsidRDefault="00586CC4" w:rsidP="000B5C93">
      <w:pPr>
        <w:pStyle w:val="CGCBullet1"/>
        <w:numPr>
          <w:ilvl w:val="0"/>
          <w:numId w:val="34"/>
        </w:numPr>
        <w:rPr>
          <w:rStyle w:val="normaltextrun"/>
          <w:color w:val="000000" w:themeColor="text1"/>
        </w:rPr>
      </w:pPr>
      <w:r>
        <w:rPr>
          <w:rStyle w:val="normaltextrun"/>
          <w:color w:val="000000" w:themeColor="text1"/>
        </w:rPr>
        <w:t>topography</w:t>
      </w:r>
      <w:r w:rsidR="001C12E6">
        <w:rPr>
          <w:rStyle w:val="normaltextrun"/>
          <w:color w:val="000000" w:themeColor="text1"/>
        </w:rPr>
        <w:t xml:space="preserve"> (slope</w:t>
      </w:r>
      <w:r w:rsidR="001C12E6" w:rsidRPr="1C8CF150">
        <w:rPr>
          <w:rStyle w:val="normaltextrun"/>
          <w:color w:val="000000" w:themeColor="text1"/>
        </w:rPr>
        <w:t>)</w:t>
      </w:r>
    </w:p>
    <w:p w14:paraId="5CCAE90B" w14:textId="299F5F81" w:rsidR="00646D30" w:rsidRDefault="00490285" w:rsidP="000B5C93">
      <w:pPr>
        <w:pStyle w:val="CGCBullet1"/>
        <w:numPr>
          <w:ilvl w:val="0"/>
          <w:numId w:val="34"/>
        </w:numPr>
        <w:rPr>
          <w:rStyle w:val="normaltextrun"/>
          <w:color w:val="000000" w:themeColor="text1"/>
        </w:rPr>
      </w:pPr>
      <w:r w:rsidRPr="6FD1C83B">
        <w:rPr>
          <w:rStyle w:val="normaltextrun"/>
          <w:color w:val="000000" w:themeColor="text1"/>
        </w:rPr>
        <w:t>network complexity</w:t>
      </w:r>
      <w:r w:rsidR="001C12E6">
        <w:rPr>
          <w:rStyle w:val="normaltextrun"/>
          <w:color w:val="000000" w:themeColor="text1"/>
        </w:rPr>
        <w:t xml:space="preserve"> (distance to work)</w:t>
      </w:r>
    </w:p>
    <w:p w14:paraId="5F36179B" w14:textId="1BBC80A1" w:rsidR="00646D30" w:rsidRDefault="00586CC4" w:rsidP="000B5C93">
      <w:pPr>
        <w:pStyle w:val="CGCBullet1"/>
        <w:numPr>
          <w:ilvl w:val="0"/>
          <w:numId w:val="34"/>
        </w:numPr>
        <w:rPr>
          <w:rStyle w:val="normaltextrun"/>
          <w:color w:val="000000" w:themeColor="text1"/>
        </w:rPr>
      </w:pPr>
      <w:r>
        <w:rPr>
          <w:rStyle w:val="normaltextrun"/>
          <w:color w:val="000000" w:themeColor="text1"/>
        </w:rPr>
        <w:t>the availability of water transport (ferries).</w:t>
      </w:r>
    </w:p>
    <w:p w14:paraId="09F0A21B" w14:textId="35EA6D35" w:rsidR="00A87662" w:rsidRPr="00FA7164" w:rsidRDefault="00586CC4" w:rsidP="00FA7164">
      <w:pPr>
        <w:pStyle w:val="CGCParaNumber"/>
        <w:ind w:left="567" w:hanging="567"/>
      </w:pPr>
      <w:r>
        <w:t xml:space="preserve">The regression </w:t>
      </w:r>
      <w:r w:rsidR="00646D30">
        <w:t xml:space="preserve">coefficients </w:t>
      </w:r>
      <w:r>
        <w:t xml:space="preserve">are based on data from </w:t>
      </w:r>
      <w:r w:rsidR="008E14AE">
        <w:t>2013</w:t>
      </w:r>
      <w:r w:rsidR="00C15EA5">
        <w:t>–</w:t>
      </w:r>
      <w:r w:rsidR="008E14AE">
        <w:t>14 to 2015</w:t>
      </w:r>
      <w:r w:rsidR="00C15EA5">
        <w:t>–</w:t>
      </w:r>
      <w:r w:rsidR="008E14AE">
        <w:t>16</w:t>
      </w:r>
      <w:r>
        <w:t xml:space="preserve"> and </w:t>
      </w:r>
      <w:r w:rsidR="001A2451">
        <w:t xml:space="preserve">the </w:t>
      </w:r>
      <w:r w:rsidR="00EE6794">
        <w:t>ABS </w:t>
      </w:r>
      <w:r>
        <w:t>2016</w:t>
      </w:r>
      <w:r w:rsidR="001A2451">
        <w:t> </w:t>
      </w:r>
      <w:r>
        <w:t>Census</w:t>
      </w:r>
      <w:r w:rsidR="00C567F1">
        <w:t>.</w:t>
      </w:r>
      <w:r>
        <w:t xml:space="preserve"> </w:t>
      </w:r>
      <w:r w:rsidR="00C567F1">
        <w:t xml:space="preserve">The coefficients </w:t>
      </w:r>
      <w:r>
        <w:t>are held constant between reviews.</w:t>
      </w:r>
    </w:p>
    <w:p w14:paraId="5D126CB7" w14:textId="4D3FC09F" w:rsidR="004D786B" w:rsidRPr="00FA7164" w:rsidRDefault="00586CC4" w:rsidP="0098648D">
      <w:pPr>
        <w:pStyle w:val="CGCParaNumber"/>
        <w:ind w:left="567" w:hanging="567"/>
      </w:pPr>
      <w:r w:rsidRPr="00FA7164">
        <w:t xml:space="preserve">In an </w:t>
      </w:r>
      <w:r w:rsidR="39DE309E" w:rsidRPr="00FA7164">
        <w:t>u</w:t>
      </w:r>
      <w:r w:rsidRPr="00FA7164">
        <w:t xml:space="preserve">pdate, the coefficients are applied to significant urban areas </w:t>
      </w:r>
      <w:r w:rsidR="001D6536" w:rsidRPr="00FA7164">
        <w:t>(</w:t>
      </w:r>
      <w:r w:rsidRPr="00FA7164">
        <w:t xml:space="preserve">defined by the ABS). </w:t>
      </w:r>
      <w:r w:rsidR="00812F4B" w:rsidRPr="00FA7164">
        <w:t xml:space="preserve">Between </w:t>
      </w:r>
      <w:r w:rsidR="00F90CBC" w:rsidRPr="00FA7164">
        <w:t>c</w:t>
      </w:r>
      <w:r w:rsidR="00812F4B" w:rsidRPr="00FA7164">
        <w:t>ensus years,</w:t>
      </w:r>
      <w:r w:rsidRPr="00FA7164" w:rsidDel="00586CC4">
        <w:t xml:space="preserve"> </w:t>
      </w:r>
      <w:r w:rsidR="003C5B26">
        <w:t>u</w:t>
      </w:r>
      <w:r w:rsidR="00834A32" w:rsidRPr="00FA7164">
        <w:t>rban area</w:t>
      </w:r>
      <w:r w:rsidR="00E3137E" w:rsidRPr="00FA7164">
        <w:t xml:space="preserve">s </w:t>
      </w:r>
      <w:r w:rsidR="003A123E" w:rsidRPr="00FA7164">
        <w:t xml:space="preserve">are </w:t>
      </w:r>
      <w:r w:rsidR="007A19B5" w:rsidRPr="00FA7164">
        <w:t>unchanged,</w:t>
      </w:r>
      <w:r w:rsidR="003A123E" w:rsidRPr="00FA7164">
        <w:t xml:space="preserve"> and</w:t>
      </w:r>
      <w:r w:rsidRPr="00FA7164">
        <w:t xml:space="preserve"> characteristics are</w:t>
      </w:r>
      <w:r w:rsidRPr="00FA7164" w:rsidDel="00586CC4">
        <w:t xml:space="preserve"> </w:t>
      </w:r>
      <w:r w:rsidR="00742FA4" w:rsidRPr="00FA7164">
        <w:t xml:space="preserve">updated </w:t>
      </w:r>
      <w:r w:rsidR="00D63B7F" w:rsidRPr="00FA7164">
        <w:t>using</w:t>
      </w:r>
      <w:r w:rsidRPr="00FA7164">
        <w:t xml:space="preserve"> the latest</w:t>
      </w:r>
      <w:r w:rsidR="0075382F">
        <w:t xml:space="preserve"> ABS</w:t>
      </w:r>
      <w:r w:rsidRPr="00FA7164">
        <w:t xml:space="preserve"> estimated resident population data</w:t>
      </w:r>
      <w:r w:rsidR="00B470C9" w:rsidRPr="00FA7164">
        <w:t>.</w:t>
      </w:r>
      <w:r w:rsidRPr="00DC5096">
        <w:rPr>
          <w:sz w:val="24"/>
          <w:szCs w:val="24"/>
          <w:vertAlign w:val="superscript"/>
        </w:rPr>
        <w:footnoteReference w:id="7"/>
      </w:r>
      <w:r w:rsidRPr="00FA7164">
        <w:t xml:space="preserve"> This changes the population</w:t>
      </w:r>
      <w:r w:rsidR="009F466B" w:rsidRPr="00FA7164">
        <w:t>-</w:t>
      </w:r>
      <w:r w:rsidRPr="00FA7164">
        <w:t>weighted density and the modelled passenger numbers.</w:t>
      </w:r>
    </w:p>
    <w:p w14:paraId="7A2FEBF0" w14:textId="5AD25B43" w:rsidR="001C557E" w:rsidRDefault="001C557E" w:rsidP="001C557E">
      <w:pPr>
        <w:pStyle w:val="Heading4"/>
      </w:pPr>
      <w:r>
        <w:t>Urban area geography</w:t>
      </w:r>
    </w:p>
    <w:p w14:paraId="3B30B548" w14:textId="549E6458" w:rsidR="00586CC4" w:rsidRDefault="00586CC4" w:rsidP="00586CC4">
      <w:pPr>
        <w:pStyle w:val="CGCParaNumber"/>
        <w:ind w:left="567" w:hanging="567"/>
      </w:pPr>
      <w:r>
        <w:t xml:space="preserve">The geography data used to define significant urban areas are updated </w:t>
      </w:r>
      <w:r w:rsidR="0075382F">
        <w:t xml:space="preserve">by </w:t>
      </w:r>
      <w:r w:rsidR="002657BC">
        <w:t xml:space="preserve">the </w:t>
      </w:r>
      <w:r w:rsidR="0075382F">
        <w:t xml:space="preserve">ABS </w:t>
      </w:r>
      <w:r>
        <w:t xml:space="preserve">after </w:t>
      </w:r>
      <w:r w:rsidR="000B4A87">
        <w:t xml:space="preserve">each </w:t>
      </w:r>
      <w:r w:rsidR="00B01C80">
        <w:t>c</w:t>
      </w:r>
      <w:r>
        <w:t xml:space="preserve">ensus. The significant urban areas based on the 2021 Census differ from those identified in the 2016 Census. </w:t>
      </w:r>
      <w:r w:rsidR="00FE44CD">
        <w:t>A</w:t>
      </w:r>
      <w:r>
        <w:t xml:space="preserve"> list of the </w:t>
      </w:r>
      <w:r w:rsidR="00771EE2">
        <w:t xml:space="preserve">changes to </w:t>
      </w:r>
      <w:r>
        <w:t xml:space="preserve">significant urban areas </w:t>
      </w:r>
      <w:r w:rsidR="00BD4B35">
        <w:t xml:space="preserve">between the 2021 and 2016 </w:t>
      </w:r>
      <w:r>
        <w:t>Census</w:t>
      </w:r>
      <w:r w:rsidR="00D66618">
        <w:t>es</w:t>
      </w:r>
      <w:r>
        <w:t xml:space="preserve"> </w:t>
      </w:r>
      <w:r w:rsidR="004B3057">
        <w:t>is</w:t>
      </w:r>
      <w:r>
        <w:t xml:space="preserve"> </w:t>
      </w:r>
      <w:r w:rsidR="004B3057">
        <w:t xml:space="preserve">at </w:t>
      </w:r>
      <w:r>
        <w:t xml:space="preserve">Attachment </w:t>
      </w:r>
      <w:r w:rsidR="757BD127">
        <w:t>B.</w:t>
      </w:r>
    </w:p>
    <w:p w14:paraId="23C440FD" w14:textId="564A28E1" w:rsidR="00C06F5B" w:rsidRDefault="00E62F81" w:rsidP="00586CC4">
      <w:pPr>
        <w:pStyle w:val="CGCParaNumber"/>
        <w:ind w:left="567" w:hanging="567"/>
      </w:pPr>
      <w:r>
        <w:t xml:space="preserve">In the 2021 </w:t>
      </w:r>
      <w:r w:rsidR="00AE3489">
        <w:t>Census, t</w:t>
      </w:r>
      <w:r w:rsidR="001847FF">
        <w:t xml:space="preserve">he </w:t>
      </w:r>
      <w:r w:rsidR="00B20FF1">
        <w:t>ABS ama</w:t>
      </w:r>
      <w:r w:rsidR="00B76646">
        <w:t xml:space="preserve">lgamated </w:t>
      </w:r>
      <w:r w:rsidR="00B20FF1">
        <w:t>Melton and Yanchep</w:t>
      </w:r>
      <w:r w:rsidR="001847FF">
        <w:t xml:space="preserve"> into </w:t>
      </w:r>
      <w:r w:rsidR="00214838">
        <w:t xml:space="preserve">the </w:t>
      </w:r>
      <w:r w:rsidR="001847FF">
        <w:t xml:space="preserve">Melbourne and Perth </w:t>
      </w:r>
      <w:r w:rsidR="00686414">
        <w:t>significant urban areas</w:t>
      </w:r>
      <w:r w:rsidR="0000791E">
        <w:t>,</w:t>
      </w:r>
      <w:r w:rsidR="001847FF">
        <w:t xml:space="preserve"> </w:t>
      </w:r>
      <w:r w:rsidR="00AE3489">
        <w:t xml:space="preserve">respectively. </w:t>
      </w:r>
      <w:r w:rsidR="003D4A09">
        <w:t>Melton and Yanchep</w:t>
      </w:r>
      <w:r w:rsidR="007D3022">
        <w:t xml:space="preserve"> were </w:t>
      </w:r>
      <w:r w:rsidR="00086FC2">
        <w:t xml:space="preserve">previously </w:t>
      </w:r>
      <w:r w:rsidR="007D3022">
        <w:t>identified as satellite cities in the 2020</w:t>
      </w:r>
      <w:r w:rsidR="001F1008">
        <w:t> </w:t>
      </w:r>
      <w:r w:rsidR="007D3022">
        <w:t xml:space="preserve">Review </w:t>
      </w:r>
      <w:r w:rsidR="00906848">
        <w:t>because</w:t>
      </w:r>
      <w:r w:rsidR="002F530E">
        <w:t xml:space="preserve"> their labour markets were closely integrated</w:t>
      </w:r>
      <w:r w:rsidR="004A1865">
        <w:t xml:space="preserve"> with the neighbouring capital city. </w:t>
      </w:r>
      <w:r w:rsidR="0015670D">
        <w:t>No</w:t>
      </w:r>
      <w:r w:rsidR="00D65057">
        <w:t xml:space="preserve"> new satellite cities were identified </w:t>
      </w:r>
      <w:r w:rsidR="001F4EA8">
        <w:t>when the method was applied to 2021 Census geographies.</w:t>
      </w:r>
    </w:p>
    <w:p w14:paraId="4CE68FF7" w14:textId="589EB44E" w:rsidR="72B9FB74" w:rsidRDefault="008C2019" w:rsidP="2F723497">
      <w:pPr>
        <w:pStyle w:val="CGCParaNumber"/>
        <w:ind w:left="567" w:hanging="567"/>
        <w:rPr>
          <w:rFonts w:eastAsia="Calibri" w:cs="Arial"/>
        </w:rPr>
      </w:pPr>
      <w:r w:rsidRPr="20234A39">
        <w:rPr>
          <w:rFonts w:eastAsia="Calibri" w:cs="Arial"/>
        </w:rPr>
        <w:t>In addition</w:t>
      </w:r>
      <w:r w:rsidR="72B9FB74" w:rsidRPr="20234A39">
        <w:rPr>
          <w:rFonts w:eastAsia="Calibri" w:cs="Arial"/>
        </w:rPr>
        <w:t xml:space="preserve">, </w:t>
      </w:r>
      <w:r w:rsidR="1C43BE8B" w:rsidRPr="20234A39">
        <w:rPr>
          <w:rFonts w:eastAsia="Calibri" w:cs="Arial"/>
        </w:rPr>
        <w:t xml:space="preserve">ABS </w:t>
      </w:r>
      <w:r w:rsidR="72B9FB74" w:rsidRPr="20234A39">
        <w:rPr>
          <w:rFonts w:eastAsia="Calibri" w:cs="Arial"/>
        </w:rPr>
        <w:t xml:space="preserve">population </w:t>
      </w:r>
      <w:r w:rsidRPr="20234A39">
        <w:rPr>
          <w:rFonts w:eastAsia="Calibri" w:cs="Arial"/>
        </w:rPr>
        <w:t xml:space="preserve">estimates </w:t>
      </w:r>
      <w:r w:rsidR="72B9FB74" w:rsidRPr="20234A39">
        <w:rPr>
          <w:rFonts w:eastAsia="Calibri" w:cs="Arial"/>
        </w:rPr>
        <w:t>have been revised</w:t>
      </w:r>
      <w:r w:rsidR="003E38F5" w:rsidRPr="20234A39">
        <w:rPr>
          <w:rFonts w:eastAsia="Calibri" w:cs="Arial"/>
        </w:rPr>
        <w:t xml:space="preserve"> which</w:t>
      </w:r>
      <w:r w:rsidR="007B630A" w:rsidRPr="20234A39">
        <w:rPr>
          <w:rFonts w:eastAsia="Calibri" w:cs="Arial"/>
        </w:rPr>
        <w:t xml:space="preserve"> will </w:t>
      </w:r>
      <w:r w:rsidR="72B9FB74" w:rsidRPr="20234A39">
        <w:rPr>
          <w:rFonts w:eastAsia="Calibri" w:cs="Arial"/>
        </w:rPr>
        <w:t xml:space="preserve">impact the </w:t>
      </w:r>
      <w:r w:rsidR="003E38F5" w:rsidRPr="20234A39">
        <w:rPr>
          <w:rFonts w:eastAsia="Calibri" w:cs="Arial"/>
        </w:rPr>
        <w:t xml:space="preserve">population </w:t>
      </w:r>
      <w:r w:rsidR="72B9FB74" w:rsidRPr="20234A39">
        <w:rPr>
          <w:rFonts w:eastAsia="Calibri" w:cs="Arial"/>
        </w:rPr>
        <w:t>den</w:t>
      </w:r>
      <w:r w:rsidR="3A9565ED" w:rsidRPr="20234A39">
        <w:rPr>
          <w:rFonts w:eastAsia="Calibri" w:cs="Arial"/>
        </w:rPr>
        <w:t>s</w:t>
      </w:r>
      <w:r w:rsidR="72B9FB74" w:rsidRPr="20234A39">
        <w:rPr>
          <w:rFonts w:eastAsia="Calibri" w:cs="Arial"/>
        </w:rPr>
        <w:t xml:space="preserve">ity </w:t>
      </w:r>
      <w:r w:rsidR="699403B0" w:rsidRPr="20234A39">
        <w:rPr>
          <w:rFonts w:eastAsia="Calibri" w:cs="Arial"/>
        </w:rPr>
        <w:t xml:space="preserve">of </w:t>
      </w:r>
      <w:r w:rsidR="00B97663" w:rsidRPr="20234A39">
        <w:rPr>
          <w:rFonts w:eastAsia="Calibri" w:cs="Arial"/>
        </w:rPr>
        <w:t xml:space="preserve">new </w:t>
      </w:r>
      <w:r w:rsidR="72B9FB74" w:rsidRPr="20234A39">
        <w:rPr>
          <w:rFonts w:eastAsia="Calibri" w:cs="Arial"/>
        </w:rPr>
        <w:t xml:space="preserve">and </w:t>
      </w:r>
      <w:r w:rsidR="00B97663" w:rsidRPr="20234A39">
        <w:rPr>
          <w:rFonts w:eastAsia="Calibri" w:cs="Arial"/>
        </w:rPr>
        <w:t xml:space="preserve">existing </w:t>
      </w:r>
      <w:r w:rsidR="00C4404D" w:rsidRPr="20234A39">
        <w:rPr>
          <w:rFonts w:eastAsia="Calibri" w:cs="Arial"/>
        </w:rPr>
        <w:t>significant urban areas</w:t>
      </w:r>
      <w:r w:rsidR="699403B0" w:rsidRPr="20234A39">
        <w:rPr>
          <w:rFonts w:eastAsia="Calibri" w:cs="Arial"/>
        </w:rPr>
        <w:t>.</w:t>
      </w:r>
    </w:p>
    <w:p w14:paraId="761B0CB4" w14:textId="5B77FBE3" w:rsidR="00846908" w:rsidRPr="00BB0EEE" w:rsidRDefault="00975FD8" w:rsidP="209DEA01">
      <w:pPr>
        <w:pStyle w:val="CGCParaNumber"/>
        <w:ind w:left="567" w:hanging="567"/>
      </w:pPr>
      <w:r w:rsidRPr="00BB0EEE">
        <w:t>T</w:t>
      </w:r>
      <w:r w:rsidR="00586CC4" w:rsidRPr="00BB0EEE">
        <w:t>he Commission consider</w:t>
      </w:r>
      <w:r w:rsidR="002173B9" w:rsidRPr="00BB0EEE">
        <w:t>s</w:t>
      </w:r>
      <w:r w:rsidR="00586CC4" w:rsidRPr="00BB0EEE">
        <w:t xml:space="preserve"> it appropriate to apply </w:t>
      </w:r>
      <w:r w:rsidR="00A658C0" w:rsidRPr="00BB0EEE">
        <w:t xml:space="preserve">the </w:t>
      </w:r>
      <w:r w:rsidR="00C00CFE" w:rsidRPr="00BB0EEE">
        <w:t>coefficients</w:t>
      </w:r>
      <w:r w:rsidR="00E7187C" w:rsidRPr="00BB0EEE">
        <w:t xml:space="preserve"> based on </w:t>
      </w:r>
      <w:r w:rsidR="008743F3" w:rsidRPr="00BB0EEE">
        <w:t xml:space="preserve">data </w:t>
      </w:r>
      <w:r w:rsidR="00D81035" w:rsidRPr="00BB0EEE">
        <w:t xml:space="preserve">from </w:t>
      </w:r>
      <w:r w:rsidR="00B040DA" w:rsidRPr="00BB0EEE">
        <w:t xml:space="preserve">the </w:t>
      </w:r>
      <w:r w:rsidR="00D81035" w:rsidRPr="00BB0EEE">
        <w:t xml:space="preserve">2016 </w:t>
      </w:r>
      <w:r w:rsidR="00B040DA" w:rsidRPr="00BB0EEE">
        <w:t xml:space="preserve">Census </w:t>
      </w:r>
      <w:r w:rsidR="00F4098A" w:rsidRPr="00BB0EEE">
        <w:t xml:space="preserve">to the 2021 </w:t>
      </w:r>
      <w:r w:rsidR="00F90C0A" w:rsidRPr="00BB0EEE">
        <w:t>C</w:t>
      </w:r>
      <w:r w:rsidR="00F4098A" w:rsidRPr="00BB0EEE">
        <w:t>ensus geographies.</w:t>
      </w:r>
      <w:r w:rsidR="00586CC4" w:rsidRPr="00BB0EEE">
        <w:t xml:space="preserve"> This is because</w:t>
      </w:r>
      <w:r w:rsidR="0066355C" w:rsidRPr="00BB0EEE">
        <w:t xml:space="preserve"> </w:t>
      </w:r>
      <w:r w:rsidR="00C77B8E" w:rsidRPr="00BB0EEE">
        <w:t>the</w:t>
      </w:r>
      <w:r w:rsidR="0066355C" w:rsidRPr="00BB0EEE">
        <w:t xml:space="preserve"> </w:t>
      </w:r>
      <w:r w:rsidR="006118DA" w:rsidRPr="00BB0EEE">
        <w:t>newly defined</w:t>
      </w:r>
      <w:r w:rsidR="00B14EEE" w:rsidRPr="00BB0EEE">
        <w:t xml:space="preserve"> urban </w:t>
      </w:r>
      <w:r w:rsidR="006118DA" w:rsidRPr="00BB0EEE">
        <w:t>areas</w:t>
      </w:r>
      <w:r w:rsidR="00B14EEE" w:rsidRPr="00BB0EEE">
        <w:t xml:space="preserve"> </w:t>
      </w:r>
      <w:r w:rsidR="00EE068B" w:rsidRPr="00BB0EEE">
        <w:t xml:space="preserve">have similar urban centre characteristics to those </w:t>
      </w:r>
      <w:r w:rsidR="001946D1" w:rsidRPr="00BB0EEE">
        <w:t>modelled in</w:t>
      </w:r>
      <w:r w:rsidR="00663623" w:rsidRPr="00BB0EEE">
        <w:t xml:space="preserve"> the regression</w:t>
      </w:r>
      <w:r w:rsidR="57E504B4" w:rsidRPr="00BB0EEE">
        <w:t>.</w:t>
      </w:r>
      <w:r w:rsidR="00C60681" w:rsidRPr="00BB0EEE">
        <w:rPr>
          <w:sz w:val="24"/>
          <w:szCs w:val="24"/>
          <w:vertAlign w:val="superscript"/>
        </w:rPr>
        <w:footnoteReference w:id="8"/>
      </w:r>
      <w:r w:rsidR="00846908" w:rsidRPr="00BB0EEE">
        <w:t xml:space="preserve"> </w:t>
      </w:r>
      <w:r w:rsidR="00F745F0" w:rsidRPr="00BB0EEE">
        <w:t>As a result,</w:t>
      </w:r>
      <w:r w:rsidR="00846908" w:rsidRPr="00BB0EEE">
        <w:t xml:space="preserve"> applying the </w:t>
      </w:r>
      <w:r w:rsidR="003610B8" w:rsidRPr="00BB0EEE">
        <w:t>2016</w:t>
      </w:r>
      <w:r w:rsidR="00216C35" w:rsidRPr="00BB0EEE">
        <w:t xml:space="preserve"> Census</w:t>
      </w:r>
      <w:r w:rsidR="00894266" w:rsidRPr="00BB0EEE">
        <w:t xml:space="preserve"> based</w:t>
      </w:r>
      <w:r w:rsidR="003610B8" w:rsidRPr="00BB0EEE">
        <w:t> </w:t>
      </w:r>
      <w:r w:rsidR="00846908" w:rsidRPr="00BB0EEE">
        <w:t xml:space="preserve">coefficients to updated data does not introduce bias </w:t>
      </w:r>
      <w:r w:rsidR="00F745F0" w:rsidRPr="00BB0EEE">
        <w:t xml:space="preserve">in the </w:t>
      </w:r>
      <w:r w:rsidR="00C95B46" w:rsidRPr="00BB0EEE">
        <w:t>assessment</w:t>
      </w:r>
      <w:r w:rsidR="00F745F0" w:rsidRPr="00BB0EEE">
        <w:t>.</w:t>
      </w:r>
    </w:p>
    <w:p w14:paraId="5E4ADAD0" w14:textId="2CCA0129" w:rsidR="00586CC4" w:rsidRDefault="002B5103" w:rsidP="008D01DC">
      <w:pPr>
        <w:pStyle w:val="CGCParaNumber"/>
        <w:ind w:left="567" w:hanging="567"/>
      </w:pPr>
      <w:r>
        <w:t>Changes</w:t>
      </w:r>
      <w:r w:rsidR="00586CC4" w:rsidRPr="007E2C14">
        <w:t xml:space="preserve"> in population from using the 2021 Census </w:t>
      </w:r>
      <w:r w:rsidR="00E52227">
        <w:t>are</w:t>
      </w:r>
      <w:r w:rsidR="00E52227" w:rsidRPr="007E2C14">
        <w:t xml:space="preserve"> </w:t>
      </w:r>
      <w:r w:rsidR="00586CC4" w:rsidRPr="007E2C14">
        <w:t xml:space="preserve">presented in </w:t>
      </w:r>
      <w:r w:rsidR="00FA7164" w:rsidRPr="007E2C14">
        <w:fldChar w:fldCharType="begin"/>
      </w:r>
      <w:r w:rsidR="00FA7164" w:rsidRPr="007E2C14">
        <w:instrText xml:space="preserve"> REF _Ref144393292 \h  \* MERGEFORMAT </w:instrText>
      </w:r>
      <w:r w:rsidR="00FA7164" w:rsidRPr="007E2C14">
        <w:fldChar w:fldCharType="separate"/>
      </w:r>
      <w:r w:rsidR="00FA7164" w:rsidRPr="007E2C14">
        <w:t>Table 1</w:t>
      </w:r>
      <w:r w:rsidR="00FA7164" w:rsidRPr="007E2C14">
        <w:fldChar w:fldCharType="end"/>
      </w:r>
      <w:r w:rsidR="00F4098A" w:rsidRPr="007E2C14">
        <w:t>.</w:t>
      </w:r>
      <w:r w:rsidR="00586CC4" w:rsidRPr="007E2C14">
        <w:t xml:space="preserve"> </w:t>
      </w:r>
      <w:r w:rsidR="00F4098A" w:rsidRPr="007E2C14">
        <w:t>T</w:t>
      </w:r>
      <w:r w:rsidR="00586CC4" w:rsidRPr="007E2C14">
        <w:t xml:space="preserve">he changes in population-weighted density </w:t>
      </w:r>
      <w:r w:rsidR="00124A84" w:rsidRPr="007E2C14">
        <w:t xml:space="preserve">are </w:t>
      </w:r>
      <w:r w:rsidR="00586CC4" w:rsidRPr="007E2C14">
        <w:t xml:space="preserve">provided in </w:t>
      </w:r>
      <w:r w:rsidR="00FA7164" w:rsidRPr="007E2C14">
        <w:fldChar w:fldCharType="begin"/>
      </w:r>
      <w:r w:rsidR="00FA7164" w:rsidRPr="007E2C14">
        <w:instrText xml:space="preserve"> REF _Ref144393300 \h  \* MERGEFORMAT </w:instrText>
      </w:r>
      <w:r w:rsidR="00FA7164" w:rsidRPr="007E2C14">
        <w:fldChar w:fldCharType="separate"/>
      </w:r>
      <w:r w:rsidR="00FA7164" w:rsidRPr="007E2C14">
        <w:t>Table 2</w:t>
      </w:r>
      <w:r w:rsidR="00FA7164" w:rsidRPr="007E2C14">
        <w:fldChar w:fldCharType="end"/>
      </w:r>
      <w:r w:rsidR="00586CC4" w:rsidRPr="00FA7164">
        <w:rPr>
          <w:rStyle w:val="normaltextrun"/>
          <w:color w:val="000000"/>
          <w:shd w:val="clear" w:color="auto" w:fill="FFFFFF"/>
        </w:rPr>
        <w:t>.</w:t>
      </w:r>
      <w:r w:rsidR="00A0377C" w:rsidRPr="00AF0024">
        <w:rPr>
          <w:rStyle w:val="FootnoteReference"/>
          <w:color w:val="000000"/>
          <w:sz w:val="24"/>
          <w:szCs w:val="24"/>
          <w:shd w:val="clear" w:color="auto" w:fill="FFFFFF"/>
          <w:vertAlign w:val="superscript"/>
        </w:rPr>
        <w:footnoteReference w:id="9"/>
      </w:r>
    </w:p>
    <w:p w14:paraId="78B93347" w14:textId="3D0A1F76" w:rsidR="00586CC4" w:rsidRPr="00C73DF3" w:rsidRDefault="00586CC4" w:rsidP="00586CC4">
      <w:pPr>
        <w:pStyle w:val="Caption"/>
        <w:rPr>
          <w:b/>
          <w:bCs/>
        </w:rPr>
      </w:pPr>
      <w:bookmarkStart w:id="9" w:name="_Ref144393292"/>
      <w:r w:rsidRPr="00C73DF3">
        <w:rPr>
          <w:b/>
          <w:bCs/>
        </w:rPr>
        <w:lastRenderedPageBreak/>
        <w:t xml:space="preserve">Table </w:t>
      </w:r>
      <w:r w:rsidR="002F5494">
        <w:rPr>
          <w:b/>
          <w:bCs/>
        </w:rPr>
        <w:t>1</w:t>
      </w:r>
      <w:r w:rsidRPr="00C73DF3">
        <w:rPr>
          <w:b/>
          <w:bCs/>
        </w:rPr>
        <w:fldChar w:fldCharType="begin"/>
      </w:r>
      <w:r w:rsidRPr="00C73DF3">
        <w:rPr>
          <w:b/>
          <w:bCs/>
        </w:rPr>
        <w:instrText xml:space="preserve"> SEQ Table \* ARABIC </w:instrText>
      </w:r>
      <w:r w:rsidR="00BE73C1">
        <w:rPr>
          <w:b/>
          <w:bCs/>
        </w:rPr>
        <w:fldChar w:fldCharType="separate"/>
      </w:r>
      <w:r w:rsidRPr="00C73DF3">
        <w:rPr>
          <w:b/>
          <w:bCs/>
        </w:rPr>
        <w:fldChar w:fldCharType="end"/>
      </w:r>
      <w:bookmarkEnd w:id="9"/>
      <w:r>
        <w:tab/>
      </w:r>
      <w:r w:rsidRPr="00C73DF3">
        <w:rPr>
          <w:b/>
          <w:bCs/>
        </w:rPr>
        <w:t xml:space="preserve">Changes in </w:t>
      </w:r>
      <w:r w:rsidR="001352CD" w:rsidRPr="00C73DF3">
        <w:rPr>
          <w:b/>
          <w:bCs/>
        </w:rPr>
        <w:t>202</w:t>
      </w:r>
      <w:r w:rsidR="003B13DE">
        <w:rPr>
          <w:b/>
        </w:rPr>
        <w:t>1</w:t>
      </w:r>
      <w:r w:rsidR="00C24B80">
        <w:rPr>
          <w:b/>
          <w:bCs/>
        </w:rPr>
        <w:t>–</w:t>
      </w:r>
      <w:r w:rsidR="00E667B2" w:rsidRPr="00C73DF3">
        <w:rPr>
          <w:b/>
          <w:bCs/>
        </w:rPr>
        <w:t>2</w:t>
      </w:r>
      <w:r w:rsidR="003B13DE">
        <w:rPr>
          <w:b/>
        </w:rPr>
        <w:t>2</w:t>
      </w:r>
      <w:r w:rsidR="001352CD" w:rsidRPr="00C73DF3">
        <w:rPr>
          <w:b/>
          <w:bCs/>
        </w:rPr>
        <w:t xml:space="preserve"> </w:t>
      </w:r>
      <w:r w:rsidRPr="00C73DF3">
        <w:rPr>
          <w:b/>
          <w:bCs/>
        </w:rPr>
        <w:t xml:space="preserve">capital city populations </w:t>
      </w:r>
      <w:r w:rsidR="00E629BE" w:rsidRPr="00C73DF3">
        <w:rPr>
          <w:b/>
          <w:bCs/>
        </w:rPr>
        <w:t xml:space="preserve">due to </w:t>
      </w:r>
      <w:r w:rsidR="4E03B281" w:rsidRPr="316E271A">
        <w:rPr>
          <w:b/>
          <w:bCs/>
        </w:rPr>
        <w:t>ABS revisions</w:t>
      </w:r>
    </w:p>
    <w:tbl>
      <w:tblPr>
        <w:tblW w:w="9026" w:type="dxa"/>
        <w:tblLook w:val="04A0" w:firstRow="1" w:lastRow="0" w:firstColumn="1" w:lastColumn="0" w:noHBand="0" w:noVBand="1"/>
      </w:tblPr>
      <w:tblGrid>
        <w:gridCol w:w="1269"/>
        <w:gridCol w:w="858"/>
        <w:gridCol w:w="875"/>
        <w:gridCol w:w="842"/>
        <w:gridCol w:w="858"/>
        <w:gridCol w:w="858"/>
        <w:gridCol w:w="842"/>
        <w:gridCol w:w="842"/>
        <w:gridCol w:w="842"/>
        <w:gridCol w:w="940"/>
      </w:tblGrid>
      <w:tr w:rsidR="00B06BC0" w:rsidRPr="00B06BC0" w14:paraId="57E7DEC0" w14:textId="77777777" w:rsidTr="64707227">
        <w:trPr>
          <w:trHeight w:val="315"/>
        </w:trPr>
        <w:tc>
          <w:tcPr>
            <w:tcW w:w="1269" w:type="dxa"/>
            <w:tcBorders>
              <w:top w:val="nil"/>
              <w:left w:val="nil"/>
              <w:bottom w:val="single" w:sz="8" w:space="0" w:color="ADD6EA"/>
              <w:right w:val="nil"/>
            </w:tcBorders>
            <w:shd w:val="clear" w:color="auto" w:fill="006991"/>
            <w:vAlign w:val="center"/>
            <w:hideMark/>
          </w:tcPr>
          <w:p w14:paraId="0F1096E6" w14:textId="77777777" w:rsidR="00B06BC0" w:rsidRPr="00B06BC0" w:rsidRDefault="00B06BC0" w:rsidP="00B06BC0">
            <w:pPr>
              <w:spacing w:after="0" w:line="240" w:lineRule="auto"/>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 </w:t>
            </w:r>
          </w:p>
        </w:tc>
        <w:tc>
          <w:tcPr>
            <w:tcW w:w="858" w:type="dxa"/>
            <w:tcBorders>
              <w:top w:val="nil"/>
              <w:left w:val="nil"/>
              <w:bottom w:val="single" w:sz="8" w:space="0" w:color="ADD6EA"/>
              <w:right w:val="nil"/>
            </w:tcBorders>
            <w:shd w:val="clear" w:color="auto" w:fill="006991"/>
            <w:vAlign w:val="center"/>
            <w:hideMark/>
          </w:tcPr>
          <w:p w14:paraId="0A79A2E4" w14:textId="11D40D97"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Syd</w:t>
            </w:r>
          </w:p>
        </w:tc>
        <w:tc>
          <w:tcPr>
            <w:tcW w:w="875" w:type="dxa"/>
            <w:tcBorders>
              <w:top w:val="nil"/>
              <w:left w:val="nil"/>
              <w:bottom w:val="single" w:sz="8" w:space="0" w:color="ADD6EA"/>
              <w:right w:val="nil"/>
            </w:tcBorders>
            <w:shd w:val="clear" w:color="auto" w:fill="006991"/>
            <w:vAlign w:val="center"/>
            <w:hideMark/>
          </w:tcPr>
          <w:p w14:paraId="776AB42E" w14:textId="1733EACE"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Mel</w:t>
            </w:r>
          </w:p>
        </w:tc>
        <w:tc>
          <w:tcPr>
            <w:tcW w:w="842" w:type="dxa"/>
            <w:tcBorders>
              <w:top w:val="nil"/>
              <w:left w:val="nil"/>
              <w:bottom w:val="single" w:sz="8" w:space="0" w:color="ADD6EA"/>
              <w:right w:val="nil"/>
            </w:tcBorders>
            <w:shd w:val="clear" w:color="auto" w:fill="006991"/>
            <w:vAlign w:val="center"/>
            <w:hideMark/>
          </w:tcPr>
          <w:p w14:paraId="538F411F" w14:textId="7DDF0D38" w:rsidR="00B06BC0" w:rsidRPr="00B06BC0" w:rsidRDefault="71435FC4" w:rsidP="00B06BC0">
            <w:pPr>
              <w:spacing w:after="0" w:line="240" w:lineRule="auto"/>
              <w:jc w:val="right"/>
              <w:rPr>
                <w:rFonts w:ascii="Open Sans Semibold" w:eastAsia="Times New Roman" w:hAnsi="Open Sans Semibold" w:cs="Open Sans Semibold"/>
                <w:color w:val="FFFFFF"/>
                <w:sz w:val="16"/>
                <w:szCs w:val="16"/>
                <w:lang w:eastAsia="en-AU"/>
              </w:rPr>
            </w:pPr>
            <w:r w:rsidRPr="078B8C36">
              <w:rPr>
                <w:rFonts w:ascii="Open Sans Semibold" w:eastAsia="Times New Roman" w:hAnsi="Open Sans Semibold" w:cs="Open Sans Semibold"/>
                <w:color w:val="FFFFFF" w:themeColor="background1"/>
                <w:sz w:val="16"/>
                <w:szCs w:val="16"/>
                <w:lang w:eastAsia="en-AU"/>
              </w:rPr>
              <w:t>B</w:t>
            </w:r>
            <w:r w:rsidR="649DD7A5" w:rsidRPr="078B8C36">
              <w:rPr>
                <w:rFonts w:ascii="Open Sans Semibold" w:eastAsia="Times New Roman" w:hAnsi="Open Sans Semibold" w:cs="Open Sans Semibold"/>
                <w:color w:val="FFFFFF" w:themeColor="background1"/>
                <w:sz w:val="16"/>
                <w:szCs w:val="16"/>
                <w:lang w:eastAsia="en-AU"/>
              </w:rPr>
              <w:t>ri</w:t>
            </w:r>
          </w:p>
        </w:tc>
        <w:tc>
          <w:tcPr>
            <w:tcW w:w="858" w:type="dxa"/>
            <w:tcBorders>
              <w:top w:val="nil"/>
              <w:left w:val="nil"/>
              <w:bottom w:val="single" w:sz="8" w:space="0" w:color="ADD6EA"/>
              <w:right w:val="nil"/>
            </w:tcBorders>
            <w:shd w:val="clear" w:color="auto" w:fill="006991"/>
            <w:vAlign w:val="center"/>
            <w:hideMark/>
          </w:tcPr>
          <w:p w14:paraId="39C21835" w14:textId="651C35DA"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Per</w:t>
            </w:r>
          </w:p>
        </w:tc>
        <w:tc>
          <w:tcPr>
            <w:tcW w:w="858" w:type="dxa"/>
            <w:tcBorders>
              <w:top w:val="nil"/>
              <w:left w:val="nil"/>
              <w:bottom w:val="single" w:sz="8" w:space="0" w:color="ADD6EA"/>
              <w:right w:val="nil"/>
            </w:tcBorders>
            <w:shd w:val="clear" w:color="auto" w:fill="006991"/>
            <w:vAlign w:val="center"/>
            <w:hideMark/>
          </w:tcPr>
          <w:p w14:paraId="662769D7" w14:textId="0045CC00"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Ad</w:t>
            </w:r>
            <w:r w:rsidR="008D6AAE">
              <w:rPr>
                <w:rFonts w:ascii="Open Sans Semibold" w:eastAsia="Times New Roman" w:hAnsi="Open Sans Semibold" w:cs="Open Sans Semibold"/>
                <w:color w:val="FFFFFF"/>
                <w:sz w:val="16"/>
                <w:szCs w:val="16"/>
                <w:lang w:eastAsia="en-AU"/>
              </w:rPr>
              <w:t>e</w:t>
            </w:r>
          </w:p>
        </w:tc>
        <w:tc>
          <w:tcPr>
            <w:tcW w:w="842" w:type="dxa"/>
            <w:tcBorders>
              <w:top w:val="nil"/>
              <w:left w:val="nil"/>
              <w:bottom w:val="single" w:sz="8" w:space="0" w:color="ADD6EA"/>
              <w:right w:val="nil"/>
            </w:tcBorders>
            <w:shd w:val="clear" w:color="auto" w:fill="006991"/>
            <w:vAlign w:val="center"/>
            <w:hideMark/>
          </w:tcPr>
          <w:p w14:paraId="11144CFA" w14:textId="291E2200"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H</w:t>
            </w:r>
            <w:r w:rsidR="008D6AAE">
              <w:rPr>
                <w:rFonts w:ascii="Open Sans Semibold" w:eastAsia="Times New Roman" w:hAnsi="Open Sans Semibold" w:cs="Open Sans Semibold"/>
                <w:color w:val="FFFFFF"/>
                <w:sz w:val="16"/>
                <w:szCs w:val="16"/>
                <w:lang w:eastAsia="en-AU"/>
              </w:rPr>
              <w:t>ob</w:t>
            </w:r>
          </w:p>
        </w:tc>
        <w:tc>
          <w:tcPr>
            <w:tcW w:w="842" w:type="dxa"/>
            <w:tcBorders>
              <w:top w:val="nil"/>
              <w:left w:val="nil"/>
              <w:bottom w:val="single" w:sz="8" w:space="0" w:color="ADD6EA"/>
              <w:right w:val="nil"/>
            </w:tcBorders>
            <w:shd w:val="clear" w:color="auto" w:fill="006991"/>
            <w:vAlign w:val="center"/>
            <w:hideMark/>
          </w:tcPr>
          <w:p w14:paraId="52D9CD90" w14:textId="584A4D6F"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C</w:t>
            </w:r>
            <w:r w:rsidR="008D6AAE">
              <w:rPr>
                <w:rFonts w:ascii="Open Sans Semibold" w:eastAsia="Times New Roman" w:hAnsi="Open Sans Semibold" w:cs="Open Sans Semibold"/>
                <w:color w:val="FFFFFF"/>
                <w:sz w:val="16"/>
                <w:szCs w:val="16"/>
                <w:lang w:eastAsia="en-AU"/>
              </w:rPr>
              <w:t>an</w:t>
            </w:r>
          </w:p>
        </w:tc>
        <w:tc>
          <w:tcPr>
            <w:tcW w:w="842" w:type="dxa"/>
            <w:tcBorders>
              <w:top w:val="nil"/>
              <w:left w:val="nil"/>
              <w:bottom w:val="single" w:sz="8" w:space="0" w:color="ADD6EA"/>
              <w:right w:val="nil"/>
            </w:tcBorders>
            <w:shd w:val="clear" w:color="auto" w:fill="006991"/>
            <w:vAlign w:val="center"/>
            <w:hideMark/>
          </w:tcPr>
          <w:p w14:paraId="08AFF6BE" w14:textId="2DDCFACE"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D</w:t>
            </w:r>
            <w:r w:rsidR="008D6AAE">
              <w:rPr>
                <w:rFonts w:ascii="Open Sans Semibold" w:eastAsia="Times New Roman" w:hAnsi="Open Sans Semibold" w:cs="Open Sans Semibold"/>
                <w:color w:val="FFFFFF"/>
                <w:sz w:val="16"/>
                <w:szCs w:val="16"/>
                <w:lang w:eastAsia="en-AU"/>
              </w:rPr>
              <w:t>ar</w:t>
            </w:r>
          </w:p>
        </w:tc>
        <w:tc>
          <w:tcPr>
            <w:tcW w:w="940" w:type="dxa"/>
            <w:tcBorders>
              <w:top w:val="nil"/>
              <w:left w:val="nil"/>
              <w:bottom w:val="single" w:sz="8" w:space="0" w:color="ADD6EA"/>
              <w:right w:val="nil"/>
            </w:tcBorders>
            <w:shd w:val="clear" w:color="auto" w:fill="006991"/>
            <w:vAlign w:val="center"/>
            <w:hideMark/>
          </w:tcPr>
          <w:p w14:paraId="619979F0" w14:textId="25B75248" w:rsidR="00B06BC0" w:rsidRPr="00B06BC0" w:rsidRDefault="00B06BC0" w:rsidP="00B06BC0">
            <w:pPr>
              <w:spacing w:after="0" w:line="240" w:lineRule="auto"/>
              <w:jc w:val="right"/>
              <w:rPr>
                <w:rFonts w:ascii="Open Sans Semibold" w:eastAsia="Times New Roman" w:hAnsi="Open Sans Semibold" w:cs="Open Sans Semibold"/>
                <w:color w:val="FFFFFF"/>
                <w:sz w:val="16"/>
                <w:szCs w:val="16"/>
                <w:lang w:eastAsia="en-AU"/>
              </w:rPr>
            </w:pPr>
            <w:r w:rsidRPr="00B06BC0">
              <w:rPr>
                <w:rFonts w:ascii="Open Sans Semibold" w:eastAsia="Times New Roman" w:hAnsi="Open Sans Semibold" w:cs="Open Sans Semibold"/>
                <w:color w:val="FFFFFF"/>
                <w:sz w:val="16"/>
                <w:szCs w:val="16"/>
                <w:lang w:eastAsia="en-AU"/>
              </w:rPr>
              <w:t>Total</w:t>
            </w:r>
          </w:p>
        </w:tc>
      </w:tr>
      <w:tr w:rsidR="00B06BC0" w:rsidRPr="00B06BC0" w14:paraId="3EA057CC" w14:textId="77777777" w:rsidTr="64707227">
        <w:trPr>
          <w:trHeight w:val="272"/>
        </w:trPr>
        <w:tc>
          <w:tcPr>
            <w:tcW w:w="1269" w:type="dxa"/>
            <w:tcBorders>
              <w:top w:val="single" w:sz="8" w:space="0" w:color="ADD6EA"/>
              <w:left w:val="nil"/>
              <w:bottom w:val="nil"/>
              <w:right w:val="nil"/>
            </w:tcBorders>
            <w:shd w:val="clear" w:color="auto" w:fill="B6D5E4"/>
            <w:vAlign w:val="center"/>
            <w:hideMark/>
          </w:tcPr>
          <w:p w14:paraId="75596189" w14:textId="77777777" w:rsidR="00B06BC0" w:rsidRPr="00B06BC0" w:rsidRDefault="00B06BC0" w:rsidP="00B06BC0">
            <w:pPr>
              <w:spacing w:after="0" w:line="240" w:lineRule="auto"/>
              <w:rPr>
                <w:rFonts w:ascii="Open Sans Semibold" w:eastAsia="Times New Roman" w:hAnsi="Open Sans Semibold" w:cs="Open Sans Semibold"/>
                <w:color w:val="000000"/>
                <w:sz w:val="16"/>
                <w:szCs w:val="16"/>
                <w:lang w:eastAsia="en-AU"/>
              </w:rPr>
            </w:pPr>
            <w:r w:rsidRPr="00B06BC0">
              <w:rPr>
                <w:rFonts w:ascii="Open Sans Semibold" w:eastAsia="Times New Roman" w:hAnsi="Open Sans Semibold" w:cs="Open Sans Semibold"/>
                <w:color w:val="000000"/>
                <w:sz w:val="16"/>
                <w:szCs w:val="16"/>
                <w:lang w:eastAsia="en-AU"/>
              </w:rPr>
              <w:t> </w:t>
            </w:r>
          </w:p>
        </w:tc>
        <w:tc>
          <w:tcPr>
            <w:tcW w:w="858" w:type="dxa"/>
            <w:tcBorders>
              <w:top w:val="single" w:sz="8" w:space="0" w:color="ADD6EA"/>
              <w:left w:val="nil"/>
              <w:bottom w:val="nil"/>
              <w:right w:val="nil"/>
            </w:tcBorders>
            <w:shd w:val="clear" w:color="auto" w:fill="B6D5E4"/>
            <w:noWrap/>
            <w:vAlign w:val="center"/>
            <w:hideMark/>
          </w:tcPr>
          <w:p w14:paraId="00FFB34B" w14:textId="3043879C"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r w:rsidR="00B06BC0" w:rsidRPr="00B06BC0">
              <w:rPr>
                <w:rFonts w:ascii="Open Sans Semibold" w:eastAsia="Times New Roman" w:hAnsi="Open Sans Semibold" w:cs="Open Sans Semibold"/>
                <w:color w:val="000000"/>
                <w:sz w:val="16"/>
                <w:szCs w:val="16"/>
                <w:lang w:eastAsia="en-AU"/>
              </w:rPr>
              <w:t> </w:t>
            </w:r>
          </w:p>
        </w:tc>
        <w:tc>
          <w:tcPr>
            <w:tcW w:w="875" w:type="dxa"/>
            <w:tcBorders>
              <w:top w:val="single" w:sz="8" w:space="0" w:color="ADD6EA"/>
              <w:left w:val="nil"/>
              <w:bottom w:val="nil"/>
              <w:right w:val="nil"/>
            </w:tcBorders>
            <w:shd w:val="clear" w:color="auto" w:fill="B6D5E4"/>
            <w:noWrap/>
            <w:vAlign w:val="center"/>
            <w:hideMark/>
          </w:tcPr>
          <w:p w14:paraId="6C8DF4B9" w14:textId="02BA210D"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r w:rsidR="00B06BC0" w:rsidRPr="00B06BC0">
              <w:rPr>
                <w:rFonts w:ascii="Open Sans Semibold" w:eastAsia="Times New Roman" w:hAnsi="Open Sans Semibold" w:cs="Open Sans Semibold"/>
                <w:color w:val="000000"/>
                <w:sz w:val="16"/>
                <w:szCs w:val="16"/>
                <w:lang w:eastAsia="en-AU"/>
              </w:rPr>
              <w:t> </w:t>
            </w:r>
          </w:p>
        </w:tc>
        <w:tc>
          <w:tcPr>
            <w:tcW w:w="842" w:type="dxa"/>
            <w:tcBorders>
              <w:top w:val="single" w:sz="8" w:space="0" w:color="ADD6EA"/>
              <w:left w:val="nil"/>
              <w:bottom w:val="nil"/>
              <w:right w:val="nil"/>
            </w:tcBorders>
            <w:shd w:val="clear" w:color="auto" w:fill="B6D5E4"/>
            <w:noWrap/>
            <w:vAlign w:val="center"/>
            <w:hideMark/>
          </w:tcPr>
          <w:p w14:paraId="1CF24B0E" w14:textId="77115CF2"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p>
        </w:tc>
        <w:tc>
          <w:tcPr>
            <w:tcW w:w="858" w:type="dxa"/>
            <w:tcBorders>
              <w:top w:val="single" w:sz="8" w:space="0" w:color="ADD6EA"/>
              <w:left w:val="nil"/>
              <w:bottom w:val="nil"/>
              <w:right w:val="nil"/>
            </w:tcBorders>
            <w:shd w:val="clear" w:color="auto" w:fill="B6D5E4"/>
            <w:noWrap/>
            <w:vAlign w:val="center"/>
            <w:hideMark/>
          </w:tcPr>
          <w:p w14:paraId="1636220B" w14:textId="1304FA02"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p>
        </w:tc>
        <w:tc>
          <w:tcPr>
            <w:tcW w:w="858" w:type="dxa"/>
            <w:tcBorders>
              <w:top w:val="single" w:sz="8" w:space="0" w:color="ADD6EA"/>
              <w:left w:val="nil"/>
              <w:bottom w:val="nil"/>
              <w:right w:val="nil"/>
            </w:tcBorders>
            <w:shd w:val="clear" w:color="auto" w:fill="B6D5E4"/>
            <w:noWrap/>
            <w:vAlign w:val="center"/>
            <w:hideMark/>
          </w:tcPr>
          <w:p w14:paraId="35C4BE30" w14:textId="4CA3B575"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p>
        </w:tc>
        <w:tc>
          <w:tcPr>
            <w:tcW w:w="842" w:type="dxa"/>
            <w:tcBorders>
              <w:top w:val="single" w:sz="8" w:space="0" w:color="ADD6EA"/>
              <w:left w:val="nil"/>
              <w:bottom w:val="nil"/>
              <w:right w:val="nil"/>
            </w:tcBorders>
            <w:shd w:val="clear" w:color="auto" w:fill="B6D5E4"/>
            <w:noWrap/>
            <w:vAlign w:val="center"/>
            <w:hideMark/>
          </w:tcPr>
          <w:p w14:paraId="57C10822" w14:textId="30572ACC"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p>
        </w:tc>
        <w:tc>
          <w:tcPr>
            <w:tcW w:w="842" w:type="dxa"/>
            <w:tcBorders>
              <w:top w:val="single" w:sz="8" w:space="0" w:color="ADD6EA"/>
              <w:left w:val="nil"/>
              <w:bottom w:val="nil"/>
              <w:right w:val="nil"/>
            </w:tcBorders>
            <w:shd w:val="clear" w:color="auto" w:fill="B6D5E4"/>
            <w:noWrap/>
            <w:vAlign w:val="center"/>
            <w:hideMark/>
          </w:tcPr>
          <w:p w14:paraId="2361F23F" w14:textId="4368C027"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p>
        </w:tc>
        <w:tc>
          <w:tcPr>
            <w:tcW w:w="842" w:type="dxa"/>
            <w:tcBorders>
              <w:top w:val="single" w:sz="8" w:space="0" w:color="ADD6EA"/>
              <w:left w:val="nil"/>
              <w:bottom w:val="nil"/>
              <w:right w:val="nil"/>
            </w:tcBorders>
            <w:shd w:val="clear" w:color="auto" w:fill="B6D5E4"/>
            <w:noWrap/>
            <w:vAlign w:val="center"/>
            <w:hideMark/>
          </w:tcPr>
          <w:p w14:paraId="7F9711F5" w14:textId="1145FD51"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p>
        </w:tc>
        <w:tc>
          <w:tcPr>
            <w:tcW w:w="940" w:type="dxa"/>
            <w:tcBorders>
              <w:top w:val="single" w:sz="8" w:space="0" w:color="ADD6EA"/>
              <w:left w:val="nil"/>
              <w:bottom w:val="nil"/>
              <w:right w:val="nil"/>
            </w:tcBorders>
            <w:shd w:val="clear" w:color="auto" w:fill="B6D5E4"/>
            <w:noWrap/>
            <w:vAlign w:val="center"/>
            <w:hideMark/>
          </w:tcPr>
          <w:p w14:paraId="6198D13F" w14:textId="787F6BEA" w:rsidR="00B06BC0" w:rsidRPr="00B06BC0" w:rsidRDefault="007B654D" w:rsidP="00B06BC0">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‘000</w:t>
            </w:r>
          </w:p>
        </w:tc>
      </w:tr>
      <w:tr w:rsidR="00B06BC0" w:rsidRPr="00B06BC0" w14:paraId="0B0D031A" w14:textId="77777777" w:rsidTr="00BE6D6C">
        <w:trPr>
          <w:trHeight w:val="556"/>
        </w:trPr>
        <w:tc>
          <w:tcPr>
            <w:tcW w:w="1269" w:type="dxa"/>
            <w:tcBorders>
              <w:top w:val="nil"/>
              <w:left w:val="nil"/>
              <w:bottom w:val="single" w:sz="8" w:space="0" w:color="ADD6EA"/>
              <w:right w:val="nil"/>
            </w:tcBorders>
            <w:shd w:val="clear" w:color="auto" w:fill="auto"/>
            <w:noWrap/>
            <w:vAlign w:val="center"/>
            <w:hideMark/>
          </w:tcPr>
          <w:p w14:paraId="2854F4E4" w14:textId="2C8ACC15" w:rsidR="00B06BC0" w:rsidRPr="00B06BC0" w:rsidRDefault="00B06BC0" w:rsidP="00B06BC0">
            <w:pPr>
              <w:spacing w:after="0" w:line="240" w:lineRule="auto"/>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 xml:space="preserve">2016 </w:t>
            </w:r>
            <w:r w:rsidR="00D44113" w:rsidRPr="005E37CE">
              <w:rPr>
                <w:rFonts w:ascii="Open Sans Light" w:eastAsia="Times New Roman" w:hAnsi="Open Sans Light" w:cs="Open Sans Light"/>
                <w:color w:val="000000"/>
                <w:sz w:val="16"/>
                <w:szCs w:val="16"/>
                <w:lang w:eastAsia="en-AU"/>
              </w:rPr>
              <w:t>Geography</w:t>
            </w:r>
          </w:p>
        </w:tc>
        <w:tc>
          <w:tcPr>
            <w:tcW w:w="858" w:type="dxa"/>
            <w:tcBorders>
              <w:top w:val="nil"/>
              <w:left w:val="nil"/>
              <w:bottom w:val="single" w:sz="8" w:space="0" w:color="ADD6EA"/>
              <w:right w:val="nil"/>
            </w:tcBorders>
            <w:shd w:val="clear" w:color="auto" w:fill="auto"/>
            <w:noWrap/>
            <w:vAlign w:val="center"/>
            <w:hideMark/>
          </w:tcPr>
          <w:p w14:paraId="5E43A91D" w14:textId="67848487"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4,77</w:t>
            </w:r>
            <w:r w:rsidRPr="005E37CE">
              <w:rPr>
                <w:rFonts w:ascii="Open Sans Light" w:eastAsia="Times New Roman" w:hAnsi="Open Sans Light" w:cs="Open Sans Light"/>
                <w:color w:val="000000"/>
                <w:sz w:val="16"/>
                <w:szCs w:val="16"/>
                <w:lang w:eastAsia="en-AU"/>
              </w:rPr>
              <w:t>7</w:t>
            </w:r>
          </w:p>
        </w:tc>
        <w:tc>
          <w:tcPr>
            <w:tcW w:w="875" w:type="dxa"/>
            <w:tcBorders>
              <w:top w:val="nil"/>
              <w:left w:val="nil"/>
              <w:bottom w:val="single" w:sz="8" w:space="0" w:color="ADD6EA"/>
              <w:right w:val="nil"/>
            </w:tcBorders>
            <w:shd w:val="clear" w:color="auto" w:fill="auto"/>
            <w:noWrap/>
            <w:vAlign w:val="center"/>
            <w:hideMark/>
          </w:tcPr>
          <w:p w14:paraId="64BBB904" w14:textId="75B27C5C"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4,72</w:t>
            </w:r>
            <w:r w:rsidRPr="005E37CE">
              <w:rPr>
                <w:rFonts w:ascii="Open Sans Light" w:eastAsia="Times New Roman" w:hAnsi="Open Sans Light" w:cs="Open Sans Light"/>
                <w:color w:val="000000"/>
                <w:sz w:val="16"/>
                <w:szCs w:val="16"/>
                <w:lang w:eastAsia="en-AU"/>
              </w:rPr>
              <w:t>3</w:t>
            </w:r>
          </w:p>
        </w:tc>
        <w:tc>
          <w:tcPr>
            <w:tcW w:w="842" w:type="dxa"/>
            <w:tcBorders>
              <w:top w:val="nil"/>
              <w:left w:val="nil"/>
              <w:bottom w:val="single" w:sz="8" w:space="0" w:color="ADD6EA"/>
              <w:right w:val="nil"/>
            </w:tcBorders>
            <w:shd w:val="clear" w:color="auto" w:fill="auto"/>
            <w:noWrap/>
            <w:vAlign w:val="center"/>
            <w:hideMark/>
          </w:tcPr>
          <w:p w14:paraId="10B5B57C" w14:textId="150BCBFB"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2,42</w:t>
            </w:r>
            <w:r w:rsidRPr="005E37CE">
              <w:rPr>
                <w:rFonts w:ascii="Open Sans Light" w:eastAsia="Times New Roman" w:hAnsi="Open Sans Light" w:cs="Open Sans Light"/>
                <w:color w:val="000000"/>
                <w:sz w:val="16"/>
                <w:szCs w:val="16"/>
                <w:lang w:eastAsia="en-AU"/>
              </w:rPr>
              <w:t>9</w:t>
            </w:r>
          </w:p>
        </w:tc>
        <w:tc>
          <w:tcPr>
            <w:tcW w:w="858" w:type="dxa"/>
            <w:tcBorders>
              <w:top w:val="nil"/>
              <w:left w:val="nil"/>
              <w:bottom w:val="single" w:sz="8" w:space="0" w:color="ADD6EA"/>
              <w:right w:val="nil"/>
            </w:tcBorders>
            <w:shd w:val="clear" w:color="auto" w:fill="auto"/>
            <w:noWrap/>
            <w:vAlign w:val="center"/>
            <w:hideMark/>
          </w:tcPr>
          <w:p w14:paraId="26000029" w14:textId="546FD63D"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2,14</w:t>
            </w:r>
            <w:r w:rsidRPr="005E37CE">
              <w:rPr>
                <w:rFonts w:ascii="Open Sans Light" w:eastAsia="Times New Roman" w:hAnsi="Open Sans Light" w:cs="Open Sans Light"/>
                <w:color w:val="000000"/>
                <w:sz w:val="16"/>
                <w:szCs w:val="16"/>
                <w:lang w:eastAsia="en-AU"/>
              </w:rPr>
              <w:t>1</w:t>
            </w:r>
          </w:p>
        </w:tc>
        <w:tc>
          <w:tcPr>
            <w:tcW w:w="858" w:type="dxa"/>
            <w:tcBorders>
              <w:top w:val="nil"/>
              <w:left w:val="nil"/>
              <w:bottom w:val="single" w:sz="8" w:space="0" w:color="ADD6EA"/>
              <w:right w:val="nil"/>
            </w:tcBorders>
            <w:shd w:val="clear" w:color="auto" w:fill="auto"/>
            <w:noWrap/>
            <w:vAlign w:val="center"/>
            <w:hideMark/>
          </w:tcPr>
          <w:p w14:paraId="6912DB84" w14:textId="1BABBFEB"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1,353</w:t>
            </w:r>
          </w:p>
        </w:tc>
        <w:tc>
          <w:tcPr>
            <w:tcW w:w="842" w:type="dxa"/>
            <w:tcBorders>
              <w:top w:val="nil"/>
              <w:left w:val="nil"/>
              <w:bottom w:val="single" w:sz="8" w:space="0" w:color="ADD6EA"/>
              <w:right w:val="nil"/>
            </w:tcBorders>
            <w:shd w:val="clear" w:color="auto" w:fill="auto"/>
            <w:noWrap/>
            <w:vAlign w:val="center"/>
            <w:hideMark/>
          </w:tcPr>
          <w:p w14:paraId="137C40C1" w14:textId="40FF2511"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21</w:t>
            </w:r>
            <w:r w:rsidRPr="005E37CE">
              <w:rPr>
                <w:rFonts w:ascii="Open Sans Light" w:eastAsia="Times New Roman" w:hAnsi="Open Sans Light" w:cs="Open Sans Light"/>
                <w:color w:val="000000"/>
                <w:sz w:val="16"/>
                <w:szCs w:val="16"/>
                <w:lang w:eastAsia="en-AU"/>
              </w:rPr>
              <w:t>4</w:t>
            </w:r>
          </w:p>
        </w:tc>
        <w:tc>
          <w:tcPr>
            <w:tcW w:w="842" w:type="dxa"/>
            <w:tcBorders>
              <w:top w:val="nil"/>
              <w:left w:val="nil"/>
              <w:bottom w:val="single" w:sz="8" w:space="0" w:color="ADD6EA"/>
              <w:right w:val="nil"/>
            </w:tcBorders>
            <w:shd w:val="clear" w:color="auto" w:fill="auto"/>
            <w:noWrap/>
            <w:vAlign w:val="center"/>
            <w:hideMark/>
          </w:tcPr>
          <w:p w14:paraId="20CCF1E0" w14:textId="06651D5C"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4</w:t>
            </w:r>
            <w:r w:rsidRPr="005E37CE">
              <w:rPr>
                <w:rFonts w:ascii="Open Sans Light" w:eastAsia="Times New Roman" w:hAnsi="Open Sans Light" w:cs="Open Sans Light"/>
                <w:color w:val="000000"/>
                <w:sz w:val="16"/>
                <w:szCs w:val="16"/>
                <w:lang w:eastAsia="en-AU"/>
              </w:rPr>
              <w:t>40</w:t>
            </w:r>
          </w:p>
        </w:tc>
        <w:tc>
          <w:tcPr>
            <w:tcW w:w="842" w:type="dxa"/>
            <w:tcBorders>
              <w:top w:val="nil"/>
              <w:left w:val="nil"/>
              <w:bottom w:val="single" w:sz="8" w:space="0" w:color="ADD6EA"/>
              <w:right w:val="nil"/>
            </w:tcBorders>
            <w:shd w:val="clear" w:color="auto" w:fill="auto"/>
            <w:noWrap/>
            <w:vAlign w:val="center"/>
            <w:hideMark/>
          </w:tcPr>
          <w:p w14:paraId="7167D5F8" w14:textId="1CCC31A0"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13</w:t>
            </w:r>
            <w:r w:rsidRPr="005E37CE">
              <w:rPr>
                <w:rFonts w:ascii="Open Sans Light" w:eastAsia="Times New Roman" w:hAnsi="Open Sans Light" w:cs="Open Sans Light"/>
                <w:color w:val="000000"/>
                <w:sz w:val="16"/>
                <w:szCs w:val="16"/>
                <w:lang w:eastAsia="en-AU"/>
              </w:rPr>
              <w:t>1</w:t>
            </w:r>
          </w:p>
        </w:tc>
        <w:tc>
          <w:tcPr>
            <w:tcW w:w="940" w:type="dxa"/>
            <w:tcBorders>
              <w:top w:val="nil"/>
              <w:left w:val="nil"/>
              <w:bottom w:val="single" w:sz="8" w:space="0" w:color="ADD6EA"/>
              <w:right w:val="nil"/>
            </w:tcBorders>
            <w:shd w:val="clear" w:color="auto" w:fill="auto"/>
            <w:noWrap/>
            <w:vAlign w:val="center"/>
            <w:hideMark/>
          </w:tcPr>
          <w:p w14:paraId="378882C1" w14:textId="7EFB60EB"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16,20</w:t>
            </w:r>
            <w:r w:rsidRPr="005E37CE">
              <w:rPr>
                <w:rFonts w:ascii="Open Sans Light" w:eastAsia="Times New Roman" w:hAnsi="Open Sans Light" w:cs="Open Sans Light"/>
                <w:color w:val="000000"/>
                <w:sz w:val="16"/>
                <w:szCs w:val="16"/>
                <w:lang w:eastAsia="en-AU"/>
              </w:rPr>
              <w:t>7</w:t>
            </w:r>
          </w:p>
        </w:tc>
      </w:tr>
      <w:tr w:rsidR="00B06BC0" w:rsidRPr="00B06BC0" w14:paraId="4820961A" w14:textId="77777777" w:rsidTr="00BE6D6C">
        <w:trPr>
          <w:trHeight w:val="556"/>
        </w:trPr>
        <w:tc>
          <w:tcPr>
            <w:tcW w:w="1269" w:type="dxa"/>
            <w:tcBorders>
              <w:top w:val="nil"/>
              <w:left w:val="nil"/>
              <w:bottom w:val="single" w:sz="8" w:space="0" w:color="ADD6EA"/>
              <w:right w:val="nil"/>
            </w:tcBorders>
            <w:shd w:val="clear" w:color="auto" w:fill="auto"/>
            <w:noWrap/>
            <w:vAlign w:val="center"/>
            <w:hideMark/>
          </w:tcPr>
          <w:p w14:paraId="0D3CBFE2" w14:textId="73CA75A3" w:rsidR="00B06BC0" w:rsidRPr="00B06BC0" w:rsidRDefault="00B06BC0" w:rsidP="00B06BC0">
            <w:pPr>
              <w:spacing w:after="0" w:line="240" w:lineRule="auto"/>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 xml:space="preserve">2021 </w:t>
            </w:r>
            <w:r w:rsidR="00D44113" w:rsidRPr="005E37CE">
              <w:rPr>
                <w:rFonts w:ascii="Open Sans Light" w:eastAsia="Times New Roman" w:hAnsi="Open Sans Light" w:cs="Open Sans Light"/>
                <w:color w:val="000000"/>
                <w:sz w:val="16"/>
                <w:szCs w:val="16"/>
                <w:lang w:eastAsia="en-AU"/>
              </w:rPr>
              <w:t>Geography</w:t>
            </w:r>
          </w:p>
        </w:tc>
        <w:tc>
          <w:tcPr>
            <w:tcW w:w="858" w:type="dxa"/>
            <w:tcBorders>
              <w:top w:val="nil"/>
              <w:left w:val="nil"/>
              <w:bottom w:val="single" w:sz="8" w:space="0" w:color="ADD6EA"/>
              <w:right w:val="nil"/>
            </w:tcBorders>
            <w:shd w:val="clear" w:color="auto" w:fill="auto"/>
            <w:noWrap/>
            <w:vAlign w:val="center"/>
            <w:hideMark/>
          </w:tcPr>
          <w:p w14:paraId="6E9A06DB" w14:textId="7DE60B6A"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4,</w:t>
            </w:r>
            <w:r w:rsidR="000C17BE">
              <w:rPr>
                <w:rFonts w:ascii="Open Sans Light" w:eastAsia="Times New Roman" w:hAnsi="Open Sans Light" w:cs="Open Sans Light"/>
                <w:color w:val="000000"/>
                <w:sz w:val="16"/>
                <w:szCs w:val="16"/>
                <w:lang w:eastAsia="en-AU"/>
              </w:rPr>
              <w:t>791</w:t>
            </w:r>
          </w:p>
        </w:tc>
        <w:tc>
          <w:tcPr>
            <w:tcW w:w="875" w:type="dxa"/>
            <w:tcBorders>
              <w:top w:val="nil"/>
              <w:left w:val="nil"/>
              <w:bottom w:val="single" w:sz="8" w:space="0" w:color="ADD6EA"/>
              <w:right w:val="nil"/>
            </w:tcBorders>
            <w:shd w:val="clear" w:color="auto" w:fill="auto"/>
            <w:noWrap/>
            <w:vAlign w:val="center"/>
            <w:hideMark/>
          </w:tcPr>
          <w:p w14:paraId="260603E2" w14:textId="2EE61E68"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4,</w:t>
            </w:r>
            <w:r w:rsidR="00A07C39">
              <w:rPr>
                <w:rFonts w:ascii="Open Sans Light" w:eastAsia="Times New Roman" w:hAnsi="Open Sans Light" w:cs="Open Sans Light"/>
                <w:color w:val="000000"/>
                <w:sz w:val="16"/>
                <w:szCs w:val="16"/>
                <w:lang w:eastAsia="en-AU"/>
              </w:rPr>
              <w:t>822</w:t>
            </w:r>
          </w:p>
        </w:tc>
        <w:tc>
          <w:tcPr>
            <w:tcW w:w="842" w:type="dxa"/>
            <w:tcBorders>
              <w:top w:val="nil"/>
              <w:left w:val="nil"/>
              <w:bottom w:val="single" w:sz="8" w:space="0" w:color="ADD6EA"/>
              <w:right w:val="nil"/>
            </w:tcBorders>
            <w:shd w:val="clear" w:color="auto" w:fill="auto"/>
            <w:noWrap/>
            <w:vAlign w:val="center"/>
            <w:hideMark/>
          </w:tcPr>
          <w:p w14:paraId="4FCFC68C" w14:textId="42435F01"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2,4</w:t>
            </w:r>
            <w:r w:rsidR="00F07E44">
              <w:rPr>
                <w:rFonts w:ascii="Open Sans Light" w:eastAsia="Times New Roman" w:hAnsi="Open Sans Light" w:cs="Open Sans Light"/>
                <w:color w:val="000000"/>
                <w:sz w:val="16"/>
                <w:szCs w:val="16"/>
                <w:lang w:eastAsia="en-AU"/>
              </w:rPr>
              <w:t>28</w:t>
            </w:r>
          </w:p>
        </w:tc>
        <w:tc>
          <w:tcPr>
            <w:tcW w:w="858" w:type="dxa"/>
            <w:tcBorders>
              <w:top w:val="nil"/>
              <w:left w:val="nil"/>
              <w:bottom w:val="single" w:sz="8" w:space="0" w:color="ADD6EA"/>
              <w:right w:val="nil"/>
            </w:tcBorders>
            <w:shd w:val="clear" w:color="auto" w:fill="auto"/>
            <w:noWrap/>
            <w:vAlign w:val="center"/>
            <w:hideMark/>
          </w:tcPr>
          <w:p w14:paraId="7100D3B4" w14:textId="24D78F3D"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2,</w:t>
            </w:r>
            <w:r w:rsidR="008A685F" w:rsidRPr="009817CA">
              <w:rPr>
                <w:rFonts w:ascii="Open Sans Light" w:eastAsia="Times New Roman" w:hAnsi="Open Sans Light" w:cs="Open Sans Light"/>
                <w:color w:val="000000"/>
                <w:sz w:val="16"/>
                <w:szCs w:val="16"/>
                <w:lang w:eastAsia="en-AU"/>
              </w:rPr>
              <w:t>1</w:t>
            </w:r>
            <w:r w:rsidR="00792C3D">
              <w:rPr>
                <w:rFonts w:ascii="Open Sans Light" w:eastAsia="Times New Roman" w:hAnsi="Open Sans Light" w:cs="Open Sans Light"/>
                <w:color w:val="000000"/>
                <w:sz w:val="16"/>
                <w:szCs w:val="16"/>
                <w:lang w:eastAsia="en-AU"/>
              </w:rPr>
              <w:t>40</w:t>
            </w:r>
          </w:p>
        </w:tc>
        <w:tc>
          <w:tcPr>
            <w:tcW w:w="858" w:type="dxa"/>
            <w:tcBorders>
              <w:top w:val="nil"/>
              <w:left w:val="nil"/>
              <w:bottom w:val="single" w:sz="8" w:space="0" w:color="ADD6EA"/>
              <w:right w:val="nil"/>
            </w:tcBorders>
            <w:shd w:val="clear" w:color="auto" w:fill="auto"/>
            <w:noWrap/>
            <w:vAlign w:val="center"/>
            <w:hideMark/>
          </w:tcPr>
          <w:p w14:paraId="47C6A158" w14:textId="73065389"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1,35</w:t>
            </w:r>
            <w:r w:rsidR="00142391">
              <w:rPr>
                <w:rFonts w:ascii="Open Sans Light" w:eastAsia="Times New Roman" w:hAnsi="Open Sans Light" w:cs="Open Sans Light"/>
                <w:color w:val="000000"/>
                <w:sz w:val="16"/>
                <w:szCs w:val="16"/>
                <w:lang w:eastAsia="en-AU"/>
              </w:rPr>
              <w:t>9</w:t>
            </w:r>
          </w:p>
        </w:tc>
        <w:tc>
          <w:tcPr>
            <w:tcW w:w="842" w:type="dxa"/>
            <w:tcBorders>
              <w:top w:val="nil"/>
              <w:left w:val="nil"/>
              <w:bottom w:val="single" w:sz="8" w:space="0" w:color="ADD6EA"/>
              <w:right w:val="nil"/>
            </w:tcBorders>
            <w:shd w:val="clear" w:color="auto" w:fill="auto"/>
            <w:noWrap/>
            <w:vAlign w:val="center"/>
            <w:hideMark/>
          </w:tcPr>
          <w:p w14:paraId="2A2877AD" w14:textId="30E162A9"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21</w:t>
            </w:r>
            <w:r w:rsidR="00CB1F71">
              <w:rPr>
                <w:rFonts w:ascii="Open Sans Light" w:eastAsia="Times New Roman" w:hAnsi="Open Sans Light" w:cs="Open Sans Light"/>
                <w:color w:val="000000"/>
                <w:sz w:val="16"/>
                <w:szCs w:val="16"/>
                <w:lang w:eastAsia="en-AU"/>
              </w:rPr>
              <w:t>5</w:t>
            </w:r>
          </w:p>
        </w:tc>
        <w:tc>
          <w:tcPr>
            <w:tcW w:w="842" w:type="dxa"/>
            <w:tcBorders>
              <w:top w:val="nil"/>
              <w:left w:val="nil"/>
              <w:bottom w:val="single" w:sz="8" w:space="0" w:color="ADD6EA"/>
              <w:right w:val="nil"/>
            </w:tcBorders>
            <w:shd w:val="clear" w:color="auto" w:fill="auto"/>
            <w:noWrap/>
            <w:vAlign w:val="center"/>
            <w:hideMark/>
          </w:tcPr>
          <w:p w14:paraId="6D83DEFE" w14:textId="268D2509"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4</w:t>
            </w:r>
            <w:r w:rsidR="00CB1F71">
              <w:rPr>
                <w:rFonts w:ascii="Open Sans Light" w:eastAsia="Times New Roman" w:hAnsi="Open Sans Light" w:cs="Open Sans Light"/>
                <w:color w:val="000000"/>
                <w:sz w:val="16"/>
                <w:szCs w:val="16"/>
                <w:lang w:eastAsia="en-AU"/>
              </w:rPr>
              <w:t>52</w:t>
            </w:r>
          </w:p>
        </w:tc>
        <w:tc>
          <w:tcPr>
            <w:tcW w:w="842" w:type="dxa"/>
            <w:tcBorders>
              <w:top w:val="nil"/>
              <w:left w:val="nil"/>
              <w:bottom w:val="single" w:sz="8" w:space="0" w:color="ADD6EA"/>
              <w:right w:val="nil"/>
            </w:tcBorders>
            <w:shd w:val="clear" w:color="auto" w:fill="auto"/>
            <w:noWrap/>
            <w:vAlign w:val="center"/>
            <w:hideMark/>
          </w:tcPr>
          <w:p w14:paraId="770EAA7C" w14:textId="66A478A8"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13</w:t>
            </w:r>
            <w:r w:rsidR="00CB1F71">
              <w:rPr>
                <w:rFonts w:ascii="Open Sans Light" w:eastAsia="Times New Roman" w:hAnsi="Open Sans Light" w:cs="Open Sans Light"/>
                <w:color w:val="000000"/>
                <w:sz w:val="16"/>
                <w:szCs w:val="16"/>
                <w:lang w:eastAsia="en-AU"/>
              </w:rPr>
              <w:t>0</w:t>
            </w:r>
          </w:p>
        </w:tc>
        <w:tc>
          <w:tcPr>
            <w:tcW w:w="940" w:type="dxa"/>
            <w:tcBorders>
              <w:top w:val="nil"/>
              <w:left w:val="nil"/>
              <w:bottom w:val="single" w:sz="8" w:space="0" w:color="ADD6EA"/>
              <w:right w:val="nil"/>
            </w:tcBorders>
            <w:shd w:val="clear" w:color="auto" w:fill="auto"/>
            <w:noWrap/>
            <w:vAlign w:val="center"/>
            <w:hideMark/>
          </w:tcPr>
          <w:p w14:paraId="08AF4CC3" w14:textId="33163EEE"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16,</w:t>
            </w:r>
            <w:r w:rsidR="009519F8" w:rsidRPr="009817CA">
              <w:rPr>
                <w:rFonts w:ascii="Open Sans Light" w:eastAsia="Times New Roman" w:hAnsi="Open Sans Light" w:cs="Open Sans Light"/>
                <w:color w:val="000000"/>
                <w:sz w:val="16"/>
                <w:szCs w:val="16"/>
                <w:lang w:eastAsia="en-AU"/>
              </w:rPr>
              <w:t>3</w:t>
            </w:r>
            <w:r w:rsidR="00CB6138">
              <w:rPr>
                <w:rFonts w:ascii="Open Sans Light" w:eastAsia="Times New Roman" w:hAnsi="Open Sans Light" w:cs="Open Sans Light"/>
                <w:color w:val="000000"/>
                <w:sz w:val="16"/>
                <w:szCs w:val="16"/>
                <w:lang w:eastAsia="en-AU"/>
              </w:rPr>
              <w:t>38</w:t>
            </w:r>
          </w:p>
        </w:tc>
      </w:tr>
      <w:tr w:rsidR="00B06BC0" w:rsidRPr="00B06BC0" w14:paraId="1B5FAC2E" w14:textId="77777777" w:rsidTr="00BE6D6C">
        <w:trPr>
          <w:trHeight w:val="315"/>
        </w:trPr>
        <w:tc>
          <w:tcPr>
            <w:tcW w:w="1269" w:type="dxa"/>
            <w:tcBorders>
              <w:top w:val="nil"/>
              <w:left w:val="nil"/>
              <w:bottom w:val="single" w:sz="8" w:space="0" w:color="ADD6EA"/>
              <w:right w:val="nil"/>
            </w:tcBorders>
            <w:shd w:val="clear" w:color="auto" w:fill="auto"/>
            <w:noWrap/>
            <w:vAlign w:val="center"/>
            <w:hideMark/>
          </w:tcPr>
          <w:p w14:paraId="252B454E" w14:textId="4B5BF947" w:rsidR="00B06BC0" w:rsidRPr="00B06BC0" w:rsidRDefault="00B06BC0" w:rsidP="00B06BC0">
            <w:pPr>
              <w:spacing w:after="0" w:line="240" w:lineRule="auto"/>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Change</w:t>
            </w:r>
            <w:r w:rsidR="007B654D" w:rsidRPr="005E37CE">
              <w:rPr>
                <w:rFonts w:ascii="Open Sans Light" w:eastAsia="Times New Roman" w:hAnsi="Open Sans Light" w:cs="Open Sans Light"/>
                <w:color w:val="000000"/>
                <w:sz w:val="16"/>
                <w:szCs w:val="16"/>
                <w:lang w:eastAsia="en-AU"/>
              </w:rPr>
              <w:t xml:space="preserve"> </w:t>
            </w:r>
            <w:r w:rsidRPr="00B06BC0">
              <w:rPr>
                <w:rFonts w:ascii="Open Sans Light" w:eastAsia="Times New Roman" w:hAnsi="Open Sans Light" w:cs="Open Sans Light"/>
                <w:color w:val="000000"/>
                <w:sz w:val="16"/>
                <w:szCs w:val="16"/>
                <w:lang w:eastAsia="en-AU"/>
              </w:rPr>
              <w:t>(%)</w:t>
            </w:r>
          </w:p>
        </w:tc>
        <w:tc>
          <w:tcPr>
            <w:tcW w:w="858" w:type="dxa"/>
            <w:tcBorders>
              <w:top w:val="nil"/>
              <w:left w:val="nil"/>
              <w:bottom w:val="single" w:sz="8" w:space="0" w:color="ADD6EA"/>
              <w:right w:val="nil"/>
            </w:tcBorders>
            <w:shd w:val="clear" w:color="auto" w:fill="auto"/>
            <w:noWrap/>
            <w:vAlign w:val="center"/>
            <w:hideMark/>
          </w:tcPr>
          <w:p w14:paraId="080E7D5B" w14:textId="2A6C0827"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0.</w:t>
            </w:r>
            <w:r w:rsidR="00951EE0">
              <w:rPr>
                <w:rFonts w:ascii="Open Sans Light" w:eastAsia="Times New Roman" w:hAnsi="Open Sans Light" w:cs="Open Sans Light"/>
                <w:color w:val="000000"/>
                <w:sz w:val="16"/>
                <w:szCs w:val="16"/>
                <w:lang w:eastAsia="en-AU"/>
              </w:rPr>
              <w:t>29</w:t>
            </w:r>
            <w:r w:rsidRPr="00B06BC0">
              <w:rPr>
                <w:rFonts w:ascii="Open Sans Light" w:eastAsia="Times New Roman" w:hAnsi="Open Sans Light" w:cs="Open Sans Light"/>
                <w:color w:val="000000"/>
                <w:sz w:val="16"/>
                <w:szCs w:val="16"/>
                <w:lang w:eastAsia="en-AU"/>
              </w:rPr>
              <w:t>%</w:t>
            </w:r>
          </w:p>
        </w:tc>
        <w:tc>
          <w:tcPr>
            <w:tcW w:w="875" w:type="dxa"/>
            <w:tcBorders>
              <w:top w:val="nil"/>
              <w:left w:val="nil"/>
              <w:bottom w:val="single" w:sz="8" w:space="0" w:color="ADD6EA"/>
              <w:right w:val="nil"/>
            </w:tcBorders>
            <w:shd w:val="clear" w:color="auto" w:fill="auto"/>
            <w:noWrap/>
            <w:vAlign w:val="center"/>
            <w:hideMark/>
          </w:tcPr>
          <w:p w14:paraId="2EEBD27E" w14:textId="37EFE350" w:rsidR="00B06BC0" w:rsidRPr="00B06BC0" w:rsidRDefault="00ED54A2" w:rsidP="00B06BC0">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2.10</w:t>
            </w:r>
            <w:r w:rsidR="00B06BC0" w:rsidRPr="00B06BC0">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27F6FBB9" w14:textId="108E4C91"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-0.</w:t>
            </w:r>
            <w:r w:rsidR="00C22057">
              <w:rPr>
                <w:rFonts w:ascii="Open Sans Light" w:eastAsia="Times New Roman" w:hAnsi="Open Sans Light" w:cs="Open Sans Light"/>
                <w:color w:val="000000"/>
                <w:sz w:val="16"/>
                <w:szCs w:val="16"/>
                <w:lang w:eastAsia="en-AU"/>
              </w:rPr>
              <w:t>05</w:t>
            </w:r>
            <w:r w:rsidRPr="00B06BC0">
              <w:rPr>
                <w:rFonts w:ascii="Open Sans Light" w:eastAsia="Times New Roman" w:hAnsi="Open Sans Light" w:cs="Open Sans Light"/>
                <w:color w:val="000000"/>
                <w:sz w:val="16"/>
                <w:szCs w:val="16"/>
                <w:lang w:eastAsia="en-AU"/>
              </w:rPr>
              <w:t>%</w:t>
            </w:r>
          </w:p>
        </w:tc>
        <w:tc>
          <w:tcPr>
            <w:tcW w:w="858" w:type="dxa"/>
            <w:tcBorders>
              <w:top w:val="nil"/>
              <w:left w:val="nil"/>
              <w:bottom w:val="single" w:sz="8" w:space="0" w:color="ADD6EA"/>
              <w:right w:val="nil"/>
            </w:tcBorders>
            <w:shd w:val="clear" w:color="auto" w:fill="auto"/>
            <w:noWrap/>
            <w:vAlign w:val="center"/>
            <w:hideMark/>
          </w:tcPr>
          <w:p w14:paraId="4923BAC7" w14:textId="77777777"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-0.02%</w:t>
            </w:r>
          </w:p>
        </w:tc>
        <w:tc>
          <w:tcPr>
            <w:tcW w:w="858" w:type="dxa"/>
            <w:tcBorders>
              <w:top w:val="nil"/>
              <w:left w:val="nil"/>
              <w:bottom w:val="single" w:sz="8" w:space="0" w:color="ADD6EA"/>
              <w:right w:val="nil"/>
            </w:tcBorders>
            <w:shd w:val="clear" w:color="auto" w:fill="auto"/>
            <w:noWrap/>
            <w:vAlign w:val="center"/>
            <w:hideMark/>
          </w:tcPr>
          <w:p w14:paraId="7AC14493" w14:textId="277C52D7" w:rsidR="00B06BC0" w:rsidRPr="00B06BC0" w:rsidRDefault="00613657" w:rsidP="00B06BC0">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0.47</w:t>
            </w:r>
            <w:r w:rsidR="00B06BC0" w:rsidRPr="00B06BC0">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6370A4E6" w14:textId="0692F5DC"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0.</w:t>
            </w:r>
            <w:r w:rsidR="00613657">
              <w:rPr>
                <w:rFonts w:ascii="Open Sans Light" w:eastAsia="Times New Roman" w:hAnsi="Open Sans Light" w:cs="Open Sans Light"/>
                <w:color w:val="000000"/>
                <w:sz w:val="16"/>
                <w:szCs w:val="16"/>
                <w:lang w:eastAsia="en-AU"/>
              </w:rPr>
              <w:t>55</w:t>
            </w:r>
            <w:r w:rsidRPr="00B06BC0">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7373022A" w14:textId="69A11AA6" w:rsidR="00B06BC0" w:rsidRPr="00B06BC0" w:rsidRDefault="00B06BC0" w:rsidP="00B06BC0">
            <w:pPr>
              <w:spacing w:after="0" w:line="240" w:lineRule="auto"/>
              <w:jc w:val="right"/>
              <w:rPr>
                <w:rFonts w:ascii="Open Sans Light" w:eastAsia="Times New Roman" w:hAnsi="Open Sans Light" w:cs="Open Sans Light"/>
                <w:color w:val="000000"/>
                <w:sz w:val="16"/>
                <w:szCs w:val="16"/>
                <w:lang w:eastAsia="en-AU"/>
              </w:rPr>
            </w:pPr>
            <w:r w:rsidRPr="00B06BC0">
              <w:rPr>
                <w:rFonts w:ascii="Open Sans Light" w:eastAsia="Times New Roman" w:hAnsi="Open Sans Light" w:cs="Open Sans Light"/>
                <w:color w:val="000000"/>
                <w:sz w:val="16"/>
                <w:szCs w:val="16"/>
                <w:lang w:eastAsia="en-AU"/>
              </w:rPr>
              <w:t>2.</w:t>
            </w:r>
            <w:r w:rsidR="004E70E2">
              <w:rPr>
                <w:rFonts w:ascii="Open Sans Light" w:eastAsia="Times New Roman" w:hAnsi="Open Sans Light" w:cs="Open Sans Light"/>
                <w:color w:val="000000"/>
                <w:sz w:val="16"/>
                <w:szCs w:val="16"/>
                <w:lang w:eastAsia="en-AU"/>
              </w:rPr>
              <w:t>83</w:t>
            </w:r>
            <w:r w:rsidRPr="00B06BC0">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1E26F3B4" w14:textId="79BF4F0D" w:rsidR="00B06BC0" w:rsidRPr="00B06BC0" w:rsidRDefault="004E70E2" w:rsidP="00B06BC0">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-0.06</w:t>
            </w:r>
            <w:r w:rsidR="00B06BC0" w:rsidRPr="00B06BC0">
              <w:rPr>
                <w:rFonts w:ascii="Open Sans Light" w:eastAsia="Times New Roman" w:hAnsi="Open Sans Light" w:cs="Open Sans Light"/>
                <w:color w:val="000000"/>
                <w:sz w:val="16"/>
                <w:szCs w:val="16"/>
                <w:lang w:eastAsia="en-AU"/>
              </w:rPr>
              <w:t>%</w:t>
            </w:r>
          </w:p>
        </w:tc>
        <w:tc>
          <w:tcPr>
            <w:tcW w:w="940" w:type="dxa"/>
            <w:tcBorders>
              <w:top w:val="nil"/>
              <w:left w:val="nil"/>
              <w:bottom w:val="single" w:sz="8" w:space="0" w:color="ADD6EA"/>
              <w:right w:val="nil"/>
            </w:tcBorders>
            <w:shd w:val="clear" w:color="auto" w:fill="auto"/>
            <w:noWrap/>
            <w:vAlign w:val="center"/>
            <w:hideMark/>
          </w:tcPr>
          <w:p w14:paraId="57601057" w14:textId="38AD5638" w:rsidR="00B06BC0" w:rsidRPr="00B06BC0" w:rsidRDefault="00B7482B" w:rsidP="00B06BC0">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0.81</w:t>
            </w:r>
            <w:r w:rsidR="00B06BC0" w:rsidRPr="00B06BC0">
              <w:rPr>
                <w:rFonts w:ascii="Open Sans Light" w:eastAsia="Times New Roman" w:hAnsi="Open Sans Light" w:cs="Open Sans Light"/>
                <w:color w:val="000000"/>
                <w:sz w:val="16"/>
                <w:szCs w:val="16"/>
                <w:lang w:eastAsia="en-AU"/>
              </w:rPr>
              <w:t>%</w:t>
            </w:r>
          </w:p>
        </w:tc>
      </w:tr>
    </w:tbl>
    <w:p w14:paraId="67162589" w14:textId="36DFB668" w:rsidR="00586CC4" w:rsidRPr="00324088" w:rsidRDefault="00EA0B43" w:rsidP="00586CC4">
      <w:pPr>
        <w:rPr>
          <w:rFonts w:ascii="Work Sans" w:hAnsi="Work Sans" w:cs="Open Sans Light"/>
          <w:sz w:val="14"/>
          <w:szCs w:val="14"/>
        </w:rPr>
      </w:pPr>
      <w:r w:rsidRPr="00324088">
        <w:rPr>
          <w:rFonts w:ascii="Work Sans" w:hAnsi="Work Sans" w:cs="Open Sans Light"/>
          <w:sz w:val="14"/>
          <w:szCs w:val="14"/>
        </w:rPr>
        <w:t xml:space="preserve">Source: </w:t>
      </w:r>
      <w:r w:rsidR="00A17566" w:rsidRPr="00324088">
        <w:rPr>
          <w:rFonts w:ascii="Work Sans" w:hAnsi="Work Sans" w:cs="Open Sans Light"/>
          <w:sz w:val="14"/>
          <w:szCs w:val="14"/>
        </w:rPr>
        <w:t xml:space="preserve">Commission </w:t>
      </w:r>
      <w:r w:rsidR="00824D9B" w:rsidRPr="00324088">
        <w:rPr>
          <w:rFonts w:ascii="Work Sans" w:hAnsi="Work Sans" w:cs="Open Sans Light"/>
          <w:sz w:val="14"/>
          <w:szCs w:val="14"/>
        </w:rPr>
        <w:t xml:space="preserve">calculation </w:t>
      </w:r>
      <w:r w:rsidR="003F2E0E" w:rsidRPr="00324088">
        <w:rPr>
          <w:rFonts w:ascii="Work Sans" w:hAnsi="Work Sans" w:cs="Open Sans Light"/>
          <w:sz w:val="14"/>
          <w:szCs w:val="14"/>
        </w:rPr>
        <w:t xml:space="preserve">based on </w:t>
      </w:r>
      <w:r w:rsidR="00A163BF" w:rsidRPr="00324088">
        <w:rPr>
          <w:rFonts w:ascii="Work Sans" w:hAnsi="Work Sans" w:cs="Open Sans Light"/>
          <w:sz w:val="14"/>
          <w:szCs w:val="14"/>
        </w:rPr>
        <w:t xml:space="preserve">ABS </w:t>
      </w:r>
      <w:r w:rsidR="005E221B" w:rsidRPr="00324088">
        <w:rPr>
          <w:rFonts w:ascii="Work Sans" w:hAnsi="Work Sans" w:cs="Open Sans Light"/>
          <w:sz w:val="14"/>
          <w:szCs w:val="14"/>
        </w:rPr>
        <w:t xml:space="preserve">Estimated Resident Population </w:t>
      </w:r>
      <w:r w:rsidR="00A163BF" w:rsidRPr="00324088">
        <w:rPr>
          <w:rFonts w:ascii="Work Sans" w:hAnsi="Work Sans" w:cs="Open Sans Light"/>
          <w:sz w:val="14"/>
          <w:szCs w:val="14"/>
        </w:rPr>
        <w:t>data</w:t>
      </w:r>
    </w:p>
    <w:p w14:paraId="57AAE45E" w14:textId="505CDC11" w:rsidR="00586CC4" w:rsidRPr="00C73DF3" w:rsidRDefault="00586CC4" w:rsidP="00586CC4">
      <w:pPr>
        <w:pStyle w:val="Caption"/>
        <w:rPr>
          <w:b/>
          <w:bCs/>
        </w:rPr>
      </w:pPr>
      <w:bookmarkStart w:id="10" w:name="_Ref144393300"/>
      <w:r w:rsidRPr="00C73DF3">
        <w:rPr>
          <w:b/>
          <w:bCs/>
        </w:rPr>
        <w:t xml:space="preserve">Table </w:t>
      </w:r>
      <w:r w:rsidR="002F5494">
        <w:rPr>
          <w:b/>
          <w:bCs/>
        </w:rPr>
        <w:t>2</w:t>
      </w:r>
      <w:r w:rsidRPr="00C73DF3">
        <w:rPr>
          <w:b/>
          <w:bCs/>
        </w:rPr>
        <w:fldChar w:fldCharType="begin"/>
      </w:r>
      <w:r w:rsidRPr="00C73DF3">
        <w:rPr>
          <w:b/>
          <w:bCs/>
        </w:rPr>
        <w:instrText xml:space="preserve"> SEQ Table \* ARABIC </w:instrText>
      </w:r>
      <w:r w:rsidR="00BE73C1">
        <w:rPr>
          <w:b/>
          <w:bCs/>
        </w:rPr>
        <w:fldChar w:fldCharType="separate"/>
      </w:r>
      <w:r w:rsidRPr="00C73DF3">
        <w:rPr>
          <w:b/>
          <w:bCs/>
        </w:rPr>
        <w:fldChar w:fldCharType="end"/>
      </w:r>
      <w:bookmarkEnd w:id="10"/>
      <w:r>
        <w:tab/>
      </w:r>
      <w:r w:rsidRPr="00C73DF3">
        <w:rPr>
          <w:b/>
          <w:bCs/>
        </w:rPr>
        <w:t xml:space="preserve">Changes in </w:t>
      </w:r>
      <w:r w:rsidR="00F932E7" w:rsidRPr="00C73DF3">
        <w:rPr>
          <w:b/>
          <w:bCs/>
        </w:rPr>
        <w:t>202</w:t>
      </w:r>
      <w:r w:rsidR="003B13DE">
        <w:rPr>
          <w:b/>
        </w:rPr>
        <w:t>1</w:t>
      </w:r>
      <w:r w:rsidR="00C24B80">
        <w:rPr>
          <w:b/>
          <w:bCs/>
        </w:rPr>
        <w:t>–</w:t>
      </w:r>
      <w:r w:rsidR="00F932E7" w:rsidRPr="00C73DF3">
        <w:rPr>
          <w:b/>
          <w:bCs/>
        </w:rPr>
        <w:t>2</w:t>
      </w:r>
      <w:r w:rsidR="003B13DE">
        <w:rPr>
          <w:b/>
        </w:rPr>
        <w:t>2</w:t>
      </w:r>
      <w:r w:rsidR="00F932E7" w:rsidRPr="00C73DF3">
        <w:rPr>
          <w:b/>
          <w:bCs/>
        </w:rPr>
        <w:t xml:space="preserve"> </w:t>
      </w:r>
      <w:r w:rsidRPr="00C73DF3">
        <w:rPr>
          <w:b/>
          <w:bCs/>
        </w:rPr>
        <w:t xml:space="preserve">capital city population weighted density </w:t>
      </w:r>
      <w:r w:rsidR="00E629BE" w:rsidRPr="00C73DF3">
        <w:rPr>
          <w:b/>
          <w:bCs/>
        </w:rPr>
        <w:t xml:space="preserve">due to </w:t>
      </w:r>
      <w:r w:rsidR="7241BBF0" w:rsidRPr="316E271A">
        <w:rPr>
          <w:b/>
          <w:bCs/>
        </w:rPr>
        <w:t xml:space="preserve">ABS </w:t>
      </w:r>
      <w:r w:rsidR="00841BC9">
        <w:rPr>
          <w:b/>
          <w:bCs/>
        </w:rPr>
        <w:t>r</w:t>
      </w:r>
      <w:r w:rsidR="7241BBF0" w:rsidRPr="316E271A">
        <w:rPr>
          <w:b/>
          <w:bCs/>
        </w:rPr>
        <w:t>evisions</w:t>
      </w:r>
    </w:p>
    <w:tbl>
      <w:tblPr>
        <w:tblW w:w="9026" w:type="dxa"/>
        <w:tblLook w:val="04A0" w:firstRow="1" w:lastRow="0" w:firstColumn="1" w:lastColumn="0" w:noHBand="0" w:noVBand="1"/>
      </w:tblPr>
      <w:tblGrid>
        <w:gridCol w:w="1134"/>
        <w:gridCol w:w="993"/>
        <w:gridCol w:w="875"/>
        <w:gridCol w:w="842"/>
        <w:gridCol w:w="858"/>
        <w:gridCol w:w="858"/>
        <w:gridCol w:w="842"/>
        <w:gridCol w:w="842"/>
        <w:gridCol w:w="842"/>
        <w:gridCol w:w="940"/>
      </w:tblGrid>
      <w:tr w:rsidR="001E5013" w:rsidRPr="00833E37" w14:paraId="59829676" w14:textId="77777777" w:rsidTr="006C0C5A">
        <w:trPr>
          <w:trHeight w:val="315"/>
        </w:trPr>
        <w:tc>
          <w:tcPr>
            <w:tcW w:w="1134" w:type="dxa"/>
            <w:tcBorders>
              <w:top w:val="nil"/>
              <w:left w:val="nil"/>
              <w:bottom w:val="nil"/>
              <w:right w:val="nil"/>
            </w:tcBorders>
            <w:shd w:val="clear" w:color="000000" w:fill="006991"/>
            <w:vAlign w:val="center"/>
            <w:hideMark/>
          </w:tcPr>
          <w:p w14:paraId="5C162041" w14:textId="77777777" w:rsidR="00833E37" w:rsidRPr="00833E37" w:rsidRDefault="00833E37" w:rsidP="00833E37">
            <w:pPr>
              <w:spacing w:after="0" w:line="240" w:lineRule="auto"/>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 </w:t>
            </w:r>
          </w:p>
        </w:tc>
        <w:tc>
          <w:tcPr>
            <w:tcW w:w="993" w:type="dxa"/>
            <w:tcBorders>
              <w:top w:val="nil"/>
              <w:left w:val="nil"/>
              <w:bottom w:val="nil"/>
              <w:right w:val="nil"/>
            </w:tcBorders>
            <w:shd w:val="clear" w:color="000000" w:fill="006991"/>
            <w:vAlign w:val="center"/>
            <w:hideMark/>
          </w:tcPr>
          <w:p w14:paraId="57E04790" w14:textId="3085752A"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Syd</w:t>
            </w:r>
          </w:p>
        </w:tc>
        <w:tc>
          <w:tcPr>
            <w:tcW w:w="875" w:type="dxa"/>
            <w:tcBorders>
              <w:top w:val="nil"/>
              <w:left w:val="nil"/>
              <w:bottom w:val="nil"/>
              <w:right w:val="nil"/>
            </w:tcBorders>
            <w:shd w:val="clear" w:color="000000" w:fill="006991"/>
            <w:vAlign w:val="center"/>
            <w:hideMark/>
          </w:tcPr>
          <w:p w14:paraId="52264A02" w14:textId="3DC3A386"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Mel</w:t>
            </w:r>
          </w:p>
        </w:tc>
        <w:tc>
          <w:tcPr>
            <w:tcW w:w="842" w:type="dxa"/>
            <w:tcBorders>
              <w:top w:val="nil"/>
              <w:left w:val="nil"/>
              <w:bottom w:val="nil"/>
              <w:right w:val="nil"/>
            </w:tcBorders>
            <w:shd w:val="clear" w:color="000000" w:fill="006991"/>
            <w:vAlign w:val="center"/>
            <w:hideMark/>
          </w:tcPr>
          <w:p w14:paraId="21F221BE" w14:textId="6DE26CCD"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B</w:t>
            </w:r>
            <w:r w:rsidR="007A19B5">
              <w:rPr>
                <w:rFonts w:ascii="Open Sans Semibold" w:eastAsia="Times New Roman" w:hAnsi="Open Sans Semibold" w:cs="Open Sans Semibold"/>
                <w:color w:val="FFFFFF"/>
                <w:sz w:val="16"/>
                <w:szCs w:val="16"/>
                <w:lang w:eastAsia="en-AU"/>
              </w:rPr>
              <w:t>ri</w:t>
            </w:r>
          </w:p>
        </w:tc>
        <w:tc>
          <w:tcPr>
            <w:tcW w:w="858" w:type="dxa"/>
            <w:tcBorders>
              <w:top w:val="nil"/>
              <w:left w:val="nil"/>
              <w:bottom w:val="nil"/>
              <w:right w:val="nil"/>
            </w:tcBorders>
            <w:shd w:val="clear" w:color="000000" w:fill="006991"/>
            <w:vAlign w:val="center"/>
            <w:hideMark/>
          </w:tcPr>
          <w:p w14:paraId="610548E4" w14:textId="7F25E738"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Per</w:t>
            </w:r>
          </w:p>
        </w:tc>
        <w:tc>
          <w:tcPr>
            <w:tcW w:w="858" w:type="dxa"/>
            <w:tcBorders>
              <w:top w:val="nil"/>
              <w:left w:val="nil"/>
              <w:bottom w:val="nil"/>
              <w:right w:val="nil"/>
            </w:tcBorders>
            <w:shd w:val="clear" w:color="000000" w:fill="006991"/>
            <w:vAlign w:val="center"/>
            <w:hideMark/>
          </w:tcPr>
          <w:p w14:paraId="22CA4EFD" w14:textId="638998BF"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A</w:t>
            </w:r>
            <w:r w:rsidR="008D6AAE">
              <w:rPr>
                <w:rFonts w:ascii="Open Sans Semibold" w:eastAsia="Times New Roman" w:hAnsi="Open Sans Semibold" w:cs="Open Sans Semibold"/>
                <w:color w:val="FFFFFF"/>
                <w:sz w:val="16"/>
                <w:szCs w:val="16"/>
                <w:lang w:eastAsia="en-AU"/>
              </w:rPr>
              <w:t>de</w:t>
            </w:r>
          </w:p>
        </w:tc>
        <w:tc>
          <w:tcPr>
            <w:tcW w:w="842" w:type="dxa"/>
            <w:tcBorders>
              <w:top w:val="nil"/>
              <w:left w:val="nil"/>
              <w:bottom w:val="nil"/>
              <w:right w:val="nil"/>
            </w:tcBorders>
            <w:shd w:val="clear" w:color="000000" w:fill="006991"/>
            <w:vAlign w:val="center"/>
            <w:hideMark/>
          </w:tcPr>
          <w:p w14:paraId="4644F290" w14:textId="2927311D"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H</w:t>
            </w:r>
            <w:r w:rsidR="008D6AAE">
              <w:rPr>
                <w:rFonts w:ascii="Open Sans Semibold" w:eastAsia="Times New Roman" w:hAnsi="Open Sans Semibold" w:cs="Open Sans Semibold"/>
                <w:color w:val="FFFFFF"/>
                <w:sz w:val="16"/>
                <w:szCs w:val="16"/>
                <w:lang w:eastAsia="en-AU"/>
              </w:rPr>
              <w:t>ob</w:t>
            </w:r>
          </w:p>
        </w:tc>
        <w:tc>
          <w:tcPr>
            <w:tcW w:w="842" w:type="dxa"/>
            <w:tcBorders>
              <w:top w:val="nil"/>
              <w:left w:val="nil"/>
              <w:bottom w:val="nil"/>
              <w:right w:val="nil"/>
            </w:tcBorders>
            <w:shd w:val="clear" w:color="000000" w:fill="006991"/>
            <w:vAlign w:val="center"/>
            <w:hideMark/>
          </w:tcPr>
          <w:p w14:paraId="5E1A500F" w14:textId="66CA69E4"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C</w:t>
            </w:r>
            <w:r w:rsidR="008D6AAE">
              <w:rPr>
                <w:rFonts w:ascii="Open Sans Semibold" w:eastAsia="Times New Roman" w:hAnsi="Open Sans Semibold" w:cs="Open Sans Semibold"/>
                <w:color w:val="FFFFFF"/>
                <w:sz w:val="16"/>
                <w:szCs w:val="16"/>
                <w:lang w:eastAsia="en-AU"/>
              </w:rPr>
              <w:t>an</w:t>
            </w:r>
          </w:p>
        </w:tc>
        <w:tc>
          <w:tcPr>
            <w:tcW w:w="842" w:type="dxa"/>
            <w:tcBorders>
              <w:top w:val="nil"/>
              <w:left w:val="nil"/>
              <w:bottom w:val="nil"/>
              <w:right w:val="nil"/>
            </w:tcBorders>
            <w:shd w:val="clear" w:color="000000" w:fill="006991"/>
            <w:vAlign w:val="center"/>
            <w:hideMark/>
          </w:tcPr>
          <w:p w14:paraId="327E2FCF" w14:textId="7A535AAF" w:rsidR="00833E37" w:rsidRPr="00833E37" w:rsidRDefault="00833E37" w:rsidP="00833E37">
            <w:pPr>
              <w:spacing w:after="0" w:line="240" w:lineRule="auto"/>
              <w:jc w:val="right"/>
              <w:rPr>
                <w:rFonts w:ascii="Open Sans Semibold" w:eastAsia="Times New Roman" w:hAnsi="Open Sans Semibold" w:cs="Open Sans Semibold"/>
                <w:color w:val="FFFFFF"/>
                <w:sz w:val="16"/>
                <w:szCs w:val="16"/>
                <w:lang w:eastAsia="en-AU"/>
              </w:rPr>
            </w:pPr>
            <w:r w:rsidRPr="00833E37">
              <w:rPr>
                <w:rFonts w:ascii="Open Sans Semibold" w:eastAsia="Times New Roman" w:hAnsi="Open Sans Semibold" w:cs="Open Sans Semibold"/>
                <w:color w:val="FFFFFF"/>
                <w:sz w:val="16"/>
                <w:szCs w:val="16"/>
                <w:lang w:eastAsia="en-AU"/>
              </w:rPr>
              <w:t>D</w:t>
            </w:r>
            <w:r w:rsidR="008D6AAE">
              <w:rPr>
                <w:rFonts w:ascii="Open Sans Semibold" w:eastAsia="Times New Roman" w:hAnsi="Open Sans Semibold" w:cs="Open Sans Semibold"/>
                <w:color w:val="FFFFFF"/>
                <w:sz w:val="16"/>
                <w:szCs w:val="16"/>
                <w:lang w:eastAsia="en-AU"/>
              </w:rPr>
              <w:t>ar</w:t>
            </w:r>
          </w:p>
        </w:tc>
        <w:tc>
          <w:tcPr>
            <w:tcW w:w="940" w:type="dxa"/>
            <w:tcBorders>
              <w:top w:val="nil"/>
              <w:left w:val="nil"/>
              <w:bottom w:val="nil"/>
              <w:right w:val="nil"/>
            </w:tcBorders>
            <w:shd w:val="clear" w:color="000000" w:fill="006991"/>
            <w:vAlign w:val="center"/>
            <w:hideMark/>
          </w:tcPr>
          <w:p w14:paraId="2DFCE24E" w14:textId="5CD306B7" w:rsidR="00833E37" w:rsidRPr="00833E37" w:rsidRDefault="002719F6" w:rsidP="00833E37">
            <w:pPr>
              <w:spacing w:after="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Ave</w:t>
            </w:r>
          </w:p>
        </w:tc>
      </w:tr>
      <w:tr w:rsidR="001E5013" w:rsidRPr="00B06BC0" w14:paraId="78131EE8" w14:textId="77777777" w:rsidTr="006C0C5A">
        <w:trPr>
          <w:trHeight w:val="272"/>
        </w:trPr>
        <w:tc>
          <w:tcPr>
            <w:tcW w:w="1134" w:type="dxa"/>
            <w:tcBorders>
              <w:top w:val="single" w:sz="8" w:space="0" w:color="ADD6EA"/>
              <w:left w:val="nil"/>
              <w:bottom w:val="nil"/>
              <w:right w:val="nil"/>
            </w:tcBorders>
            <w:shd w:val="clear" w:color="000000" w:fill="B6D5E4"/>
            <w:vAlign w:val="center"/>
            <w:hideMark/>
          </w:tcPr>
          <w:p w14:paraId="45CDFAF3" w14:textId="77777777" w:rsidR="006C0C5A" w:rsidRPr="00B06BC0" w:rsidRDefault="006C0C5A">
            <w:pPr>
              <w:spacing w:after="0" w:line="240" w:lineRule="auto"/>
              <w:rPr>
                <w:rFonts w:ascii="Open Sans Semibold" w:eastAsia="Times New Roman" w:hAnsi="Open Sans Semibold" w:cs="Open Sans Semibold"/>
                <w:color w:val="000000"/>
                <w:sz w:val="16"/>
                <w:szCs w:val="16"/>
                <w:lang w:eastAsia="en-AU"/>
              </w:rPr>
            </w:pPr>
            <w:r w:rsidRPr="00B06BC0">
              <w:rPr>
                <w:rFonts w:ascii="Open Sans Semibold" w:eastAsia="Times New Roman" w:hAnsi="Open Sans Semibold" w:cs="Open Sans Semibold"/>
                <w:color w:val="000000"/>
                <w:sz w:val="16"/>
                <w:szCs w:val="16"/>
                <w:lang w:eastAsia="en-AU"/>
              </w:rPr>
              <w:t> </w:t>
            </w:r>
          </w:p>
        </w:tc>
        <w:tc>
          <w:tcPr>
            <w:tcW w:w="993" w:type="dxa"/>
            <w:tcBorders>
              <w:top w:val="single" w:sz="8" w:space="0" w:color="ADD6EA"/>
              <w:left w:val="nil"/>
              <w:bottom w:val="nil"/>
              <w:right w:val="nil"/>
            </w:tcBorders>
            <w:shd w:val="clear" w:color="000000" w:fill="B6D5E4"/>
            <w:noWrap/>
            <w:vAlign w:val="center"/>
            <w:hideMark/>
          </w:tcPr>
          <w:p w14:paraId="0A2124CE" w14:textId="6FFB77F5"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r w:rsidRPr="00B06BC0">
              <w:rPr>
                <w:rFonts w:ascii="Open Sans Semibold" w:eastAsia="Times New Roman" w:hAnsi="Open Sans Semibold" w:cs="Open Sans Semibold"/>
                <w:color w:val="000000"/>
                <w:sz w:val="16"/>
                <w:szCs w:val="16"/>
                <w:lang w:eastAsia="en-AU"/>
              </w:rPr>
              <w:t> </w:t>
            </w:r>
          </w:p>
        </w:tc>
        <w:tc>
          <w:tcPr>
            <w:tcW w:w="875" w:type="dxa"/>
            <w:tcBorders>
              <w:top w:val="single" w:sz="8" w:space="0" w:color="ADD6EA"/>
              <w:left w:val="nil"/>
              <w:bottom w:val="nil"/>
              <w:right w:val="nil"/>
            </w:tcBorders>
            <w:shd w:val="clear" w:color="000000" w:fill="B6D5E4"/>
            <w:noWrap/>
            <w:vAlign w:val="center"/>
            <w:hideMark/>
          </w:tcPr>
          <w:p w14:paraId="348DB539" w14:textId="1C6C30C2"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c>
          <w:tcPr>
            <w:tcW w:w="842" w:type="dxa"/>
            <w:tcBorders>
              <w:top w:val="single" w:sz="8" w:space="0" w:color="ADD6EA"/>
              <w:left w:val="nil"/>
              <w:bottom w:val="nil"/>
              <w:right w:val="nil"/>
            </w:tcBorders>
            <w:shd w:val="clear" w:color="000000" w:fill="B6D5E4"/>
            <w:noWrap/>
            <w:vAlign w:val="center"/>
            <w:hideMark/>
          </w:tcPr>
          <w:p w14:paraId="3B6E2300" w14:textId="2CA76732"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c>
          <w:tcPr>
            <w:tcW w:w="858" w:type="dxa"/>
            <w:tcBorders>
              <w:top w:val="single" w:sz="8" w:space="0" w:color="ADD6EA"/>
              <w:left w:val="nil"/>
              <w:bottom w:val="nil"/>
              <w:right w:val="nil"/>
            </w:tcBorders>
            <w:shd w:val="clear" w:color="000000" w:fill="B6D5E4"/>
            <w:noWrap/>
            <w:vAlign w:val="center"/>
            <w:hideMark/>
          </w:tcPr>
          <w:p w14:paraId="0B4181EF" w14:textId="71728348"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c>
          <w:tcPr>
            <w:tcW w:w="858" w:type="dxa"/>
            <w:tcBorders>
              <w:top w:val="single" w:sz="8" w:space="0" w:color="ADD6EA"/>
              <w:left w:val="nil"/>
              <w:bottom w:val="nil"/>
              <w:right w:val="nil"/>
            </w:tcBorders>
            <w:shd w:val="clear" w:color="000000" w:fill="B6D5E4"/>
            <w:noWrap/>
            <w:vAlign w:val="center"/>
            <w:hideMark/>
          </w:tcPr>
          <w:p w14:paraId="6B225383" w14:textId="016E0CA0"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c>
          <w:tcPr>
            <w:tcW w:w="842" w:type="dxa"/>
            <w:tcBorders>
              <w:top w:val="single" w:sz="8" w:space="0" w:color="ADD6EA"/>
              <w:left w:val="nil"/>
              <w:bottom w:val="nil"/>
              <w:right w:val="nil"/>
            </w:tcBorders>
            <w:shd w:val="clear" w:color="000000" w:fill="B6D5E4"/>
            <w:noWrap/>
            <w:vAlign w:val="center"/>
            <w:hideMark/>
          </w:tcPr>
          <w:p w14:paraId="1EEAB071" w14:textId="38576DED"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c>
          <w:tcPr>
            <w:tcW w:w="842" w:type="dxa"/>
            <w:tcBorders>
              <w:top w:val="single" w:sz="8" w:space="0" w:color="ADD6EA"/>
              <w:left w:val="nil"/>
              <w:bottom w:val="nil"/>
              <w:right w:val="nil"/>
            </w:tcBorders>
            <w:shd w:val="clear" w:color="000000" w:fill="B6D5E4"/>
            <w:noWrap/>
            <w:vAlign w:val="center"/>
            <w:hideMark/>
          </w:tcPr>
          <w:p w14:paraId="2C7FAF9A" w14:textId="7A2C8CBD"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c>
          <w:tcPr>
            <w:tcW w:w="842" w:type="dxa"/>
            <w:tcBorders>
              <w:top w:val="single" w:sz="8" w:space="0" w:color="ADD6EA"/>
              <w:left w:val="nil"/>
              <w:bottom w:val="nil"/>
              <w:right w:val="nil"/>
            </w:tcBorders>
            <w:shd w:val="clear" w:color="000000" w:fill="B6D5E4"/>
            <w:noWrap/>
            <w:vAlign w:val="center"/>
            <w:hideMark/>
          </w:tcPr>
          <w:p w14:paraId="39806489" w14:textId="5E739450"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c>
          <w:tcPr>
            <w:tcW w:w="940" w:type="dxa"/>
            <w:tcBorders>
              <w:top w:val="single" w:sz="8" w:space="0" w:color="ADD6EA"/>
              <w:left w:val="nil"/>
              <w:bottom w:val="nil"/>
              <w:right w:val="nil"/>
            </w:tcBorders>
            <w:shd w:val="clear" w:color="000000" w:fill="B6D5E4"/>
            <w:noWrap/>
            <w:vAlign w:val="center"/>
            <w:hideMark/>
          </w:tcPr>
          <w:p w14:paraId="0D9DC173" w14:textId="0B7B076A" w:rsidR="006C0C5A" w:rsidRPr="00B06BC0" w:rsidRDefault="006C0C5A">
            <w:pPr>
              <w:spacing w:after="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People per km</w:t>
            </w:r>
            <w:r>
              <w:rPr>
                <w:rFonts w:ascii="Open Sans Semibold" w:eastAsia="Times New Roman" w:hAnsi="Open Sans Semibold" w:cs="Open Sans Semibold"/>
                <w:color w:val="000000"/>
                <w:sz w:val="16"/>
                <w:szCs w:val="16"/>
                <w:vertAlign w:val="superscript"/>
                <w:lang w:eastAsia="en-AU"/>
              </w:rPr>
              <w:t>2</w:t>
            </w:r>
          </w:p>
        </w:tc>
      </w:tr>
      <w:tr w:rsidR="001E5013" w:rsidRPr="00833E37" w14:paraId="111B9CF8" w14:textId="77777777" w:rsidTr="006C0C5A">
        <w:trPr>
          <w:trHeight w:val="556"/>
        </w:trPr>
        <w:tc>
          <w:tcPr>
            <w:tcW w:w="1134" w:type="dxa"/>
            <w:tcBorders>
              <w:top w:val="nil"/>
              <w:left w:val="nil"/>
              <w:bottom w:val="single" w:sz="8" w:space="0" w:color="ADD6EA"/>
              <w:right w:val="nil"/>
            </w:tcBorders>
            <w:shd w:val="clear" w:color="auto" w:fill="auto"/>
            <w:noWrap/>
            <w:vAlign w:val="center"/>
            <w:hideMark/>
          </w:tcPr>
          <w:p w14:paraId="202101DB" w14:textId="587F00AD" w:rsidR="00833E37" w:rsidRPr="00833E37" w:rsidRDefault="00833E37" w:rsidP="00833E37">
            <w:pPr>
              <w:spacing w:after="0" w:line="240" w:lineRule="auto"/>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 xml:space="preserve">2016 </w:t>
            </w:r>
            <w:r w:rsidR="00D44113" w:rsidRPr="005E37CE">
              <w:rPr>
                <w:rFonts w:ascii="Open Sans Light" w:eastAsia="Times New Roman" w:hAnsi="Open Sans Light" w:cs="Open Sans Light"/>
                <w:color w:val="000000"/>
                <w:sz w:val="16"/>
                <w:szCs w:val="16"/>
                <w:lang w:eastAsia="en-AU"/>
              </w:rPr>
              <w:t>Geography</w:t>
            </w:r>
          </w:p>
        </w:tc>
        <w:tc>
          <w:tcPr>
            <w:tcW w:w="993" w:type="dxa"/>
            <w:tcBorders>
              <w:top w:val="nil"/>
              <w:left w:val="nil"/>
              <w:bottom w:val="single" w:sz="8" w:space="0" w:color="ADD6EA"/>
              <w:right w:val="nil"/>
            </w:tcBorders>
            <w:shd w:val="clear" w:color="auto" w:fill="auto"/>
            <w:noWrap/>
            <w:vAlign w:val="center"/>
            <w:hideMark/>
          </w:tcPr>
          <w:p w14:paraId="2D50E422" w14:textId="167187C2"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6,393</w:t>
            </w:r>
          </w:p>
        </w:tc>
        <w:tc>
          <w:tcPr>
            <w:tcW w:w="875" w:type="dxa"/>
            <w:tcBorders>
              <w:top w:val="nil"/>
              <w:left w:val="nil"/>
              <w:bottom w:val="single" w:sz="8" w:space="0" w:color="ADD6EA"/>
              <w:right w:val="nil"/>
            </w:tcBorders>
            <w:shd w:val="clear" w:color="auto" w:fill="auto"/>
            <w:noWrap/>
            <w:vAlign w:val="center"/>
            <w:hideMark/>
          </w:tcPr>
          <w:p w14:paraId="134CC153"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4,209</w:t>
            </w:r>
          </w:p>
        </w:tc>
        <w:tc>
          <w:tcPr>
            <w:tcW w:w="842" w:type="dxa"/>
            <w:tcBorders>
              <w:top w:val="nil"/>
              <w:left w:val="nil"/>
              <w:bottom w:val="single" w:sz="8" w:space="0" w:color="ADD6EA"/>
              <w:right w:val="nil"/>
            </w:tcBorders>
            <w:shd w:val="clear" w:color="auto" w:fill="auto"/>
            <w:noWrap/>
            <w:vAlign w:val="center"/>
            <w:hideMark/>
          </w:tcPr>
          <w:p w14:paraId="02A13FE2"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2,999</w:t>
            </w:r>
          </w:p>
        </w:tc>
        <w:tc>
          <w:tcPr>
            <w:tcW w:w="858" w:type="dxa"/>
            <w:tcBorders>
              <w:top w:val="nil"/>
              <w:left w:val="nil"/>
              <w:bottom w:val="single" w:sz="8" w:space="0" w:color="ADD6EA"/>
              <w:right w:val="nil"/>
            </w:tcBorders>
            <w:shd w:val="clear" w:color="auto" w:fill="auto"/>
            <w:noWrap/>
            <w:vAlign w:val="center"/>
            <w:hideMark/>
          </w:tcPr>
          <w:p w14:paraId="7F1C7373"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2,566</w:t>
            </w:r>
          </w:p>
        </w:tc>
        <w:tc>
          <w:tcPr>
            <w:tcW w:w="858" w:type="dxa"/>
            <w:tcBorders>
              <w:top w:val="nil"/>
              <w:left w:val="nil"/>
              <w:bottom w:val="single" w:sz="8" w:space="0" w:color="ADD6EA"/>
              <w:right w:val="nil"/>
            </w:tcBorders>
            <w:shd w:val="clear" w:color="auto" w:fill="auto"/>
            <w:noWrap/>
            <w:vAlign w:val="center"/>
            <w:hideMark/>
          </w:tcPr>
          <w:p w14:paraId="01860562"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2,507</w:t>
            </w:r>
          </w:p>
        </w:tc>
        <w:tc>
          <w:tcPr>
            <w:tcW w:w="842" w:type="dxa"/>
            <w:tcBorders>
              <w:top w:val="nil"/>
              <w:left w:val="nil"/>
              <w:bottom w:val="single" w:sz="8" w:space="0" w:color="ADD6EA"/>
              <w:right w:val="nil"/>
            </w:tcBorders>
            <w:shd w:val="clear" w:color="auto" w:fill="auto"/>
            <w:noWrap/>
            <w:vAlign w:val="center"/>
            <w:hideMark/>
          </w:tcPr>
          <w:p w14:paraId="0D893BB9"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1,911</w:t>
            </w:r>
          </w:p>
        </w:tc>
        <w:tc>
          <w:tcPr>
            <w:tcW w:w="842" w:type="dxa"/>
            <w:tcBorders>
              <w:top w:val="nil"/>
              <w:left w:val="nil"/>
              <w:bottom w:val="single" w:sz="8" w:space="0" w:color="ADD6EA"/>
              <w:right w:val="nil"/>
            </w:tcBorders>
            <w:shd w:val="clear" w:color="auto" w:fill="auto"/>
            <w:noWrap/>
            <w:vAlign w:val="center"/>
            <w:hideMark/>
          </w:tcPr>
          <w:p w14:paraId="64C4E7BF"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3,006</w:t>
            </w:r>
          </w:p>
        </w:tc>
        <w:tc>
          <w:tcPr>
            <w:tcW w:w="842" w:type="dxa"/>
            <w:tcBorders>
              <w:top w:val="nil"/>
              <w:left w:val="nil"/>
              <w:bottom w:val="single" w:sz="8" w:space="0" w:color="ADD6EA"/>
              <w:right w:val="nil"/>
            </w:tcBorders>
            <w:shd w:val="clear" w:color="auto" w:fill="auto"/>
            <w:noWrap/>
            <w:vAlign w:val="center"/>
            <w:hideMark/>
          </w:tcPr>
          <w:p w14:paraId="70FB70EC"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2,564</w:t>
            </w:r>
          </w:p>
        </w:tc>
        <w:tc>
          <w:tcPr>
            <w:tcW w:w="940" w:type="dxa"/>
            <w:tcBorders>
              <w:top w:val="nil"/>
              <w:left w:val="nil"/>
              <w:bottom w:val="single" w:sz="8" w:space="0" w:color="ADD6EA"/>
              <w:right w:val="nil"/>
            </w:tcBorders>
            <w:shd w:val="clear" w:color="auto" w:fill="auto"/>
            <w:noWrap/>
            <w:vAlign w:val="center"/>
            <w:hideMark/>
          </w:tcPr>
          <w:p w14:paraId="792810DB" w14:textId="7777777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3,269</w:t>
            </w:r>
          </w:p>
        </w:tc>
      </w:tr>
      <w:tr w:rsidR="001E5013" w:rsidRPr="00833E37" w14:paraId="5FE390BC" w14:textId="77777777" w:rsidTr="006C0C5A">
        <w:trPr>
          <w:trHeight w:val="556"/>
        </w:trPr>
        <w:tc>
          <w:tcPr>
            <w:tcW w:w="1134" w:type="dxa"/>
            <w:tcBorders>
              <w:top w:val="nil"/>
              <w:left w:val="nil"/>
              <w:bottom w:val="single" w:sz="8" w:space="0" w:color="ADD6EA"/>
              <w:right w:val="nil"/>
            </w:tcBorders>
            <w:shd w:val="clear" w:color="auto" w:fill="auto"/>
            <w:noWrap/>
            <w:vAlign w:val="center"/>
            <w:hideMark/>
          </w:tcPr>
          <w:p w14:paraId="6B618FDC" w14:textId="202B836B" w:rsidR="00833E37" w:rsidRPr="00833E37" w:rsidRDefault="00833E37" w:rsidP="00833E37">
            <w:pPr>
              <w:spacing w:after="0" w:line="240" w:lineRule="auto"/>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 xml:space="preserve">2021 </w:t>
            </w:r>
            <w:r w:rsidR="00D44113" w:rsidRPr="005E37CE">
              <w:rPr>
                <w:rFonts w:ascii="Open Sans Light" w:eastAsia="Times New Roman" w:hAnsi="Open Sans Light" w:cs="Open Sans Light"/>
                <w:color w:val="000000"/>
                <w:sz w:val="16"/>
                <w:szCs w:val="16"/>
                <w:lang w:eastAsia="en-AU"/>
              </w:rPr>
              <w:t>Geography</w:t>
            </w:r>
          </w:p>
        </w:tc>
        <w:tc>
          <w:tcPr>
            <w:tcW w:w="993" w:type="dxa"/>
            <w:tcBorders>
              <w:top w:val="nil"/>
              <w:left w:val="nil"/>
              <w:bottom w:val="single" w:sz="8" w:space="0" w:color="ADD6EA"/>
              <w:right w:val="nil"/>
            </w:tcBorders>
            <w:shd w:val="clear" w:color="auto" w:fill="auto"/>
            <w:noWrap/>
            <w:vAlign w:val="center"/>
            <w:hideMark/>
          </w:tcPr>
          <w:p w14:paraId="18D8ECDA" w14:textId="2C7C9E47"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7,</w:t>
            </w:r>
            <w:r w:rsidR="00EE6155">
              <w:rPr>
                <w:rFonts w:ascii="Open Sans Light" w:eastAsia="Times New Roman" w:hAnsi="Open Sans Light" w:cs="Open Sans Light"/>
                <w:color w:val="000000"/>
                <w:sz w:val="16"/>
                <w:szCs w:val="16"/>
                <w:lang w:eastAsia="en-AU"/>
              </w:rPr>
              <w:t>196</w:t>
            </w:r>
          </w:p>
        </w:tc>
        <w:tc>
          <w:tcPr>
            <w:tcW w:w="875" w:type="dxa"/>
            <w:tcBorders>
              <w:top w:val="nil"/>
              <w:left w:val="nil"/>
              <w:bottom w:val="single" w:sz="8" w:space="0" w:color="ADD6EA"/>
              <w:right w:val="nil"/>
            </w:tcBorders>
            <w:shd w:val="clear" w:color="auto" w:fill="auto"/>
            <w:noWrap/>
            <w:vAlign w:val="center"/>
            <w:hideMark/>
          </w:tcPr>
          <w:p w14:paraId="55031979" w14:textId="0860D276"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5,</w:t>
            </w:r>
            <w:r w:rsidR="008003A1">
              <w:rPr>
                <w:rFonts w:ascii="Open Sans Light" w:eastAsia="Times New Roman" w:hAnsi="Open Sans Light" w:cs="Open Sans Light"/>
                <w:color w:val="000000"/>
                <w:sz w:val="16"/>
                <w:szCs w:val="16"/>
                <w:lang w:eastAsia="en-AU"/>
              </w:rPr>
              <w:t>125</w:t>
            </w:r>
          </w:p>
        </w:tc>
        <w:tc>
          <w:tcPr>
            <w:tcW w:w="842" w:type="dxa"/>
            <w:tcBorders>
              <w:top w:val="nil"/>
              <w:left w:val="nil"/>
              <w:bottom w:val="single" w:sz="8" w:space="0" w:color="ADD6EA"/>
              <w:right w:val="nil"/>
            </w:tcBorders>
            <w:shd w:val="clear" w:color="auto" w:fill="auto"/>
            <w:noWrap/>
            <w:vAlign w:val="center"/>
            <w:hideMark/>
          </w:tcPr>
          <w:p w14:paraId="72F50C39" w14:textId="2C18BE51"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3,3</w:t>
            </w:r>
            <w:r w:rsidR="001875BD">
              <w:rPr>
                <w:rFonts w:ascii="Open Sans Light" w:eastAsia="Times New Roman" w:hAnsi="Open Sans Light" w:cs="Open Sans Light"/>
                <w:color w:val="000000"/>
                <w:sz w:val="16"/>
                <w:szCs w:val="16"/>
                <w:lang w:eastAsia="en-AU"/>
              </w:rPr>
              <w:t>9</w:t>
            </w:r>
            <w:r w:rsidRPr="00833E37">
              <w:rPr>
                <w:rFonts w:ascii="Open Sans Light" w:eastAsia="Times New Roman" w:hAnsi="Open Sans Light" w:cs="Open Sans Light"/>
                <w:color w:val="000000"/>
                <w:sz w:val="16"/>
                <w:szCs w:val="16"/>
                <w:lang w:eastAsia="en-AU"/>
              </w:rPr>
              <w:t>7</w:t>
            </w:r>
          </w:p>
        </w:tc>
        <w:tc>
          <w:tcPr>
            <w:tcW w:w="858" w:type="dxa"/>
            <w:tcBorders>
              <w:top w:val="nil"/>
              <w:left w:val="nil"/>
              <w:bottom w:val="single" w:sz="8" w:space="0" w:color="ADD6EA"/>
              <w:right w:val="nil"/>
            </w:tcBorders>
            <w:shd w:val="clear" w:color="auto" w:fill="auto"/>
            <w:noWrap/>
            <w:vAlign w:val="center"/>
            <w:hideMark/>
          </w:tcPr>
          <w:p w14:paraId="3DE2DBAC" w14:textId="7BA59E7C"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2,6</w:t>
            </w:r>
            <w:r w:rsidR="003468F5">
              <w:rPr>
                <w:rFonts w:ascii="Open Sans Light" w:eastAsia="Times New Roman" w:hAnsi="Open Sans Light" w:cs="Open Sans Light"/>
                <w:color w:val="000000"/>
                <w:sz w:val="16"/>
                <w:szCs w:val="16"/>
                <w:lang w:eastAsia="en-AU"/>
              </w:rPr>
              <w:t>49</w:t>
            </w:r>
          </w:p>
        </w:tc>
        <w:tc>
          <w:tcPr>
            <w:tcW w:w="858" w:type="dxa"/>
            <w:tcBorders>
              <w:top w:val="nil"/>
              <w:left w:val="nil"/>
              <w:bottom w:val="single" w:sz="8" w:space="0" w:color="ADD6EA"/>
              <w:right w:val="nil"/>
            </w:tcBorders>
            <w:shd w:val="clear" w:color="auto" w:fill="auto"/>
            <w:noWrap/>
            <w:vAlign w:val="center"/>
            <w:hideMark/>
          </w:tcPr>
          <w:p w14:paraId="43121DCA" w14:textId="79A8FE08"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2,51</w:t>
            </w:r>
            <w:r w:rsidR="00190E25">
              <w:rPr>
                <w:rFonts w:ascii="Open Sans Light" w:eastAsia="Times New Roman" w:hAnsi="Open Sans Light" w:cs="Open Sans Light"/>
                <w:color w:val="000000"/>
                <w:sz w:val="16"/>
                <w:szCs w:val="16"/>
                <w:lang w:eastAsia="en-AU"/>
              </w:rPr>
              <w:t>8</w:t>
            </w:r>
          </w:p>
        </w:tc>
        <w:tc>
          <w:tcPr>
            <w:tcW w:w="842" w:type="dxa"/>
            <w:tcBorders>
              <w:top w:val="nil"/>
              <w:left w:val="nil"/>
              <w:bottom w:val="single" w:sz="8" w:space="0" w:color="ADD6EA"/>
              <w:right w:val="nil"/>
            </w:tcBorders>
            <w:shd w:val="clear" w:color="auto" w:fill="auto"/>
            <w:noWrap/>
            <w:vAlign w:val="center"/>
            <w:hideMark/>
          </w:tcPr>
          <w:p w14:paraId="290DB317" w14:textId="6FF45EAA"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1,9</w:t>
            </w:r>
            <w:r w:rsidR="00513851">
              <w:rPr>
                <w:rFonts w:ascii="Open Sans Light" w:eastAsia="Times New Roman" w:hAnsi="Open Sans Light" w:cs="Open Sans Light"/>
                <w:color w:val="000000"/>
                <w:sz w:val="16"/>
                <w:szCs w:val="16"/>
                <w:lang w:eastAsia="en-AU"/>
              </w:rPr>
              <w:t>90</w:t>
            </w:r>
          </w:p>
        </w:tc>
        <w:tc>
          <w:tcPr>
            <w:tcW w:w="842" w:type="dxa"/>
            <w:tcBorders>
              <w:top w:val="nil"/>
              <w:left w:val="nil"/>
              <w:bottom w:val="single" w:sz="8" w:space="0" w:color="ADD6EA"/>
              <w:right w:val="nil"/>
            </w:tcBorders>
            <w:shd w:val="clear" w:color="auto" w:fill="auto"/>
            <w:noWrap/>
            <w:vAlign w:val="center"/>
            <w:hideMark/>
          </w:tcPr>
          <w:p w14:paraId="0D9C31A1" w14:textId="49FF27A3"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3,</w:t>
            </w:r>
            <w:r w:rsidR="00715ACB">
              <w:rPr>
                <w:rFonts w:ascii="Open Sans Light" w:eastAsia="Times New Roman" w:hAnsi="Open Sans Light" w:cs="Open Sans Light"/>
                <w:color w:val="000000"/>
                <w:sz w:val="16"/>
                <w:szCs w:val="16"/>
                <w:lang w:eastAsia="en-AU"/>
              </w:rPr>
              <w:t>315</w:t>
            </w:r>
          </w:p>
        </w:tc>
        <w:tc>
          <w:tcPr>
            <w:tcW w:w="842" w:type="dxa"/>
            <w:tcBorders>
              <w:top w:val="nil"/>
              <w:left w:val="nil"/>
              <w:bottom w:val="single" w:sz="8" w:space="0" w:color="ADD6EA"/>
              <w:right w:val="nil"/>
            </w:tcBorders>
            <w:shd w:val="clear" w:color="auto" w:fill="auto"/>
            <w:noWrap/>
            <w:vAlign w:val="center"/>
            <w:hideMark/>
          </w:tcPr>
          <w:p w14:paraId="3C28B0C6" w14:textId="07C72A16"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2,6</w:t>
            </w:r>
            <w:r w:rsidR="002C7435">
              <w:rPr>
                <w:rFonts w:ascii="Open Sans Light" w:eastAsia="Times New Roman" w:hAnsi="Open Sans Light" w:cs="Open Sans Light"/>
                <w:color w:val="000000"/>
                <w:sz w:val="16"/>
                <w:szCs w:val="16"/>
                <w:lang w:eastAsia="en-AU"/>
              </w:rPr>
              <w:t>90</w:t>
            </w:r>
          </w:p>
        </w:tc>
        <w:tc>
          <w:tcPr>
            <w:tcW w:w="940" w:type="dxa"/>
            <w:tcBorders>
              <w:top w:val="nil"/>
              <w:left w:val="nil"/>
              <w:bottom w:val="single" w:sz="8" w:space="0" w:color="ADD6EA"/>
              <w:right w:val="nil"/>
            </w:tcBorders>
            <w:shd w:val="clear" w:color="auto" w:fill="auto"/>
            <w:noWrap/>
            <w:vAlign w:val="center"/>
            <w:hideMark/>
          </w:tcPr>
          <w:p w14:paraId="00127A1E" w14:textId="75BAE1D3" w:rsidR="00833E37" w:rsidRPr="00833E37" w:rsidRDefault="00833E37" w:rsidP="00833E37">
            <w:pPr>
              <w:spacing w:after="0" w:line="240" w:lineRule="auto"/>
              <w:jc w:val="right"/>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3,</w:t>
            </w:r>
            <w:r w:rsidR="001B37F1">
              <w:rPr>
                <w:rFonts w:ascii="Open Sans Light" w:eastAsia="Times New Roman" w:hAnsi="Open Sans Light" w:cs="Open Sans Light"/>
                <w:color w:val="000000"/>
                <w:sz w:val="16"/>
                <w:szCs w:val="16"/>
                <w:lang w:eastAsia="en-AU"/>
              </w:rPr>
              <w:t>6</w:t>
            </w:r>
            <w:r w:rsidR="000800CA">
              <w:rPr>
                <w:rFonts w:ascii="Open Sans Light" w:eastAsia="Times New Roman" w:hAnsi="Open Sans Light" w:cs="Open Sans Light"/>
                <w:color w:val="000000"/>
                <w:sz w:val="16"/>
                <w:szCs w:val="16"/>
                <w:lang w:eastAsia="en-AU"/>
              </w:rPr>
              <w:t>10</w:t>
            </w:r>
          </w:p>
        </w:tc>
      </w:tr>
      <w:tr w:rsidR="001E5013" w:rsidRPr="00833E37" w14:paraId="29BC1D1A" w14:textId="77777777" w:rsidTr="006C0C5A">
        <w:trPr>
          <w:trHeight w:val="315"/>
        </w:trPr>
        <w:tc>
          <w:tcPr>
            <w:tcW w:w="1134" w:type="dxa"/>
            <w:tcBorders>
              <w:top w:val="nil"/>
              <w:left w:val="nil"/>
              <w:bottom w:val="single" w:sz="8" w:space="0" w:color="ADD6EA"/>
              <w:right w:val="nil"/>
            </w:tcBorders>
            <w:shd w:val="clear" w:color="auto" w:fill="auto"/>
            <w:noWrap/>
            <w:vAlign w:val="center"/>
            <w:hideMark/>
          </w:tcPr>
          <w:p w14:paraId="38347336" w14:textId="2276E9A5" w:rsidR="00833E37" w:rsidRPr="00833E37" w:rsidRDefault="00833E37" w:rsidP="00833E37">
            <w:pPr>
              <w:spacing w:after="0" w:line="240" w:lineRule="auto"/>
              <w:rPr>
                <w:rFonts w:ascii="Open Sans Light" w:eastAsia="Times New Roman" w:hAnsi="Open Sans Light" w:cs="Open Sans Light"/>
                <w:color w:val="000000"/>
                <w:sz w:val="16"/>
                <w:szCs w:val="16"/>
                <w:lang w:eastAsia="en-AU"/>
              </w:rPr>
            </w:pPr>
            <w:r w:rsidRPr="00833E37">
              <w:rPr>
                <w:rFonts w:ascii="Open Sans Light" w:eastAsia="Times New Roman" w:hAnsi="Open Sans Light" w:cs="Open Sans Light"/>
                <w:color w:val="000000"/>
                <w:sz w:val="16"/>
                <w:szCs w:val="16"/>
                <w:lang w:eastAsia="en-AU"/>
              </w:rPr>
              <w:t>Change</w:t>
            </w:r>
            <w:r w:rsidR="007B654D" w:rsidRPr="005E37CE">
              <w:rPr>
                <w:rFonts w:ascii="Open Sans Light" w:eastAsia="Times New Roman" w:hAnsi="Open Sans Light" w:cs="Open Sans Light"/>
                <w:color w:val="000000"/>
                <w:sz w:val="16"/>
                <w:szCs w:val="16"/>
                <w:lang w:eastAsia="en-AU"/>
              </w:rPr>
              <w:t xml:space="preserve"> </w:t>
            </w:r>
            <w:r w:rsidRPr="00833E37">
              <w:rPr>
                <w:rFonts w:ascii="Open Sans Light" w:eastAsia="Times New Roman" w:hAnsi="Open Sans Light" w:cs="Open Sans Light"/>
                <w:color w:val="000000"/>
                <w:sz w:val="16"/>
                <w:szCs w:val="16"/>
                <w:lang w:eastAsia="en-AU"/>
              </w:rPr>
              <w:t>(%)</w:t>
            </w:r>
          </w:p>
        </w:tc>
        <w:tc>
          <w:tcPr>
            <w:tcW w:w="993" w:type="dxa"/>
            <w:tcBorders>
              <w:top w:val="nil"/>
              <w:left w:val="nil"/>
              <w:bottom w:val="single" w:sz="8" w:space="0" w:color="ADD6EA"/>
              <w:right w:val="nil"/>
            </w:tcBorders>
            <w:shd w:val="clear" w:color="auto" w:fill="auto"/>
            <w:noWrap/>
            <w:vAlign w:val="center"/>
            <w:hideMark/>
          </w:tcPr>
          <w:p w14:paraId="4F34A9D8" w14:textId="11EA4FB7" w:rsidR="00833E37" w:rsidRPr="00833E37" w:rsidRDefault="00F51FF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12.56</w:t>
            </w:r>
            <w:r w:rsidR="00833E37" w:rsidRPr="00833E37">
              <w:rPr>
                <w:rFonts w:ascii="Open Sans Light" w:eastAsia="Times New Roman" w:hAnsi="Open Sans Light" w:cs="Open Sans Light"/>
                <w:color w:val="000000"/>
                <w:sz w:val="16"/>
                <w:szCs w:val="16"/>
                <w:lang w:eastAsia="en-AU"/>
              </w:rPr>
              <w:t>%</w:t>
            </w:r>
          </w:p>
        </w:tc>
        <w:tc>
          <w:tcPr>
            <w:tcW w:w="875" w:type="dxa"/>
            <w:tcBorders>
              <w:top w:val="nil"/>
              <w:left w:val="nil"/>
              <w:bottom w:val="single" w:sz="8" w:space="0" w:color="ADD6EA"/>
              <w:right w:val="nil"/>
            </w:tcBorders>
            <w:shd w:val="clear" w:color="auto" w:fill="auto"/>
            <w:noWrap/>
            <w:vAlign w:val="center"/>
            <w:hideMark/>
          </w:tcPr>
          <w:p w14:paraId="3264AB65" w14:textId="71EA9088" w:rsidR="00833E37" w:rsidRPr="00833E37" w:rsidRDefault="00F51FF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21.76</w:t>
            </w:r>
            <w:r w:rsidR="00833E37" w:rsidRPr="00833E37">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5B10190E" w14:textId="65BC534C" w:rsidR="00833E37" w:rsidRPr="00833E37" w:rsidRDefault="00F51FF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13.27</w:t>
            </w:r>
            <w:r w:rsidR="00833E37" w:rsidRPr="00833E37">
              <w:rPr>
                <w:rFonts w:ascii="Open Sans Light" w:eastAsia="Times New Roman" w:hAnsi="Open Sans Light" w:cs="Open Sans Light"/>
                <w:color w:val="000000"/>
                <w:sz w:val="16"/>
                <w:szCs w:val="16"/>
                <w:lang w:eastAsia="en-AU"/>
              </w:rPr>
              <w:t>%</w:t>
            </w:r>
          </w:p>
        </w:tc>
        <w:tc>
          <w:tcPr>
            <w:tcW w:w="858" w:type="dxa"/>
            <w:tcBorders>
              <w:top w:val="nil"/>
              <w:left w:val="nil"/>
              <w:bottom w:val="single" w:sz="8" w:space="0" w:color="ADD6EA"/>
              <w:right w:val="nil"/>
            </w:tcBorders>
            <w:shd w:val="clear" w:color="auto" w:fill="auto"/>
            <w:noWrap/>
            <w:vAlign w:val="center"/>
            <w:hideMark/>
          </w:tcPr>
          <w:p w14:paraId="139E2659" w14:textId="7170F0A3" w:rsidR="00833E37" w:rsidRPr="00833E37" w:rsidRDefault="00F51FF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3.24</w:t>
            </w:r>
            <w:r w:rsidR="00833E37" w:rsidRPr="00833E37">
              <w:rPr>
                <w:rFonts w:ascii="Open Sans Light" w:eastAsia="Times New Roman" w:hAnsi="Open Sans Light" w:cs="Open Sans Light"/>
                <w:color w:val="000000"/>
                <w:sz w:val="16"/>
                <w:szCs w:val="16"/>
                <w:lang w:eastAsia="en-AU"/>
              </w:rPr>
              <w:t>%</w:t>
            </w:r>
          </w:p>
        </w:tc>
        <w:tc>
          <w:tcPr>
            <w:tcW w:w="858" w:type="dxa"/>
            <w:tcBorders>
              <w:top w:val="nil"/>
              <w:left w:val="nil"/>
              <w:bottom w:val="single" w:sz="8" w:space="0" w:color="ADD6EA"/>
              <w:right w:val="nil"/>
            </w:tcBorders>
            <w:shd w:val="clear" w:color="auto" w:fill="auto"/>
            <w:noWrap/>
            <w:vAlign w:val="center"/>
            <w:hideMark/>
          </w:tcPr>
          <w:p w14:paraId="3531EC44" w14:textId="34B82699" w:rsidR="00833E37" w:rsidRPr="00833E37" w:rsidRDefault="00F51FF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0.43</w:t>
            </w:r>
            <w:r w:rsidR="00833E37" w:rsidRPr="00833E37">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5741AE90" w14:textId="39DCDA3C" w:rsidR="00833E37" w:rsidRPr="00833E37" w:rsidRDefault="001E501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4.18</w:t>
            </w:r>
            <w:r w:rsidR="00833E37" w:rsidRPr="00833E37">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0DD2BD8E" w14:textId="6A3DB8DE" w:rsidR="00833E37" w:rsidRPr="00833E37" w:rsidRDefault="001E501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10.31</w:t>
            </w:r>
            <w:r w:rsidR="00833E37" w:rsidRPr="00833E37">
              <w:rPr>
                <w:rFonts w:ascii="Open Sans Light" w:eastAsia="Times New Roman" w:hAnsi="Open Sans Light" w:cs="Open Sans Light"/>
                <w:color w:val="000000"/>
                <w:sz w:val="16"/>
                <w:szCs w:val="16"/>
                <w:lang w:eastAsia="en-AU"/>
              </w:rPr>
              <w:t>%</w:t>
            </w:r>
          </w:p>
        </w:tc>
        <w:tc>
          <w:tcPr>
            <w:tcW w:w="842" w:type="dxa"/>
            <w:tcBorders>
              <w:top w:val="nil"/>
              <w:left w:val="nil"/>
              <w:bottom w:val="single" w:sz="8" w:space="0" w:color="ADD6EA"/>
              <w:right w:val="nil"/>
            </w:tcBorders>
            <w:shd w:val="clear" w:color="auto" w:fill="auto"/>
            <w:noWrap/>
            <w:vAlign w:val="center"/>
            <w:hideMark/>
          </w:tcPr>
          <w:p w14:paraId="68BEB1FF" w14:textId="20E5C3D6" w:rsidR="00833E37" w:rsidRPr="00833E37" w:rsidRDefault="001E5013"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4.90</w:t>
            </w:r>
            <w:r w:rsidR="00833E37" w:rsidRPr="00833E37">
              <w:rPr>
                <w:rFonts w:ascii="Open Sans Light" w:eastAsia="Times New Roman" w:hAnsi="Open Sans Light" w:cs="Open Sans Light"/>
                <w:color w:val="000000"/>
                <w:sz w:val="16"/>
                <w:szCs w:val="16"/>
                <w:lang w:eastAsia="en-AU"/>
              </w:rPr>
              <w:t>%</w:t>
            </w:r>
          </w:p>
        </w:tc>
        <w:tc>
          <w:tcPr>
            <w:tcW w:w="940" w:type="dxa"/>
            <w:tcBorders>
              <w:top w:val="nil"/>
              <w:left w:val="nil"/>
              <w:bottom w:val="single" w:sz="8" w:space="0" w:color="ADD6EA"/>
              <w:right w:val="nil"/>
            </w:tcBorders>
            <w:shd w:val="clear" w:color="auto" w:fill="auto"/>
            <w:noWrap/>
            <w:vAlign w:val="center"/>
            <w:hideMark/>
          </w:tcPr>
          <w:p w14:paraId="76BF736D" w14:textId="34EBFB1B" w:rsidR="00833E37" w:rsidRPr="00833E37" w:rsidRDefault="00670008" w:rsidP="00833E37">
            <w:pPr>
              <w:spacing w:after="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10.</w:t>
            </w:r>
            <w:r w:rsidR="003463EA">
              <w:rPr>
                <w:rFonts w:ascii="Open Sans Light" w:eastAsia="Times New Roman" w:hAnsi="Open Sans Light" w:cs="Open Sans Light"/>
                <w:color w:val="000000"/>
                <w:sz w:val="16"/>
                <w:szCs w:val="16"/>
                <w:lang w:eastAsia="en-AU"/>
              </w:rPr>
              <w:t>42</w:t>
            </w:r>
            <w:r w:rsidR="00833E37" w:rsidRPr="00833E37">
              <w:rPr>
                <w:rFonts w:ascii="Open Sans Light" w:eastAsia="Times New Roman" w:hAnsi="Open Sans Light" w:cs="Open Sans Light"/>
                <w:color w:val="000000"/>
                <w:sz w:val="16"/>
                <w:szCs w:val="16"/>
                <w:lang w:eastAsia="en-AU"/>
              </w:rPr>
              <w:t>%</w:t>
            </w:r>
          </w:p>
        </w:tc>
      </w:tr>
    </w:tbl>
    <w:p w14:paraId="6D7AD0D7" w14:textId="0D16B5B5" w:rsidR="00586CC4" w:rsidRPr="00324088" w:rsidRDefault="001D27E0" w:rsidP="00586CC4">
      <w:pPr>
        <w:pStyle w:val="CGCParaNumber"/>
        <w:numPr>
          <w:ilvl w:val="0"/>
          <w:numId w:val="0"/>
        </w:numPr>
        <w:ind w:left="360" w:hanging="360"/>
        <w:rPr>
          <w:rStyle w:val="normaltextrun"/>
          <w:rFonts w:cs="Open Sans Light"/>
          <w:color w:val="000000" w:themeColor="text1"/>
          <w:sz w:val="14"/>
          <w:szCs w:val="14"/>
        </w:rPr>
      </w:pPr>
      <w:r w:rsidRPr="00324088">
        <w:rPr>
          <w:rStyle w:val="normaltextrun"/>
          <w:rFonts w:cs="Open Sans Light"/>
          <w:color w:val="000000" w:themeColor="text1"/>
          <w:sz w:val="14"/>
          <w:szCs w:val="14"/>
        </w:rPr>
        <w:t>Source:</w:t>
      </w:r>
      <w:r w:rsidR="00034BA6" w:rsidRPr="00324088">
        <w:rPr>
          <w:rFonts w:cs="Open Sans Light"/>
          <w:sz w:val="14"/>
          <w:szCs w:val="14"/>
        </w:rPr>
        <w:t xml:space="preserve"> </w:t>
      </w:r>
      <w:r w:rsidR="00A17566" w:rsidRPr="00324088">
        <w:rPr>
          <w:rFonts w:cs="Open Sans Light"/>
          <w:sz w:val="14"/>
          <w:szCs w:val="14"/>
        </w:rPr>
        <w:t xml:space="preserve">Commission </w:t>
      </w:r>
      <w:r w:rsidR="000960FD" w:rsidRPr="00324088">
        <w:rPr>
          <w:rFonts w:cs="Open Sans Light"/>
          <w:sz w:val="14"/>
          <w:szCs w:val="14"/>
        </w:rPr>
        <w:t xml:space="preserve">calculation </w:t>
      </w:r>
      <w:r w:rsidR="003F2E0E" w:rsidRPr="00324088">
        <w:rPr>
          <w:rFonts w:cs="Open Sans Light"/>
          <w:sz w:val="14"/>
          <w:szCs w:val="14"/>
        </w:rPr>
        <w:t xml:space="preserve">based on </w:t>
      </w:r>
      <w:r w:rsidR="00A163BF" w:rsidRPr="00324088">
        <w:rPr>
          <w:rFonts w:cs="Open Sans Light"/>
          <w:sz w:val="14"/>
          <w:szCs w:val="14"/>
        </w:rPr>
        <w:t xml:space="preserve">ABS </w:t>
      </w:r>
      <w:r w:rsidR="005E221B" w:rsidRPr="00324088">
        <w:rPr>
          <w:rFonts w:cs="Open Sans Light"/>
          <w:sz w:val="14"/>
          <w:szCs w:val="14"/>
        </w:rPr>
        <w:t xml:space="preserve">Estimated Resident Population </w:t>
      </w:r>
      <w:r w:rsidR="00CF2FB8" w:rsidRPr="00324088">
        <w:rPr>
          <w:rFonts w:cs="Open Sans Light"/>
          <w:sz w:val="14"/>
          <w:szCs w:val="14"/>
        </w:rPr>
        <w:t>d</w:t>
      </w:r>
      <w:r w:rsidR="00A163BF" w:rsidRPr="00324088">
        <w:rPr>
          <w:rFonts w:cs="Open Sans Light"/>
          <w:sz w:val="14"/>
          <w:szCs w:val="14"/>
        </w:rPr>
        <w:t>ata</w:t>
      </w:r>
    </w:p>
    <w:p w14:paraId="5C4F5E4C" w14:textId="5221AEDB" w:rsidR="00586CC4" w:rsidRPr="00B840ED" w:rsidRDefault="00E0150C" w:rsidP="00B840ED">
      <w:pPr>
        <w:pStyle w:val="CGCParaNumber"/>
        <w:ind w:left="567" w:hanging="567"/>
      </w:pPr>
      <w:r>
        <w:t>C</w:t>
      </w:r>
      <w:r w:rsidR="00DD1194">
        <w:t>hanges</w:t>
      </w:r>
      <w:r w:rsidR="005C287C">
        <w:t xml:space="preserve"> in the GST distribution from using </w:t>
      </w:r>
      <w:r w:rsidR="00586CC4">
        <w:t xml:space="preserve">2021 Census data </w:t>
      </w:r>
      <w:r w:rsidR="00DD1194">
        <w:t xml:space="preserve">are </w:t>
      </w:r>
      <w:r w:rsidR="0090783D">
        <w:t>shown in</w:t>
      </w:r>
      <w:r w:rsidR="00BC734D">
        <w:t xml:space="preserve"> </w:t>
      </w:r>
      <w:r w:rsidR="005C287C">
        <w:fldChar w:fldCharType="begin"/>
      </w:r>
      <w:r w:rsidR="005C287C">
        <w:instrText xml:space="preserve"> REF _Ref143002044 \h  \* MERGEFORMAT </w:instrText>
      </w:r>
      <w:r w:rsidR="005C287C">
        <w:fldChar w:fldCharType="separate"/>
      </w:r>
      <w:r w:rsidR="00FA7164">
        <w:t>Table 3</w:t>
      </w:r>
      <w:r w:rsidR="005C287C">
        <w:fldChar w:fldCharType="end"/>
      </w:r>
      <w:r w:rsidR="00586CC4">
        <w:t>.</w:t>
      </w:r>
    </w:p>
    <w:p w14:paraId="2E0708E5" w14:textId="05F0FD29" w:rsidR="0070046C" w:rsidRPr="00C73DF3" w:rsidRDefault="001931FD" w:rsidP="001931FD">
      <w:pPr>
        <w:pStyle w:val="Caption"/>
        <w:rPr>
          <w:b/>
          <w:bCs/>
        </w:rPr>
      </w:pPr>
      <w:bookmarkStart w:id="11" w:name="_Ref143002044"/>
      <w:r w:rsidRPr="00C73DF3">
        <w:rPr>
          <w:b/>
          <w:bCs/>
        </w:rPr>
        <w:t xml:space="preserve">Table </w:t>
      </w:r>
      <w:r w:rsidR="002F5494">
        <w:rPr>
          <w:b/>
          <w:bCs/>
        </w:rPr>
        <w:t>3</w:t>
      </w:r>
      <w:r w:rsidRPr="00C73DF3">
        <w:rPr>
          <w:b/>
          <w:bCs/>
        </w:rPr>
        <w:fldChar w:fldCharType="begin"/>
      </w:r>
      <w:r w:rsidRPr="00C73DF3">
        <w:rPr>
          <w:b/>
          <w:bCs/>
        </w:rPr>
        <w:instrText xml:space="preserve"> SEQ Table \* ARABIC </w:instrText>
      </w:r>
      <w:r w:rsidR="00BE73C1">
        <w:rPr>
          <w:b/>
          <w:bCs/>
        </w:rPr>
        <w:fldChar w:fldCharType="separate"/>
      </w:r>
      <w:r w:rsidRPr="00C73DF3">
        <w:rPr>
          <w:b/>
          <w:bCs/>
        </w:rPr>
        <w:fldChar w:fldCharType="end"/>
      </w:r>
      <w:bookmarkEnd w:id="11"/>
      <w:r w:rsidRPr="00C73DF3">
        <w:rPr>
          <w:b/>
          <w:bCs/>
        </w:rPr>
        <w:tab/>
        <w:t xml:space="preserve">GST impacts of </w:t>
      </w:r>
      <w:r w:rsidR="00BC734D" w:rsidRPr="00C73DF3">
        <w:rPr>
          <w:b/>
          <w:bCs/>
        </w:rPr>
        <w:t xml:space="preserve">using 2021 Census data for significant urban area populations and </w:t>
      </w:r>
      <w:proofErr w:type="gramStart"/>
      <w:r w:rsidR="00BC734D" w:rsidRPr="00C73DF3">
        <w:rPr>
          <w:b/>
          <w:bCs/>
        </w:rPr>
        <w:t>density</w:t>
      </w:r>
      <w:proofErr w:type="gramEnd"/>
    </w:p>
    <w:tbl>
      <w:tblPr>
        <w:tblW w:w="9011" w:type="dxa"/>
        <w:tblLook w:val="04A0" w:firstRow="1" w:lastRow="0" w:firstColumn="1" w:lastColumn="0" w:noHBand="0" w:noVBand="1"/>
      </w:tblPr>
      <w:tblGrid>
        <w:gridCol w:w="2891"/>
        <w:gridCol w:w="680"/>
        <w:gridCol w:w="680"/>
        <w:gridCol w:w="680"/>
        <w:gridCol w:w="680"/>
        <w:gridCol w:w="680"/>
        <w:gridCol w:w="680"/>
        <w:gridCol w:w="680"/>
        <w:gridCol w:w="680"/>
        <w:gridCol w:w="680"/>
      </w:tblGrid>
      <w:tr w:rsidR="001931FD" w:rsidRPr="00014966" w14:paraId="7C45E81D" w14:textId="77777777" w:rsidTr="6487EE3A">
        <w:trPr>
          <w:cantSplit/>
          <w:trHeight w:val="270"/>
        </w:trPr>
        <w:tc>
          <w:tcPr>
            <w:tcW w:w="2891" w:type="dxa"/>
            <w:tcBorders>
              <w:top w:val="nil"/>
              <w:left w:val="nil"/>
              <w:bottom w:val="nil"/>
              <w:right w:val="nil"/>
            </w:tcBorders>
            <w:shd w:val="clear" w:color="auto" w:fill="006991"/>
            <w:vAlign w:val="bottom"/>
            <w:hideMark/>
          </w:tcPr>
          <w:p w14:paraId="7C40A957" w14:textId="77777777" w:rsidR="001931FD" w:rsidRPr="00014966" w:rsidRDefault="001931FD">
            <w:pPr>
              <w:spacing w:after="0" w:line="240" w:lineRule="auto"/>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 </w:t>
            </w:r>
          </w:p>
        </w:tc>
        <w:tc>
          <w:tcPr>
            <w:tcW w:w="680" w:type="dxa"/>
            <w:tcBorders>
              <w:top w:val="nil"/>
              <w:left w:val="nil"/>
              <w:bottom w:val="nil"/>
              <w:right w:val="nil"/>
            </w:tcBorders>
            <w:shd w:val="clear" w:color="auto" w:fill="006991"/>
            <w:vAlign w:val="center"/>
            <w:hideMark/>
          </w:tcPr>
          <w:p w14:paraId="57AD64D7"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auto" w:fill="006991"/>
            <w:vAlign w:val="center"/>
            <w:hideMark/>
          </w:tcPr>
          <w:p w14:paraId="32027E39"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auto" w:fill="006991"/>
            <w:vAlign w:val="center"/>
            <w:hideMark/>
          </w:tcPr>
          <w:p w14:paraId="24B11CB0"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auto" w:fill="006991"/>
            <w:vAlign w:val="center"/>
            <w:hideMark/>
          </w:tcPr>
          <w:p w14:paraId="39A64675"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auto" w:fill="006991"/>
            <w:vAlign w:val="center"/>
            <w:hideMark/>
          </w:tcPr>
          <w:p w14:paraId="3AE9CB06"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6487EE3A">
              <w:rPr>
                <w:rFonts w:ascii="Open Sans Semibold" w:eastAsia="Times New Roman" w:hAnsi="Open Sans Semibold" w:cs="Open Sans Semibold"/>
                <w:color w:val="FFFFFF" w:themeColor="background1"/>
                <w:sz w:val="16"/>
                <w:szCs w:val="16"/>
                <w:lang w:eastAsia="en-AU"/>
              </w:rPr>
              <w:t>SA</w:t>
            </w:r>
          </w:p>
        </w:tc>
        <w:tc>
          <w:tcPr>
            <w:tcW w:w="680" w:type="dxa"/>
            <w:tcBorders>
              <w:top w:val="nil"/>
              <w:left w:val="nil"/>
              <w:bottom w:val="nil"/>
              <w:right w:val="nil"/>
            </w:tcBorders>
            <w:shd w:val="clear" w:color="auto" w:fill="006991"/>
            <w:vAlign w:val="center"/>
            <w:hideMark/>
          </w:tcPr>
          <w:p w14:paraId="361E7AD3"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auto" w:fill="006991"/>
            <w:vAlign w:val="center"/>
            <w:hideMark/>
          </w:tcPr>
          <w:p w14:paraId="4A5ABBBB"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auto" w:fill="006991"/>
            <w:vAlign w:val="center"/>
            <w:hideMark/>
          </w:tcPr>
          <w:p w14:paraId="15E0CEED"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NT</w:t>
            </w:r>
          </w:p>
        </w:tc>
        <w:tc>
          <w:tcPr>
            <w:tcW w:w="680" w:type="dxa"/>
            <w:tcBorders>
              <w:top w:val="nil"/>
              <w:left w:val="nil"/>
              <w:bottom w:val="nil"/>
              <w:right w:val="nil"/>
            </w:tcBorders>
            <w:shd w:val="clear" w:color="auto" w:fill="006991"/>
            <w:vAlign w:val="center"/>
            <w:hideMark/>
          </w:tcPr>
          <w:p w14:paraId="6C6F1357" w14:textId="77777777" w:rsidR="001931FD" w:rsidRPr="00014966" w:rsidRDefault="001931FD">
            <w:pPr>
              <w:spacing w:after="0" w:line="240" w:lineRule="auto"/>
              <w:jc w:val="right"/>
              <w:rPr>
                <w:rFonts w:ascii="Open Sans Semibold" w:eastAsia="Times New Roman" w:hAnsi="Open Sans Semibold" w:cs="Open Sans Semibold"/>
                <w:color w:val="FFFFFF"/>
                <w:sz w:val="16"/>
                <w:szCs w:val="16"/>
                <w:lang w:eastAsia="en-AU"/>
              </w:rPr>
            </w:pPr>
            <w:r w:rsidRPr="00014966">
              <w:rPr>
                <w:rFonts w:ascii="Open Sans Semibold" w:eastAsia="Times New Roman" w:hAnsi="Open Sans Semibold" w:cs="Open Sans Semibold"/>
                <w:color w:val="FFFFFF"/>
                <w:sz w:val="16"/>
                <w:szCs w:val="16"/>
                <w:lang w:eastAsia="en-AU"/>
              </w:rPr>
              <w:t>Total</w:t>
            </w:r>
          </w:p>
        </w:tc>
      </w:tr>
      <w:tr w:rsidR="001931FD" w:rsidRPr="00014966" w14:paraId="5646C4D6" w14:textId="77777777" w:rsidTr="6487EE3A">
        <w:trPr>
          <w:trHeight w:val="270"/>
        </w:trPr>
        <w:tc>
          <w:tcPr>
            <w:tcW w:w="2891" w:type="dxa"/>
            <w:tcBorders>
              <w:top w:val="single" w:sz="4" w:space="0" w:color="ADD6EA"/>
              <w:left w:val="nil"/>
              <w:right w:val="nil"/>
            </w:tcBorders>
            <w:shd w:val="clear" w:color="auto" w:fill="B6D5E4"/>
            <w:vAlign w:val="bottom"/>
            <w:hideMark/>
          </w:tcPr>
          <w:p w14:paraId="20E695F3" w14:textId="77777777" w:rsidR="001931FD" w:rsidRPr="00014966" w:rsidRDefault="001931FD">
            <w:pPr>
              <w:spacing w:after="0" w:line="240" w:lineRule="auto"/>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right w:val="nil"/>
            </w:tcBorders>
            <w:shd w:val="clear" w:color="auto" w:fill="B6D5E4"/>
            <w:noWrap/>
            <w:vAlign w:val="bottom"/>
            <w:hideMark/>
          </w:tcPr>
          <w:p w14:paraId="49135708" w14:textId="42B39920"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05FE99E3" w14:textId="7F6943B4"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136253FD" w14:textId="110C04F3"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3E3CBF11" w14:textId="157BFA55"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3B7AC4D2" w14:textId="2B1ADFCF"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6FDD775D" w14:textId="39208016"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1E392B24" w14:textId="759279F1"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1238BD67" w14:textId="5C33155D"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c>
          <w:tcPr>
            <w:tcW w:w="680" w:type="dxa"/>
            <w:tcBorders>
              <w:top w:val="single" w:sz="4" w:space="0" w:color="ADD6EA"/>
              <w:left w:val="nil"/>
              <w:right w:val="nil"/>
            </w:tcBorders>
            <w:shd w:val="clear" w:color="auto" w:fill="B6D5E4"/>
            <w:noWrap/>
            <w:vAlign w:val="bottom"/>
            <w:hideMark/>
          </w:tcPr>
          <w:p w14:paraId="25C6CA2C" w14:textId="166A19F4" w:rsidR="001931FD" w:rsidRPr="00014966" w:rsidRDefault="001931FD">
            <w:pPr>
              <w:spacing w:after="0" w:line="240" w:lineRule="auto"/>
              <w:jc w:val="right"/>
              <w:rPr>
                <w:rFonts w:ascii="Open Sans Semibold" w:eastAsia="Times New Roman" w:hAnsi="Open Sans Semibold" w:cs="Open Sans Semibold"/>
                <w:color w:val="000000"/>
                <w:sz w:val="16"/>
                <w:szCs w:val="16"/>
                <w:lang w:eastAsia="en-AU"/>
              </w:rPr>
            </w:pPr>
            <w:r w:rsidRPr="00014966">
              <w:rPr>
                <w:rFonts w:ascii="Open Sans Semibold" w:eastAsia="Times New Roman" w:hAnsi="Open Sans Semibold" w:cs="Open Sans Semibold"/>
                <w:color w:val="000000"/>
                <w:sz w:val="16"/>
                <w:szCs w:val="16"/>
                <w:lang w:eastAsia="en-AU"/>
              </w:rPr>
              <w:t>$</w:t>
            </w:r>
            <w:r w:rsidR="00BC1212">
              <w:rPr>
                <w:rFonts w:ascii="Open Sans Semibold" w:eastAsia="Times New Roman" w:hAnsi="Open Sans Semibold" w:cs="Open Sans Semibold"/>
                <w:color w:val="000000"/>
                <w:sz w:val="16"/>
                <w:szCs w:val="16"/>
                <w:lang w:eastAsia="en-AU"/>
              </w:rPr>
              <w:t>pc</w:t>
            </w:r>
          </w:p>
        </w:tc>
      </w:tr>
      <w:tr w:rsidR="001931FD" w:rsidRPr="00014966" w14:paraId="322C4831" w14:textId="77777777" w:rsidTr="0016707B">
        <w:trPr>
          <w:trHeight w:val="329"/>
        </w:trPr>
        <w:tc>
          <w:tcPr>
            <w:tcW w:w="2891" w:type="dxa"/>
            <w:tcBorders>
              <w:top w:val="nil"/>
              <w:left w:val="nil"/>
              <w:bottom w:val="single" w:sz="4" w:space="0" w:color="ADD6EA"/>
              <w:right w:val="nil"/>
            </w:tcBorders>
            <w:shd w:val="clear" w:color="auto" w:fill="auto"/>
            <w:noWrap/>
            <w:vAlign w:val="bottom"/>
            <w:hideMark/>
          </w:tcPr>
          <w:p w14:paraId="73FA3130" w14:textId="77777777" w:rsidR="001931FD" w:rsidRPr="005E37CE" w:rsidRDefault="001931FD">
            <w:pPr>
              <w:spacing w:after="0" w:line="240" w:lineRule="auto"/>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Urban transport</w:t>
            </w:r>
          </w:p>
        </w:tc>
        <w:tc>
          <w:tcPr>
            <w:tcW w:w="680" w:type="dxa"/>
            <w:tcBorders>
              <w:top w:val="nil"/>
              <w:left w:val="nil"/>
              <w:bottom w:val="single" w:sz="4" w:space="0" w:color="ADD6EA"/>
              <w:right w:val="nil"/>
            </w:tcBorders>
            <w:shd w:val="clear" w:color="auto" w:fill="auto"/>
            <w:noWrap/>
            <w:vAlign w:val="bottom"/>
            <w:hideMark/>
          </w:tcPr>
          <w:p w14:paraId="603DEA68"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-8</w:t>
            </w:r>
          </w:p>
        </w:tc>
        <w:tc>
          <w:tcPr>
            <w:tcW w:w="680" w:type="dxa"/>
            <w:tcBorders>
              <w:top w:val="nil"/>
              <w:left w:val="nil"/>
              <w:bottom w:val="single" w:sz="4" w:space="0" w:color="ADD6EA"/>
              <w:right w:val="nil"/>
            </w:tcBorders>
            <w:shd w:val="clear" w:color="auto" w:fill="auto"/>
            <w:noWrap/>
            <w:vAlign w:val="bottom"/>
            <w:hideMark/>
          </w:tcPr>
          <w:p w14:paraId="42568E3E"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38</w:t>
            </w:r>
          </w:p>
        </w:tc>
        <w:tc>
          <w:tcPr>
            <w:tcW w:w="680" w:type="dxa"/>
            <w:tcBorders>
              <w:top w:val="nil"/>
              <w:left w:val="nil"/>
              <w:bottom w:val="single" w:sz="4" w:space="0" w:color="ADD6EA"/>
              <w:right w:val="nil"/>
            </w:tcBorders>
            <w:shd w:val="clear" w:color="auto" w:fill="auto"/>
            <w:noWrap/>
            <w:vAlign w:val="bottom"/>
            <w:hideMark/>
          </w:tcPr>
          <w:p w14:paraId="0D9BC109"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-9</w:t>
            </w:r>
          </w:p>
        </w:tc>
        <w:tc>
          <w:tcPr>
            <w:tcW w:w="680" w:type="dxa"/>
            <w:tcBorders>
              <w:top w:val="nil"/>
              <w:left w:val="nil"/>
              <w:bottom w:val="single" w:sz="4" w:space="0" w:color="ADD6EA"/>
              <w:right w:val="nil"/>
            </w:tcBorders>
            <w:shd w:val="clear" w:color="auto" w:fill="auto"/>
            <w:noWrap/>
            <w:vAlign w:val="bottom"/>
            <w:hideMark/>
          </w:tcPr>
          <w:p w14:paraId="2B4927F3"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-30</w:t>
            </w:r>
          </w:p>
        </w:tc>
        <w:tc>
          <w:tcPr>
            <w:tcW w:w="680" w:type="dxa"/>
            <w:tcBorders>
              <w:top w:val="nil"/>
              <w:left w:val="nil"/>
              <w:bottom w:val="single" w:sz="4" w:space="0" w:color="ADD6EA"/>
              <w:right w:val="nil"/>
            </w:tcBorders>
            <w:shd w:val="clear" w:color="auto" w:fill="auto"/>
            <w:noWrap/>
            <w:vAlign w:val="bottom"/>
            <w:hideMark/>
          </w:tcPr>
          <w:p w14:paraId="308E592A"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-28</w:t>
            </w:r>
          </w:p>
        </w:tc>
        <w:tc>
          <w:tcPr>
            <w:tcW w:w="680" w:type="dxa"/>
            <w:tcBorders>
              <w:top w:val="nil"/>
              <w:left w:val="nil"/>
              <w:bottom w:val="single" w:sz="4" w:space="0" w:color="ADD6EA"/>
              <w:right w:val="nil"/>
            </w:tcBorders>
            <w:shd w:val="clear" w:color="auto" w:fill="auto"/>
            <w:noWrap/>
            <w:vAlign w:val="bottom"/>
            <w:hideMark/>
          </w:tcPr>
          <w:p w14:paraId="5FFF6976"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-8</w:t>
            </w:r>
          </w:p>
        </w:tc>
        <w:tc>
          <w:tcPr>
            <w:tcW w:w="680" w:type="dxa"/>
            <w:tcBorders>
              <w:top w:val="nil"/>
              <w:left w:val="nil"/>
              <w:bottom w:val="single" w:sz="4" w:space="0" w:color="ADD6EA"/>
              <w:right w:val="nil"/>
            </w:tcBorders>
            <w:shd w:val="clear" w:color="auto" w:fill="auto"/>
            <w:noWrap/>
            <w:vAlign w:val="bottom"/>
            <w:hideMark/>
          </w:tcPr>
          <w:p w14:paraId="647DBF76"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5</w:t>
            </w:r>
          </w:p>
        </w:tc>
        <w:tc>
          <w:tcPr>
            <w:tcW w:w="680" w:type="dxa"/>
            <w:tcBorders>
              <w:top w:val="nil"/>
              <w:left w:val="nil"/>
              <w:bottom w:val="single" w:sz="4" w:space="0" w:color="ADD6EA"/>
              <w:right w:val="nil"/>
            </w:tcBorders>
            <w:shd w:val="clear" w:color="auto" w:fill="auto"/>
            <w:noWrap/>
            <w:vAlign w:val="bottom"/>
            <w:hideMark/>
          </w:tcPr>
          <w:p w14:paraId="47270BC7"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-6</w:t>
            </w:r>
          </w:p>
        </w:tc>
        <w:tc>
          <w:tcPr>
            <w:tcW w:w="680" w:type="dxa"/>
            <w:tcBorders>
              <w:top w:val="nil"/>
              <w:left w:val="nil"/>
              <w:bottom w:val="single" w:sz="4" w:space="0" w:color="ADD6EA"/>
              <w:right w:val="nil"/>
            </w:tcBorders>
            <w:shd w:val="clear" w:color="auto" w:fill="auto"/>
            <w:noWrap/>
            <w:vAlign w:val="bottom"/>
            <w:hideMark/>
          </w:tcPr>
          <w:p w14:paraId="3FFB9913"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0</w:t>
            </w:r>
          </w:p>
        </w:tc>
      </w:tr>
      <w:tr w:rsidR="001931FD" w:rsidRPr="00014966" w14:paraId="0DE6759C" w14:textId="77777777" w:rsidTr="0016707B">
        <w:trPr>
          <w:trHeight w:val="329"/>
        </w:trPr>
        <w:tc>
          <w:tcPr>
            <w:tcW w:w="2891" w:type="dxa"/>
            <w:tcBorders>
              <w:top w:val="single" w:sz="4" w:space="0" w:color="ADD6EA"/>
              <w:left w:val="nil"/>
              <w:bottom w:val="single" w:sz="4" w:space="0" w:color="ADD6EA"/>
              <w:right w:val="nil"/>
            </w:tcBorders>
            <w:shd w:val="clear" w:color="auto" w:fill="auto"/>
            <w:noWrap/>
            <w:vAlign w:val="bottom"/>
            <w:hideMark/>
          </w:tcPr>
          <w:p w14:paraId="6297FC87" w14:textId="77777777" w:rsidR="001931FD" w:rsidRPr="005E37CE" w:rsidRDefault="001931FD">
            <w:pPr>
              <w:spacing w:after="0" w:line="240" w:lineRule="auto"/>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Investment in Urban transport</w:t>
            </w:r>
          </w:p>
        </w:tc>
        <w:tc>
          <w:tcPr>
            <w:tcW w:w="680" w:type="dxa"/>
            <w:tcBorders>
              <w:top w:val="single" w:sz="4" w:space="0" w:color="ADD6EA"/>
              <w:left w:val="nil"/>
              <w:bottom w:val="single" w:sz="4" w:space="0" w:color="ADD6EA"/>
              <w:right w:val="nil"/>
            </w:tcBorders>
            <w:shd w:val="clear" w:color="auto" w:fill="auto"/>
            <w:noWrap/>
            <w:vAlign w:val="bottom"/>
            <w:hideMark/>
          </w:tcPr>
          <w:p w14:paraId="7BBFBA34"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-9</w:t>
            </w:r>
          </w:p>
        </w:tc>
        <w:tc>
          <w:tcPr>
            <w:tcW w:w="680" w:type="dxa"/>
            <w:tcBorders>
              <w:top w:val="single" w:sz="4" w:space="0" w:color="ADD6EA"/>
              <w:left w:val="nil"/>
              <w:bottom w:val="single" w:sz="4" w:space="0" w:color="ADD6EA"/>
              <w:right w:val="nil"/>
            </w:tcBorders>
            <w:shd w:val="clear" w:color="auto" w:fill="auto"/>
            <w:noWrap/>
            <w:vAlign w:val="bottom"/>
            <w:hideMark/>
          </w:tcPr>
          <w:p w14:paraId="05576411"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76</w:t>
            </w:r>
          </w:p>
        </w:tc>
        <w:tc>
          <w:tcPr>
            <w:tcW w:w="680" w:type="dxa"/>
            <w:tcBorders>
              <w:top w:val="single" w:sz="4" w:space="0" w:color="ADD6EA"/>
              <w:left w:val="nil"/>
              <w:bottom w:val="single" w:sz="4" w:space="0" w:color="ADD6EA"/>
              <w:right w:val="nil"/>
            </w:tcBorders>
            <w:shd w:val="clear" w:color="auto" w:fill="auto"/>
            <w:noWrap/>
            <w:vAlign w:val="bottom"/>
            <w:hideMark/>
          </w:tcPr>
          <w:p w14:paraId="04A6875E"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-21</w:t>
            </w:r>
          </w:p>
        </w:tc>
        <w:tc>
          <w:tcPr>
            <w:tcW w:w="680" w:type="dxa"/>
            <w:tcBorders>
              <w:top w:val="single" w:sz="4" w:space="0" w:color="ADD6EA"/>
              <w:left w:val="nil"/>
              <w:bottom w:val="single" w:sz="4" w:space="0" w:color="ADD6EA"/>
              <w:right w:val="nil"/>
            </w:tcBorders>
            <w:shd w:val="clear" w:color="auto" w:fill="auto"/>
            <w:noWrap/>
            <w:vAlign w:val="bottom"/>
            <w:hideMark/>
          </w:tcPr>
          <w:p w14:paraId="03A3D48E"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-80</w:t>
            </w:r>
          </w:p>
        </w:tc>
        <w:tc>
          <w:tcPr>
            <w:tcW w:w="680" w:type="dxa"/>
            <w:tcBorders>
              <w:top w:val="single" w:sz="4" w:space="0" w:color="ADD6EA"/>
              <w:left w:val="nil"/>
              <w:bottom w:val="single" w:sz="4" w:space="0" w:color="ADD6EA"/>
              <w:right w:val="nil"/>
            </w:tcBorders>
            <w:shd w:val="clear" w:color="auto" w:fill="auto"/>
            <w:noWrap/>
            <w:vAlign w:val="bottom"/>
            <w:hideMark/>
          </w:tcPr>
          <w:p w14:paraId="3F1DEFED"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-66</w:t>
            </w:r>
          </w:p>
        </w:tc>
        <w:tc>
          <w:tcPr>
            <w:tcW w:w="680" w:type="dxa"/>
            <w:tcBorders>
              <w:top w:val="single" w:sz="4" w:space="0" w:color="ADD6EA"/>
              <w:left w:val="nil"/>
              <w:bottom w:val="single" w:sz="4" w:space="0" w:color="ADD6EA"/>
              <w:right w:val="nil"/>
            </w:tcBorders>
            <w:shd w:val="clear" w:color="auto" w:fill="auto"/>
            <w:noWrap/>
            <w:vAlign w:val="bottom"/>
            <w:hideMark/>
          </w:tcPr>
          <w:p w14:paraId="7A8A349B"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-8</w:t>
            </w:r>
          </w:p>
        </w:tc>
        <w:tc>
          <w:tcPr>
            <w:tcW w:w="680" w:type="dxa"/>
            <w:tcBorders>
              <w:top w:val="single" w:sz="4" w:space="0" w:color="ADD6EA"/>
              <w:left w:val="nil"/>
              <w:bottom w:val="single" w:sz="4" w:space="0" w:color="ADD6EA"/>
              <w:right w:val="nil"/>
            </w:tcBorders>
            <w:shd w:val="clear" w:color="auto" w:fill="auto"/>
            <w:noWrap/>
            <w:vAlign w:val="bottom"/>
            <w:hideMark/>
          </w:tcPr>
          <w:p w14:paraId="23111286"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82</w:t>
            </w:r>
          </w:p>
        </w:tc>
        <w:tc>
          <w:tcPr>
            <w:tcW w:w="680" w:type="dxa"/>
            <w:tcBorders>
              <w:top w:val="single" w:sz="4" w:space="0" w:color="ADD6EA"/>
              <w:left w:val="nil"/>
              <w:bottom w:val="single" w:sz="4" w:space="0" w:color="ADD6EA"/>
              <w:right w:val="nil"/>
            </w:tcBorders>
            <w:shd w:val="clear" w:color="auto" w:fill="auto"/>
            <w:noWrap/>
            <w:vAlign w:val="bottom"/>
            <w:hideMark/>
          </w:tcPr>
          <w:p w14:paraId="61006E07"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-28</w:t>
            </w:r>
          </w:p>
        </w:tc>
        <w:tc>
          <w:tcPr>
            <w:tcW w:w="680" w:type="dxa"/>
            <w:tcBorders>
              <w:top w:val="single" w:sz="4" w:space="0" w:color="ADD6EA"/>
              <w:left w:val="nil"/>
              <w:bottom w:val="single" w:sz="4" w:space="0" w:color="ADD6EA"/>
              <w:right w:val="nil"/>
            </w:tcBorders>
            <w:shd w:val="clear" w:color="auto" w:fill="auto"/>
            <w:noWrap/>
            <w:vAlign w:val="bottom"/>
            <w:hideMark/>
          </w:tcPr>
          <w:p w14:paraId="6889EA17"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0</w:t>
            </w:r>
          </w:p>
        </w:tc>
      </w:tr>
      <w:tr w:rsidR="001931FD" w:rsidRPr="00014966" w14:paraId="43D04DB0" w14:textId="77777777" w:rsidTr="0016707B">
        <w:trPr>
          <w:trHeight w:val="329"/>
        </w:trPr>
        <w:tc>
          <w:tcPr>
            <w:tcW w:w="2891" w:type="dxa"/>
            <w:tcBorders>
              <w:top w:val="single" w:sz="4" w:space="0" w:color="ADD6EA"/>
              <w:left w:val="nil"/>
              <w:bottom w:val="single" w:sz="4" w:space="0" w:color="ADD6EA"/>
              <w:right w:val="nil"/>
            </w:tcBorders>
            <w:shd w:val="clear" w:color="auto" w:fill="auto"/>
            <w:noWrap/>
            <w:vAlign w:val="bottom"/>
            <w:hideMark/>
          </w:tcPr>
          <w:p w14:paraId="17C9055F" w14:textId="77777777" w:rsidR="001931FD" w:rsidRPr="005E37CE" w:rsidRDefault="001931FD">
            <w:pPr>
              <w:spacing w:after="0" w:line="240" w:lineRule="auto"/>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GST</w:t>
            </w:r>
          </w:p>
        </w:tc>
        <w:tc>
          <w:tcPr>
            <w:tcW w:w="680" w:type="dxa"/>
            <w:tcBorders>
              <w:top w:val="single" w:sz="4" w:space="0" w:color="ADD6EA"/>
              <w:left w:val="nil"/>
              <w:bottom w:val="single" w:sz="4" w:space="0" w:color="ADD6EA"/>
              <w:right w:val="nil"/>
            </w:tcBorders>
            <w:shd w:val="clear" w:color="auto" w:fill="auto"/>
            <w:noWrap/>
            <w:vAlign w:val="bottom"/>
            <w:hideMark/>
          </w:tcPr>
          <w:p w14:paraId="15DFC5A3"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-17</w:t>
            </w:r>
          </w:p>
        </w:tc>
        <w:tc>
          <w:tcPr>
            <w:tcW w:w="680" w:type="dxa"/>
            <w:tcBorders>
              <w:top w:val="single" w:sz="4" w:space="0" w:color="ADD6EA"/>
              <w:left w:val="nil"/>
              <w:bottom w:val="single" w:sz="4" w:space="0" w:color="ADD6EA"/>
              <w:right w:val="nil"/>
            </w:tcBorders>
            <w:shd w:val="clear" w:color="auto" w:fill="auto"/>
            <w:noWrap/>
            <w:vAlign w:val="bottom"/>
            <w:hideMark/>
          </w:tcPr>
          <w:p w14:paraId="44ADB390"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114</w:t>
            </w:r>
          </w:p>
        </w:tc>
        <w:tc>
          <w:tcPr>
            <w:tcW w:w="680" w:type="dxa"/>
            <w:tcBorders>
              <w:top w:val="single" w:sz="4" w:space="0" w:color="ADD6EA"/>
              <w:left w:val="nil"/>
              <w:bottom w:val="single" w:sz="4" w:space="0" w:color="ADD6EA"/>
              <w:right w:val="nil"/>
            </w:tcBorders>
            <w:shd w:val="clear" w:color="auto" w:fill="auto"/>
            <w:noWrap/>
            <w:vAlign w:val="bottom"/>
            <w:hideMark/>
          </w:tcPr>
          <w:p w14:paraId="56CE81BD"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-30</w:t>
            </w:r>
          </w:p>
        </w:tc>
        <w:tc>
          <w:tcPr>
            <w:tcW w:w="680" w:type="dxa"/>
            <w:tcBorders>
              <w:top w:val="single" w:sz="4" w:space="0" w:color="ADD6EA"/>
              <w:left w:val="nil"/>
              <w:bottom w:val="single" w:sz="4" w:space="0" w:color="ADD6EA"/>
              <w:right w:val="nil"/>
            </w:tcBorders>
            <w:shd w:val="clear" w:color="auto" w:fill="auto"/>
            <w:noWrap/>
            <w:vAlign w:val="bottom"/>
            <w:hideMark/>
          </w:tcPr>
          <w:p w14:paraId="4B54151D"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-110</w:t>
            </w:r>
          </w:p>
        </w:tc>
        <w:tc>
          <w:tcPr>
            <w:tcW w:w="680" w:type="dxa"/>
            <w:tcBorders>
              <w:top w:val="single" w:sz="4" w:space="0" w:color="ADD6EA"/>
              <w:left w:val="nil"/>
              <w:bottom w:val="single" w:sz="4" w:space="0" w:color="ADD6EA"/>
              <w:right w:val="nil"/>
            </w:tcBorders>
            <w:shd w:val="clear" w:color="auto" w:fill="auto"/>
            <w:noWrap/>
            <w:vAlign w:val="bottom"/>
            <w:hideMark/>
          </w:tcPr>
          <w:p w14:paraId="73BAD120"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-93</w:t>
            </w:r>
          </w:p>
        </w:tc>
        <w:tc>
          <w:tcPr>
            <w:tcW w:w="680" w:type="dxa"/>
            <w:tcBorders>
              <w:top w:val="single" w:sz="4" w:space="0" w:color="ADD6EA"/>
              <w:left w:val="nil"/>
              <w:bottom w:val="single" w:sz="4" w:space="0" w:color="ADD6EA"/>
              <w:right w:val="nil"/>
            </w:tcBorders>
            <w:shd w:val="clear" w:color="auto" w:fill="auto"/>
            <w:noWrap/>
            <w:vAlign w:val="bottom"/>
            <w:hideMark/>
          </w:tcPr>
          <w:p w14:paraId="60F59F6D"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-16</w:t>
            </w:r>
          </w:p>
        </w:tc>
        <w:tc>
          <w:tcPr>
            <w:tcW w:w="680" w:type="dxa"/>
            <w:tcBorders>
              <w:top w:val="single" w:sz="4" w:space="0" w:color="ADD6EA"/>
              <w:left w:val="nil"/>
              <w:bottom w:val="single" w:sz="4" w:space="0" w:color="ADD6EA"/>
              <w:right w:val="nil"/>
            </w:tcBorders>
            <w:shd w:val="clear" w:color="auto" w:fill="auto"/>
            <w:noWrap/>
            <w:vAlign w:val="bottom"/>
            <w:hideMark/>
          </w:tcPr>
          <w:p w14:paraId="49F1FA87"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86</w:t>
            </w:r>
          </w:p>
        </w:tc>
        <w:tc>
          <w:tcPr>
            <w:tcW w:w="680" w:type="dxa"/>
            <w:tcBorders>
              <w:top w:val="single" w:sz="4" w:space="0" w:color="ADD6EA"/>
              <w:left w:val="nil"/>
              <w:bottom w:val="single" w:sz="4" w:space="0" w:color="ADD6EA"/>
              <w:right w:val="nil"/>
            </w:tcBorders>
            <w:shd w:val="clear" w:color="auto" w:fill="auto"/>
            <w:noWrap/>
            <w:vAlign w:val="bottom"/>
            <w:hideMark/>
          </w:tcPr>
          <w:p w14:paraId="6324F664"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-33</w:t>
            </w:r>
          </w:p>
        </w:tc>
        <w:tc>
          <w:tcPr>
            <w:tcW w:w="680" w:type="dxa"/>
            <w:tcBorders>
              <w:top w:val="single" w:sz="4" w:space="0" w:color="ADD6EA"/>
              <w:left w:val="nil"/>
              <w:bottom w:val="single" w:sz="4" w:space="0" w:color="ADD6EA"/>
              <w:right w:val="nil"/>
            </w:tcBorders>
            <w:shd w:val="clear" w:color="auto" w:fill="auto"/>
            <w:noWrap/>
            <w:vAlign w:val="bottom"/>
            <w:hideMark/>
          </w:tcPr>
          <w:p w14:paraId="1C0D4301" w14:textId="77777777" w:rsidR="001931FD" w:rsidRPr="005E37CE" w:rsidRDefault="001931FD">
            <w:pPr>
              <w:spacing w:after="0" w:line="240" w:lineRule="auto"/>
              <w:jc w:val="right"/>
              <w:rPr>
                <w:rFonts w:ascii="Open Sans Light" w:eastAsia="Times New Roman" w:hAnsi="Open Sans Light" w:cs="Open Sans Light"/>
                <w:sz w:val="16"/>
                <w:szCs w:val="16"/>
                <w:lang w:eastAsia="en-AU"/>
              </w:rPr>
            </w:pPr>
            <w:r w:rsidRPr="005E37CE">
              <w:rPr>
                <w:rFonts w:ascii="Open Sans Light" w:eastAsia="Times New Roman" w:hAnsi="Open Sans Light" w:cs="Open Sans Light"/>
                <w:sz w:val="16"/>
                <w:szCs w:val="16"/>
                <w:lang w:eastAsia="en-AU"/>
              </w:rPr>
              <w:t>0</w:t>
            </w:r>
          </w:p>
        </w:tc>
      </w:tr>
    </w:tbl>
    <w:p w14:paraId="444E3620" w14:textId="677A00AE" w:rsidR="0070046C" w:rsidRPr="00DB057F" w:rsidRDefault="001D27E0" w:rsidP="001D27E0">
      <w:pPr>
        <w:pStyle w:val="CGCParaNumber"/>
        <w:numPr>
          <w:ilvl w:val="0"/>
          <w:numId w:val="0"/>
        </w:numPr>
        <w:ind w:left="360" w:hanging="360"/>
        <w:rPr>
          <w:rFonts w:cs="Open Sans Light"/>
          <w:color w:val="000000" w:themeColor="text1"/>
          <w:sz w:val="14"/>
          <w:szCs w:val="14"/>
        </w:rPr>
      </w:pPr>
      <w:r w:rsidRPr="00DB057F">
        <w:rPr>
          <w:rFonts w:cs="Open Sans Light"/>
          <w:color w:val="000000" w:themeColor="text1"/>
          <w:sz w:val="14"/>
          <w:szCs w:val="14"/>
        </w:rPr>
        <w:t>Source:</w:t>
      </w:r>
      <w:r w:rsidR="00034BA6" w:rsidRPr="00DB057F">
        <w:rPr>
          <w:rFonts w:cs="Open Sans Light"/>
          <w:sz w:val="14"/>
          <w:szCs w:val="14"/>
        </w:rPr>
        <w:t xml:space="preserve"> </w:t>
      </w:r>
      <w:r w:rsidR="00034BA6" w:rsidRPr="00DB057F">
        <w:rPr>
          <w:rFonts w:cs="Open Sans Light"/>
          <w:color w:val="000000" w:themeColor="text1"/>
          <w:sz w:val="14"/>
          <w:szCs w:val="14"/>
        </w:rPr>
        <w:t>Commission calculation</w:t>
      </w:r>
      <w:r w:rsidR="004D75B3" w:rsidRPr="00DB057F">
        <w:rPr>
          <w:rFonts w:cs="Open Sans Light"/>
          <w:color w:val="000000" w:themeColor="text1"/>
          <w:sz w:val="14"/>
          <w:szCs w:val="14"/>
        </w:rPr>
        <w:t xml:space="preserve"> based on 202</w:t>
      </w:r>
      <w:r w:rsidR="004F799C" w:rsidRPr="00DB057F">
        <w:rPr>
          <w:rFonts w:cs="Open Sans Light"/>
          <w:color w:val="000000" w:themeColor="text1"/>
          <w:sz w:val="14"/>
          <w:szCs w:val="14"/>
        </w:rPr>
        <w:t>3</w:t>
      </w:r>
      <w:r w:rsidR="004D75B3" w:rsidRPr="00DB057F">
        <w:rPr>
          <w:rFonts w:cs="Open Sans Light"/>
          <w:color w:val="000000" w:themeColor="text1"/>
          <w:sz w:val="14"/>
          <w:szCs w:val="14"/>
        </w:rPr>
        <w:t xml:space="preserve"> Update</w:t>
      </w:r>
    </w:p>
    <w:p w14:paraId="4960655E" w14:textId="55AF9AD4" w:rsidR="00641A95" w:rsidRPr="00B840ED" w:rsidRDefault="00107FC2" w:rsidP="00F23B7F">
      <w:pPr>
        <w:pStyle w:val="CGCParaNumber"/>
        <w:ind w:left="567" w:hanging="567"/>
      </w:pPr>
      <w:r>
        <w:t xml:space="preserve">As a result of </w:t>
      </w:r>
      <w:r w:rsidR="0047457E">
        <w:t xml:space="preserve">large </w:t>
      </w:r>
      <w:r>
        <w:t xml:space="preserve">upward revisions in population and </w:t>
      </w:r>
      <w:r w:rsidR="000824A8">
        <w:t xml:space="preserve">population-weighted </w:t>
      </w:r>
      <w:r>
        <w:t>density in Melbourne</w:t>
      </w:r>
      <w:r w:rsidR="006A1FF9">
        <w:t xml:space="preserve"> and Canberra</w:t>
      </w:r>
      <w:r>
        <w:t>,</w:t>
      </w:r>
      <w:r w:rsidR="00190727">
        <w:t xml:space="preserve"> </w:t>
      </w:r>
      <w:r w:rsidR="006A1FF9">
        <w:t>the assessed GST need</w:t>
      </w:r>
      <w:r w:rsidR="00A21AEA">
        <w:t>s</w:t>
      </w:r>
      <w:r w:rsidR="006A1FF9">
        <w:t xml:space="preserve"> for </w:t>
      </w:r>
      <w:r w:rsidR="00190727">
        <w:t>Victoria</w:t>
      </w:r>
      <w:r w:rsidR="006A1FF9">
        <w:t xml:space="preserve"> and </w:t>
      </w:r>
      <w:r w:rsidR="008112CB">
        <w:t xml:space="preserve">the </w:t>
      </w:r>
      <w:r w:rsidR="006A1FF9">
        <w:t>ACT</w:t>
      </w:r>
      <w:r w:rsidR="00FA0A74">
        <w:t xml:space="preserve"> </w:t>
      </w:r>
      <w:r w:rsidR="00772E12">
        <w:t>are expected to</w:t>
      </w:r>
      <w:r w:rsidR="00064AD3">
        <w:t xml:space="preserve"> rise</w:t>
      </w:r>
      <w:r w:rsidR="005A14E4">
        <w:t>.</w:t>
      </w:r>
    </w:p>
    <w:p w14:paraId="063152B1" w14:textId="153D7163" w:rsidR="00F23B7F" w:rsidRPr="00B840ED" w:rsidRDefault="00D41D1E" w:rsidP="00F23B7F">
      <w:pPr>
        <w:pStyle w:val="CGCParaNumber"/>
        <w:ind w:left="567" w:hanging="567"/>
      </w:pPr>
      <w:r>
        <w:t xml:space="preserve">For the remaining </w:t>
      </w:r>
      <w:r w:rsidR="00EF3273">
        <w:t>s</w:t>
      </w:r>
      <w:r>
        <w:t>tates</w:t>
      </w:r>
      <w:r w:rsidR="00DD5AD8">
        <w:t xml:space="preserve"> </w:t>
      </w:r>
      <w:r w:rsidR="00314357">
        <w:t xml:space="preserve">that </w:t>
      </w:r>
      <w:r w:rsidR="008777C8">
        <w:t xml:space="preserve">had smaller increases (or reductions) in population and/or </w:t>
      </w:r>
      <w:r w:rsidR="007811CD">
        <w:t>population-weighted density</w:t>
      </w:r>
      <w:r>
        <w:t xml:space="preserve">, </w:t>
      </w:r>
      <w:r w:rsidR="008777C8">
        <w:t xml:space="preserve">assessed GST needs are </w:t>
      </w:r>
      <w:r w:rsidR="00772E12">
        <w:t>expected</w:t>
      </w:r>
      <w:r w:rsidR="008777C8">
        <w:t xml:space="preserve"> to</w:t>
      </w:r>
      <w:r w:rsidR="00772E12">
        <w:t xml:space="preserve"> </w:t>
      </w:r>
      <w:r w:rsidR="009E2794">
        <w:t>fall</w:t>
      </w:r>
      <w:r w:rsidR="001732AE">
        <w:t>.</w:t>
      </w:r>
    </w:p>
    <w:p w14:paraId="0BD96AC8" w14:textId="7CEE74D2" w:rsidR="001F1F0C" w:rsidRPr="00BB0EEE" w:rsidRDefault="001F1F0C">
      <w:pPr>
        <w:pStyle w:val="CGCParaNumber"/>
        <w:ind w:left="567" w:hanging="567"/>
        <w:rPr>
          <w:rFonts w:eastAsia="Calibri" w:cs="Arial"/>
        </w:rPr>
      </w:pPr>
      <w:r>
        <w:t>As part of the 2025 Review</w:t>
      </w:r>
      <w:r w:rsidR="00AB2469">
        <w:t>,</w:t>
      </w:r>
      <w:r>
        <w:t xml:space="preserve"> updated net expense data will be </w:t>
      </w:r>
      <w:r w:rsidR="00431D7B">
        <w:t>collected,</w:t>
      </w:r>
      <w:r>
        <w:t xml:space="preserve"> and the regression will be re-estimated to incorporate 2021</w:t>
      </w:r>
      <w:r w:rsidR="00420E93">
        <w:t> </w:t>
      </w:r>
      <w:r>
        <w:t xml:space="preserve">Census populations, </w:t>
      </w:r>
      <w:proofErr w:type="gramStart"/>
      <w:r>
        <w:t>geographies</w:t>
      </w:r>
      <w:proofErr w:type="gramEnd"/>
      <w:r>
        <w:t xml:space="preserve"> and distance to work data. </w:t>
      </w:r>
      <w:r w:rsidR="00254CD9">
        <w:t xml:space="preserve">It </w:t>
      </w:r>
      <w:r w:rsidR="3586232B">
        <w:t>is the Commission’s preliminary view that</w:t>
      </w:r>
      <w:r w:rsidR="00817F64">
        <w:t>,</w:t>
      </w:r>
      <w:r w:rsidR="3586232B">
        <w:t xml:space="preserve"> </w:t>
      </w:r>
      <w:r w:rsidR="00262552">
        <w:t xml:space="preserve">for the </w:t>
      </w:r>
      <w:r w:rsidR="00F32DCA">
        <w:t>2025</w:t>
      </w:r>
      <w:r w:rsidR="002419BD">
        <w:t> </w:t>
      </w:r>
      <w:r w:rsidR="00F32DCA">
        <w:t>Review</w:t>
      </w:r>
      <w:r w:rsidR="00817F64">
        <w:t>,</w:t>
      </w:r>
      <w:r w:rsidR="00F32DCA">
        <w:t xml:space="preserve"> </w:t>
      </w:r>
      <w:r w:rsidR="3586232B">
        <w:t xml:space="preserve">the </w:t>
      </w:r>
      <w:r>
        <w:t xml:space="preserve">2016 Census passenger numbers </w:t>
      </w:r>
      <w:r w:rsidR="00EF190D">
        <w:t xml:space="preserve">will be </w:t>
      </w:r>
      <w:r>
        <w:t>maintained until 2026 Census data are available</w:t>
      </w:r>
      <w:r w:rsidR="72533B59">
        <w:t>.  This is due</w:t>
      </w:r>
      <w:r w:rsidR="00FD1329">
        <w:t xml:space="preserve"> </w:t>
      </w:r>
      <w:r w:rsidR="0454CE9B">
        <w:t>to</w:t>
      </w:r>
      <w:r w:rsidR="00FD1329">
        <w:t xml:space="preserve"> concerns </w:t>
      </w:r>
      <w:r w:rsidR="002F6D52">
        <w:t>about</w:t>
      </w:r>
      <w:r w:rsidR="00FD1329">
        <w:t xml:space="preserve"> the impact of COVID</w:t>
      </w:r>
      <w:r w:rsidR="00B21624">
        <w:noBreakHyphen/>
      </w:r>
      <w:r w:rsidR="00FD1329">
        <w:t>19 on the use of public transport in the 2021 Census passenger numbers</w:t>
      </w:r>
      <w:r>
        <w:t>.</w:t>
      </w:r>
    </w:p>
    <w:p w14:paraId="3FE0C9B6" w14:textId="5198A119" w:rsidR="00E35DC5" w:rsidRPr="001C557E" w:rsidRDefault="00E35DC5" w:rsidP="001C557E">
      <w:pPr>
        <w:pStyle w:val="Heading4"/>
        <w:rPr>
          <w:rStyle w:val="normaltextrun"/>
        </w:rPr>
      </w:pPr>
      <w:r w:rsidRPr="001C557E">
        <w:rPr>
          <w:rStyle w:val="normaltextrun"/>
        </w:rPr>
        <w:t xml:space="preserve">Network complexity and </w:t>
      </w:r>
      <w:r w:rsidR="001C557E">
        <w:rPr>
          <w:rStyle w:val="normaltextrun"/>
        </w:rPr>
        <w:t>topography</w:t>
      </w:r>
    </w:p>
    <w:p w14:paraId="686662FD" w14:textId="38249FD8" w:rsidR="00E10E6B" w:rsidRPr="00B840ED" w:rsidRDefault="007D6F4D" w:rsidP="00E10E6B">
      <w:pPr>
        <w:pStyle w:val="CGCParaNumber"/>
        <w:ind w:left="567" w:hanging="567"/>
      </w:pPr>
      <w:r>
        <w:t>I</w:t>
      </w:r>
      <w:r w:rsidR="002A79DD">
        <w:t xml:space="preserve">n addition to updating the </w:t>
      </w:r>
      <w:r w:rsidR="00F347E7">
        <w:t xml:space="preserve">populations and population density of </w:t>
      </w:r>
      <w:r w:rsidR="00E66E0B">
        <w:t>urban areas</w:t>
      </w:r>
      <w:r w:rsidR="008371A1">
        <w:t xml:space="preserve">, the </w:t>
      </w:r>
      <w:r w:rsidR="00137C71">
        <w:t xml:space="preserve">network complexity and topography measures </w:t>
      </w:r>
      <w:r w:rsidR="00F55385">
        <w:t xml:space="preserve">also </w:t>
      </w:r>
      <w:r w:rsidR="004524C5">
        <w:t xml:space="preserve">need to be updated. </w:t>
      </w:r>
      <w:r w:rsidR="004B49D6">
        <w:t>Updated d</w:t>
      </w:r>
      <w:r w:rsidR="0083107A">
        <w:t xml:space="preserve">ata are available for use in the </w:t>
      </w:r>
      <w:r w:rsidR="004B49D6">
        <w:t>2024 Update.</w:t>
      </w:r>
    </w:p>
    <w:p w14:paraId="5F627F3B" w14:textId="586B6E98" w:rsidR="0044475E" w:rsidRPr="00B840ED" w:rsidRDefault="00EE08AA" w:rsidP="00B840ED">
      <w:pPr>
        <w:pStyle w:val="CGCParaNumber"/>
        <w:ind w:left="567" w:hanging="567"/>
      </w:pPr>
      <w:r>
        <w:lastRenderedPageBreak/>
        <w:t xml:space="preserve">ABS </w:t>
      </w:r>
      <w:r w:rsidR="00E2637F">
        <w:t>c</w:t>
      </w:r>
      <w:r>
        <w:t xml:space="preserve">ensus distance to work data </w:t>
      </w:r>
      <w:r w:rsidR="00B25385">
        <w:t xml:space="preserve">are </w:t>
      </w:r>
      <w:r>
        <w:t xml:space="preserve">used as a proxy for network complexity in the </w:t>
      </w:r>
      <w:r w:rsidR="00C04070">
        <w:t xml:space="preserve">transport </w:t>
      </w:r>
      <w:r w:rsidR="009E643A">
        <w:t>assessment</w:t>
      </w:r>
      <w:r>
        <w:t xml:space="preserve">. </w:t>
      </w:r>
      <w:r w:rsidR="00444F54">
        <w:t xml:space="preserve">The Commission </w:t>
      </w:r>
      <w:r w:rsidR="009719FF">
        <w:t>discussed</w:t>
      </w:r>
      <w:r w:rsidR="00444F54">
        <w:t xml:space="preserve"> the </w:t>
      </w:r>
      <w:r w:rsidR="007946DB">
        <w:t xml:space="preserve">suitability of </w:t>
      </w:r>
      <w:r w:rsidR="009E643A">
        <w:t>using</w:t>
      </w:r>
      <w:r w:rsidR="007946DB">
        <w:t xml:space="preserve"> </w:t>
      </w:r>
      <w:r w:rsidR="00141DD6">
        <w:t>2021</w:t>
      </w:r>
      <w:r w:rsidR="00420E93">
        <w:t> </w:t>
      </w:r>
      <w:r w:rsidR="00141DD6">
        <w:t xml:space="preserve">Census </w:t>
      </w:r>
      <w:r w:rsidR="000642F3">
        <w:t xml:space="preserve">distance to work </w:t>
      </w:r>
      <w:r w:rsidR="00141DD6">
        <w:t>data</w:t>
      </w:r>
      <w:r w:rsidR="007946DB">
        <w:t xml:space="preserve"> in the </w:t>
      </w:r>
      <w:hyperlink r:id="rId20" w:history="1">
        <w:r w:rsidR="007F228F">
          <w:rPr>
            <w:rStyle w:val="Hyperlink"/>
          </w:rPr>
          <w:t>2025 Review Transport assessment consultation paper</w:t>
        </w:r>
      </w:hyperlink>
      <w:r w:rsidR="007946DB">
        <w:t xml:space="preserve">. </w:t>
      </w:r>
      <w:r w:rsidR="0090044B">
        <w:t>W</w:t>
      </w:r>
      <w:r w:rsidR="0044475E">
        <w:t xml:space="preserve">hile the pandemic heavily impacted </w:t>
      </w:r>
      <w:r w:rsidR="00C73722">
        <w:t xml:space="preserve">public </w:t>
      </w:r>
      <w:r w:rsidR="0044475E">
        <w:t xml:space="preserve">transport </w:t>
      </w:r>
      <w:r w:rsidR="00C73722">
        <w:t>use</w:t>
      </w:r>
      <w:r w:rsidR="0044475E">
        <w:t xml:space="preserve">, the complexity of existing networks was </w:t>
      </w:r>
      <w:bookmarkStart w:id="12" w:name="_Int_ukWToVgt"/>
      <w:r w:rsidR="0044475E">
        <w:t>largely unaffected</w:t>
      </w:r>
      <w:bookmarkEnd w:id="12"/>
      <w:r w:rsidR="0044475E">
        <w:t>. T</w:t>
      </w:r>
      <w:r w:rsidR="005B1520">
        <w:t>herefore</w:t>
      </w:r>
      <w:r w:rsidR="0044475E">
        <w:t xml:space="preserve">, </w:t>
      </w:r>
      <w:r w:rsidR="009716E1">
        <w:t>the</w:t>
      </w:r>
      <w:r w:rsidR="0044475E">
        <w:t xml:space="preserve"> Commission’s view is that the 2021 Census data </w:t>
      </w:r>
      <w:r w:rsidR="005B1520">
        <w:t>are</w:t>
      </w:r>
      <w:r w:rsidR="0044475E">
        <w:t xml:space="preserve"> suitable for use in the </w:t>
      </w:r>
      <w:r w:rsidR="00E8292B">
        <w:t>2024 Update</w:t>
      </w:r>
      <w:r w:rsidR="0044475E">
        <w:t xml:space="preserve">. </w:t>
      </w:r>
      <w:r w:rsidR="00E74AFD">
        <w:t xml:space="preserve">Updated data for </w:t>
      </w:r>
      <w:r w:rsidR="00316389">
        <w:t xml:space="preserve">capital cities </w:t>
      </w:r>
      <w:r w:rsidR="00E2489F">
        <w:t>are</w:t>
      </w:r>
      <w:r w:rsidR="00316389">
        <w:t xml:space="preserve"> shown in </w:t>
      </w:r>
      <w:r>
        <w:fldChar w:fldCharType="begin"/>
      </w:r>
      <w:r>
        <w:instrText xml:space="preserve"> REF _Ref144384001 \h  \* MERGEFORMAT </w:instrText>
      </w:r>
      <w:r>
        <w:fldChar w:fldCharType="separate"/>
      </w:r>
      <w:r w:rsidR="00CF7160">
        <w:t>Table 4</w:t>
      </w:r>
      <w:r>
        <w:fldChar w:fldCharType="end"/>
      </w:r>
      <w:r w:rsidR="00316389">
        <w:t>.</w:t>
      </w:r>
    </w:p>
    <w:p w14:paraId="7160C902" w14:textId="509103F4" w:rsidR="00CF7160" w:rsidRPr="00FA7164" w:rsidRDefault="00CF7160" w:rsidP="00060833">
      <w:pPr>
        <w:pStyle w:val="Caption"/>
        <w:tabs>
          <w:tab w:val="clear" w:pos="1418"/>
        </w:tabs>
        <w:rPr>
          <w:b/>
        </w:rPr>
      </w:pPr>
      <w:bookmarkStart w:id="13" w:name="_Ref144384001"/>
      <w:r w:rsidRPr="00FA7164">
        <w:rPr>
          <w:b/>
        </w:rPr>
        <w:t xml:space="preserve">Table </w:t>
      </w:r>
      <w:r w:rsidRPr="00FA7164">
        <w:rPr>
          <w:b/>
        </w:rPr>
        <w:fldChar w:fldCharType="begin"/>
      </w:r>
      <w:r w:rsidRPr="00FA7164">
        <w:rPr>
          <w:b/>
        </w:rPr>
        <w:instrText xml:space="preserve"> SEQ Table \* ARABIC </w:instrText>
      </w:r>
      <w:r w:rsidRPr="00FA7164">
        <w:rPr>
          <w:b/>
        </w:rPr>
        <w:fldChar w:fldCharType="separate"/>
      </w:r>
      <w:r w:rsidRPr="00FA7164">
        <w:rPr>
          <w:b/>
        </w:rPr>
        <w:t>4</w:t>
      </w:r>
      <w:r w:rsidRPr="00FA7164">
        <w:rPr>
          <w:b/>
        </w:rPr>
        <w:fldChar w:fldCharType="end"/>
      </w:r>
      <w:bookmarkEnd w:id="13"/>
      <w:r w:rsidRPr="00FA7164">
        <w:rPr>
          <w:b/>
        </w:rPr>
        <w:tab/>
      </w:r>
      <w:r w:rsidRPr="00CF7160">
        <w:rPr>
          <w:rFonts w:cs="Arial"/>
          <w:b/>
          <w:bCs/>
          <w:szCs w:val="22"/>
        </w:rPr>
        <w:t>Median distance to work, capital cities, kilometres</w:t>
      </w:r>
    </w:p>
    <w:tbl>
      <w:tblPr>
        <w:tblW w:w="8942" w:type="dxa"/>
        <w:tblLook w:val="04A0" w:firstRow="1" w:lastRow="0" w:firstColumn="1" w:lastColumn="0" w:noHBand="0" w:noVBand="1"/>
      </w:tblPr>
      <w:tblGrid>
        <w:gridCol w:w="3505"/>
        <w:gridCol w:w="2157"/>
        <w:gridCol w:w="3280"/>
      </w:tblGrid>
      <w:tr w:rsidR="00C26896" w:rsidRPr="00C26896" w14:paraId="110A1789" w14:textId="77777777" w:rsidTr="00FA7164">
        <w:trPr>
          <w:trHeight w:val="375"/>
        </w:trPr>
        <w:tc>
          <w:tcPr>
            <w:tcW w:w="3505" w:type="dxa"/>
            <w:tcBorders>
              <w:top w:val="nil"/>
              <w:left w:val="nil"/>
              <w:bottom w:val="nil"/>
              <w:right w:val="nil"/>
            </w:tcBorders>
            <w:shd w:val="clear" w:color="000000" w:fill="006991"/>
            <w:noWrap/>
            <w:vAlign w:val="center"/>
            <w:hideMark/>
          </w:tcPr>
          <w:p w14:paraId="60B7EE59" w14:textId="77777777" w:rsidR="00C26896" w:rsidRPr="00C26896" w:rsidRDefault="00C26896" w:rsidP="00C26896">
            <w:pPr>
              <w:spacing w:after="0" w:line="240" w:lineRule="auto"/>
              <w:rPr>
                <w:rFonts w:ascii="Open Sans Semibold" w:eastAsia="Times New Roman" w:hAnsi="Open Sans Semibold" w:cs="Open Sans Semibold"/>
                <w:color w:val="FFFFFF"/>
                <w:sz w:val="16"/>
                <w:szCs w:val="16"/>
                <w:lang w:eastAsia="en-AU"/>
              </w:rPr>
            </w:pPr>
            <w:r w:rsidRPr="00C26896">
              <w:rPr>
                <w:rFonts w:ascii="Open Sans Semibold" w:eastAsia="Times New Roman" w:hAnsi="Open Sans Semibold" w:cs="Open Sans Semibold"/>
                <w:color w:val="FFFFFF"/>
                <w:sz w:val="16"/>
                <w:szCs w:val="16"/>
                <w:lang w:eastAsia="en-AU"/>
              </w:rPr>
              <w:t>Capital cities</w:t>
            </w:r>
          </w:p>
        </w:tc>
        <w:tc>
          <w:tcPr>
            <w:tcW w:w="2157" w:type="dxa"/>
            <w:tcBorders>
              <w:top w:val="nil"/>
              <w:left w:val="nil"/>
              <w:bottom w:val="nil"/>
              <w:right w:val="nil"/>
            </w:tcBorders>
            <w:shd w:val="clear" w:color="000000" w:fill="006991"/>
            <w:noWrap/>
            <w:vAlign w:val="center"/>
            <w:hideMark/>
          </w:tcPr>
          <w:p w14:paraId="0B3FA61A" w14:textId="77777777" w:rsidR="00C26896" w:rsidRPr="00C26896" w:rsidRDefault="00C26896" w:rsidP="00C26896">
            <w:pPr>
              <w:spacing w:after="0" w:line="240" w:lineRule="auto"/>
              <w:jc w:val="right"/>
              <w:rPr>
                <w:rFonts w:ascii="Open Sans Semibold" w:eastAsia="Times New Roman" w:hAnsi="Open Sans Semibold" w:cs="Open Sans Semibold"/>
                <w:color w:val="FFFFFF"/>
                <w:sz w:val="16"/>
                <w:szCs w:val="16"/>
                <w:lang w:eastAsia="en-AU"/>
              </w:rPr>
            </w:pPr>
            <w:r w:rsidRPr="00C26896">
              <w:rPr>
                <w:rFonts w:ascii="Open Sans Semibold" w:eastAsia="Times New Roman" w:hAnsi="Open Sans Semibold" w:cs="Open Sans Semibold"/>
                <w:color w:val="FFFFFF"/>
                <w:sz w:val="16"/>
                <w:szCs w:val="16"/>
                <w:lang w:eastAsia="en-AU"/>
              </w:rPr>
              <w:t>2016</w:t>
            </w:r>
          </w:p>
        </w:tc>
        <w:tc>
          <w:tcPr>
            <w:tcW w:w="3280" w:type="dxa"/>
            <w:tcBorders>
              <w:top w:val="nil"/>
              <w:left w:val="nil"/>
              <w:bottom w:val="nil"/>
              <w:right w:val="nil"/>
            </w:tcBorders>
            <w:shd w:val="clear" w:color="000000" w:fill="006991"/>
            <w:noWrap/>
            <w:vAlign w:val="center"/>
            <w:hideMark/>
          </w:tcPr>
          <w:p w14:paraId="23D3D7CA" w14:textId="77777777" w:rsidR="00C26896" w:rsidRPr="00C26896" w:rsidRDefault="00C26896" w:rsidP="00C26896">
            <w:pPr>
              <w:spacing w:after="0" w:line="240" w:lineRule="auto"/>
              <w:jc w:val="right"/>
              <w:rPr>
                <w:rFonts w:ascii="Open Sans Semibold" w:eastAsia="Times New Roman" w:hAnsi="Open Sans Semibold" w:cs="Open Sans Semibold"/>
                <w:color w:val="FFFFFF"/>
                <w:sz w:val="16"/>
                <w:szCs w:val="16"/>
                <w:lang w:eastAsia="en-AU"/>
              </w:rPr>
            </w:pPr>
            <w:r w:rsidRPr="00C26896">
              <w:rPr>
                <w:rFonts w:ascii="Open Sans Semibold" w:eastAsia="Times New Roman" w:hAnsi="Open Sans Semibold" w:cs="Open Sans Semibold"/>
                <w:color w:val="FFFFFF"/>
                <w:sz w:val="16"/>
                <w:szCs w:val="16"/>
                <w:lang w:eastAsia="en-AU"/>
              </w:rPr>
              <w:t>2021</w:t>
            </w:r>
          </w:p>
        </w:tc>
      </w:tr>
      <w:tr w:rsidR="00C26896" w:rsidRPr="00C26896" w14:paraId="65D54263" w14:textId="77777777" w:rsidTr="00FA7164">
        <w:trPr>
          <w:trHeight w:val="315"/>
        </w:trPr>
        <w:tc>
          <w:tcPr>
            <w:tcW w:w="3505" w:type="dxa"/>
            <w:tcBorders>
              <w:top w:val="nil"/>
              <w:left w:val="nil"/>
              <w:bottom w:val="nil"/>
              <w:right w:val="nil"/>
            </w:tcBorders>
            <w:shd w:val="clear" w:color="000000" w:fill="FFFFFF"/>
            <w:noWrap/>
            <w:vAlign w:val="bottom"/>
            <w:hideMark/>
          </w:tcPr>
          <w:p w14:paraId="4B358A42" w14:textId="77777777" w:rsidR="00C26896" w:rsidRPr="00C26896" w:rsidRDefault="00C26896" w:rsidP="00C26896">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Sydney</w:t>
            </w:r>
          </w:p>
        </w:tc>
        <w:tc>
          <w:tcPr>
            <w:tcW w:w="2157" w:type="dxa"/>
            <w:tcBorders>
              <w:top w:val="nil"/>
              <w:left w:val="nil"/>
              <w:bottom w:val="nil"/>
              <w:right w:val="nil"/>
            </w:tcBorders>
            <w:shd w:val="clear" w:color="000000" w:fill="FFFFFF"/>
            <w:noWrap/>
            <w:vAlign w:val="bottom"/>
            <w:hideMark/>
          </w:tcPr>
          <w:p w14:paraId="6005D540"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10.5</w:t>
            </w:r>
          </w:p>
        </w:tc>
        <w:tc>
          <w:tcPr>
            <w:tcW w:w="3280" w:type="dxa"/>
            <w:tcBorders>
              <w:top w:val="nil"/>
              <w:left w:val="nil"/>
              <w:bottom w:val="nil"/>
              <w:right w:val="nil"/>
            </w:tcBorders>
            <w:shd w:val="clear" w:color="000000" w:fill="FFFFFF"/>
            <w:noWrap/>
            <w:vAlign w:val="bottom"/>
            <w:hideMark/>
          </w:tcPr>
          <w:p w14:paraId="5AD2D8D5"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10.5</w:t>
            </w:r>
          </w:p>
        </w:tc>
      </w:tr>
      <w:tr w:rsidR="00C26896" w:rsidRPr="00C26896" w14:paraId="5B66DDE0" w14:textId="77777777" w:rsidTr="00FA7164">
        <w:trPr>
          <w:trHeight w:val="315"/>
        </w:trPr>
        <w:tc>
          <w:tcPr>
            <w:tcW w:w="3505" w:type="dxa"/>
            <w:tcBorders>
              <w:top w:val="single" w:sz="8" w:space="0" w:color="ADD6EA"/>
              <w:left w:val="nil"/>
              <w:bottom w:val="single" w:sz="8" w:space="0" w:color="ADD6EA"/>
              <w:right w:val="nil"/>
            </w:tcBorders>
            <w:shd w:val="clear" w:color="000000" w:fill="FFFFFF"/>
            <w:noWrap/>
            <w:vAlign w:val="bottom"/>
            <w:hideMark/>
          </w:tcPr>
          <w:p w14:paraId="4160B618" w14:textId="77777777" w:rsidR="00C26896" w:rsidRPr="00C26896" w:rsidRDefault="00C26896" w:rsidP="00C26896">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Melbourne</w:t>
            </w:r>
          </w:p>
        </w:tc>
        <w:tc>
          <w:tcPr>
            <w:tcW w:w="2157" w:type="dxa"/>
            <w:tcBorders>
              <w:top w:val="single" w:sz="8" w:space="0" w:color="ADD6EA"/>
              <w:left w:val="nil"/>
              <w:bottom w:val="single" w:sz="8" w:space="0" w:color="ADD6EA"/>
              <w:right w:val="nil"/>
            </w:tcBorders>
            <w:shd w:val="clear" w:color="000000" w:fill="FFFFFF"/>
            <w:noWrap/>
            <w:vAlign w:val="bottom"/>
            <w:hideMark/>
          </w:tcPr>
          <w:p w14:paraId="3636804D"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11.5</w:t>
            </w:r>
          </w:p>
        </w:tc>
        <w:tc>
          <w:tcPr>
            <w:tcW w:w="3280" w:type="dxa"/>
            <w:tcBorders>
              <w:top w:val="single" w:sz="8" w:space="0" w:color="ADD6EA"/>
              <w:left w:val="nil"/>
              <w:bottom w:val="single" w:sz="8" w:space="0" w:color="ADD6EA"/>
              <w:right w:val="nil"/>
            </w:tcBorders>
            <w:shd w:val="clear" w:color="000000" w:fill="FFFFFF"/>
            <w:noWrap/>
            <w:vAlign w:val="bottom"/>
            <w:hideMark/>
          </w:tcPr>
          <w:p w14:paraId="63E4CBAF"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11.5</w:t>
            </w:r>
          </w:p>
        </w:tc>
      </w:tr>
      <w:tr w:rsidR="00C26896" w:rsidRPr="00C26896" w14:paraId="064F74C6" w14:textId="77777777" w:rsidTr="00FA7164">
        <w:trPr>
          <w:trHeight w:val="315"/>
        </w:trPr>
        <w:tc>
          <w:tcPr>
            <w:tcW w:w="3505" w:type="dxa"/>
            <w:tcBorders>
              <w:top w:val="nil"/>
              <w:left w:val="nil"/>
              <w:bottom w:val="nil"/>
              <w:right w:val="nil"/>
            </w:tcBorders>
            <w:shd w:val="clear" w:color="000000" w:fill="FFFFFF"/>
            <w:noWrap/>
            <w:vAlign w:val="bottom"/>
            <w:hideMark/>
          </w:tcPr>
          <w:p w14:paraId="145ACA65" w14:textId="77777777" w:rsidR="00C26896" w:rsidRPr="00C26896" w:rsidRDefault="00C26896" w:rsidP="00C26896">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Brisbane</w:t>
            </w:r>
          </w:p>
        </w:tc>
        <w:tc>
          <w:tcPr>
            <w:tcW w:w="2157" w:type="dxa"/>
            <w:tcBorders>
              <w:top w:val="nil"/>
              <w:left w:val="nil"/>
              <w:bottom w:val="nil"/>
              <w:right w:val="nil"/>
            </w:tcBorders>
            <w:shd w:val="clear" w:color="000000" w:fill="FFFFFF"/>
            <w:noWrap/>
            <w:vAlign w:val="bottom"/>
            <w:hideMark/>
          </w:tcPr>
          <w:p w14:paraId="7A134D5E"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10.5</w:t>
            </w:r>
          </w:p>
        </w:tc>
        <w:tc>
          <w:tcPr>
            <w:tcW w:w="3280" w:type="dxa"/>
            <w:tcBorders>
              <w:top w:val="nil"/>
              <w:left w:val="nil"/>
              <w:bottom w:val="nil"/>
              <w:right w:val="nil"/>
            </w:tcBorders>
            <w:shd w:val="clear" w:color="000000" w:fill="FFFFFF"/>
            <w:noWrap/>
            <w:vAlign w:val="bottom"/>
            <w:hideMark/>
          </w:tcPr>
          <w:p w14:paraId="518C16B1"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11.5</w:t>
            </w:r>
          </w:p>
        </w:tc>
      </w:tr>
      <w:tr w:rsidR="00C26896" w:rsidRPr="00C26896" w14:paraId="3E3EB787" w14:textId="77777777" w:rsidTr="00FA7164">
        <w:trPr>
          <w:trHeight w:val="315"/>
        </w:trPr>
        <w:tc>
          <w:tcPr>
            <w:tcW w:w="3505" w:type="dxa"/>
            <w:tcBorders>
              <w:top w:val="single" w:sz="8" w:space="0" w:color="ADD6EA"/>
              <w:left w:val="nil"/>
              <w:bottom w:val="single" w:sz="8" w:space="0" w:color="ADD6EA"/>
              <w:right w:val="nil"/>
            </w:tcBorders>
            <w:shd w:val="clear" w:color="000000" w:fill="FFFFFF"/>
            <w:noWrap/>
            <w:vAlign w:val="bottom"/>
            <w:hideMark/>
          </w:tcPr>
          <w:p w14:paraId="313F75B2" w14:textId="77777777" w:rsidR="00C26896" w:rsidRPr="00C26896" w:rsidRDefault="00C26896" w:rsidP="00C26896">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Perth</w:t>
            </w:r>
          </w:p>
        </w:tc>
        <w:tc>
          <w:tcPr>
            <w:tcW w:w="2157" w:type="dxa"/>
            <w:tcBorders>
              <w:top w:val="single" w:sz="8" w:space="0" w:color="ADD6EA"/>
              <w:left w:val="nil"/>
              <w:bottom w:val="single" w:sz="8" w:space="0" w:color="ADD6EA"/>
              <w:right w:val="nil"/>
            </w:tcBorders>
            <w:shd w:val="clear" w:color="000000" w:fill="FFFFFF"/>
            <w:noWrap/>
            <w:vAlign w:val="bottom"/>
            <w:hideMark/>
          </w:tcPr>
          <w:p w14:paraId="6A92F61E"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11.5</w:t>
            </w:r>
          </w:p>
        </w:tc>
        <w:tc>
          <w:tcPr>
            <w:tcW w:w="3280" w:type="dxa"/>
            <w:tcBorders>
              <w:top w:val="single" w:sz="8" w:space="0" w:color="ADD6EA"/>
              <w:left w:val="nil"/>
              <w:bottom w:val="single" w:sz="8" w:space="0" w:color="ADD6EA"/>
              <w:right w:val="nil"/>
            </w:tcBorders>
            <w:shd w:val="clear" w:color="000000" w:fill="FFFFFF"/>
            <w:noWrap/>
            <w:vAlign w:val="bottom"/>
            <w:hideMark/>
          </w:tcPr>
          <w:p w14:paraId="22F8CF8A"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12.5</w:t>
            </w:r>
          </w:p>
        </w:tc>
      </w:tr>
      <w:tr w:rsidR="00C26896" w:rsidRPr="00C26896" w14:paraId="317E7003" w14:textId="77777777" w:rsidTr="00FA7164">
        <w:trPr>
          <w:trHeight w:val="315"/>
        </w:trPr>
        <w:tc>
          <w:tcPr>
            <w:tcW w:w="3505" w:type="dxa"/>
            <w:tcBorders>
              <w:top w:val="nil"/>
              <w:left w:val="nil"/>
              <w:bottom w:val="nil"/>
              <w:right w:val="nil"/>
            </w:tcBorders>
            <w:shd w:val="clear" w:color="000000" w:fill="FFFFFF"/>
            <w:noWrap/>
            <w:vAlign w:val="bottom"/>
            <w:hideMark/>
          </w:tcPr>
          <w:p w14:paraId="07137A15" w14:textId="77777777" w:rsidR="00C26896" w:rsidRPr="00C26896" w:rsidRDefault="00C26896" w:rsidP="00C26896">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Adelaide</w:t>
            </w:r>
          </w:p>
        </w:tc>
        <w:tc>
          <w:tcPr>
            <w:tcW w:w="2157" w:type="dxa"/>
            <w:tcBorders>
              <w:top w:val="nil"/>
              <w:left w:val="nil"/>
              <w:bottom w:val="nil"/>
              <w:right w:val="nil"/>
            </w:tcBorders>
            <w:shd w:val="clear" w:color="000000" w:fill="FFFFFF"/>
            <w:noWrap/>
            <w:vAlign w:val="bottom"/>
            <w:hideMark/>
          </w:tcPr>
          <w:p w14:paraId="113F2869"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9.5</w:t>
            </w:r>
          </w:p>
        </w:tc>
        <w:tc>
          <w:tcPr>
            <w:tcW w:w="3280" w:type="dxa"/>
            <w:tcBorders>
              <w:top w:val="nil"/>
              <w:left w:val="nil"/>
              <w:bottom w:val="nil"/>
              <w:right w:val="nil"/>
            </w:tcBorders>
            <w:shd w:val="clear" w:color="000000" w:fill="FFFFFF"/>
            <w:noWrap/>
            <w:vAlign w:val="bottom"/>
            <w:hideMark/>
          </w:tcPr>
          <w:p w14:paraId="3EFE0123"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9.5</w:t>
            </w:r>
          </w:p>
        </w:tc>
      </w:tr>
      <w:tr w:rsidR="00C83C60" w:rsidRPr="00C26896" w14:paraId="332CF67C" w14:textId="77777777" w:rsidTr="00FA7164">
        <w:trPr>
          <w:trHeight w:val="315"/>
        </w:trPr>
        <w:tc>
          <w:tcPr>
            <w:tcW w:w="3505" w:type="dxa"/>
            <w:tcBorders>
              <w:top w:val="single" w:sz="8" w:space="0" w:color="ADD6EA"/>
              <w:left w:val="nil"/>
              <w:bottom w:val="single" w:sz="8" w:space="0" w:color="ADD6EA"/>
              <w:right w:val="nil"/>
            </w:tcBorders>
            <w:shd w:val="clear" w:color="000000" w:fill="FFFFFF"/>
            <w:noWrap/>
            <w:vAlign w:val="bottom"/>
          </w:tcPr>
          <w:p w14:paraId="46825300" w14:textId="65A6E252" w:rsidR="00C83C60" w:rsidRPr="00C26896" w:rsidRDefault="00C83C60" w:rsidP="00C83C60">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Hobart</w:t>
            </w:r>
          </w:p>
        </w:tc>
        <w:tc>
          <w:tcPr>
            <w:tcW w:w="2157" w:type="dxa"/>
            <w:tcBorders>
              <w:top w:val="single" w:sz="8" w:space="0" w:color="ADD6EA"/>
              <w:left w:val="nil"/>
              <w:bottom w:val="single" w:sz="8" w:space="0" w:color="ADD6EA"/>
              <w:right w:val="nil"/>
            </w:tcBorders>
            <w:shd w:val="clear" w:color="000000" w:fill="FFFFFF"/>
            <w:noWrap/>
            <w:vAlign w:val="bottom"/>
          </w:tcPr>
          <w:p w14:paraId="10B70676" w14:textId="4E4550A9" w:rsidR="00C83C60" w:rsidRPr="00C26896" w:rsidRDefault="00C83C60" w:rsidP="00C83C60">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8.5</w:t>
            </w:r>
          </w:p>
        </w:tc>
        <w:tc>
          <w:tcPr>
            <w:tcW w:w="3280" w:type="dxa"/>
            <w:tcBorders>
              <w:top w:val="single" w:sz="8" w:space="0" w:color="ADD6EA"/>
              <w:left w:val="nil"/>
              <w:bottom w:val="single" w:sz="8" w:space="0" w:color="ADD6EA"/>
              <w:right w:val="nil"/>
            </w:tcBorders>
            <w:shd w:val="clear" w:color="000000" w:fill="FFFFFF"/>
            <w:noWrap/>
            <w:vAlign w:val="bottom"/>
          </w:tcPr>
          <w:p w14:paraId="587FA014" w14:textId="54343A4F" w:rsidR="00C83C60" w:rsidRPr="00C26896" w:rsidRDefault="00C83C60" w:rsidP="00C83C60">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8.5</w:t>
            </w:r>
          </w:p>
        </w:tc>
      </w:tr>
      <w:tr w:rsidR="00C26896" w:rsidRPr="00C26896" w14:paraId="48202852" w14:textId="77777777" w:rsidTr="00FA7164">
        <w:trPr>
          <w:trHeight w:val="315"/>
        </w:trPr>
        <w:tc>
          <w:tcPr>
            <w:tcW w:w="3505" w:type="dxa"/>
            <w:tcBorders>
              <w:top w:val="single" w:sz="8" w:space="0" w:color="ADD6EA"/>
              <w:left w:val="nil"/>
              <w:bottom w:val="single" w:sz="8" w:space="0" w:color="ADD6EA"/>
              <w:right w:val="nil"/>
            </w:tcBorders>
            <w:shd w:val="clear" w:color="000000" w:fill="FFFFFF"/>
            <w:noWrap/>
            <w:vAlign w:val="bottom"/>
            <w:hideMark/>
          </w:tcPr>
          <w:p w14:paraId="5A9BE3D4" w14:textId="77777777" w:rsidR="00C26896" w:rsidRPr="00C26896" w:rsidRDefault="00C26896" w:rsidP="00C26896">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Canberra</w:t>
            </w:r>
          </w:p>
        </w:tc>
        <w:tc>
          <w:tcPr>
            <w:tcW w:w="2157" w:type="dxa"/>
            <w:tcBorders>
              <w:top w:val="single" w:sz="8" w:space="0" w:color="ADD6EA"/>
              <w:left w:val="nil"/>
              <w:bottom w:val="single" w:sz="8" w:space="0" w:color="ADD6EA"/>
              <w:right w:val="nil"/>
            </w:tcBorders>
            <w:shd w:val="clear" w:color="000000" w:fill="FFFFFF"/>
            <w:noWrap/>
            <w:vAlign w:val="bottom"/>
            <w:hideMark/>
          </w:tcPr>
          <w:p w14:paraId="29801375"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10.5</w:t>
            </w:r>
          </w:p>
        </w:tc>
        <w:tc>
          <w:tcPr>
            <w:tcW w:w="3280" w:type="dxa"/>
            <w:tcBorders>
              <w:top w:val="single" w:sz="8" w:space="0" w:color="ADD6EA"/>
              <w:left w:val="nil"/>
              <w:bottom w:val="single" w:sz="8" w:space="0" w:color="ADD6EA"/>
              <w:right w:val="nil"/>
            </w:tcBorders>
            <w:shd w:val="clear" w:color="000000" w:fill="FFFFFF"/>
            <w:noWrap/>
            <w:vAlign w:val="bottom"/>
            <w:hideMark/>
          </w:tcPr>
          <w:p w14:paraId="3177485F"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11.5</w:t>
            </w:r>
          </w:p>
        </w:tc>
      </w:tr>
      <w:tr w:rsidR="00C26896" w:rsidRPr="00C26896" w14:paraId="17880278" w14:textId="77777777" w:rsidTr="00FA7164">
        <w:trPr>
          <w:trHeight w:val="315"/>
        </w:trPr>
        <w:tc>
          <w:tcPr>
            <w:tcW w:w="3505" w:type="dxa"/>
            <w:tcBorders>
              <w:top w:val="single" w:sz="8" w:space="0" w:color="ADD6EA"/>
              <w:left w:val="nil"/>
              <w:bottom w:val="single" w:sz="8" w:space="0" w:color="ADD6EA"/>
              <w:right w:val="nil"/>
            </w:tcBorders>
            <w:shd w:val="clear" w:color="000000" w:fill="FFFFFF"/>
            <w:noWrap/>
            <w:vAlign w:val="bottom"/>
            <w:hideMark/>
          </w:tcPr>
          <w:p w14:paraId="66BAEFD4" w14:textId="77777777" w:rsidR="00C26896" w:rsidRPr="00C26896" w:rsidRDefault="00C26896" w:rsidP="00C26896">
            <w:pPr>
              <w:spacing w:after="0" w:line="240" w:lineRule="auto"/>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Darwin</w:t>
            </w:r>
          </w:p>
        </w:tc>
        <w:tc>
          <w:tcPr>
            <w:tcW w:w="2157" w:type="dxa"/>
            <w:tcBorders>
              <w:top w:val="single" w:sz="8" w:space="0" w:color="ADD6EA"/>
              <w:left w:val="nil"/>
              <w:bottom w:val="single" w:sz="8" w:space="0" w:color="ADD6EA"/>
              <w:right w:val="nil"/>
            </w:tcBorders>
            <w:shd w:val="clear" w:color="000000" w:fill="FFFFFF"/>
            <w:noWrap/>
            <w:vAlign w:val="bottom"/>
            <w:hideMark/>
          </w:tcPr>
          <w:p w14:paraId="2C8F91A0"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9.5</w:t>
            </w:r>
          </w:p>
        </w:tc>
        <w:tc>
          <w:tcPr>
            <w:tcW w:w="3280" w:type="dxa"/>
            <w:tcBorders>
              <w:top w:val="single" w:sz="8" w:space="0" w:color="ADD6EA"/>
              <w:left w:val="nil"/>
              <w:bottom w:val="single" w:sz="8" w:space="0" w:color="ADD6EA"/>
              <w:right w:val="nil"/>
            </w:tcBorders>
            <w:shd w:val="clear" w:color="000000" w:fill="FFFFFF"/>
            <w:noWrap/>
            <w:vAlign w:val="bottom"/>
            <w:hideMark/>
          </w:tcPr>
          <w:p w14:paraId="1AD27966" w14:textId="77777777" w:rsidR="00C26896" w:rsidRPr="00C26896" w:rsidRDefault="00C26896" w:rsidP="00C26896">
            <w:pPr>
              <w:spacing w:after="0" w:line="240" w:lineRule="auto"/>
              <w:jc w:val="right"/>
              <w:rPr>
                <w:rFonts w:ascii="Open Sans Light" w:eastAsia="Times New Roman" w:hAnsi="Open Sans Light" w:cs="Open Sans Light"/>
                <w:color w:val="000000"/>
                <w:sz w:val="16"/>
                <w:szCs w:val="16"/>
                <w:lang w:eastAsia="en-AU"/>
              </w:rPr>
            </w:pPr>
            <w:r w:rsidRPr="00C26896">
              <w:rPr>
                <w:rFonts w:ascii="Open Sans Light" w:eastAsia="Times New Roman" w:hAnsi="Open Sans Light" w:cs="Open Sans Light"/>
                <w:color w:val="000000"/>
                <w:sz w:val="16"/>
                <w:szCs w:val="16"/>
                <w:lang w:eastAsia="en-AU"/>
              </w:rPr>
              <w:t>9.5</w:t>
            </w:r>
          </w:p>
        </w:tc>
      </w:tr>
    </w:tbl>
    <w:p w14:paraId="4C87C3A4" w14:textId="73B5244D" w:rsidR="00A140C2" w:rsidRPr="00DB057F" w:rsidRDefault="00A140C2" w:rsidP="00A140C2">
      <w:pPr>
        <w:pStyle w:val="CGCParaNumber"/>
        <w:numPr>
          <w:ilvl w:val="0"/>
          <w:numId w:val="0"/>
        </w:numPr>
        <w:ind w:left="360" w:hanging="360"/>
        <w:rPr>
          <w:rStyle w:val="normaltextrun"/>
          <w:rFonts w:cs="Open Sans Light"/>
          <w:color w:val="000000"/>
          <w:sz w:val="14"/>
          <w:szCs w:val="14"/>
          <w:shd w:val="clear" w:color="auto" w:fill="FFFFFF"/>
        </w:rPr>
      </w:pPr>
      <w:r w:rsidRPr="00DB057F">
        <w:rPr>
          <w:rStyle w:val="normaltextrun"/>
          <w:rFonts w:cs="Open Sans Light"/>
          <w:color w:val="000000"/>
          <w:sz w:val="14"/>
          <w:szCs w:val="14"/>
          <w:shd w:val="clear" w:color="auto" w:fill="FFFFFF"/>
        </w:rPr>
        <w:t xml:space="preserve">Source: </w:t>
      </w:r>
      <w:r w:rsidR="000960FD" w:rsidRPr="00DB057F">
        <w:rPr>
          <w:rStyle w:val="normaltextrun"/>
          <w:rFonts w:cs="Open Sans Light"/>
          <w:color w:val="000000"/>
          <w:sz w:val="14"/>
          <w:szCs w:val="14"/>
          <w:shd w:val="clear" w:color="auto" w:fill="FFFFFF"/>
        </w:rPr>
        <w:t xml:space="preserve">Commission calculation </w:t>
      </w:r>
      <w:r w:rsidR="006A011C" w:rsidRPr="00DB057F">
        <w:rPr>
          <w:rStyle w:val="normaltextrun"/>
          <w:rFonts w:cs="Open Sans Light"/>
          <w:color w:val="000000"/>
          <w:sz w:val="14"/>
          <w:szCs w:val="14"/>
          <w:shd w:val="clear" w:color="auto" w:fill="FFFFFF"/>
        </w:rPr>
        <w:t>based on ABS</w:t>
      </w:r>
      <w:r w:rsidR="00220CFC" w:rsidRPr="00DB057F">
        <w:rPr>
          <w:rStyle w:val="normaltextrun"/>
          <w:rFonts w:cs="Open Sans Light"/>
          <w:color w:val="000000"/>
          <w:sz w:val="14"/>
          <w:szCs w:val="14"/>
          <w:shd w:val="clear" w:color="auto" w:fill="FFFFFF"/>
        </w:rPr>
        <w:t xml:space="preserve"> </w:t>
      </w:r>
      <w:r w:rsidR="000960FD" w:rsidRPr="00DB057F">
        <w:rPr>
          <w:rStyle w:val="normaltextrun"/>
          <w:rFonts w:cs="Open Sans Light"/>
          <w:color w:val="000000"/>
          <w:sz w:val="14"/>
          <w:szCs w:val="14"/>
          <w:shd w:val="clear" w:color="auto" w:fill="FFFFFF"/>
        </w:rPr>
        <w:t>2016 and 2021 Census distance to work data</w:t>
      </w:r>
      <w:r w:rsidR="00400534" w:rsidRPr="00DB057F">
        <w:rPr>
          <w:rStyle w:val="normaltextrun"/>
          <w:rFonts w:cs="Open Sans Light"/>
          <w:color w:val="000000"/>
          <w:sz w:val="14"/>
          <w:szCs w:val="14"/>
          <w:shd w:val="clear" w:color="auto" w:fill="FFFFFF"/>
        </w:rPr>
        <w:t>.</w:t>
      </w:r>
    </w:p>
    <w:p w14:paraId="1D84285E" w14:textId="270E3772" w:rsidR="0039777F" w:rsidRPr="00B840ED" w:rsidRDefault="00C3107B">
      <w:pPr>
        <w:pStyle w:val="CGCParaNumber"/>
        <w:ind w:left="567" w:hanging="567"/>
      </w:pPr>
      <w:r>
        <w:t>Average slope data from Geoscience Australi</w:t>
      </w:r>
      <w:r w:rsidR="004F1102">
        <w:t xml:space="preserve">a </w:t>
      </w:r>
      <w:r w:rsidR="0050086A">
        <w:t>are</w:t>
      </w:r>
      <w:r w:rsidR="004F1102">
        <w:t xml:space="preserve"> used as a proxy for topography in the model. </w:t>
      </w:r>
      <w:r w:rsidR="00035687">
        <w:t xml:space="preserve">The Commission </w:t>
      </w:r>
      <w:r w:rsidR="00F02DC6">
        <w:t xml:space="preserve">will use </w:t>
      </w:r>
      <w:r w:rsidR="00035687">
        <w:t xml:space="preserve">updated </w:t>
      </w:r>
      <w:r w:rsidR="00E72DFA">
        <w:t xml:space="preserve">slope </w:t>
      </w:r>
      <w:r w:rsidR="00035687">
        <w:t xml:space="preserve">data </w:t>
      </w:r>
      <w:r w:rsidR="007D5B2D">
        <w:t xml:space="preserve">from Geoscience Australia based on </w:t>
      </w:r>
      <w:r w:rsidR="00035687">
        <w:t xml:space="preserve">the 2021 Census urban areas </w:t>
      </w:r>
      <w:r w:rsidR="005B2A10">
        <w:t xml:space="preserve">in the 2024 Update. </w:t>
      </w:r>
    </w:p>
    <w:p w14:paraId="04CF865A" w14:textId="293B41C9" w:rsidR="00ED1C4F" w:rsidRPr="00B840ED" w:rsidRDefault="00964884" w:rsidP="00B840ED">
      <w:pPr>
        <w:pStyle w:val="CGCParaNumber"/>
        <w:ind w:left="567" w:hanging="567"/>
      </w:pPr>
      <w:r>
        <w:t xml:space="preserve">The Commission does not expect the new </w:t>
      </w:r>
      <w:r w:rsidR="00160E7D">
        <w:t xml:space="preserve">average slope </w:t>
      </w:r>
      <w:r>
        <w:t xml:space="preserve">data to be </w:t>
      </w:r>
      <w:r w:rsidR="00B44B15">
        <w:t>significantly different</w:t>
      </w:r>
      <w:r w:rsidR="008F6130">
        <w:t xml:space="preserve">. This is because </w:t>
      </w:r>
      <w:r w:rsidR="00B44B15">
        <w:t xml:space="preserve">topography does not change over time and the new ABS urban area boundaries do not include regions with </w:t>
      </w:r>
      <w:r w:rsidR="001D6120">
        <w:t xml:space="preserve">extreme </w:t>
      </w:r>
      <w:r w:rsidR="00B44B15">
        <w:t>topograph</w:t>
      </w:r>
      <w:r w:rsidR="00E8292B">
        <w:t xml:space="preserve">ic </w:t>
      </w:r>
      <w:r w:rsidR="001D6120">
        <w:t>variations</w:t>
      </w:r>
      <w:r w:rsidR="00B44B15">
        <w:t>.</w:t>
      </w:r>
      <w:r w:rsidR="00582CB5">
        <w:t xml:space="preserve"> </w:t>
      </w:r>
      <w:r w:rsidR="0033319B">
        <w:t xml:space="preserve">The Commission </w:t>
      </w:r>
      <w:r w:rsidR="001F28FA">
        <w:t xml:space="preserve">considers </w:t>
      </w:r>
      <w:r w:rsidR="001558DC">
        <w:t xml:space="preserve">updated slope </w:t>
      </w:r>
      <w:r w:rsidR="001F28FA">
        <w:t>data</w:t>
      </w:r>
      <w:r w:rsidR="00E8292B">
        <w:t xml:space="preserve"> will be fit for purpose for use in the 2024</w:t>
      </w:r>
      <w:r w:rsidR="00420E93">
        <w:t> </w:t>
      </w:r>
      <w:r w:rsidR="00E8292B">
        <w:t>Update.</w:t>
      </w:r>
    </w:p>
    <w:p w14:paraId="7055F341" w14:textId="7343D4A2" w:rsidR="00586CC4" w:rsidRDefault="00586CC4" w:rsidP="00586CC4">
      <w:pPr>
        <w:pStyle w:val="Heading3"/>
      </w:pPr>
      <w:r w:rsidRPr="0046286B">
        <w:rPr>
          <w:b w:val="0"/>
          <w:noProof/>
        </w:rPr>
        <mc:AlternateContent>
          <mc:Choice Requires="wps">
            <w:drawing>
              <wp:anchor distT="0" distB="0" distL="114300" distR="114300" simplePos="0" relativeHeight="251658243" behindDoc="1" locked="0" layoutInCell="1" allowOverlap="1" wp14:anchorId="44ADB6B6" wp14:editId="4BE2FDE9">
                <wp:simplePos x="0" y="0"/>
                <wp:positionH relativeFrom="margin">
                  <wp:posOffset>10160</wp:posOffset>
                </wp:positionH>
                <wp:positionV relativeFrom="paragraph">
                  <wp:posOffset>478155</wp:posOffset>
                </wp:positionV>
                <wp:extent cx="5791200" cy="1797050"/>
                <wp:effectExtent l="0" t="0" r="0" b="0"/>
                <wp:wrapSquare wrapText="bothSides"/>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0" cy="1797050"/>
                        </a:xfrm>
                        <a:prstGeom prst="rect">
                          <a:avLst/>
                        </a:prstGeom>
                        <a:solidFill>
                          <a:srgbClr val="E5F8FF"/>
                        </a:solidFill>
                        <a:ln w="25400" cap="flat" cmpd="sng" algn="ctr">
                          <a:noFill/>
                          <a:prstDash val="solid"/>
                        </a:ln>
                        <a:effectLst/>
                      </wps:spPr>
                      <wps:txbx>
                        <w:txbxContent>
                          <w:p w14:paraId="4C93F1BA" w14:textId="13A01FD8" w:rsidR="005F4EF5" w:rsidRDefault="00586CC4" w:rsidP="00F452E6">
                            <w:pPr>
                              <w:pStyle w:val="CGCBullet1"/>
                              <w:numPr>
                                <w:ilvl w:val="0"/>
                                <w:numId w:val="0"/>
                              </w:numPr>
                              <w:ind w:left="142"/>
                            </w:pPr>
                            <w:r>
                              <w:t>The Commission</w:t>
                            </w:r>
                            <w:r w:rsidR="007D6F4D">
                              <w:t>’</w:t>
                            </w:r>
                            <w:r>
                              <w:t xml:space="preserve">s preliminary view is to </w:t>
                            </w:r>
                            <w:r w:rsidR="00AC0CCF">
                              <w:t>update</w:t>
                            </w:r>
                            <w:r>
                              <w:t xml:space="preserve"> the </w:t>
                            </w:r>
                            <w:r w:rsidR="00A12C49">
                              <w:t>characteristics of urban areas</w:t>
                            </w:r>
                            <w:r w:rsidR="005B3673">
                              <w:t xml:space="preserve"> that are applied to the regression coefficients in the urban transport assessment using</w:t>
                            </w:r>
                            <w:r w:rsidR="0007407E">
                              <w:t>:</w:t>
                            </w:r>
                            <w:r w:rsidR="00AC0CCF">
                              <w:t xml:space="preserve"> </w:t>
                            </w:r>
                          </w:p>
                          <w:p w14:paraId="75A098E6" w14:textId="65306DB6" w:rsidR="00586CC4" w:rsidRDefault="00586CC4" w:rsidP="005F4EF5">
                            <w:pPr>
                              <w:pStyle w:val="CGCBullet1"/>
                              <w:numPr>
                                <w:ilvl w:val="1"/>
                                <w:numId w:val="1"/>
                              </w:numPr>
                            </w:pPr>
                            <w:r>
                              <w:t xml:space="preserve">2021 Census significant urban areas </w:t>
                            </w:r>
                            <w:r w:rsidR="005B3673">
                              <w:t>definitions</w:t>
                            </w:r>
                            <w:r w:rsidR="00763D71">
                              <w:t xml:space="preserve"> to update urban area population and population weighted </w:t>
                            </w:r>
                            <w:proofErr w:type="gramStart"/>
                            <w:r w:rsidR="00763D71">
                              <w:t>densit</w:t>
                            </w:r>
                            <w:r w:rsidR="0060530F">
                              <w:t>ies</w:t>
                            </w:r>
                            <w:proofErr w:type="gramEnd"/>
                          </w:p>
                          <w:p w14:paraId="5676EFED" w14:textId="38D257A1" w:rsidR="00AC0CCF" w:rsidRDefault="00AC0CCF" w:rsidP="005F4EF5">
                            <w:pPr>
                              <w:pStyle w:val="CGCBullet1"/>
                              <w:numPr>
                                <w:ilvl w:val="1"/>
                                <w:numId w:val="1"/>
                              </w:numPr>
                            </w:pPr>
                            <w:r>
                              <w:t xml:space="preserve">2021 Census </w:t>
                            </w:r>
                            <w:r w:rsidR="00B967BC">
                              <w:t>distance to work</w:t>
                            </w:r>
                            <w:r w:rsidR="005B3673">
                              <w:t xml:space="preserve"> </w:t>
                            </w:r>
                            <w:r w:rsidR="00763D71">
                              <w:t xml:space="preserve">data to update network </w:t>
                            </w:r>
                            <w:proofErr w:type="gramStart"/>
                            <w:r w:rsidR="00763D71">
                              <w:t>complexity</w:t>
                            </w:r>
                            <w:proofErr w:type="gramEnd"/>
                          </w:p>
                          <w:p w14:paraId="399CD621" w14:textId="4C0D8799" w:rsidR="00513332" w:rsidRPr="00B5318C" w:rsidRDefault="00463458" w:rsidP="00316389">
                            <w:pPr>
                              <w:pStyle w:val="CGCBullet1"/>
                              <w:numPr>
                                <w:ilvl w:val="1"/>
                                <w:numId w:val="1"/>
                              </w:numPr>
                            </w:pPr>
                            <w:r>
                              <w:t xml:space="preserve">Updated </w:t>
                            </w:r>
                            <w:r w:rsidR="00B967BC">
                              <w:t>Geoscience</w:t>
                            </w:r>
                            <w:r w:rsidR="0060530F">
                              <w:t xml:space="preserve"> Australia</w:t>
                            </w:r>
                            <w:r w:rsidR="00B967BC">
                              <w:t xml:space="preserve"> </w:t>
                            </w:r>
                            <w:r w:rsidR="005B3673" w:rsidRPr="00B5318C">
                              <w:t>average slope data</w:t>
                            </w:r>
                            <w:r w:rsidR="00763D71" w:rsidRPr="00B5318C">
                              <w:t xml:space="preserve"> to update </w:t>
                            </w:r>
                            <w:proofErr w:type="gramStart"/>
                            <w:r w:rsidR="00763D71" w:rsidRPr="00B5318C">
                              <w:t>topography</w:t>
                            </w:r>
                            <w:proofErr w:type="gramEnd"/>
                          </w:p>
                          <w:p w14:paraId="64697459" w14:textId="618DE3F5" w:rsidR="00C327A2" w:rsidRPr="00B5318C" w:rsidRDefault="00C327A2" w:rsidP="00316389">
                            <w:pPr>
                              <w:pStyle w:val="CGCBullet1"/>
                              <w:numPr>
                                <w:ilvl w:val="1"/>
                                <w:numId w:val="1"/>
                              </w:numPr>
                            </w:pPr>
                            <w:r w:rsidRPr="00B5318C">
                              <w:t>2016 Censu</w:t>
                            </w:r>
                            <w:r w:rsidR="005562F1" w:rsidRPr="00B5318C">
                              <w:t xml:space="preserve">s </w:t>
                            </w:r>
                            <w:r w:rsidR="002E6121" w:rsidRPr="00B5318C">
                              <w:t>passenger data</w:t>
                            </w:r>
                            <w:r w:rsidR="00B21EB6" w:rsidRPr="00B5318C">
                              <w:t xml:space="preserve"> to model passenger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DB6B6" id="Rectangle 1" o:spid="_x0000_s1028" alt="&quot;&quot;" style="position:absolute;margin-left:.8pt;margin-top:37.65pt;width:456pt;height:141.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" fillcolor="#e5f8ff" stroked="f" strokeweight="2pt">
                <v:textbox>
                  <w:txbxContent>
                    <w:p w14:paraId="4C93F1BA" w14:textId="13A01FD8" w:rsidR="005F4EF5" w:rsidRDefault="00586CC4" w:rsidP="00F452E6">
                      <w:pPr>
                        <w:pStyle w:val="CGCBullet1"/>
                        <w:numPr>
                          <w:ilvl w:val="0"/>
                          <w:numId w:val="0"/>
                        </w:numPr>
                        <w:ind w:left="142"/>
                      </w:pPr>
                      <w:r>
                        <w:t>The Commission</w:t>
                      </w:r>
                      <w:r w:rsidR="007D6F4D">
                        <w:t>’</w:t>
                      </w:r>
                      <w:r>
                        <w:t xml:space="preserve">s preliminary view is to </w:t>
                      </w:r>
                      <w:r w:rsidR="00AC0CCF">
                        <w:t>update</w:t>
                      </w:r>
                      <w:r>
                        <w:t xml:space="preserve"> the </w:t>
                      </w:r>
                      <w:r w:rsidR="00A12C49">
                        <w:t>characteristics of urban areas</w:t>
                      </w:r>
                      <w:r w:rsidR="005B3673">
                        <w:t xml:space="preserve"> that are applied to the regression coefficients in the urban transport assessment using</w:t>
                      </w:r>
                      <w:r w:rsidR="0007407E">
                        <w:t>:</w:t>
                      </w:r>
                      <w:r w:rsidR="00AC0CCF">
                        <w:t xml:space="preserve"> </w:t>
                      </w:r>
                    </w:p>
                    <w:p w14:paraId="75A098E6" w14:textId="65306DB6" w:rsidR="00586CC4" w:rsidRDefault="00586CC4" w:rsidP="005F4EF5">
                      <w:pPr>
                        <w:pStyle w:val="CGCBullet1"/>
                        <w:numPr>
                          <w:ilvl w:val="1"/>
                          <w:numId w:val="1"/>
                        </w:numPr>
                      </w:pPr>
                      <w:r>
                        <w:t xml:space="preserve">2021 Census significant urban areas </w:t>
                      </w:r>
                      <w:r w:rsidR="005B3673">
                        <w:t>definitions</w:t>
                      </w:r>
                      <w:r w:rsidR="00763D71">
                        <w:t xml:space="preserve"> to update urban area population and population weighted </w:t>
                      </w:r>
                      <w:proofErr w:type="gramStart"/>
                      <w:r w:rsidR="00763D71">
                        <w:t>densit</w:t>
                      </w:r>
                      <w:r w:rsidR="0060530F">
                        <w:t>ies</w:t>
                      </w:r>
                      <w:proofErr w:type="gramEnd"/>
                    </w:p>
                    <w:p w14:paraId="5676EFED" w14:textId="38D257A1" w:rsidR="00AC0CCF" w:rsidRDefault="00AC0CCF" w:rsidP="005F4EF5">
                      <w:pPr>
                        <w:pStyle w:val="CGCBullet1"/>
                        <w:numPr>
                          <w:ilvl w:val="1"/>
                          <w:numId w:val="1"/>
                        </w:numPr>
                      </w:pPr>
                      <w:r>
                        <w:t xml:space="preserve">2021 Census </w:t>
                      </w:r>
                      <w:r w:rsidR="00B967BC">
                        <w:t>distance to work</w:t>
                      </w:r>
                      <w:r w:rsidR="005B3673">
                        <w:t xml:space="preserve"> </w:t>
                      </w:r>
                      <w:r w:rsidR="00763D71">
                        <w:t xml:space="preserve">data to update network </w:t>
                      </w:r>
                      <w:proofErr w:type="gramStart"/>
                      <w:r w:rsidR="00763D71">
                        <w:t>complexity</w:t>
                      </w:r>
                      <w:proofErr w:type="gramEnd"/>
                    </w:p>
                    <w:p w14:paraId="399CD621" w14:textId="4C0D8799" w:rsidR="00513332" w:rsidRPr="00B5318C" w:rsidRDefault="00463458" w:rsidP="00316389">
                      <w:pPr>
                        <w:pStyle w:val="CGCBullet1"/>
                        <w:numPr>
                          <w:ilvl w:val="1"/>
                          <w:numId w:val="1"/>
                        </w:numPr>
                      </w:pPr>
                      <w:r>
                        <w:t xml:space="preserve">Updated </w:t>
                      </w:r>
                      <w:r w:rsidR="00B967BC">
                        <w:t>Geoscience</w:t>
                      </w:r>
                      <w:r w:rsidR="0060530F">
                        <w:t xml:space="preserve"> Australia</w:t>
                      </w:r>
                      <w:r w:rsidR="00B967BC">
                        <w:t xml:space="preserve"> </w:t>
                      </w:r>
                      <w:r w:rsidR="005B3673" w:rsidRPr="00B5318C">
                        <w:t>average slope data</w:t>
                      </w:r>
                      <w:r w:rsidR="00763D71" w:rsidRPr="00B5318C">
                        <w:t xml:space="preserve"> to update </w:t>
                      </w:r>
                      <w:proofErr w:type="gramStart"/>
                      <w:r w:rsidR="00763D71" w:rsidRPr="00B5318C">
                        <w:t>topography</w:t>
                      </w:r>
                      <w:proofErr w:type="gramEnd"/>
                    </w:p>
                    <w:p w14:paraId="64697459" w14:textId="618DE3F5" w:rsidR="00C327A2" w:rsidRPr="00B5318C" w:rsidRDefault="00C327A2" w:rsidP="00316389">
                      <w:pPr>
                        <w:pStyle w:val="CGCBullet1"/>
                        <w:numPr>
                          <w:ilvl w:val="1"/>
                          <w:numId w:val="1"/>
                        </w:numPr>
                      </w:pPr>
                      <w:r w:rsidRPr="00B5318C">
                        <w:t>2016 Censu</w:t>
                      </w:r>
                      <w:r w:rsidR="005562F1" w:rsidRPr="00B5318C">
                        <w:t xml:space="preserve">s </w:t>
                      </w:r>
                      <w:r w:rsidR="002E6121" w:rsidRPr="00B5318C">
                        <w:t>passenger data</w:t>
                      </w:r>
                      <w:r w:rsidR="00B21EB6" w:rsidRPr="00B5318C">
                        <w:t xml:space="preserve"> to model passenger numbers.</w:t>
                      </w:r>
                    </w:p>
                  </w:txbxContent>
                </v:textbox>
                <w10:wrap type="square" anchorx="margin"/>
              </v:rect>
            </w:pict>
          </mc:Fallback>
        </mc:AlternateContent>
      </w:r>
      <w:r>
        <w:t>Preliminary view</w:t>
      </w:r>
    </w:p>
    <w:p w14:paraId="338FE43F" w14:textId="54AB36FB" w:rsidR="00023C22" w:rsidRDefault="001B511F" w:rsidP="008E00FA">
      <w:pPr>
        <w:pStyle w:val="Heading2"/>
        <w:keepNext/>
      </w:pPr>
      <w:r>
        <w:t>Payroll tax</w:t>
      </w:r>
      <w:r w:rsidR="008E3CD2">
        <w:t xml:space="preserve"> —</w:t>
      </w:r>
      <w:r w:rsidR="73F6D464">
        <w:t xml:space="preserve"> </w:t>
      </w:r>
      <w:r w:rsidR="00582C71">
        <w:t>c</w:t>
      </w:r>
      <w:r w:rsidR="00312212">
        <w:t xml:space="preserve">hange in </w:t>
      </w:r>
      <w:r w:rsidR="00D5624B">
        <w:t xml:space="preserve">ABS </w:t>
      </w:r>
      <w:r w:rsidR="00312212">
        <w:t>Employment and Earning</w:t>
      </w:r>
      <w:r w:rsidR="007311F2">
        <w:t>s</w:t>
      </w:r>
      <w:r w:rsidR="00312212">
        <w:t xml:space="preserve">, Public sector </w:t>
      </w:r>
      <w:proofErr w:type="gramStart"/>
      <w:r w:rsidR="00312212">
        <w:t>data</w:t>
      </w:r>
      <w:proofErr w:type="gramEnd"/>
    </w:p>
    <w:p w14:paraId="323422EC" w14:textId="6037CDB9" w:rsidR="00023C22" w:rsidRPr="00955DCD" w:rsidRDefault="00F67CF0" w:rsidP="003B40F8">
      <w:pPr>
        <w:pStyle w:val="CGCParaNumber"/>
        <w:ind w:left="567" w:hanging="567"/>
      </w:pPr>
      <w:r>
        <w:t xml:space="preserve">The Commission </w:t>
      </w:r>
      <w:r w:rsidR="00E16925">
        <w:t>needs to consider whether to</w:t>
      </w:r>
      <w:r>
        <w:t xml:space="preserve"> remove</w:t>
      </w:r>
      <w:r w:rsidR="006144B3">
        <w:t xml:space="preserve"> </w:t>
      </w:r>
      <w:r w:rsidR="006817FD">
        <w:t>an</w:t>
      </w:r>
      <w:r w:rsidR="00A0282A">
        <w:t xml:space="preserve"> </w:t>
      </w:r>
      <w:r w:rsidR="006144B3">
        <w:t xml:space="preserve">adjustment in the payroll tax assessment due to </w:t>
      </w:r>
      <w:r w:rsidR="009620AA">
        <w:t xml:space="preserve">changes in </w:t>
      </w:r>
      <w:r w:rsidR="00EB6FA3">
        <w:t xml:space="preserve">the scope of ABS </w:t>
      </w:r>
      <w:r w:rsidR="00912648">
        <w:t xml:space="preserve">public sector </w:t>
      </w:r>
      <w:r w:rsidR="003F75C0">
        <w:t>wages and salaries</w:t>
      </w:r>
      <w:r w:rsidR="009620AA">
        <w:t xml:space="preserve"> data.</w:t>
      </w:r>
    </w:p>
    <w:p w14:paraId="152C9001" w14:textId="56BE8232" w:rsidR="00023C22" w:rsidRDefault="00023C22" w:rsidP="00023C22">
      <w:pPr>
        <w:pStyle w:val="Heading3"/>
      </w:pPr>
      <w:r>
        <w:lastRenderedPageBreak/>
        <w:t xml:space="preserve">Background </w:t>
      </w:r>
    </w:p>
    <w:p w14:paraId="31DCCE05" w14:textId="37222A24" w:rsidR="007D7C60" w:rsidRDefault="007879D8" w:rsidP="003C0FC6">
      <w:pPr>
        <w:pStyle w:val="CGCParaNumber"/>
        <w:ind w:left="567" w:hanging="567"/>
      </w:pPr>
      <w:r>
        <w:t xml:space="preserve">The payroll tax assessment </w:t>
      </w:r>
      <w:r w:rsidR="00D7537A">
        <w:t>measures</w:t>
      </w:r>
      <w:r w:rsidR="0032540B">
        <w:t xml:space="preserve"> each state’s </w:t>
      </w:r>
      <w:r w:rsidR="005E7968">
        <w:t>revenue</w:t>
      </w:r>
      <w:r w:rsidR="00E61546">
        <w:t>-</w:t>
      </w:r>
      <w:r w:rsidR="005E7968">
        <w:t xml:space="preserve">raising </w:t>
      </w:r>
      <w:r w:rsidR="0032540B">
        <w:t xml:space="preserve">capacity </w:t>
      </w:r>
      <w:r w:rsidR="00591A20">
        <w:t xml:space="preserve">using </w:t>
      </w:r>
      <w:r w:rsidR="003E5810">
        <w:t>‘</w:t>
      </w:r>
      <w:r w:rsidR="007D5CA1">
        <w:t xml:space="preserve">taxable </w:t>
      </w:r>
      <w:r w:rsidR="007C0759">
        <w:t>remuneration</w:t>
      </w:r>
      <w:r w:rsidR="003E5810">
        <w:t>’</w:t>
      </w:r>
      <w:r w:rsidR="007C0759">
        <w:t xml:space="preserve"> </w:t>
      </w:r>
      <w:r w:rsidR="00C87D72">
        <w:t>in the private and public sectors.</w:t>
      </w:r>
      <w:r w:rsidR="00771077">
        <w:t xml:space="preserve"> Taxable </w:t>
      </w:r>
      <w:r w:rsidR="00514F18">
        <w:t xml:space="preserve">public sector remuneration </w:t>
      </w:r>
      <w:r w:rsidR="00DF66A3">
        <w:t xml:space="preserve">is </w:t>
      </w:r>
      <w:r w:rsidR="007D7C60">
        <w:t xml:space="preserve">based on public sector compensation of </w:t>
      </w:r>
      <w:bookmarkStart w:id="14" w:name="_Int_Sv7KbztH"/>
      <w:proofErr w:type="gramStart"/>
      <w:r w:rsidR="007D7C60">
        <w:t>employees</w:t>
      </w:r>
      <w:bookmarkEnd w:id="14"/>
      <w:proofErr w:type="gramEnd"/>
      <w:r w:rsidR="007D7C60">
        <w:t xml:space="preserve"> data (sourced from ABS national accounts), adjusted to remove </w:t>
      </w:r>
      <w:r w:rsidR="003C5524">
        <w:t>remuneration of general government sector employees and remuneration below an average payroll threshold.</w:t>
      </w:r>
      <w:r w:rsidR="00A840CA" w:rsidRPr="003C0FC6">
        <w:rPr>
          <w:sz w:val="24"/>
          <w:szCs w:val="24"/>
          <w:vertAlign w:val="superscript"/>
        </w:rPr>
        <w:footnoteReference w:id="10"/>
      </w:r>
    </w:p>
    <w:p w14:paraId="04BB577A" w14:textId="45C3BD62" w:rsidR="00383A74" w:rsidRPr="00B5318C" w:rsidRDefault="002656B2" w:rsidP="003C0FC6">
      <w:pPr>
        <w:pStyle w:val="CGCParaNumber"/>
        <w:ind w:left="567" w:hanging="567"/>
      </w:pPr>
      <w:r>
        <w:t>The general government sector and threshold adjustments are made</w:t>
      </w:r>
      <w:r w:rsidR="00DF66A3">
        <w:t xml:space="preserve"> by </w:t>
      </w:r>
      <w:r w:rsidR="007A7EDC">
        <w:t xml:space="preserve">applying </w:t>
      </w:r>
      <w:r w:rsidR="007E15FE">
        <w:t xml:space="preserve">a </w:t>
      </w:r>
      <w:r w:rsidR="002C0C57">
        <w:t>‘</w:t>
      </w:r>
      <w:r w:rsidR="007E15FE">
        <w:t>taxable proportion</w:t>
      </w:r>
      <w:r w:rsidR="002C0C57">
        <w:t>’</w:t>
      </w:r>
      <w:r w:rsidR="008A763F">
        <w:t>,</w:t>
      </w:r>
      <w:r w:rsidR="007E15FE">
        <w:t xml:space="preserve"> </w:t>
      </w:r>
      <w:r w:rsidR="00773A8C">
        <w:t>de</w:t>
      </w:r>
      <w:r w:rsidR="00773A8C" w:rsidRPr="00B5318C">
        <w:t xml:space="preserve">rived from ABS </w:t>
      </w:r>
      <w:r w:rsidR="000D135C" w:rsidRPr="00B5318C">
        <w:t>wages and salaries data</w:t>
      </w:r>
      <w:r w:rsidR="00F10A31" w:rsidRPr="00B5318C">
        <w:t>,</w:t>
      </w:r>
      <w:r w:rsidR="00514F18" w:rsidRPr="00B5318C">
        <w:t xml:space="preserve"> </w:t>
      </w:r>
      <w:r w:rsidR="009562D9" w:rsidRPr="00B5318C">
        <w:t>to</w:t>
      </w:r>
      <w:r w:rsidR="003B19A3" w:rsidRPr="00B5318C">
        <w:t xml:space="preserve"> </w:t>
      </w:r>
      <w:r w:rsidR="008B74A0" w:rsidRPr="00B5318C">
        <w:t>public sector compensation of employees</w:t>
      </w:r>
      <w:r w:rsidR="009562D9" w:rsidRPr="00B5318C">
        <w:t>.</w:t>
      </w:r>
      <w:r w:rsidR="00E97AB9" w:rsidRPr="00B5318C">
        <w:rPr>
          <w:sz w:val="24"/>
          <w:szCs w:val="24"/>
          <w:vertAlign w:val="superscript"/>
        </w:rPr>
        <w:footnoteReference w:id="11"/>
      </w:r>
      <w:r w:rsidR="00514F18" w:rsidRPr="00B5318C">
        <w:t xml:space="preserve"> </w:t>
      </w:r>
      <w:r w:rsidR="001579C0" w:rsidRPr="00B5318C">
        <w:t>Before applying the ta</w:t>
      </w:r>
      <w:r w:rsidR="007B42AF" w:rsidRPr="00B5318C">
        <w:t>x</w:t>
      </w:r>
      <w:r w:rsidR="001579C0" w:rsidRPr="00B5318C">
        <w:t>able proport</w:t>
      </w:r>
      <w:r w:rsidR="007B42AF" w:rsidRPr="00B5318C">
        <w:t>ion</w:t>
      </w:r>
      <w:r w:rsidR="00F11A5B">
        <w:t>,</w:t>
      </w:r>
      <w:r w:rsidR="00514F18" w:rsidRPr="00B5318C">
        <w:t xml:space="preserve"> </w:t>
      </w:r>
      <w:r w:rsidR="000F1F1F" w:rsidRPr="00B5318C">
        <w:t>t</w:t>
      </w:r>
      <w:r w:rsidR="00A01F2C" w:rsidRPr="00B5318C">
        <w:t xml:space="preserve">he Commission makes an adjustment </w:t>
      </w:r>
      <w:r w:rsidR="00787231" w:rsidRPr="00B5318C">
        <w:t xml:space="preserve">to </w:t>
      </w:r>
      <w:r w:rsidR="003F655F" w:rsidRPr="00B5318C">
        <w:t xml:space="preserve">remove </w:t>
      </w:r>
      <w:r w:rsidR="00452F8F" w:rsidRPr="00B5318C">
        <w:t>compensation of employ</w:t>
      </w:r>
      <w:r w:rsidR="00FC33CF" w:rsidRPr="00B5318C">
        <w:t>ees</w:t>
      </w:r>
      <w:r w:rsidR="00F04759" w:rsidRPr="00B5318C">
        <w:t xml:space="preserve"> </w:t>
      </w:r>
      <w:r w:rsidR="00556EC1" w:rsidRPr="00B5318C">
        <w:t>relating to</w:t>
      </w:r>
      <w:r w:rsidR="00340C64" w:rsidRPr="00B5318C">
        <w:t xml:space="preserve"> </w:t>
      </w:r>
      <w:r w:rsidR="002F4FED" w:rsidRPr="00B5318C">
        <w:t xml:space="preserve">Australian Defence Force </w:t>
      </w:r>
      <w:r w:rsidR="009C4782" w:rsidRPr="00B5318C">
        <w:t>(ADF)</w:t>
      </w:r>
      <w:r w:rsidR="002F4FED" w:rsidRPr="00B5318C">
        <w:t xml:space="preserve"> personnel and </w:t>
      </w:r>
      <w:r w:rsidR="00B50CF5" w:rsidRPr="00B5318C">
        <w:t>employees of Australian embassies overseas</w:t>
      </w:r>
      <w:r w:rsidR="00E41747" w:rsidRPr="00B5318C">
        <w:t>.</w:t>
      </w:r>
      <w:r w:rsidR="001D2241" w:rsidRPr="00B5318C">
        <w:rPr>
          <w:sz w:val="24"/>
          <w:szCs w:val="24"/>
          <w:vertAlign w:val="superscript"/>
        </w:rPr>
        <w:footnoteReference w:id="12"/>
      </w:r>
      <w:r w:rsidR="00C8242D" w:rsidRPr="00B5318C">
        <w:t xml:space="preserve"> </w:t>
      </w:r>
      <w:r w:rsidR="00E85BEE" w:rsidRPr="00B5318C">
        <w:t xml:space="preserve">While the remuneration of these employees </w:t>
      </w:r>
      <w:r w:rsidR="00564440" w:rsidRPr="00B5318C">
        <w:t>is</w:t>
      </w:r>
      <w:r w:rsidR="00FC4B86" w:rsidRPr="00B5318C">
        <w:t xml:space="preserve"> </w:t>
      </w:r>
      <w:r w:rsidR="00030B05" w:rsidRPr="00B5318C">
        <w:t>not liable for payroll tax</w:t>
      </w:r>
      <w:r w:rsidR="00B11CC0" w:rsidRPr="00B5318C">
        <w:t xml:space="preserve">, it is outside </w:t>
      </w:r>
      <w:r w:rsidR="00FC4B86" w:rsidRPr="00B5318C">
        <w:t xml:space="preserve">the scope of the </w:t>
      </w:r>
      <w:r w:rsidR="00EC4A0F" w:rsidRPr="00B5318C">
        <w:t xml:space="preserve">ABS </w:t>
      </w:r>
      <w:r w:rsidR="001947F2" w:rsidRPr="00B5318C">
        <w:t xml:space="preserve">wages and salaries </w:t>
      </w:r>
      <w:r w:rsidR="000D08F8" w:rsidRPr="00B5318C">
        <w:t>data</w:t>
      </w:r>
      <w:r w:rsidR="006D605A" w:rsidRPr="00B5318C">
        <w:t xml:space="preserve"> and, therefore, cannot be removed using the taxable proportion</w:t>
      </w:r>
      <w:r w:rsidR="000D08F8" w:rsidRPr="00B5318C">
        <w:t>.</w:t>
      </w:r>
      <w:r w:rsidR="0078722F" w:rsidRPr="00B5318C">
        <w:t xml:space="preserve"> </w:t>
      </w:r>
      <w:r w:rsidR="00DA2922">
        <w:t>This</w:t>
      </w:r>
      <w:r w:rsidR="0078722F" w:rsidRPr="00B5318C">
        <w:t xml:space="preserve"> </w:t>
      </w:r>
      <w:r w:rsidR="003E5810" w:rsidRPr="00B5318C">
        <w:t xml:space="preserve">adjustment </w:t>
      </w:r>
      <w:r w:rsidR="00B8782E" w:rsidRPr="00B5318C">
        <w:t xml:space="preserve">was </w:t>
      </w:r>
      <w:r w:rsidR="001943B4" w:rsidRPr="00B5318C">
        <w:t>material in the 2020</w:t>
      </w:r>
      <w:r w:rsidR="00BE73C1">
        <w:t> </w:t>
      </w:r>
      <w:r w:rsidR="001943B4" w:rsidRPr="00B5318C">
        <w:t>Review</w:t>
      </w:r>
      <w:r w:rsidR="003E5810" w:rsidRPr="00B5318C">
        <w:t>.</w:t>
      </w:r>
    </w:p>
    <w:p w14:paraId="49FD9ED5" w14:textId="468CA393" w:rsidR="00CF446E" w:rsidRPr="00B5318C" w:rsidRDefault="009D278E" w:rsidP="003F1B50">
      <w:pPr>
        <w:pStyle w:val="CGCParaNumber"/>
        <w:ind w:left="567" w:hanging="567"/>
      </w:pPr>
      <w:r w:rsidRPr="00B5318C">
        <w:t>From 2022</w:t>
      </w:r>
      <w:r w:rsidR="00C1250D" w:rsidRPr="00B5318C">
        <w:t>–</w:t>
      </w:r>
      <w:r w:rsidR="008828F2" w:rsidRPr="00B5318C">
        <w:t>23, t</w:t>
      </w:r>
      <w:r w:rsidR="00FA4ED3" w:rsidRPr="00B5318C">
        <w:t xml:space="preserve">he ABS </w:t>
      </w:r>
      <w:r w:rsidR="00C47AE4" w:rsidRPr="00B5318C">
        <w:t xml:space="preserve">will </w:t>
      </w:r>
      <w:r w:rsidR="00FA4ED3" w:rsidRPr="00B5318C">
        <w:t xml:space="preserve">change </w:t>
      </w:r>
      <w:r w:rsidR="00FB135B" w:rsidRPr="00B5318C">
        <w:t>its method of</w:t>
      </w:r>
      <w:r w:rsidR="00440496" w:rsidRPr="00B5318C">
        <w:t xml:space="preserve"> </w:t>
      </w:r>
      <w:r w:rsidR="00FB135B" w:rsidRPr="00B5318C">
        <w:t>collecting</w:t>
      </w:r>
      <w:r w:rsidR="00BF03FC" w:rsidRPr="00B5318C">
        <w:t xml:space="preserve"> </w:t>
      </w:r>
      <w:r w:rsidR="00C862A6" w:rsidRPr="00B5318C">
        <w:t>the</w:t>
      </w:r>
      <w:r w:rsidR="00FB135B" w:rsidRPr="00B5318C">
        <w:t xml:space="preserve"> </w:t>
      </w:r>
      <w:r w:rsidR="00BF03FC" w:rsidRPr="00B5318C">
        <w:t>public sector wages and salaries data used by the Commission.</w:t>
      </w:r>
      <w:r w:rsidR="00FA4ED3" w:rsidRPr="00B5318C">
        <w:t xml:space="preserve"> </w:t>
      </w:r>
      <w:r w:rsidR="00EA647B" w:rsidRPr="00B5318C">
        <w:t>The</w:t>
      </w:r>
      <w:r w:rsidR="00D977EC" w:rsidRPr="00B5318C">
        <w:t>se</w:t>
      </w:r>
      <w:r w:rsidR="00EA647B" w:rsidRPr="00B5318C">
        <w:t xml:space="preserve"> will be </w:t>
      </w:r>
      <w:r w:rsidR="00B05299" w:rsidRPr="00B5318C">
        <w:t xml:space="preserve">sourced from </w:t>
      </w:r>
      <w:r w:rsidR="00282EB2" w:rsidRPr="00B5318C">
        <w:t xml:space="preserve">the Australian Taxation Office’s </w:t>
      </w:r>
      <w:r w:rsidR="006F1E6F" w:rsidRPr="00B5318C">
        <w:t>s</w:t>
      </w:r>
      <w:r w:rsidR="00326994" w:rsidRPr="00B5318C">
        <w:t xml:space="preserve">ingle </w:t>
      </w:r>
      <w:r w:rsidR="00196EF7" w:rsidRPr="00B5318C">
        <w:t>t</w:t>
      </w:r>
      <w:r w:rsidR="00326994" w:rsidRPr="00B5318C">
        <w:t>ouch payroll data</w:t>
      </w:r>
      <w:r w:rsidR="00B05299" w:rsidRPr="00B5318C">
        <w:t>,</w:t>
      </w:r>
      <w:r w:rsidR="00326994" w:rsidRPr="00B5318C">
        <w:t xml:space="preserve"> </w:t>
      </w:r>
      <w:r w:rsidR="00282EB2" w:rsidRPr="00B5318C">
        <w:t xml:space="preserve">instead of </w:t>
      </w:r>
      <w:r w:rsidR="00EB524B">
        <w:t>from the</w:t>
      </w:r>
      <w:r w:rsidR="00EB524B" w:rsidRPr="00B5318C">
        <w:t xml:space="preserve"> </w:t>
      </w:r>
      <w:r w:rsidR="00282EB2" w:rsidRPr="00B5318C">
        <w:t xml:space="preserve">ABS </w:t>
      </w:r>
      <w:r w:rsidR="003F1B50" w:rsidRPr="00B5318C">
        <w:t>Survey of Employment and Earnings</w:t>
      </w:r>
      <w:r w:rsidR="0062497C" w:rsidRPr="00B5318C">
        <w:t>,</w:t>
      </w:r>
      <w:r w:rsidR="003F1B50" w:rsidRPr="00B5318C">
        <w:t xml:space="preserve"> </w:t>
      </w:r>
      <w:r w:rsidR="00282EB2" w:rsidRPr="00B5318C">
        <w:t>which has been discontinued</w:t>
      </w:r>
      <w:r w:rsidR="003F1B50" w:rsidRPr="00B5318C">
        <w:t xml:space="preserve">. </w:t>
      </w:r>
    </w:p>
    <w:p w14:paraId="3640245C" w14:textId="16139392" w:rsidR="0031676A" w:rsidRPr="00B5318C" w:rsidRDefault="00FA4ED3" w:rsidP="008804F5">
      <w:pPr>
        <w:pStyle w:val="CGCParaNumber"/>
        <w:ind w:left="567" w:hanging="567"/>
      </w:pPr>
      <w:r w:rsidRPr="00B5318C">
        <w:t>The ABS ha</w:t>
      </w:r>
      <w:r w:rsidR="001C0AC5" w:rsidRPr="00B5318C">
        <w:t>s</w:t>
      </w:r>
      <w:r w:rsidRPr="00B5318C">
        <w:t xml:space="preserve"> confirmed </w:t>
      </w:r>
      <w:r w:rsidR="001C0AC5" w:rsidRPr="00B5318C">
        <w:t xml:space="preserve">it </w:t>
      </w:r>
      <w:r w:rsidR="00C827DD" w:rsidRPr="00B5318C">
        <w:t>will</w:t>
      </w:r>
      <w:r w:rsidRPr="00B5318C">
        <w:t xml:space="preserve"> </w:t>
      </w:r>
      <w:r w:rsidR="00DF7C0D" w:rsidRPr="00B5318C">
        <w:t>continue</w:t>
      </w:r>
      <w:r w:rsidR="00B460BE" w:rsidRPr="00B5318C">
        <w:t xml:space="preserve"> to </w:t>
      </w:r>
      <w:r w:rsidR="00DF7C0D" w:rsidRPr="00B5318C">
        <w:t>provide</w:t>
      </w:r>
      <w:r w:rsidRPr="00B5318C">
        <w:t xml:space="preserve"> </w:t>
      </w:r>
      <w:r w:rsidR="003D7D49" w:rsidRPr="00B5318C">
        <w:t xml:space="preserve">the </w:t>
      </w:r>
      <w:r w:rsidR="004A7FDF" w:rsidRPr="00B5318C">
        <w:t xml:space="preserve">public sector wages </w:t>
      </w:r>
      <w:r w:rsidR="009C4B2C" w:rsidRPr="00B5318C">
        <w:t>and salaries</w:t>
      </w:r>
      <w:r w:rsidR="000B54D2" w:rsidRPr="00B5318C">
        <w:t xml:space="preserve"> </w:t>
      </w:r>
      <w:r w:rsidRPr="00B5318C">
        <w:t xml:space="preserve">data </w:t>
      </w:r>
      <w:r w:rsidR="009C4B2C" w:rsidRPr="00B5318C">
        <w:t>used by</w:t>
      </w:r>
      <w:r w:rsidR="00545825" w:rsidRPr="00B5318C">
        <w:t xml:space="preserve"> </w:t>
      </w:r>
      <w:r w:rsidR="006E3C76" w:rsidRPr="00B5318C">
        <w:t>the Commission</w:t>
      </w:r>
      <w:r w:rsidRPr="00B5318C">
        <w:t>.</w:t>
      </w:r>
      <w:r w:rsidR="00D81F1E" w:rsidRPr="00B5318C">
        <w:t xml:space="preserve"> However, the</w:t>
      </w:r>
      <w:r w:rsidR="00E0631C" w:rsidRPr="00B5318C">
        <w:t>se data will</w:t>
      </w:r>
      <w:r w:rsidR="00E31797" w:rsidRPr="00B5318C">
        <w:t xml:space="preserve"> </w:t>
      </w:r>
      <w:r w:rsidR="009262B1" w:rsidRPr="00B5318C">
        <w:t xml:space="preserve">now </w:t>
      </w:r>
      <w:r w:rsidR="0047221A" w:rsidRPr="00B5318C">
        <w:t xml:space="preserve">include </w:t>
      </w:r>
      <w:r w:rsidR="00715DD8" w:rsidRPr="00B5318C">
        <w:t xml:space="preserve">wages and salaries of </w:t>
      </w:r>
      <w:r w:rsidR="008C639A" w:rsidRPr="00B5318C">
        <w:t xml:space="preserve">ADF </w:t>
      </w:r>
      <w:r w:rsidR="00871054" w:rsidRPr="00B5318C">
        <w:t xml:space="preserve">personnel and </w:t>
      </w:r>
      <w:r w:rsidR="008513A5" w:rsidRPr="00B5318C">
        <w:t>Australian embassy employees</w:t>
      </w:r>
      <w:r w:rsidR="00A03670" w:rsidRPr="00B5318C">
        <w:t>.</w:t>
      </w:r>
    </w:p>
    <w:p w14:paraId="4BA62701" w14:textId="7C5A4BF5" w:rsidR="00FA4ED3" w:rsidRPr="00FA4ED3" w:rsidRDefault="008804F5" w:rsidP="00FA4ED3">
      <w:pPr>
        <w:pStyle w:val="CGCParaNumber"/>
        <w:ind w:left="567" w:hanging="567"/>
      </w:pPr>
      <w:r w:rsidRPr="00B5318C">
        <w:t>As a result</w:t>
      </w:r>
      <w:r w:rsidR="00790061" w:rsidRPr="00B5318C">
        <w:t>,</w:t>
      </w:r>
      <w:r w:rsidR="00205D26" w:rsidRPr="00B5318C">
        <w:t xml:space="preserve"> </w:t>
      </w:r>
      <w:r w:rsidR="00F04CFA" w:rsidRPr="00B5318C">
        <w:t xml:space="preserve">the </w:t>
      </w:r>
      <w:r w:rsidR="00EC2A74" w:rsidRPr="00B5318C">
        <w:t xml:space="preserve">remuneration </w:t>
      </w:r>
      <w:r w:rsidR="00F04CFA" w:rsidRPr="00B5318C">
        <w:t xml:space="preserve">of these </w:t>
      </w:r>
      <w:r w:rsidR="00EC2A74" w:rsidRPr="00B5318C">
        <w:t xml:space="preserve">employees </w:t>
      </w:r>
      <w:r w:rsidR="00324127" w:rsidRPr="00B5318C">
        <w:t>can now</w:t>
      </w:r>
      <w:r w:rsidR="003D6512" w:rsidRPr="00B5318C">
        <w:t xml:space="preserve"> </w:t>
      </w:r>
      <w:r w:rsidR="00161F5C" w:rsidRPr="00B5318C">
        <w:t xml:space="preserve">be excluded </w:t>
      </w:r>
      <w:r w:rsidR="009D6621" w:rsidRPr="00B5318C">
        <w:t xml:space="preserve">from </w:t>
      </w:r>
      <w:r w:rsidR="00EF2699" w:rsidRPr="00B5318C">
        <w:t>c</w:t>
      </w:r>
      <w:r w:rsidR="009D6621" w:rsidRPr="00B5318C">
        <w:t xml:space="preserve">ompensation of </w:t>
      </w:r>
      <w:bookmarkStart w:id="15" w:name="_Int_h5qktiYt"/>
      <w:proofErr w:type="gramStart"/>
      <w:r w:rsidR="00EF2699" w:rsidRPr="00B5318C">
        <w:t>e</w:t>
      </w:r>
      <w:r w:rsidR="009D6621" w:rsidRPr="00B5318C">
        <w:t>mployees</w:t>
      </w:r>
      <w:bookmarkEnd w:id="15"/>
      <w:proofErr w:type="gramEnd"/>
      <w:r w:rsidR="009D6621" w:rsidRPr="00B5318C">
        <w:t xml:space="preserve"> data</w:t>
      </w:r>
      <w:r w:rsidR="00161F5C" w:rsidRPr="00B5318C">
        <w:t xml:space="preserve"> </w:t>
      </w:r>
      <w:r w:rsidR="003B5668" w:rsidRPr="00B5318C">
        <w:t>usin</w:t>
      </w:r>
      <w:r w:rsidR="009A521F" w:rsidRPr="00B5318C">
        <w:t>g</w:t>
      </w:r>
      <w:r w:rsidR="003D6512" w:rsidRPr="00B5318C">
        <w:t xml:space="preserve"> </w:t>
      </w:r>
      <w:r w:rsidR="00161F5C" w:rsidRPr="00B5318C">
        <w:t>the taxable proportion</w:t>
      </w:r>
      <w:r w:rsidR="00B479B7" w:rsidRPr="00B5318C">
        <w:t>.</w:t>
      </w:r>
      <w:r w:rsidR="000F5DBF" w:rsidRPr="00B5318C">
        <w:rPr>
          <w:rStyle w:val="FootnoteReference"/>
          <w:sz w:val="24"/>
          <w:szCs w:val="24"/>
          <w:vertAlign w:val="superscript"/>
        </w:rPr>
        <w:footnoteReference w:id="13"/>
      </w:r>
      <w:r w:rsidR="00B479B7" w:rsidRPr="00B5318C">
        <w:t xml:space="preserve"> </w:t>
      </w:r>
      <w:r w:rsidR="243F21C2" w:rsidRPr="00B5318C">
        <w:t>The</w:t>
      </w:r>
      <w:r w:rsidR="00370762" w:rsidRPr="00B5318C">
        <w:t xml:space="preserve"> Commission can </w:t>
      </w:r>
      <w:r w:rsidR="00B479B7" w:rsidRPr="00B5318C">
        <w:t xml:space="preserve">therefore </w:t>
      </w:r>
      <w:r w:rsidR="00370762" w:rsidRPr="00B5318C">
        <w:t>cease the separate adjustment</w:t>
      </w:r>
      <w:r w:rsidR="004B17F1" w:rsidRPr="00B5318C">
        <w:t xml:space="preserve"> to remove </w:t>
      </w:r>
      <w:r w:rsidR="00BF35B5" w:rsidRPr="00B5318C">
        <w:t>the remuneration</w:t>
      </w:r>
      <w:r w:rsidR="004B17F1" w:rsidRPr="00B5318C">
        <w:t xml:space="preserve"> </w:t>
      </w:r>
      <w:r w:rsidR="001B4FE9" w:rsidRPr="00B5318C">
        <w:t>before</w:t>
      </w:r>
      <w:r w:rsidR="004B17F1" w:rsidRPr="00B5318C">
        <w:t xml:space="preserve"> </w:t>
      </w:r>
      <w:r w:rsidR="002A2187" w:rsidRPr="00B5318C">
        <w:t xml:space="preserve">the </w:t>
      </w:r>
      <w:r w:rsidR="004B17F1" w:rsidRPr="00B5318C">
        <w:t>taxable proportion</w:t>
      </w:r>
      <w:r w:rsidR="00433A0F" w:rsidRPr="00B5318C">
        <w:t xml:space="preserve"> </w:t>
      </w:r>
      <w:r w:rsidR="002A2187" w:rsidRPr="00B5318C">
        <w:t>is</w:t>
      </w:r>
      <w:r w:rsidR="000D5D97" w:rsidRPr="00B5318C">
        <w:t xml:space="preserve"> </w:t>
      </w:r>
      <w:r w:rsidR="005E7BB9" w:rsidRPr="00B5318C">
        <w:t>applied</w:t>
      </w:r>
      <w:r w:rsidR="00161F5C" w:rsidRPr="00B5318C">
        <w:t>.</w:t>
      </w:r>
      <w:r w:rsidR="0064223C" w:rsidRPr="00B5318C">
        <w:t xml:space="preserve"> </w:t>
      </w:r>
      <w:r w:rsidR="004749D8" w:rsidRPr="00B5318C">
        <w:t xml:space="preserve">The change </w:t>
      </w:r>
      <w:r w:rsidR="00E54A33" w:rsidRPr="00B5318C">
        <w:t xml:space="preserve">will apply from the 2022–23 assessment year. </w:t>
      </w:r>
      <w:r w:rsidR="00972ECD" w:rsidRPr="00B5318C">
        <w:t>T</w:t>
      </w:r>
      <w:r w:rsidR="00812611" w:rsidRPr="00B5318C">
        <w:t xml:space="preserve">erms of reference allow </w:t>
      </w:r>
      <w:r w:rsidR="00972ECD" w:rsidRPr="00B5318C">
        <w:t>the Commission</w:t>
      </w:r>
      <w:r w:rsidR="00972ECD">
        <w:t xml:space="preserve"> to make method changes</w:t>
      </w:r>
      <w:r w:rsidR="002E620F">
        <w:t>, after consulting states,</w:t>
      </w:r>
      <w:r w:rsidR="00D30040">
        <w:t xml:space="preserve"> </w:t>
      </w:r>
      <w:r w:rsidR="002E620F">
        <w:t xml:space="preserve">where </w:t>
      </w:r>
      <w:r w:rsidR="00D30040">
        <w:t>necessary to overcome data problems.</w:t>
      </w:r>
    </w:p>
    <w:p w14:paraId="677C293D" w14:textId="7C6BAE28" w:rsidR="000B5C93" w:rsidRDefault="002E36D0" w:rsidP="00DF07F4">
      <w:pPr>
        <w:pStyle w:val="Heading3"/>
        <w:rPr>
          <w:rFonts w:ascii="Open Sans Light" w:hAnsi="Open Sans Light" w:cs="Times New Roman"/>
          <w:sz w:val="24"/>
          <w:szCs w:val="20"/>
          <w:lang w:eastAsia="en-AU"/>
        </w:rPr>
      </w:pPr>
      <w:r w:rsidRPr="0046286B">
        <w:rPr>
          <w:b w:val="0"/>
          <w:noProof/>
        </w:rPr>
        <mc:AlternateContent>
          <mc:Choice Requires="wps">
            <w:drawing>
              <wp:anchor distT="0" distB="0" distL="114300" distR="114300" simplePos="0" relativeHeight="251658241" behindDoc="1" locked="0" layoutInCell="1" allowOverlap="1" wp14:anchorId="10F7A1F7" wp14:editId="30B10429">
                <wp:simplePos x="0" y="0"/>
                <wp:positionH relativeFrom="margin">
                  <wp:align>left</wp:align>
                </wp:positionH>
                <wp:positionV relativeFrom="paragraph">
                  <wp:posOffset>466725</wp:posOffset>
                </wp:positionV>
                <wp:extent cx="5791200" cy="876300"/>
                <wp:effectExtent l="0" t="0" r="0" b="0"/>
                <wp:wrapSquare wrapText="bothSides"/>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0" cy="876300"/>
                        </a:xfrm>
                        <a:prstGeom prst="rect">
                          <a:avLst/>
                        </a:prstGeom>
                        <a:solidFill>
                          <a:srgbClr val="E5F8FF"/>
                        </a:solidFill>
                        <a:ln w="25400" cap="flat" cmpd="sng" algn="ctr">
                          <a:noFill/>
                          <a:prstDash val="solid"/>
                        </a:ln>
                        <a:effectLst/>
                      </wps:spPr>
                      <wps:txbx>
                        <w:txbxContent>
                          <w:p w14:paraId="7332F0A8" w14:textId="5C0ABDE9" w:rsidR="002F7E0F" w:rsidRPr="00C36D45" w:rsidRDefault="009938DF" w:rsidP="00F452E6">
                            <w:pPr>
                              <w:pStyle w:val="CGCBullet1"/>
                              <w:numPr>
                                <w:ilvl w:val="0"/>
                                <w:numId w:val="0"/>
                              </w:numPr>
                              <w:ind w:left="142"/>
                            </w:pPr>
                            <w:r w:rsidRPr="00C36D45">
                              <w:t>The Commission’s preliminary view is</w:t>
                            </w:r>
                            <w:r w:rsidR="00AB604B" w:rsidRPr="00C36D45">
                              <w:t xml:space="preserve"> </w:t>
                            </w:r>
                            <w:r w:rsidR="006A393B" w:rsidRPr="00C36D45">
                              <w:t xml:space="preserve">to </w:t>
                            </w:r>
                            <w:r w:rsidR="001733A0">
                              <w:t>discontinue the</w:t>
                            </w:r>
                            <w:r w:rsidR="006A393B" w:rsidRPr="00C36D45">
                              <w:t xml:space="preserve"> </w:t>
                            </w:r>
                            <w:r w:rsidR="00485AE6">
                              <w:t xml:space="preserve">separate adjustment to remove </w:t>
                            </w:r>
                            <w:r w:rsidR="006A393B" w:rsidRPr="00C36D45">
                              <w:t>the</w:t>
                            </w:r>
                            <w:r w:rsidR="00294638" w:rsidRPr="00C36D45">
                              <w:t xml:space="preserve"> </w:t>
                            </w:r>
                            <w:r w:rsidR="00727097">
                              <w:t>remuneration of Australian D</w:t>
                            </w:r>
                            <w:r w:rsidR="00762F61" w:rsidRPr="00C36D45">
                              <w:t xml:space="preserve">efence </w:t>
                            </w:r>
                            <w:r w:rsidR="00727097">
                              <w:t>F</w:t>
                            </w:r>
                            <w:r w:rsidR="00762F61" w:rsidRPr="00C36D45">
                              <w:t xml:space="preserve">orce personnel </w:t>
                            </w:r>
                            <w:r w:rsidR="00420939" w:rsidRPr="00C36D45">
                              <w:t xml:space="preserve">and </w:t>
                            </w:r>
                            <w:r w:rsidR="00A03670">
                              <w:t xml:space="preserve">Australian embassy </w:t>
                            </w:r>
                            <w:r w:rsidR="002439C5" w:rsidRPr="00C36D45">
                              <w:t>employees</w:t>
                            </w:r>
                            <w:r w:rsidR="005A3169">
                              <w:t xml:space="preserve"> from its </w:t>
                            </w:r>
                            <w:r w:rsidR="00437BA9">
                              <w:t xml:space="preserve">measure of the </w:t>
                            </w:r>
                            <w:r w:rsidR="005A3169">
                              <w:t xml:space="preserve">payroll </w:t>
                            </w:r>
                            <w:r w:rsidR="00BC367A">
                              <w:t xml:space="preserve">tax </w:t>
                            </w:r>
                            <w:r w:rsidR="00E14A4E">
                              <w:t>base</w:t>
                            </w:r>
                            <w:r w:rsidR="00103E60">
                              <w:t xml:space="preserve"> from the 2022–23 assessment year</w:t>
                            </w:r>
                            <w:r w:rsidR="009276F9">
                              <w:t>,</w:t>
                            </w:r>
                            <w:r w:rsidR="00C068D7">
                              <w:t xml:space="preserve"> as it is no longer necessary</w:t>
                            </w:r>
                            <w:r w:rsidR="0012605F" w:rsidRPr="00C36D45">
                              <w:t>.</w:t>
                            </w:r>
                          </w:p>
                          <w:p w14:paraId="044751A0" w14:textId="77777777" w:rsidR="005B5E87" w:rsidRPr="00EF13FC" w:rsidRDefault="005B5E87" w:rsidP="002F5133">
                            <w:pPr>
                              <w:pStyle w:val="CGCBullet1"/>
                              <w:numPr>
                                <w:ilvl w:val="0"/>
                                <w:numId w:val="0"/>
                              </w:num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7A1F7" id="Rectangle 8" o:spid="_x0000_s1029" alt="&quot;&quot;" style="position:absolute;margin-left:0;margin-top:36.75pt;width:456pt;height:69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" fillcolor="#e5f8ff" stroked="f" strokeweight="2pt">
                <v:textbox>
                  <w:txbxContent>
                    <w:p w14:paraId="7332F0A8" w14:textId="5C0ABDE9" w:rsidR="002F7E0F" w:rsidRPr="00C36D45" w:rsidRDefault="009938DF" w:rsidP="00F452E6">
                      <w:pPr>
                        <w:pStyle w:val="CGCBullet1"/>
                        <w:numPr>
                          <w:ilvl w:val="0"/>
                          <w:numId w:val="0"/>
                        </w:numPr>
                        <w:ind w:left="142"/>
                      </w:pPr>
                      <w:r w:rsidRPr="00C36D45">
                        <w:t>The Commission’s preliminary view is</w:t>
                      </w:r>
                      <w:r w:rsidR="00AB604B" w:rsidRPr="00C36D45">
                        <w:t xml:space="preserve"> </w:t>
                      </w:r>
                      <w:r w:rsidR="006A393B" w:rsidRPr="00C36D45">
                        <w:t xml:space="preserve">to </w:t>
                      </w:r>
                      <w:r w:rsidR="001733A0">
                        <w:t>discontinue the</w:t>
                      </w:r>
                      <w:r w:rsidR="006A393B" w:rsidRPr="00C36D45">
                        <w:t xml:space="preserve"> </w:t>
                      </w:r>
                      <w:r w:rsidR="00485AE6">
                        <w:t xml:space="preserve">separate adjustment to remove </w:t>
                      </w:r>
                      <w:r w:rsidR="006A393B" w:rsidRPr="00C36D45">
                        <w:t>the</w:t>
                      </w:r>
                      <w:r w:rsidR="00294638" w:rsidRPr="00C36D45">
                        <w:t xml:space="preserve"> </w:t>
                      </w:r>
                      <w:r w:rsidR="00727097">
                        <w:t>remuneration of Australian D</w:t>
                      </w:r>
                      <w:r w:rsidR="00762F61" w:rsidRPr="00C36D45">
                        <w:t xml:space="preserve">efence </w:t>
                      </w:r>
                      <w:r w:rsidR="00727097">
                        <w:t>F</w:t>
                      </w:r>
                      <w:r w:rsidR="00762F61" w:rsidRPr="00C36D45">
                        <w:t xml:space="preserve">orce personnel </w:t>
                      </w:r>
                      <w:r w:rsidR="00420939" w:rsidRPr="00C36D45">
                        <w:t xml:space="preserve">and </w:t>
                      </w:r>
                      <w:r w:rsidR="00A03670">
                        <w:t xml:space="preserve">Australian embassy </w:t>
                      </w:r>
                      <w:r w:rsidR="002439C5" w:rsidRPr="00C36D45">
                        <w:t>employees</w:t>
                      </w:r>
                      <w:r w:rsidR="005A3169">
                        <w:t xml:space="preserve"> from its </w:t>
                      </w:r>
                      <w:r w:rsidR="00437BA9">
                        <w:t xml:space="preserve">measure of the </w:t>
                      </w:r>
                      <w:r w:rsidR="005A3169">
                        <w:t xml:space="preserve">payroll </w:t>
                      </w:r>
                      <w:r w:rsidR="00BC367A">
                        <w:t xml:space="preserve">tax </w:t>
                      </w:r>
                      <w:r w:rsidR="00E14A4E">
                        <w:t>base</w:t>
                      </w:r>
                      <w:r w:rsidR="00103E60">
                        <w:t xml:space="preserve"> from the 2022–23 assessment year</w:t>
                      </w:r>
                      <w:r w:rsidR="009276F9">
                        <w:t>,</w:t>
                      </w:r>
                      <w:r w:rsidR="00C068D7">
                        <w:t xml:space="preserve"> as it is no longer necessary</w:t>
                      </w:r>
                      <w:r w:rsidR="0012605F" w:rsidRPr="00C36D45">
                        <w:t>.</w:t>
                      </w:r>
                    </w:p>
                    <w:p w14:paraId="044751A0" w14:textId="77777777" w:rsidR="005B5E87" w:rsidRPr="00EF13FC" w:rsidRDefault="005B5E87" w:rsidP="002F5133">
                      <w:pPr>
                        <w:pStyle w:val="CGCBullet1"/>
                        <w:numPr>
                          <w:ilvl w:val="0"/>
                          <w:numId w:val="0"/>
                        </w:numPr>
                      </w:pPr>
                    </w:p>
                  </w:txbxContent>
                </v:textbox>
                <w10:wrap type="square" anchorx="margin"/>
              </v:rect>
            </w:pict>
          </mc:Fallback>
        </mc:AlternateContent>
      </w:r>
      <w:r w:rsidR="008C6566">
        <w:t>Preliminary view</w:t>
      </w:r>
    </w:p>
    <w:p w14:paraId="2E187209" w14:textId="1A8C2463" w:rsidR="00A437F2" w:rsidRDefault="00A437F2">
      <w:pPr>
        <w:rPr>
          <w:rFonts w:ascii="Work Sans" w:eastAsia="Times New Roman" w:hAnsi="Work Sans" w:cs="Open Sans"/>
          <w:b/>
          <w:bCs/>
          <w:color w:val="006991"/>
          <w:sz w:val="40"/>
          <w:szCs w:val="40"/>
        </w:rPr>
      </w:pPr>
      <w:r>
        <w:br w:type="page"/>
      </w:r>
    </w:p>
    <w:p w14:paraId="24F25FE1" w14:textId="1A50F01E" w:rsidR="006A69B8" w:rsidRPr="006A69B8" w:rsidRDefault="007173E0" w:rsidP="00DF07F4">
      <w:pPr>
        <w:pStyle w:val="Heading1"/>
      </w:pPr>
      <w:r w:rsidRPr="007173E0">
        <w:lastRenderedPageBreak/>
        <w:t>Other issues</w:t>
      </w:r>
    </w:p>
    <w:p w14:paraId="421396C3" w14:textId="503DE600" w:rsidR="001A0D9D" w:rsidRDefault="001A0D9D" w:rsidP="001A0D9D">
      <w:pPr>
        <w:pStyle w:val="Heading2"/>
      </w:pPr>
      <w:r>
        <w:t xml:space="preserve">National capital </w:t>
      </w:r>
      <w:r w:rsidR="00962503">
        <w:t>—</w:t>
      </w:r>
      <w:r>
        <w:t xml:space="preserve"> </w:t>
      </w:r>
      <w:r w:rsidR="00EE1629">
        <w:t>n</w:t>
      </w:r>
      <w:r>
        <w:t>egative assessed GST needs</w:t>
      </w:r>
    </w:p>
    <w:p w14:paraId="048B8C43" w14:textId="41B3A5F9" w:rsidR="001A0D9D" w:rsidRDefault="001A0D9D" w:rsidP="001A0D9D">
      <w:pPr>
        <w:pStyle w:val="CGCParaNumber"/>
        <w:ind w:left="567" w:hanging="567"/>
      </w:pPr>
      <w:r>
        <w:t xml:space="preserve">The Commission needs to consider whether to </w:t>
      </w:r>
      <w:r w:rsidR="00A70F51">
        <w:t xml:space="preserve">suspend </w:t>
      </w:r>
      <w:r>
        <w:t xml:space="preserve">the national capital assessment from the calculation of GST relativities if the ACT’s assessed GST needs for the </w:t>
      </w:r>
      <w:r w:rsidR="00D327EC">
        <w:t xml:space="preserve">national capital </w:t>
      </w:r>
      <w:r w:rsidR="00E24D7F" w:rsidRPr="00F83306">
        <w:t>assessment</w:t>
      </w:r>
      <w:r>
        <w:t xml:space="preserve"> are negative. This would impact the justice and other expenses categories.</w:t>
      </w:r>
    </w:p>
    <w:p w14:paraId="78909C83" w14:textId="36E3D665" w:rsidR="001A0D9D" w:rsidRDefault="001A0D9D" w:rsidP="001A0D9D">
      <w:pPr>
        <w:pStyle w:val="Heading3"/>
      </w:pPr>
      <w:r>
        <w:t>Background</w:t>
      </w:r>
    </w:p>
    <w:p w14:paraId="5ED133F1" w14:textId="61CE548C" w:rsidR="001A0D9D" w:rsidRPr="0034557D" w:rsidRDefault="001A0D9D" w:rsidP="001A0D9D">
      <w:pPr>
        <w:pStyle w:val="CGCParaNumber"/>
        <w:ind w:left="567" w:hanging="567"/>
      </w:pPr>
      <w:r>
        <w:t xml:space="preserve">The national capital assessment recognises the unavoidable additional costs incurred by the ACT because of Canberra’s status as the national capital or legacies inherited from the Commonwealth </w:t>
      </w:r>
      <w:r w:rsidR="2A183906">
        <w:t>when granted</w:t>
      </w:r>
      <w:r>
        <w:t xml:space="preserve"> self-government.</w:t>
      </w:r>
    </w:p>
    <w:p w14:paraId="69465118" w14:textId="7CEBD32F" w:rsidR="007861EB" w:rsidRDefault="001A0D9D" w:rsidP="00F1254F">
      <w:pPr>
        <w:pStyle w:val="CGCParaNumber"/>
        <w:ind w:left="567" w:hanging="567"/>
      </w:pPr>
      <w:r>
        <w:t xml:space="preserve">If the assessment method were to be included in the 2024 Update, the ACT’s assessed GST needs for the national capital </w:t>
      </w:r>
      <w:r w:rsidR="00DB7723" w:rsidRPr="00F83306">
        <w:t>assessment</w:t>
      </w:r>
      <w:r>
        <w:t xml:space="preserve"> would </w:t>
      </w:r>
      <w:bookmarkStart w:id="16" w:name="_Int_P6d3xNES"/>
      <w:r>
        <w:t>likely be</w:t>
      </w:r>
      <w:bookmarkEnd w:id="16"/>
      <w:r>
        <w:t xml:space="preserve"> negative. This would be the result of the police allowance’s negative assessed expenses – the wages paid to Australian Federal Police in ACT Policing </w:t>
      </w:r>
      <w:r w:rsidR="009675EC">
        <w:t xml:space="preserve">are </w:t>
      </w:r>
      <w:r>
        <w:t xml:space="preserve">less than </w:t>
      </w:r>
      <w:r w:rsidR="009675EC">
        <w:t xml:space="preserve">those </w:t>
      </w:r>
      <w:r>
        <w:t xml:space="preserve">estimated using the wage costs assessment – more than offsetting the planning allowance. </w:t>
      </w:r>
    </w:p>
    <w:p w14:paraId="13627A7A" w14:textId="11B44667" w:rsidR="00553F8A" w:rsidRPr="00343EE6" w:rsidRDefault="001A0D9D" w:rsidP="00F1254F">
      <w:pPr>
        <w:pStyle w:val="CGCParaNumber"/>
        <w:ind w:left="567" w:hanging="567"/>
      </w:pPr>
      <w:r>
        <w:t xml:space="preserve">As the national capital </w:t>
      </w:r>
      <w:r w:rsidR="00CF1211" w:rsidRPr="00F83306">
        <w:t xml:space="preserve">assessment </w:t>
      </w:r>
      <w:r w:rsidR="009E0828" w:rsidRPr="00F83306">
        <w:t>is designed to</w:t>
      </w:r>
      <w:r w:rsidR="00CF1211">
        <w:t xml:space="preserve"> </w:t>
      </w:r>
      <w:r>
        <w:t xml:space="preserve">recognise only the additional costs incurred by the ACT, the ACT having negative assessed GST needs would be inconsistent with the </w:t>
      </w:r>
      <w:r w:rsidR="155718CC">
        <w:t>2020</w:t>
      </w:r>
      <w:r w:rsidR="00506C4A">
        <w:t> </w:t>
      </w:r>
      <w:r w:rsidR="155718CC">
        <w:t>Review</w:t>
      </w:r>
      <w:r>
        <w:t xml:space="preserve"> method.</w:t>
      </w:r>
      <w:r w:rsidR="00566256">
        <w:t xml:space="preserve"> </w:t>
      </w:r>
      <w:r w:rsidR="000B7A1F" w:rsidRPr="00F83306">
        <w:t xml:space="preserve">To ensure that the </w:t>
      </w:r>
      <w:r w:rsidR="00850A2C" w:rsidRPr="00F83306">
        <w:t xml:space="preserve">assessment </w:t>
      </w:r>
      <w:r w:rsidR="00DA6022" w:rsidRPr="00F83306">
        <w:t>is consistent with</w:t>
      </w:r>
      <w:r w:rsidR="00850A2C" w:rsidRPr="00F83306">
        <w:t xml:space="preserve"> </w:t>
      </w:r>
      <w:r w:rsidR="00E42069" w:rsidRPr="00F83306">
        <w:t xml:space="preserve">the 2020 </w:t>
      </w:r>
      <w:r w:rsidR="00C71ECD" w:rsidRPr="00F83306">
        <w:t>Review method</w:t>
      </w:r>
      <w:r w:rsidR="00E13704" w:rsidRPr="00F83306">
        <w:t xml:space="preserve">, </w:t>
      </w:r>
      <w:r w:rsidR="005A1972" w:rsidRPr="00F83306">
        <w:t>the</w:t>
      </w:r>
      <w:r w:rsidR="00C8547E" w:rsidRPr="00F83306">
        <w:t xml:space="preserve"> ACT’s</w:t>
      </w:r>
      <w:r w:rsidR="008E7269" w:rsidRPr="00F83306">
        <w:t xml:space="preserve"> assessed</w:t>
      </w:r>
      <w:r w:rsidR="005A1972" w:rsidRPr="00F83306">
        <w:t xml:space="preserve"> </w:t>
      </w:r>
      <w:r w:rsidR="008E7269" w:rsidRPr="00F83306">
        <w:t xml:space="preserve">GST needs </w:t>
      </w:r>
      <w:r w:rsidR="004948BD" w:rsidRPr="00F83306">
        <w:t>for</w:t>
      </w:r>
      <w:r w:rsidR="00535308" w:rsidRPr="00F83306">
        <w:t xml:space="preserve"> the national capital </w:t>
      </w:r>
      <w:r w:rsidR="004665F9" w:rsidRPr="00F83306">
        <w:t>assessment</w:t>
      </w:r>
      <w:r w:rsidR="004948BD" w:rsidRPr="00F83306">
        <w:t xml:space="preserve"> </w:t>
      </w:r>
      <w:r w:rsidR="004D00D4" w:rsidRPr="00F83306">
        <w:t>could</w:t>
      </w:r>
      <w:r w:rsidR="00E91443" w:rsidRPr="00F83306">
        <w:t xml:space="preserve"> be </w:t>
      </w:r>
      <w:r w:rsidR="0014497C" w:rsidRPr="00F83306">
        <w:t>set to zero</w:t>
      </w:r>
      <w:r w:rsidR="00C8547E" w:rsidRPr="00F83306">
        <w:t xml:space="preserve"> </w:t>
      </w:r>
      <w:r w:rsidR="00B744E6" w:rsidRPr="00F83306">
        <w:t>for</w:t>
      </w:r>
      <w:r w:rsidR="0040547D" w:rsidRPr="00F83306">
        <w:t xml:space="preserve"> the 2</w:t>
      </w:r>
      <w:r w:rsidR="000B0AB7" w:rsidRPr="00F83306">
        <w:t xml:space="preserve">024 </w:t>
      </w:r>
      <w:r w:rsidR="001F40F0" w:rsidRPr="00F83306">
        <w:t>Update</w:t>
      </w:r>
      <w:r w:rsidR="00B744E6" w:rsidRPr="00F83306">
        <w:t xml:space="preserve"> </w:t>
      </w:r>
      <w:r w:rsidR="00235D21" w:rsidRPr="00F83306">
        <w:t>if</w:t>
      </w:r>
      <w:r w:rsidR="00D5185B" w:rsidRPr="00F83306">
        <w:t xml:space="preserve"> th</w:t>
      </w:r>
      <w:r w:rsidR="00235D21" w:rsidRPr="00F83306">
        <w:t>ose needs</w:t>
      </w:r>
      <w:r w:rsidR="00D5185B" w:rsidRPr="00F83306">
        <w:t xml:space="preserve"> </w:t>
      </w:r>
      <w:r w:rsidR="00567A51" w:rsidRPr="00F83306">
        <w:t>are</w:t>
      </w:r>
      <w:r w:rsidR="00D5185B" w:rsidRPr="00F83306">
        <w:t xml:space="preserve"> negative</w:t>
      </w:r>
      <w:r w:rsidR="001F40F0" w:rsidRPr="00F83306">
        <w:t>.</w:t>
      </w:r>
      <w:r w:rsidR="00732863" w:rsidRPr="00F83306">
        <w:t xml:space="preserve"> </w:t>
      </w:r>
      <w:r w:rsidR="001D1855" w:rsidRPr="00F83306">
        <w:t>That is</w:t>
      </w:r>
      <w:r w:rsidR="00C06E4A" w:rsidRPr="00F83306">
        <w:t>,</w:t>
      </w:r>
      <w:r w:rsidR="00C30A77" w:rsidRPr="00F83306">
        <w:t xml:space="preserve"> the Commission would assess</w:t>
      </w:r>
      <w:r w:rsidR="008C4923" w:rsidRPr="00F83306">
        <w:t xml:space="preserve"> the</w:t>
      </w:r>
      <w:r w:rsidR="006764EF" w:rsidRPr="00F83306">
        <w:t xml:space="preserve"> </w:t>
      </w:r>
      <w:r w:rsidR="00FF52D7" w:rsidRPr="00F83306">
        <w:t>ACT</w:t>
      </w:r>
      <w:r w:rsidR="00C06E4A" w:rsidRPr="00F83306">
        <w:t xml:space="preserve"> to</w:t>
      </w:r>
      <w:r w:rsidR="00FF52D7" w:rsidRPr="00F83306">
        <w:t xml:space="preserve"> </w:t>
      </w:r>
      <w:r w:rsidR="0076079D" w:rsidRPr="00F83306">
        <w:t>ha</w:t>
      </w:r>
      <w:r w:rsidR="00C30A77" w:rsidRPr="00F83306">
        <w:t>ve</w:t>
      </w:r>
      <w:r w:rsidR="0076079D" w:rsidRPr="00F83306">
        <w:t xml:space="preserve"> no</w:t>
      </w:r>
      <w:r w:rsidR="00DA20DB" w:rsidRPr="00F83306">
        <w:t xml:space="preserve"> unavoidable</w:t>
      </w:r>
      <w:r w:rsidR="0076079D" w:rsidRPr="00F83306">
        <w:t xml:space="preserve"> additio</w:t>
      </w:r>
      <w:r w:rsidR="00F10605" w:rsidRPr="00F83306">
        <w:t>n</w:t>
      </w:r>
      <w:r w:rsidR="00520BD5" w:rsidRPr="00F83306">
        <w:t xml:space="preserve">al costs </w:t>
      </w:r>
      <w:r w:rsidR="00506459" w:rsidRPr="00F83306">
        <w:t>related to Canberra’s statu</w:t>
      </w:r>
      <w:r w:rsidR="00B35336" w:rsidRPr="00F83306">
        <w:t>s as the national capital.</w:t>
      </w:r>
    </w:p>
    <w:p w14:paraId="42793E14" w14:textId="4FDC2A55" w:rsidR="00A57EEC" w:rsidRPr="00343EE6" w:rsidRDefault="007F4886" w:rsidP="00F1254F">
      <w:pPr>
        <w:pStyle w:val="CGCParaNumber"/>
        <w:ind w:left="567" w:hanging="567"/>
      </w:pPr>
      <w:r>
        <w:t>The</w:t>
      </w:r>
      <w:r w:rsidR="007D224F">
        <w:t xml:space="preserve"> </w:t>
      </w:r>
      <w:r w:rsidR="006E6B5A">
        <w:t>future of the</w:t>
      </w:r>
      <w:r w:rsidR="007D224F">
        <w:t xml:space="preserve"> </w:t>
      </w:r>
      <w:r w:rsidR="00E37D63">
        <w:t xml:space="preserve">national capital </w:t>
      </w:r>
      <w:r w:rsidR="006E6B5A">
        <w:t>assessment</w:t>
      </w:r>
      <w:r w:rsidR="00E37D63">
        <w:t xml:space="preserve"> will be </w:t>
      </w:r>
      <w:r w:rsidR="00671375">
        <w:t>discussed as part of the 2025</w:t>
      </w:r>
      <w:r w:rsidR="00E03B8F">
        <w:t> </w:t>
      </w:r>
      <w:r w:rsidR="00671375">
        <w:t>Review.</w:t>
      </w:r>
    </w:p>
    <w:p w14:paraId="765AE7DB" w14:textId="5B13C271" w:rsidR="001A0D9D" w:rsidRPr="002D6E67" w:rsidDel="001A0D9D" w:rsidRDefault="001A0D9D" w:rsidP="00F1254F">
      <w:pPr>
        <w:pStyle w:val="Heading3"/>
        <w:rPr>
          <w:b w:val="0"/>
        </w:rPr>
      </w:pPr>
      <w:r>
        <w:t>P</w:t>
      </w:r>
      <w:r w:rsidRPr="002D6E67">
        <w:t>reliminary view</w:t>
      </w:r>
    </w:p>
    <w:p w14:paraId="6884FCB5" w14:textId="6F18F1CE" w:rsidR="00AD536E" w:rsidRDefault="00413558" w:rsidP="00F1254F">
      <w:pPr>
        <w:pStyle w:val="CGCParaNumber"/>
        <w:numPr>
          <w:ilvl w:val="0"/>
          <w:numId w:val="0"/>
        </w:numPr>
      </w:pPr>
      <w:r>
        <w:rPr>
          <w:noProof/>
        </w:rPr>
        <mc:AlternateContent>
          <mc:Choice Requires="wps">
            <w:drawing>
              <wp:inline distT="0" distB="0" distL="114300" distR="114300" wp14:anchorId="37F100EA" wp14:editId="276E2C20">
                <wp:extent cx="5791200" cy="710119"/>
                <wp:effectExtent l="0" t="0" r="0" b="0"/>
                <wp:docPr id="180120110" name="Rectangle 180120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0" cy="710119"/>
                        </a:xfrm>
                        <a:prstGeom prst="rect">
                          <a:avLst/>
                        </a:prstGeom>
                        <a:solidFill>
                          <a:srgbClr val="E5F8FF"/>
                        </a:solidFill>
                        <a:ln w="25400" cap="flat" cmpd="sng" algn="ctr">
                          <a:noFill/>
                          <a:prstDash val="solid"/>
                        </a:ln>
                        <a:effectLst/>
                      </wps:spPr>
                      <wps:txbx>
                        <w:txbxContent>
                          <w:p w14:paraId="624BFCA1" w14:textId="22EF55A8" w:rsidR="001A0D9D" w:rsidRPr="00EF13FC" w:rsidRDefault="001A0D9D" w:rsidP="00F452E6">
                            <w:pPr>
                              <w:pStyle w:val="CGCBullet1"/>
                              <w:numPr>
                                <w:ilvl w:val="0"/>
                                <w:numId w:val="0"/>
                              </w:numPr>
                              <w:ind w:left="142"/>
                            </w:pPr>
                            <w:r w:rsidRPr="00391483">
                              <w:t xml:space="preserve">The Commission’s preliminary view is to </w:t>
                            </w:r>
                            <w:r w:rsidR="005E154E">
                              <w:t>suspend</w:t>
                            </w:r>
                            <w:r w:rsidRPr="007004D5">
                              <w:t xml:space="preserve"> the national capital assessment from the calculation of GST relativities for the 2024 Update if the ACT’s assessed GST needs for the national capital </w:t>
                            </w:r>
                            <w:r w:rsidR="003474F5" w:rsidRPr="00567FC9">
                              <w:t>assessment</w:t>
                            </w:r>
                            <w:r w:rsidRPr="007004D5">
                              <w:t xml:space="preserve"> are negative</w:t>
                            </w:r>
                            <w:r w:rsidRPr="0039148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F100EA" id="Rectangle 180120110" o:spid="_x0000_s1030" alt="&quot;&quot;" style="width:456pt;height:5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" fillcolor="#e5f8ff" stroked="f" strokeweight="2pt">
                <v:textbox>
                  <w:txbxContent>
                    <w:p w14:paraId="624BFCA1" w14:textId="22EF55A8" w:rsidR="001A0D9D" w:rsidRPr="00EF13FC" w:rsidRDefault="001A0D9D" w:rsidP="00F452E6">
                      <w:pPr>
                        <w:pStyle w:val="CGCBullet1"/>
                        <w:numPr>
                          <w:ilvl w:val="0"/>
                          <w:numId w:val="0"/>
                        </w:numPr>
                        <w:ind w:left="142"/>
                      </w:pPr>
                      <w:r w:rsidRPr="00391483">
                        <w:t xml:space="preserve">The Commission’s preliminary view is to </w:t>
                      </w:r>
                      <w:r w:rsidR="005E154E">
                        <w:t>suspend</w:t>
                      </w:r>
                      <w:r w:rsidRPr="007004D5">
                        <w:t xml:space="preserve"> the national capital assessment from the calculation of GST relativities for the 2024 Update if the ACT’s assessed GST needs for the national capital </w:t>
                      </w:r>
                      <w:r w:rsidR="003474F5" w:rsidRPr="00567FC9">
                        <w:t>assessment</w:t>
                      </w:r>
                      <w:r w:rsidRPr="007004D5">
                        <w:t xml:space="preserve"> are negative</w:t>
                      </w:r>
                      <w:r w:rsidRPr="00391483">
                        <w:t>.</w:t>
                      </w:r>
                    </w:p>
                  </w:txbxContent>
                </v:textbox>
                <w10:anchorlock/>
              </v:rect>
            </w:pict>
          </mc:Fallback>
        </mc:AlternateContent>
      </w:r>
    </w:p>
    <w:p w14:paraId="6EF76392" w14:textId="10154985" w:rsidR="008F779C" w:rsidRPr="00F56496" w:rsidRDefault="008F779C" w:rsidP="00E72881">
      <w:pPr>
        <w:pStyle w:val="Heading2"/>
      </w:pPr>
      <w:r w:rsidRPr="00F56496">
        <w:t xml:space="preserve">Mining revenue </w:t>
      </w:r>
      <w:r w:rsidR="00E707E0">
        <w:t>—</w:t>
      </w:r>
      <w:r w:rsidRPr="00F56496">
        <w:t xml:space="preserve"> a separate assessment of nickel is </w:t>
      </w:r>
      <w:proofErr w:type="gramStart"/>
      <w:r w:rsidRPr="00F56496">
        <w:t>material</w:t>
      </w:r>
      <w:proofErr w:type="gramEnd"/>
    </w:p>
    <w:p w14:paraId="23B3BD1F" w14:textId="5DB9699E" w:rsidR="008F779C" w:rsidRPr="005B5E06" w:rsidRDefault="008F779C" w:rsidP="005B5E06">
      <w:pPr>
        <w:pStyle w:val="CGCParaNumber"/>
        <w:ind w:left="567" w:hanging="567"/>
      </w:pPr>
      <w:r>
        <w:t>The Commission assesses state mining capacity using a ‘mineral by mineral’ approach. Under this approach, a mineral is separately assessed if doing so materially affects a state’s GST outcome.</w:t>
      </w:r>
    </w:p>
    <w:p w14:paraId="416B0316" w14:textId="14D6B699" w:rsidR="008F779C" w:rsidRPr="00834651" w:rsidRDefault="008F779C" w:rsidP="2BAC9FBD">
      <w:pPr>
        <w:pStyle w:val="Heading3"/>
      </w:pPr>
      <w:r w:rsidRPr="00834651">
        <w:t>Background</w:t>
      </w:r>
    </w:p>
    <w:p w14:paraId="41623F01" w14:textId="72585A36" w:rsidR="008F779C" w:rsidRPr="00246938" w:rsidRDefault="008F779C" w:rsidP="005B5E06">
      <w:pPr>
        <w:pStyle w:val="CGCParaNumber"/>
        <w:ind w:left="567" w:hanging="567"/>
      </w:pPr>
      <w:r>
        <w:t xml:space="preserve">In the 2020 Review, the Commission </w:t>
      </w:r>
      <w:r w:rsidR="00290B48">
        <w:t xml:space="preserve">noted that </w:t>
      </w:r>
      <w:r>
        <w:t xml:space="preserve">its intention was to retain its mining revenue structure until the following review. However, if there was a major change in circumstances, for example, if one of the separate mineral assessments became </w:t>
      </w:r>
      <w:r>
        <w:lastRenderedPageBreak/>
        <w:t>immaterial or a separate assessment of another mineral became material, it would exercise its judgment on whether equalisation would be improved by changing the structure of the mining assessment.</w:t>
      </w:r>
    </w:p>
    <w:p w14:paraId="7117E54C" w14:textId="772C9AFE" w:rsidR="008F779C" w:rsidRPr="00246938" w:rsidRDefault="008F779C" w:rsidP="005B5E06">
      <w:pPr>
        <w:pStyle w:val="CGCParaNumber"/>
        <w:ind w:left="567" w:hanging="567"/>
      </w:pPr>
      <w:r>
        <w:t>In the 2020 Review, the Commission determined a separate assessment of nickel royalties was no longer material and was unlikely to become material in the foreseeable future. It discontinued the separate assessment of nickel royalties and assessed them in the other minerals component.</w:t>
      </w:r>
    </w:p>
    <w:p w14:paraId="3CC48FF1" w14:textId="5EF334B8" w:rsidR="008F779C" w:rsidRPr="00246938" w:rsidRDefault="008F779C" w:rsidP="005B5E06">
      <w:pPr>
        <w:pStyle w:val="CGCParaNumber"/>
        <w:ind w:left="567" w:hanging="567"/>
      </w:pPr>
      <w:r>
        <w:t>Western</w:t>
      </w:r>
      <w:r w:rsidRPr="20234A39">
        <w:rPr>
          <w:rFonts w:ascii="Times New Roman" w:hAnsi="Times New Roman" w:cs="Times New Roman"/>
        </w:rPr>
        <w:t> </w:t>
      </w:r>
      <w:r>
        <w:t>Australia’s 2023</w:t>
      </w:r>
      <w:r w:rsidR="001F2BA7">
        <w:t>–</w:t>
      </w:r>
      <w:r>
        <w:t>24 budget papers forecast nickel royalties to rise to $154</w:t>
      </w:r>
      <w:r w:rsidR="00FB18A8">
        <w:t> </w:t>
      </w:r>
      <w:r>
        <w:t>million in 2022</w:t>
      </w:r>
      <w:r w:rsidR="001F2BA7">
        <w:t>–</w:t>
      </w:r>
      <w:r>
        <w:t>23 and to remain above the figure for the foreseeable future. This would make a separate assessment of nickel material. The Commission’s preliminary view is to introduce a separate assessment of nickel royalties.</w:t>
      </w:r>
    </w:p>
    <w:p w14:paraId="67ABBE01" w14:textId="2F4C6260" w:rsidR="008F779C" w:rsidRPr="008F779C" w:rsidRDefault="008F779C" w:rsidP="2BAC9FBD">
      <w:pPr>
        <w:pStyle w:val="Heading3"/>
        <w:rPr>
          <w:rStyle w:val="normaltextrun"/>
        </w:rPr>
      </w:pPr>
      <w:bookmarkStart w:id="17" w:name="_Hlk146549417"/>
      <w:r w:rsidRPr="008F779C">
        <w:rPr>
          <w:rStyle w:val="normaltextrun"/>
          <w:rFonts w:cs="Segoe UI"/>
        </w:rPr>
        <w:t>Preliminary view</w:t>
      </w:r>
    </w:p>
    <w:bookmarkEnd w:id="17"/>
    <w:p w14:paraId="5BD2E9CA" w14:textId="14F188C7" w:rsidR="008F779C" w:rsidRPr="0006105F" w:rsidRDefault="006062A7" w:rsidP="0006105F">
      <w:r>
        <w:rPr>
          <w:noProof/>
        </w:rPr>
        <mc:AlternateContent>
          <mc:Choice Requires="wps">
            <w:drawing>
              <wp:inline distT="0" distB="0" distL="114300" distR="114300" wp14:anchorId="2DC64A6B" wp14:editId="0808DE61">
                <wp:extent cx="5731510" cy="544749"/>
                <wp:effectExtent l="0" t="0" r="2540" b="8255"/>
                <wp:docPr id="1330553086" name="Rectangle 1330553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1510" cy="544749"/>
                        </a:xfrm>
                        <a:prstGeom prst="rect">
                          <a:avLst/>
                        </a:prstGeom>
                        <a:solidFill>
                          <a:srgbClr val="E5F8FF"/>
                        </a:solidFill>
                        <a:ln w="25400" cap="flat" cmpd="sng" algn="ctr">
                          <a:noFill/>
                          <a:prstDash val="solid"/>
                        </a:ln>
                        <a:effectLst/>
                      </wps:spPr>
                      <wps:txbx>
                        <w:txbxContent>
                          <w:p w14:paraId="50A00BD0" w14:textId="534CA619" w:rsidR="006062A7" w:rsidRPr="00EF13FC" w:rsidRDefault="006062A7" w:rsidP="006062A7">
                            <w:pPr>
                              <w:pStyle w:val="CGCBullet1"/>
                              <w:numPr>
                                <w:ilvl w:val="0"/>
                                <w:numId w:val="0"/>
                              </w:numPr>
                              <w:ind w:left="142"/>
                            </w:pPr>
                            <w:r w:rsidRPr="00391483">
                              <w:t xml:space="preserve">The Commission’s preliminary view is to </w:t>
                            </w:r>
                            <w:r>
                              <w:t>separately assess nickel royalties in the 2024</w:t>
                            </w:r>
                            <w:r w:rsidR="001204C6">
                              <w:t> </w:t>
                            </w:r>
                            <w:r>
                              <w:t>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C64A6B" id="Rectangle 1330553086" o:spid="_x0000_s1031" alt="&quot;&quot;" style="width:451.3pt;height:4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" fillcolor="#e5f8ff" stroked="f" strokeweight="2pt">
                <v:textbox>
                  <w:txbxContent>
                    <w:p w14:paraId="50A00BD0" w14:textId="534CA619" w:rsidR="006062A7" w:rsidRPr="00EF13FC" w:rsidRDefault="006062A7" w:rsidP="006062A7">
                      <w:pPr>
                        <w:pStyle w:val="CGCBullet1"/>
                        <w:numPr>
                          <w:ilvl w:val="0"/>
                          <w:numId w:val="0"/>
                        </w:numPr>
                        <w:ind w:left="142"/>
                      </w:pPr>
                      <w:r w:rsidRPr="00391483">
                        <w:t xml:space="preserve">The Commission’s preliminary view is to </w:t>
                      </w:r>
                      <w:r>
                        <w:t>separately assess nickel royalties in the 2024</w:t>
                      </w:r>
                      <w:r w:rsidR="001204C6">
                        <w:t> </w:t>
                      </w:r>
                      <w:r>
                        <w:t>Update.</w:t>
                      </w:r>
                    </w:p>
                  </w:txbxContent>
                </v:textbox>
                <w10:anchorlock/>
              </v:rect>
            </w:pict>
          </mc:Fallback>
        </mc:AlternateContent>
      </w:r>
    </w:p>
    <w:p w14:paraId="2F47DFEF" w14:textId="6B9A36F7" w:rsidR="00447041" w:rsidRPr="00447041" w:rsidRDefault="00447041" w:rsidP="00447041">
      <w:pPr>
        <w:pStyle w:val="Heading2"/>
      </w:pPr>
      <w:r w:rsidRPr="00447041">
        <w:t>New Commonwealth payments</w:t>
      </w:r>
    </w:p>
    <w:p w14:paraId="73668F8A" w14:textId="3C52F4DC" w:rsidR="00447041" w:rsidRDefault="00447041" w:rsidP="00447041">
      <w:pPr>
        <w:pStyle w:val="CGCParaNumber"/>
        <w:ind w:left="567" w:hanging="567"/>
        <w:rPr>
          <w:rFonts w:cs="Segoe UI"/>
        </w:rPr>
      </w:pPr>
      <w:r w:rsidRPr="20234A39">
        <w:rPr>
          <w:rStyle w:val="normaltextrun"/>
          <w:rFonts w:cs="Segoe UI"/>
        </w:rPr>
        <w:t xml:space="preserve">Each year the Commission needs to decide whether new Commonwealth payments and associated expenses should impact the calculation of state </w:t>
      </w:r>
      <w:r w:rsidR="626BF14B" w:rsidRPr="20234A39">
        <w:rPr>
          <w:rStyle w:val="normaltextrun"/>
          <w:rFonts w:cs="Segoe UI"/>
        </w:rPr>
        <w:t xml:space="preserve">GST </w:t>
      </w:r>
      <w:r w:rsidRPr="20234A39">
        <w:rPr>
          <w:rStyle w:val="normaltextrun"/>
          <w:rFonts w:cs="Segoe UI"/>
        </w:rPr>
        <w:t>needs.</w:t>
      </w:r>
    </w:p>
    <w:p w14:paraId="409D986B" w14:textId="469B59D2" w:rsidR="00447041" w:rsidRPr="002F1C59" w:rsidRDefault="00447041" w:rsidP="002E614A">
      <w:pPr>
        <w:pStyle w:val="Heading3"/>
        <w:keepNext/>
        <w:keepLines/>
      </w:pPr>
      <w:r w:rsidRPr="002F1C59">
        <w:t>Treatment of Commonwealth payment</w:t>
      </w:r>
      <w:r w:rsidR="00946E78">
        <w:t>s</w:t>
      </w:r>
      <w:r w:rsidRPr="002F1C59">
        <w:t xml:space="preserve"> commenced in 2022</w:t>
      </w:r>
      <w:r w:rsidR="002F1C59">
        <w:t>–</w:t>
      </w:r>
      <w:proofErr w:type="gramStart"/>
      <w:r w:rsidRPr="002F1C59">
        <w:t>23</w:t>
      </w:r>
      <w:proofErr w:type="gramEnd"/>
    </w:p>
    <w:p w14:paraId="78ED214D" w14:textId="4C41797E" w:rsidR="00447041" w:rsidRDefault="00447041" w:rsidP="00447041">
      <w:pPr>
        <w:pStyle w:val="CGCParaNumber"/>
        <w:ind w:left="567" w:hanging="567"/>
        <w:rPr>
          <w:rStyle w:val="eop"/>
          <w:rFonts w:cs="Segoe UI"/>
        </w:rPr>
      </w:pPr>
      <w:r w:rsidRPr="0B9A60C8">
        <w:rPr>
          <w:rStyle w:val="normaltextrun"/>
          <w:rFonts w:cs="Segoe UI"/>
        </w:rPr>
        <w:t>The Commission has examined new Commonwealth payments commencing in 2022</w:t>
      </w:r>
      <w:r w:rsidR="009507BC">
        <w:rPr>
          <w:rStyle w:val="normaltextrun"/>
          <w:rFonts w:cs="Segoe UI"/>
        </w:rPr>
        <w:t>–</w:t>
      </w:r>
      <w:r w:rsidR="00A91C53">
        <w:rPr>
          <w:rStyle w:val="normaltextrun"/>
          <w:rFonts w:ascii="Times New Roman" w:hAnsi="Times New Roman" w:cs="Times New Roman" w:hint="eastAsia"/>
          <w:rtl/>
        </w:rPr>
        <w:t>‍</w:t>
      </w:r>
      <w:r w:rsidRPr="0B9A60C8">
        <w:rPr>
          <w:rStyle w:val="normaltextrun"/>
          <w:rFonts w:cs="Segoe UI"/>
        </w:rPr>
        <w:t xml:space="preserve">23, as listed in the </w:t>
      </w:r>
      <w:r w:rsidR="005B004E" w:rsidRPr="0B9A60C8">
        <w:rPr>
          <w:rStyle w:val="normaltextrun"/>
          <w:rFonts w:cs="Segoe UI"/>
        </w:rPr>
        <w:t xml:space="preserve">Commonwealth </w:t>
      </w:r>
      <w:r w:rsidRPr="0B9A60C8">
        <w:rPr>
          <w:rStyle w:val="normaltextrun"/>
          <w:rFonts w:cs="Segoe UI"/>
        </w:rPr>
        <w:t xml:space="preserve">Final Budget Outcome, 2022–23, and proposes to treat them as set out in Attachment </w:t>
      </w:r>
      <w:r w:rsidR="00C475E3" w:rsidRPr="0B9A60C8">
        <w:rPr>
          <w:rStyle w:val="normaltextrun"/>
          <w:rFonts w:cs="Segoe UI"/>
        </w:rPr>
        <w:t>C</w:t>
      </w:r>
      <w:r w:rsidRPr="0B9A60C8">
        <w:rPr>
          <w:rStyle w:val="normaltextrun"/>
          <w:rFonts w:cs="Segoe UI"/>
        </w:rPr>
        <w:t xml:space="preserve">, Tables </w:t>
      </w:r>
      <w:r w:rsidR="007C1A00" w:rsidRPr="0B9A60C8">
        <w:rPr>
          <w:rStyle w:val="normaltextrun"/>
          <w:rFonts w:cs="Segoe UI"/>
        </w:rPr>
        <w:t>C</w:t>
      </w:r>
      <w:r w:rsidRPr="0B9A60C8">
        <w:rPr>
          <w:rStyle w:val="normaltextrun"/>
          <w:rFonts w:cs="Segoe UI"/>
        </w:rPr>
        <w:t xml:space="preserve">1 and </w:t>
      </w:r>
      <w:r w:rsidR="007C1A00" w:rsidRPr="0B9A60C8">
        <w:rPr>
          <w:rStyle w:val="normaltextrun"/>
          <w:rFonts w:cs="Segoe UI"/>
        </w:rPr>
        <w:t>C</w:t>
      </w:r>
      <w:r w:rsidRPr="0B9A60C8">
        <w:rPr>
          <w:rStyle w:val="normaltextrun"/>
          <w:rFonts w:cs="Segoe UI"/>
        </w:rPr>
        <w:t>2. The proposals are based on the following guidelines adopted in the 2020 Review</w:t>
      </w:r>
      <w:r w:rsidR="00BE1926" w:rsidRPr="0B9A60C8">
        <w:rPr>
          <w:rStyle w:val="normaltextrun"/>
          <w:rFonts w:cs="Segoe UI"/>
        </w:rPr>
        <w:t>.</w:t>
      </w:r>
    </w:p>
    <w:p w14:paraId="3C237E69" w14:textId="7E5AE3B6" w:rsidR="00447041" w:rsidRPr="000B5C93" w:rsidRDefault="00447041" w:rsidP="000B5C93">
      <w:pPr>
        <w:pStyle w:val="CGCBullet1"/>
        <w:numPr>
          <w:ilvl w:val="0"/>
          <w:numId w:val="34"/>
        </w:numPr>
        <w:rPr>
          <w:rStyle w:val="normaltextrun"/>
          <w:color w:val="000000" w:themeColor="text1"/>
        </w:rPr>
      </w:pPr>
      <w:r w:rsidRPr="000B5C93">
        <w:rPr>
          <w:rStyle w:val="normaltextrun"/>
          <w:color w:val="000000" w:themeColor="text1"/>
        </w:rPr>
        <w:t>Payments which support state services, and for which expenditure needs are assessed, will impact state fiscal capacities. If needs are not assessed, it will have no impact on state fiscal capacities.</w:t>
      </w:r>
    </w:p>
    <w:p w14:paraId="38B54A4D" w14:textId="47FE660A" w:rsidR="00447041" w:rsidRPr="000B5C93" w:rsidRDefault="00447041" w:rsidP="000B5C93">
      <w:pPr>
        <w:pStyle w:val="CGCBullet1"/>
        <w:numPr>
          <w:ilvl w:val="0"/>
          <w:numId w:val="34"/>
        </w:numPr>
        <w:rPr>
          <w:rStyle w:val="normaltextrun"/>
          <w:color w:val="000000" w:themeColor="text1"/>
        </w:rPr>
      </w:pPr>
      <w:r w:rsidRPr="000B5C93">
        <w:rPr>
          <w:rStyle w:val="normaltextrun"/>
          <w:color w:val="000000" w:themeColor="text1"/>
        </w:rPr>
        <w:t>If a payment has multiple components, and the Commission decides that one or more components should not affect state fiscal capacities, staff will collect information to split the payment to ensure the appropriate treatment is applied.</w:t>
      </w:r>
    </w:p>
    <w:p w14:paraId="5F0D1D5A" w14:textId="3B3A3EDC" w:rsidR="3BA53B6F" w:rsidRPr="00246938" w:rsidRDefault="00447041" w:rsidP="00246938">
      <w:pPr>
        <w:pStyle w:val="CGCParaNumber"/>
        <w:ind w:left="567" w:hanging="567"/>
        <w:rPr>
          <w:rStyle w:val="eop"/>
          <w:rFonts w:cs="Segoe UI"/>
        </w:rPr>
      </w:pPr>
      <w:r w:rsidRPr="00C06D77">
        <w:rPr>
          <w:rStyle w:val="normaltextrun"/>
          <w:color w:val="000000"/>
          <w:shd w:val="clear" w:color="auto" w:fill="FFFFFF"/>
        </w:rPr>
        <w:t xml:space="preserve">Table </w:t>
      </w:r>
      <w:r w:rsidR="007C1A00" w:rsidRPr="00C06D77">
        <w:rPr>
          <w:rStyle w:val="normaltextrun"/>
          <w:color w:val="000000"/>
          <w:shd w:val="clear" w:color="auto" w:fill="FFFFFF"/>
        </w:rPr>
        <w:t>C</w:t>
      </w:r>
      <w:r w:rsidRPr="00C06D77">
        <w:rPr>
          <w:rStyle w:val="normaltextrun"/>
          <w:color w:val="000000"/>
          <w:shd w:val="clear" w:color="auto" w:fill="FFFFFF"/>
        </w:rPr>
        <w:t>2</w:t>
      </w:r>
      <w:r w:rsidRPr="00447041" w:rsidDel="00C06D77">
        <w:rPr>
          <w:rStyle w:val="normaltextrun"/>
          <w:color w:val="000000"/>
          <w:shd w:val="clear" w:color="auto" w:fill="FFFFFF"/>
        </w:rPr>
        <w:t xml:space="preserve"> </w:t>
      </w:r>
      <w:r w:rsidR="00C06D77" w:rsidRPr="00C06D77">
        <w:rPr>
          <w:rStyle w:val="normaltextrun"/>
          <w:color w:val="000000"/>
          <w:shd w:val="clear" w:color="auto" w:fill="FFFFFF"/>
        </w:rPr>
        <w:t>in</w:t>
      </w:r>
      <w:r w:rsidR="00C06D77" w:rsidRPr="00447041">
        <w:rPr>
          <w:rStyle w:val="normaltextrun"/>
          <w:color w:val="000000"/>
          <w:shd w:val="clear" w:color="auto" w:fill="FFFFFF"/>
        </w:rPr>
        <w:t xml:space="preserve"> </w:t>
      </w:r>
      <w:r w:rsidRPr="00447041">
        <w:rPr>
          <w:rStyle w:val="normaltextrun"/>
          <w:color w:val="000000"/>
          <w:shd w:val="clear" w:color="auto" w:fill="FFFFFF"/>
        </w:rPr>
        <w:t xml:space="preserve">Attachment </w:t>
      </w:r>
      <w:r w:rsidR="00BF5F34">
        <w:rPr>
          <w:rStyle w:val="normaltextrun"/>
          <w:color w:val="000000"/>
          <w:shd w:val="clear" w:color="auto" w:fill="FFFFFF"/>
        </w:rPr>
        <w:t>C</w:t>
      </w:r>
      <w:r w:rsidR="00BF5F34" w:rsidRPr="00447041">
        <w:rPr>
          <w:rStyle w:val="normaltextrun"/>
          <w:color w:val="000000"/>
          <w:shd w:val="clear" w:color="auto" w:fill="FFFFFF"/>
        </w:rPr>
        <w:t xml:space="preserve"> </w:t>
      </w:r>
      <w:r w:rsidRPr="00447041">
        <w:rPr>
          <w:rStyle w:val="normaltextrun"/>
          <w:color w:val="000000"/>
          <w:shd w:val="clear" w:color="auto" w:fill="FFFFFF"/>
        </w:rPr>
        <w:t>provide</w:t>
      </w:r>
      <w:r w:rsidR="0076481D">
        <w:rPr>
          <w:rStyle w:val="normaltextrun"/>
          <w:color w:val="000000"/>
          <w:shd w:val="clear" w:color="auto" w:fill="FFFFFF"/>
        </w:rPr>
        <w:t>s</w:t>
      </w:r>
      <w:r w:rsidRPr="00447041">
        <w:rPr>
          <w:rStyle w:val="normaltextrun"/>
          <w:color w:val="000000"/>
          <w:shd w:val="clear" w:color="auto" w:fill="FFFFFF"/>
        </w:rPr>
        <w:t xml:space="preserve"> a list of projects under the City and</w:t>
      </w:r>
      <w:r>
        <w:rPr>
          <w:rStyle w:val="normaltextrun"/>
          <w:rFonts w:cs="Segoe UI"/>
        </w:rPr>
        <w:t xml:space="preserve"> Regional deals that commenced in 2022–23 and the proposed treatment for each project.</w:t>
      </w:r>
    </w:p>
    <w:p w14:paraId="253D338A" w14:textId="392D77A1" w:rsidR="00447041" w:rsidRPr="00432867" w:rsidRDefault="63C2E63F" w:rsidP="00447041">
      <w:pPr>
        <w:pStyle w:val="CGCParaNumber"/>
        <w:ind w:left="567" w:hanging="567"/>
        <w:rPr>
          <w:rStyle w:val="normaltextrun"/>
          <w:rFonts w:cs="Segoe UI"/>
        </w:rPr>
      </w:pPr>
      <w:r w:rsidRPr="231B469A">
        <w:rPr>
          <w:rStyle w:val="normaltextrun"/>
          <w:rFonts w:cs="Segoe UI"/>
        </w:rPr>
        <w:t xml:space="preserve">The Commission is yet to receive terms of reference for the </w:t>
      </w:r>
      <w:r w:rsidR="16D04866" w:rsidRPr="231B469A">
        <w:rPr>
          <w:rStyle w:val="normaltextrun"/>
          <w:rFonts w:cs="Segoe UI"/>
        </w:rPr>
        <w:t xml:space="preserve">2024 </w:t>
      </w:r>
      <w:r w:rsidRPr="231B469A">
        <w:rPr>
          <w:rStyle w:val="normaltextrun"/>
          <w:rFonts w:cs="Segoe UI"/>
        </w:rPr>
        <w:t xml:space="preserve">Update. The proposed treatment of some new </w:t>
      </w:r>
      <w:r w:rsidRPr="00432867">
        <w:rPr>
          <w:rStyle w:val="normaltextrun"/>
          <w:rFonts w:cs="Segoe UI"/>
        </w:rPr>
        <w:t xml:space="preserve">Commonwealth payments </w:t>
      </w:r>
      <w:r w:rsidR="16D04866" w:rsidRPr="00432867">
        <w:rPr>
          <w:rStyle w:val="normaltextrun"/>
          <w:rFonts w:cs="Segoe UI"/>
        </w:rPr>
        <w:t>c</w:t>
      </w:r>
      <w:r w:rsidRPr="00432867">
        <w:rPr>
          <w:rStyle w:val="normaltextrun"/>
          <w:rFonts w:cs="Segoe UI"/>
        </w:rPr>
        <w:t>ould change, if directed by terms of reference.</w:t>
      </w:r>
      <w:r w:rsidR="58E4DE40" w:rsidRPr="00432867">
        <w:rPr>
          <w:rStyle w:val="normaltextrun"/>
          <w:rFonts w:cs="Segoe UI"/>
        </w:rPr>
        <w:t xml:space="preserve"> </w:t>
      </w:r>
      <w:r w:rsidR="2D906F38" w:rsidRPr="00432867">
        <w:rPr>
          <w:rStyle w:val="normaltextrun"/>
          <w:rFonts w:cs="Segoe UI"/>
        </w:rPr>
        <w:t xml:space="preserve">The Commission’s understanding is that </w:t>
      </w:r>
      <w:r w:rsidR="50D64C93" w:rsidRPr="00432867">
        <w:rPr>
          <w:rStyle w:val="normaltextrun"/>
          <w:rFonts w:cs="Segoe UI"/>
        </w:rPr>
        <w:t xml:space="preserve">the Commonwealth </w:t>
      </w:r>
      <w:r w:rsidR="3A1413B0" w:rsidRPr="00432867">
        <w:rPr>
          <w:rStyle w:val="normaltextrun"/>
          <w:rFonts w:cs="Segoe UI"/>
        </w:rPr>
        <w:t>intends</w:t>
      </w:r>
      <w:r w:rsidR="4D957079" w:rsidRPr="00432867">
        <w:rPr>
          <w:rStyle w:val="normaltextrun"/>
          <w:rFonts w:cs="Segoe UI"/>
        </w:rPr>
        <w:t xml:space="preserve"> </w:t>
      </w:r>
      <w:r w:rsidR="18F76D66" w:rsidRPr="00432867">
        <w:rPr>
          <w:rStyle w:val="normaltextrun"/>
          <w:rFonts w:cs="Segoe UI"/>
        </w:rPr>
        <w:t xml:space="preserve">to exempt </w:t>
      </w:r>
      <w:r w:rsidR="7E851C21" w:rsidRPr="00432867">
        <w:rPr>
          <w:rStyle w:val="normaltextrun"/>
          <w:rFonts w:cs="Segoe UI"/>
        </w:rPr>
        <w:t>the $2 billion</w:t>
      </w:r>
      <w:r w:rsidR="18F76D66" w:rsidRPr="00432867">
        <w:rPr>
          <w:rStyle w:val="normaltextrun"/>
          <w:rFonts w:cs="Segoe UI"/>
        </w:rPr>
        <w:t xml:space="preserve"> </w:t>
      </w:r>
      <w:r w:rsidR="499D1FC2" w:rsidRPr="00432867">
        <w:rPr>
          <w:rStyle w:val="normaltextrun"/>
          <w:rFonts w:cs="Segoe UI"/>
          <w:i/>
          <w:iCs/>
        </w:rPr>
        <w:t>Social housing accelerator program</w:t>
      </w:r>
      <w:r w:rsidR="499D1FC2" w:rsidRPr="00432867">
        <w:rPr>
          <w:rStyle w:val="normaltextrun"/>
          <w:rFonts w:cs="Segoe UI"/>
        </w:rPr>
        <w:t xml:space="preserve"> payment </w:t>
      </w:r>
      <w:r w:rsidR="18F76D66" w:rsidRPr="00432867">
        <w:rPr>
          <w:rStyle w:val="normaltextrun"/>
          <w:rFonts w:cs="Segoe UI"/>
        </w:rPr>
        <w:t>from the GST distribution calculation</w:t>
      </w:r>
      <w:r w:rsidR="17CCD2B6" w:rsidRPr="00432867">
        <w:rPr>
          <w:rStyle w:val="normaltextrun"/>
          <w:rFonts w:cs="Segoe UI"/>
        </w:rPr>
        <w:t xml:space="preserve">. </w:t>
      </w:r>
    </w:p>
    <w:p w14:paraId="6F63ABC2" w14:textId="2860B702" w:rsidR="003C6756" w:rsidRDefault="003C6756" w:rsidP="002E614A">
      <w:pPr>
        <w:pStyle w:val="CGCParaNumber"/>
        <w:numPr>
          <w:ilvl w:val="0"/>
          <w:numId w:val="0"/>
        </w:numPr>
        <w:ind w:left="567"/>
        <w:rPr>
          <w:rStyle w:val="eop"/>
          <w:rFonts w:cs="Segoe UI"/>
        </w:rPr>
      </w:pPr>
    </w:p>
    <w:p w14:paraId="32ECBEE4" w14:textId="12075D85" w:rsidR="003C6756" w:rsidRPr="008F779C" w:rsidRDefault="003C6756" w:rsidP="007F3F24">
      <w:pPr>
        <w:pStyle w:val="Heading3"/>
        <w:spacing w:before="0" w:after="0"/>
        <w:rPr>
          <w:rStyle w:val="normaltextrun"/>
          <w:rFonts w:eastAsiaTheme="minorHAnsi" w:cstheme="minorBidi"/>
          <w:b w:val="0"/>
          <w:bCs w:val="0"/>
          <w:color w:val="auto"/>
          <w:sz w:val="20"/>
          <w:szCs w:val="20"/>
        </w:rPr>
      </w:pPr>
      <w:r w:rsidRPr="008F779C">
        <w:rPr>
          <w:rStyle w:val="normaltextrun"/>
          <w:rFonts w:cs="Segoe UI"/>
        </w:rPr>
        <w:t>Preliminary view</w:t>
      </w:r>
    </w:p>
    <w:p w14:paraId="21A00E60" w14:textId="5503CE66" w:rsidR="001F559D" w:rsidRDefault="001F559D">
      <w:pPr>
        <w:rPr>
          <w:rStyle w:val="eop"/>
          <w:rFonts w:ascii="Calibri" w:hAnsi="Calibri" w:cs="Calibri"/>
        </w:rPr>
      </w:pPr>
      <w:r w:rsidRPr="0046286B">
        <w:rPr>
          <w:b/>
          <w:noProof/>
        </w:rPr>
        <mc:AlternateContent>
          <mc:Choice Requires="wps">
            <w:drawing>
              <wp:anchor distT="0" distB="0" distL="114300" distR="114300" simplePos="0" relativeHeight="251658242" behindDoc="1" locked="0" layoutInCell="1" allowOverlap="1" wp14:anchorId="13920879" wp14:editId="0C238D36">
                <wp:simplePos x="0" y="0"/>
                <wp:positionH relativeFrom="margin">
                  <wp:posOffset>29183</wp:posOffset>
                </wp:positionH>
                <wp:positionV relativeFrom="paragraph">
                  <wp:posOffset>239881</wp:posOffset>
                </wp:positionV>
                <wp:extent cx="5791200" cy="509905"/>
                <wp:effectExtent l="0" t="0" r="0" b="4445"/>
                <wp:wrapSquare wrapText="bothSides"/>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91200" cy="509905"/>
                        </a:xfrm>
                        <a:prstGeom prst="rect">
                          <a:avLst/>
                        </a:prstGeom>
                        <a:solidFill>
                          <a:srgbClr val="E5F8FF"/>
                        </a:solidFill>
                        <a:ln w="25400" cap="flat" cmpd="sng" algn="ctr">
                          <a:noFill/>
                          <a:prstDash val="solid"/>
                        </a:ln>
                        <a:effectLst/>
                      </wps:spPr>
                      <wps:txbx>
                        <w:txbxContent>
                          <w:p w14:paraId="173E7C3C" w14:textId="401E279C" w:rsidR="00364F32" w:rsidRPr="00C06D77" w:rsidRDefault="00EA69A1" w:rsidP="00F452E6">
                            <w:pPr>
                              <w:pStyle w:val="CGCBullet1"/>
                              <w:numPr>
                                <w:ilvl w:val="0"/>
                                <w:numId w:val="0"/>
                              </w:numPr>
                              <w:ind w:left="142"/>
                            </w:pPr>
                            <w:r>
                              <w:t>The Commission’s</w:t>
                            </w:r>
                            <w:r w:rsidR="002F1C59">
                              <w:t xml:space="preserve"> proposed treatment of new Commonwealth payments </w:t>
                            </w:r>
                            <w:r>
                              <w:t xml:space="preserve">is </w:t>
                            </w:r>
                            <w:r w:rsidR="002F1C59">
                              <w:t xml:space="preserve">outlined </w:t>
                            </w:r>
                            <w:r w:rsidR="002F1C59" w:rsidRPr="00C06D77">
                              <w:t xml:space="preserve">in </w:t>
                            </w:r>
                            <w:r w:rsidR="00C475E3" w:rsidRPr="00580DE4">
                              <w:t>A</w:t>
                            </w:r>
                            <w:r w:rsidR="002F1C59" w:rsidRPr="00580DE4">
                              <w:t xml:space="preserve">ttachment </w:t>
                            </w:r>
                            <w:r w:rsidR="00C475E3" w:rsidRPr="00580DE4">
                              <w:t>C</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20879" id="Rectangle 6" o:spid="_x0000_s1032" alt="&quot;&quot;" style="position:absolute;margin-left:2.3pt;margin-top:18.9pt;width:456pt;height:40.1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" fillcolor="#e5f8ff" stroked="f" strokeweight="2pt">
                <v:textbox>
                  <w:txbxContent>
                    <w:p w14:paraId="173E7C3C" w14:textId="401E279C" w:rsidR="00364F32" w:rsidRPr="00C06D77" w:rsidRDefault="00EA69A1" w:rsidP="00F452E6">
                      <w:pPr>
                        <w:pStyle w:val="CGCBullet1"/>
                        <w:numPr>
                          <w:ilvl w:val="0"/>
                          <w:numId w:val="0"/>
                        </w:numPr>
                        <w:ind w:left="142"/>
                      </w:pPr>
                      <w:r>
                        <w:t>The Commission’s</w:t>
                      </w:r>
                      <w:r w:rsidR="002F1C59">
                        <w:t xml:space="preserve"> proposed treatment of new Commonwealth payments </w:t>
                      </w:r>
                      <w:r>
                        <w:t xml:space="preserve">is </w:t>
                      </w:r>
                      <w:r w:rsidR="002F1C59">
                        <w:t xml:space="preserve">outlined </w:t>
                      </w:r>
                      <w:r w:rsidR="002F1C59" w:rsidRPr="00C06D77">
                        <w:t xml:space="preserve">in </w:t>
                      </w:r>
                      <w:r w:rsidR="00C475E3" w:rsidRPr="00580DE4">
                        <w:t>A</w:t>
                      </w:r>
                      <w:r w:rsidR="002F1C59" w:rsidRPr="00580DE4">
                        <w:t xml:space="preserve">ttachment </w:t>
                      </w:r>
                      <w:r w:rsidR="00C475E3" w:rsidRPr="00580DE4">
                        <w:t>C</w:t>
                      </w:r>
                      <w:r>
                        <w:t>.</w:t>
                      </w:r>
                    </w:p>
                  </w:txbxContent>
                </v:textbox>
                <w10:wrap type="square" anchorx="margin"/>
              </v:rect>
            </w:pict>
          </mc:Fallback>
        </mc:AlternateContent>
      </w:r>
    </w:p>
    <w:p w14:paraId="3036A68D" w14:textId="49596D39" w:rsidR="003A748E" w:rsidRDefault="003A748E">
      <w:pPr>
        <w:rPr>
          <w:rStyle w:val="eop"/>
          <w:rFonts w:ascii="Calibri" w:eastAsia="Times New Roman" w:hAnsi="Calibri" w:cs="Calibri"/>
          <w:lang w:eastAsia="en-AU"/>
        </w:rPr>
      </w:pPr>
    </w:p>
    <w:p w14:paraId="5208B3A3" w14:textId="795E7348" w:rsidR="00FF29CD" w:rsidRPr="008E1B7A" w:rsidRDefault="00835935" w:rsidP="029AD12D">
      <w:pPr>
        <w:pStyle w:val="Heading2"/>
        <w:rPr>
          <w:rFonts w:eastAsiaTheme="minorEastAsia"/>
        </w:rPr>
      </w:pPr>
      <w:bookmarkStart w:id="18" w:name="_Toc132916757"/>
      <w:bookmarkStart w:id="19" w:name="_Ref132917302"/>
      <w:bookmarkStart w:id="20" w:name="_Ref132918072"/>
      <w:r w:rsidRPr="029AD12D">
        <w:rPr>
          <w:rFonts w:eastAsia="MS Gothic"/>
        </w:rPr>
        <w:t xml:space="preserve">Attachment </w:t>
      </w:r>
      <w:r w:rsidRPr="6DD77B2B">
        <w:rPr>
          <w:rFonts w:eastAsia="MS Gothic"/>
        </w:rPr>
        <w:t xml:space="preserve">A </w:t>
      </w:r>
      <w:r w:rsidR="00DA37FA">
        <w:rPr>
          <w:rFonts w:eastAsia="MS Gothic"/>
        </w:rPr>
        <w:t>—</w:t>
      </w:r>
      <w:r w:rsidR="23894F7F" w:rsidRPr="6DD77B2B">
        <w:rPr>
          <w:rFonts w:eastAsia="MS Gothic"/>
        </w:rPr>
        <w:t xml:space="preserve"> </w:t>
      </w:r>
      <w:r w:rsidR="00FF29CD" w:rsidRPr="6DD77B2B">
        <w:rPr>
          <w:rFonts w:eastAsiaTheme="minorEastAsia"/>
        </w:rPr>
        <w:t>Census</w:t>
      </w:r>
      <w:r w:rsidR="00FF29CD" w:rsidRPr="64707227">
        <w:rPr>
          <w:rFonts w:eastAsiaTheme="minorEastAsia"/>
        </w:rPr>
        <w:t xml:space="preserve"> variables used in assessments by </w:t>
      </w:r>
      <w:proofErr w:type="gramStart"/>
      <w:r w:rsidR="00FF29CD" w:rsidRPr="64707227">
        <w:rPr>
          <w:rFonts w:eastAsiaTheme="minorEastAsia"/>
        </w:rPr>
        <w:t>component</w:t>
      </w:r>
      <w:proofErr w:type="gramEnd"/>
    </w:p>
    <w:p w14:paraId="22E2CA77" w14:textId="1C63CDBB" w:rsidR="00FF29CD" w:rsidRPr="00846ADC" w:rsidDel="00FF29CD" w:rsidRDefault="00FF29CD" w:rsidP="00FF29CD">
      <w:pPr>
        <w:pStyle w:val="CGCTablerow"/>
        <w:ind w:left="567" w:hanging="567"/>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4395"/>
        <w:gridCol w:w="4665"/>
      </w:tblGrid>
      <w:tr w:rsidR="00FF29CD" w:rsidRPr="00FF29CD" w14:paraId="4F5D4E6F" w14:textId="77777777" w:rsidTr="00E72881">
        <w:trPr>
          <w:trHeight w:val="360"/>
          <w:tblHeader/>
        </w:trPr>
        <w:tc>
          <w:tcPr>
            <w:tcW w:w="4665" w:type="dxa"/>
            <w:gridSpan w:val="2"/>
            <w:tcBorders>
              <w:top w:val="nil"/>
              <w:left w:val="nil"/>
              <w:bottom w:val="nil"/>
              <w:right w:val="nil"/>
            </w:tcBorders>
            <w:shd w:val="clear" w:color="auto" w:fill="006991"/>
            <w:vAlign w:val="center"/>
            <w:hideMark/>
          </w:tcPr>
          <w:p w14:paraId="46C2B080" w14:textId="2DF3C09F"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SemiBold" w:eastAsia="Times New Roman" w:hAnsi="Work Sans SemiBold" w:cs="Segoe UI"/>
                <w:color w:val="FFFFFF" w:themeColor="background1"/>
                <w:sz w:val="16"/>
                <w:szCs w:val="16"/>
                <w:lang w:eastAsia="en-AU"/>
              </w:rPr>
              <w:t>Category/Component</w:t>
            </w:r>
          </w:p>
        </w:tc>
        <w:tc>
          <w:tcPr>
            <w:tcW w:w="4665" w:type="dxa"/>
            <w:tcBorders>
              <w:top w:val="nil"/>
              <w:left w:val="nil"/>
              <w:bottom w:val="nil"/>
              <w:right w:val="nil"/>
            </w:tcBorders>
            <w:shd w:val="clear" w:color="auto" w:fill="006991"/>
            <w:vAlign w:val="center"/>
            <w:hideMark/>
          </w:tcPr>
          <w:p w14:paraId="35F9E89B" w14:textId="7B3150A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SemiBold" w:eastAsia="Times New Roman" w:hAnsi="Work Sans SemiBold" w:cs="Segoe UI"/>
                <w:color w:val="FFFFFF" w:themeColor="background1"/>
                <w:sz w:val="16"/>
                <w:szCs w:val="16"/>
                <w:lang w:eastAsia="en-AU"/>
              </w:rPr>
              <w:t>Census measure </w:t>
            </w:r>
          </w:p>
        </w:tc>
      </w:tr>
      <w:tr w:rsidR="00FF29CD" w:rsidRPr="00FF29CD" w14:paraId="32C2633D" w14:textId="77777777" w:rsidTr="0E20B45B">
        <w:trPr>
          <w:trHeight w:val="300"/>
        </w:trPr>
        <w:tc>
          <w:tcPr>
            <w:tcW w:w="4665" w:type="dxa"/>
            <w:gridSpan w:val="2"/>
            <w:tcBorders>
              <w:top w:val="single" w:sz="6" w:space="0" w:color="ADD6EA"/>
              <w:left w:val="nil"/>
              <w:bottom w:val="single" w:sz="6" w:space="0" w:color="ADD6EA"/>
              <w:right w:val="nil"/>
            </w:tcBorders>
            <w:shd w:val="clear" w:color="auto" w:fill="B6D5E4"/>
            <w:vAlign w:val="center"/>
            <w:hideMark/>
          </w:tcPr>
          <w:p w14:paraId="4996E725" w14:textId="0D9BD2D4" w:rsidR="00FF29CD" w:rsidRPr="008F41C6" w:rsidRDefault="00FF29CD" w:rsidP="004C53B3">
            <w:pPr>
              <w:spacing w:after="0" w:line="240" w:lineRule="auto"/>
              <w:rPr>
                <w:rFonts w:ascii="Open Sans Semibold" w:eastAsia="Open Sans Semibold" w:hAnsi="Open Sans Semibold" w:cs="Open Sans Semibold"/>
                <w:color w:val="000000" w:themeColor="text1"/>
                <w:sz w:val="16"/>
                <w:szCs w:val="16"/>
              </w:rPr>
            </w:pPr>
            <w:r w:rsidRPr="008F41C6">
              <w:rPr>
                <w:rFonts w:ascii="Open Sans Semibold" w:eastAsia="Open Sans Semibold" w:hAnsi="Open Sans Semibold" w:cs="Open Sans Semibold"/>
                <w:color w:val="000000" w:themeColor="text1"/>
                <w:sz w:val="16"/>
                <w:szCs w:val="16"/>
              </w:rPr>
              <w:t>310 Schools</w:t>
            </w:r>
          </w:p>
        </w:tc>
        <w:tc>
          <w:tcPr>
            <w:tcW w:w="4665" w:type="dxa"/>
            <w:tcBorders>
              <w:top w:val="single" w:sz="6" w:space="0" w:color="ADD6EA"/>
              <w:left w:val="nil"/>
              <w:bottom w:val="single" w:sz="6" w:space="0" w:color="ADD6EA"/>
              <w:right w:val="nil"/>
            </w:tcBorders>
            <w:shd w:val="clear" w:color="auto" w:fill="B6D5E4"/>
            <w:vAlign w:val="center"/>
            <w:hideMark/>
          </w:tcPr>
          <w:p w14:paraId="3D2E42B8" w14:textId="0F48A2FF"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2CD3D9BF"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6665DF31" w14:textId="1F6EACC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6D30584E" w14:textId="082F7380"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310-11 State funded government schools</w:t>
            </w:r>
          </w:p>
        </w:tc>
        <w:tc>
          <w:tcPr>
            <w:tcW w:w="4665" w:type="dxa"/>
            <w:tcBorders>
              <w:top w:val="nil"/>
              <w:left w:val="nil"/>
              <w:bottom w:val="single" w:sz="6" w:space="0" w:color="ADD6EA"/>
              <w:right w:val="nil"/>
            </w:tcBorders>
            <w:shd w:val="clear" w:color="auto" w:fill="auto"/>
            <w:vAlign w:val="center"/>
            <w:hideMark/>
          </w:tcPr>
          <w:p w14:paraId="72B88BB0" w14:textId="318C505A" w:rsidR="00FF29CD" w:rsidRPr="00FF29CD" w:rsidRDefault="440D2EBD"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74A4B4B8"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56554323" w14:textId="73E7E9E5"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1FFD6BE2" w14:textId="4FA1AB24"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310-12 Commonwealth funded government schools</w:t>
            </w:r>
          </w:p>
        </w:tc>
        <w:tc>
          <w:tcPr>
            <w:tcW w:w="4665" w:type="dxa"/>
            <w:tcBorders>
              <w:top w:val="nil"/>
              <w:left w:val="nil"/>
              <w:bottom w:val="single" w:sz="6" w:space="0" w:color="ADD6EA"/>
              <w:right w:val="nil"/>
            </w:tcBorders>
            <w:shd w:val="clear" w:color="auto" w:fill="auto"/>
            <w:vAlign w:val="center"/>
            <w:hideMark/>
          </w:tcPr>
          <w:p w14:paraId="58209298" w14:textId="3A06F846" w:rsidR="00FF29CD" w:rsidRPr="00FF29CD" w:rsidRDefault="3E8186A3"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324CCF62"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6DB5FF70" w14:textId="2304E397"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7A154A9E" w14:textId="787F886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310-20 State funded non-government schools</w:t>
            </w:r>
          </w:p>
        </w:tc>
        <w:tc>
          <w:tcPr>
            <w:tcW w:w="4665" w:type="dxa"/>
            <w:tcBorders>
              <w:top w:val="nil"/>
              <w:left w:val="nil"/>
              <w:bottom w:val="single" w:sz="6" w:space="0" w:color="ADD6EA"/>
              <w:right w:val="nil"/>
            </w:tcBorders>
            <w:shd w:val="clear" w:color="auto" w:fill="auto"/>
            <w:vAlign w:val="center"/>
            <w:hideMark/>
          </w:tcPr>
          <w:p w14:paraId="1DDC94FF" w14:textId="24806BB1" w:rsidR="00FF29CD" w:rsidRPr="00FF29CD" w:rsidRDefault="62F26FCF"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4FF56432" w14:textId="77777777" w:rsidTr="00171CD4">
        <w:trPr>
          <w:trHeight w:val="268"/>
        </w:trPr>
        <w:tc>
          <w:tcPr>
            <w:tcW w:w="4665" w:type="dxa"/>
            <w:gridSpan w:val="2"/>
            <w:tcBorders>
              <w:top w:val="single" w:sz="6" w:space="0" w:color="ADD6EA"/>
              <w:left w:val="nil"/>
              <w:bottom w:val="single" w:sz="6" w:space="0" w:color="9BC2E6"/>
              <w:right w:val="nil"/>
            </w:tcBorders>
            <w:shd w:val="clear" w:color="auto" w:fill="B6D5E4"/>
            <w:vAlign w:val="center"/>
            <w:hideMark/>
          </w:tcPr>
          <w:p w14:paraId="47BCA6C9" w14:textId="1C40AED3" w:rsidR="00FF29CD" w:rsidRPr="008F41C6" w:rsidRDefault="00FF29CD" w:rsidP="004C53B3">
            <w:pPr>
              <w:spacing w:after="0" w:line="240" w:lineRule="auto"/>
              <w:rPr>
                <w:rFonts w:ascii="Open Sans Semibold" w:eastAsia="Open Sans Semibold" w:hAnsi="Open Sans Semibold" w:cs="Open Sans Semibold"/>
                <w:color w:val="000000" w:themeColor="text1"/>
                <w:sz w:val="16"/>
                <w:szCs w:val="16"/>
              </w:rPr>
            </w:pPr>
            <w:r w:rsidRPr="008F41C6">
              <w:rPr>
                <w:rFonts w:ascii="Open Sans Semibold" w:eastAsia="Open Sans Semibold" w:hAnsi="Open Sans Semibold" w:cs="Open Sans Semibold"/>
                <w:color w:val="000000" w:themeColor="text1"/>
                <w:sz w:val="16"/>
                <w:szCs w:val="16"/>
              </w:rPr>
              <w:t xml:space="preserve">320 </w:t>
            </w:r>
            <w:bookmarkStart w:id="21" w:name="_Int_n9LXVHN7"/>
            <w:proofErr w:type="gramStart"/>
            <w:r w:rsidRPr="008F41C6">
              <w:rPr>
                <w:rFonts w:ascii="Open Sans Semibold" w:eastAsia="Open Sans Semibold" w:hAnsi="Open Sans Semibold" w:cs="Open Sans Semibold"/>
                <w:color w:val="000000" w:themeColor="text1"/>
                <w:sz w:val="16"/>
                <w:szCs w:val="16"/>
              </w:rPr>
              <w:t>Post-secondary</w:t>
            </w:r>
            <w:bookmarkEnd w:id="21"/>
            <w:proofErr w:type="gramEnd"/>
            <w:r w:rsidRPr="008F41C6">
              <w:rPr>
                <w:rFonts w:ascii="Open Sans Semibold" w:eastAsia="Open Sans Semibold" w:hAnsi="Open Sans Semibold" w:cs="Open Sans Semibold"/>
                <w:color w:val="000000" w:themeColor="text1"/>
                <w:sz w:val="16"/>
                <w:szCs w:val="16"/>
              </w:rPr>
              <w:t xml:space="preserve"> education</w:t>
            </w:r>
          </w:p>
        </w:tc>
        <w:tc>
          <w:tcPr>
            <w:tcW w:w="4665" w:type="dxa"/>
            <w:tcBorders>
              <w:top w:val="nil"/>
              <w:left w:val="nil"/>
              <w:bottom w:val="single" w:sz="6" w:space="0" w:color="9BC2E6"/>
              <w:right w:val="nil"/>
            </w:tcBorders>
            <w:shd w:val="clear" w:color="auto" w:fill="B6D5E4"/>
            <w:vAlign w:val="center"/>
            <w:hideMark/>
          </w:tcPr>
          <w:p w14:paraId="2B575219" w14:textId="57162B8F"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 xml:space="preserve">Estimated Resident Population (ERP) disaggregated by Socio-Demographic Composition (SDC) (incl. </w:t>
            </w:r>
            <w:r w:rsidR="008A7246">
              <w:rPr>
                <w:rFonts w:ascii="Work Sans" w:eastAsia="Times New Roman" w:hAnsi="Work Sans" w:cs="Segoe UI"/>
                <w:color w:val="000000" w:themeColor="text1"/>
                <w:sz w:val="16"/>
                <w:szCs w:val="16"/>
                <w:lang w:eastAsia="en-AU"/>
              </w:rPr>
              <w:br/>
            </w:r>
            <w:r w:rsidR="002A4A65">
              <w:rPr>
                <w:rFonts w:ascii="Work Sans" w:eastAsia="Times New Roman" w:hAnsi="Work Sans" w:cs="Segoe UI"/>
                <w:color w:val="000000" w:themeColor="text1"/>
                <w:sz w:val="16"/>
                <w:szCs w:val="16"/>
                <w:lang w:eastAsia="en-AU"/>
              </w:rPr>
              <w:t>s</w:t>
            </w:r>
            <w:r w:rsidRPr="401F87D2">
              <w:rPr>
                <w:rFonts w:ascii="Work Sans" w:eastAsia="Times New Roman" w:hAnsi="Work Sans" w:cs="Segoe UI"/>
                <w:color w:val="000000" w:themeColor="text1"/>
                <w:sz w:val="16"/>
                <w:szCs w:val="16"/>
                <w:lang w:eastAsia="en-AU"/>
              </w:rPr>
              <w:t>ocio</w:t>
            </w:r>
            <w:r w:rsidR="00416369">
              <w:rPr>
                <w:rFonts w:ascii="Work Sans" w:eastAsia="Times New Roman" w:hAnsi="Work Sans" w:cs="Segoe UI"/>
                <w:color w:val="000000" w:themeColor="text1"/>
                <w:sz w:val="16"/>
                <w:szCs w:val="16"/>
                <w:lang w:eastAsia="en-AU"/>
              </w:rPr>
              <w:t>-</w:t>
            </w:r>
            <w:r w:rsidR="002A4A65">
              <w:rPr>
                <w:rFonts w:ascii="Work Sans" w:eastAsia="Times New Roman" w:hAnsi="Work Sans" w:cs="Segoe UI"/>
                <w:color w:val="000000" w:themeColor="text1"/>
                <w:sz w:val="16"/>
                <w:szCs w:val="16"/>
                <w:lang w:eastAsia="en-AU"/>
              </w:rPr>
              <w:t>e</w:t>
            </w:r>
            <w:r w:rsidRPr="401F87D2">
              <w:rPr>
                <w:rFonts w:ascii="Work Sans" w:eastAsia="Times New Roman" w:hAnsi="Work Sans" w:cs="Segoe UI"/>
                <w:color w:val="000000" w:themeColor="text1"/>
                <w:sz w:val="16"/>
                <w:szCs w:val="16"/>
                <w:lang w:eastAsia="en-AU"/>
              </w:rPr>
              <w:t xml:space="preserve">conomic </w:t>
            </w:r>
            <w:r w:rsidR="00BE46CF">
              <w:rPr>
                <w:rFonts w:ascii="Work Sans" w:eastAsia="Times New Roman" w:hAnsi="Work Sans" w:cs="Segoe UI"/>
                <w:color w:val="000000" w:themeColor="text1"/>
                <w:sz w:val="16"/>
                <w:szCs w:val="16"/>
                <w:lang w:eastAsia="en-AU"/>
              </w:rPr>
              <w:t>status</w:t>
            </w:r>
            <w:r w:rsidRPr="401F87D2">
              <w:rPr>
                <w:rFonts w:ascii="Work Sans" w:eastAsia="Times New Roman" w:hAnsi="Work Sans" w:cs="Segoe UI"/>
                <w:color w:val="000000" w:themeColor="text1"/>
                <w:sz w:val="16"/>
                <w:szCs w:val="16"/>
                <w:lang w:eastAsia="en-AU"/>
              </w:rPr>
              <w:t>)</w:t>
            </w:r>
          </w:p>
        </w:tc>
      </w:tr>
      <w:tr w:rsidR="00FF29CD" w:rsidRPr="00FF29CD" w14:paraId="6BD5DDA7" w14:textId="77777777" w:rsidTr="0E20B45B">
        <w:trPr>
          <w:trHeight w:val="300"/>
        </w:trPr>
        <w:tc>
          <w:tcPr>
            <w:tcW w:w="4665" w:type="dxa"/>
            <w:gridSpan w:val="2"/>
            <w:tcBorders>
              <w:top w:val="nil"/>
              <w:left w:val="nil"/>
              <w:bottom w:val="single" w:sz="6" w:space="0" w:color="ADD6EA"/>
              <w:right w:val="nil"/>
            </w:tcBorders>
            <w:shd w:val="clear" w:color="auto" w:fill="B6D5E4"/>
            <w:vAlign w:val="center"/>
            <w:hideMark/>
          </w:tcPr>
          <w:p w14:paraId="1411A736" w14:textId="7D67541E" w:rsidR="00FF29CD" w:rsidRPr="008F41C6" w:rsidRDefault="00FF29CD" w:rsidP="004C53B3">
            <w:pPr>
              <w:spacing w:after="0" w:line="240" w:lineRule="auto"/>
              <w:rPr>
                <w:rFonts w:ascii="Open Sans Semibold" w:eastAsia="Open Sans Semibold" w:hAnsi="Open Sans Semibold" w:cs="Open Sans Semibold"/>
                <w:color w:val="000000" w:themeColor="text1"/>
                <w:sz w:val="16"/>
                <w:szCs w:val="16"/>
              </w:rPr>
            </w:pPr>
            <w:r w:rsidRPr="008F41C6">
              <w:rPr>
                <w:rFonts w:ascii="Open Sans Semibold" w:eastAsia="Open Sans Semibold" w:hAnsi="Open Sans Semibold" w:cs="Open Sans Semibold"/>
                <w:color w:val="000000" w:themeColor="text1"/>
                <w:sz w:val="16"/>
                <w:szCs w:val="16"/>
              </w:rPr>
              <w:t>410 Health</w:t>
            </w:r>
          </w:p>
        </w:tc>
        <w:tc>
          <w:tcPr>
            <w:tcW w:w="4665" w:type="dxa"/>
            <w:tcBorders>
              <w:top w:val="nil"/>
              <w:left w:val="nil"/>
              <w:bottom w:val="single" w:sz="6" w:space="0" w:color="ADD6EA"/>
              <w:right w:val="nil"/>
            </w:tcBorders>
            <w:shd w:val="clear" w:color="auto" w:fill="B6D5E4"/>
            <w:vAlign w:val="center"/>
            <w:hideMark/>
          </w:tcPr>
          <w:p w14:paraId="04487C51" w14:textId="17323D53"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60A29A75"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06A552A5" w14:textId="0013013B"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0F604AE7" w14:textId="21D4C77B"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410-10 Admitted patients</w:t>
            </w:r>
          </w:p>
        </w:tc>
        <w:tc>
          <w:tcPr>
            <w:tcW w:w="4665" w:type="dxa"/>
            <w:tcBorders>
              <w:top w:val="nil"/>
              <w:left w:val="nil"/>
              <w:bottom w:val="single" w:sz="6" w:space="0" w:color="ADD6EA"/>
              <w:right w:val="nil"/>
            </w:tcBorders>
            <w:shd w:val="clear" w:color="auto" w:fill="auto"/>
            <w:vAlign w:val="center"/>
            <w:hideMark/>
          </w:tcPr>
          <w:p w14:paraId="7C2633EA" w14:textId="2BD38D11"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w:t>
            </w:r>
            <w:r w:rsidRPr="401F87D2">
              <w:rPr>
                <w:rFonts w:ascii="Times New Roman" w:eastAsia="Times New Roman" w:hAnsi="Times New Roman" w:cs="Times New Roman"/>
                <w:color w:val="000000" w:themeColor="text1"/>
                <w:sz w:val="16"/>
                <w:szCs w:val="16"/>
                <w:lang w:eastAsia="en-AU"/>
              </w:rPr>
              <w:t> </w:t>
            </w:r>
            <w:r w:rsidRPr="401F87D2">
              <w:rPr>
                <w:rFonts w:ascii="Work Sans" w:eastAsia="Times New Roman" w:hAnsi="Work Sans" w:cs="Segoe UI"/>
                <w:color w:val="000000" w:themeColor="text1"/>
                <w:sz w:val="16"/>
                <w:szCs w:val="16"/>
                <w:lang w:eastAsia="en-AU"/>
              </w:rPr>
              <w:t>SEIFA)</w:t>
            </w:r>
          </w:p>
        </w:tc>
      </w:tr>
      <w:tr w:rsidR="00FF29CD" w:rsidRPr="00FF29CD" w14:paraId="6C35DA0E"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590C5D7C" w14:textId="7422F17F"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4A6B35DD" w14:textId="230F6CF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410-21 Emergency departments</w:t>
            </w:r>
          </w:p>
        </w:tc>
        <w:tc>
          <w:tcPr>
            <w:tcW w:w="4665" w:type="dxa"/>
            <w:tcBorders>
              <w:top w:val="nil"/>
              <w:left w:val="nil"/>
              <w:bottom w:val="single" w:sz="6" w:space="0" w:color="ADD6EA"/>
              <w:right w:val="nil"/>
            </w:tcBorders>
            <w:shd w:val="clear" w:color="auto" w:fill="auto"/>
            <w:vAlign w:val="center"/>
            <w:hideMark/>
          </w:tcPr>
          <w:p w14:paraId="0DFE34A2" w14:textId="286C46C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 SEIFA)</w:t>
            </w:r>
          </w:p>
        </w:tc>
      </w:tr>
      <w:tr w:rsidR="00FF29CD" w:rsidRPr="00FF29CD" w14:paraId="6DB91322"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68FB358F" w14:textId="7B9796C3"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08428D23" w14:textId="5AB66A0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 xml:space="preserve">410-22 </w:t>
            </w:r>
            <w:bookmarkStart w:id="22" w:name="_Int_HNx6fNM0"/>
            <w:proofErr w:type="gramStart"/>
            <w:r w:rsidRPr="401F87D2">
              <w:rPr>
                <w:rFonts w:ascii="Work Sans" w:eastAsia="Times New Roman" w:hAnsi="Work Sans" w:cs="Segoe UI"/>
                <w:color w:val="000000" w:themeColor="text1"/>
                <w:sz w:val="16"/>
                <w:szCs w:val="16"/>
                <w:lang w:eastAsia="en-AU"/>
              </w:rPr>
              <w:t>Non-admitted</w:t>
            </w:r>
            <w:bookmarkEnd w:id="22"/>
            <w:proofErr w:type="gramEnd"/>
            <w:r w:rsidRPr="401F87D2">
              <w:rPr>
                <w:rFonts w:ascii="Work Sans" w:eastAsia="Times New Roman" w:hAnsi="Work Sans" w:cs="Segoe UI"/>
                <w:color w:val="000000" w:themeColor="text1"/>
                <w:sz w:val="16"/>
                <w:szCs w:val="16"/>
                <w:lang w:eastAsia="en-AU"/>
              </w:rPr>
              <w:t xml:space="preserve"> patients</w:t>
            </w:r>
          </w:p>
        </w:tc>
        <w:tc>
          <w:tcPr>
            <w:tcW w:w="4665" w:type="dxa"/>
            <w:tcBorders>
              <w:top w:val="nil"/>
              <w:left w:val="nil"/>
              <w:bottom w:val="single" w:sz="6" w:space="0" w:color="ADD6EA"/>
              <w:right w:val="nil"/>
            </w:tcBorders>
            <w:shd w:val="clear" w:color="auto" w:fill="auto"/>
            <w:vAlign w:val="center"/>
            <w:hideMark/>
          </w:tcPr>
          <w:p w14:paraId="7C2D378D" w14:textId="5CE4EE67"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 SEIFA)</w:t>
            </w:r>
          </w:p>
        </w:tc>
      </w:tr>
      <w:tr w:rsidR="00FF29CD" w:rsidRPr="00FF29CD" w14:paraId="66B1A6E5"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701FE361" w14:textId="017FA79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1262ECF6" w14:textId="4D9B5270"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410-30 Community and other health</w:t>
            </w:r>
          </w:p>
        </w:tc>
        <w:tc>
          <w:tcPr>
            <w:tcW w:w="4665" w:type="dxa"/>
            <w:tcBorders>
              <w:top w:val="nil"/>
              <w:left w:val="nil"/>
              <w:bottom w:val="single" w:sz="6" w:space="0" w:color="ADD6EA"/>
              <w:right w:val="nil"/>
            </w:tcBorders>
            <w:shd w:val="clear" w:color="auto" w:fill="auto"/>
            <w:vAlign w:val="center"/>
            <w:hideMark/>
          </w:tcPr>
          <w:p w14:paraId="7829626B" w14:textId="559ACDA4"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 SEIFA)</w:t>
            </w:r>
          </w:p>
        </w:tc>
      </w:tr>
      <w:tr w:rsidR="00FF29CD" w:rsidRPr="00FF29CD" w14:paraId="7C7A9E6E"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485C7B21" w14:textId="194DCD63"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1EEC75F6" w14:textId="58CD0DE8"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 xml:space="preserve">410-40 </w:t>
            </w:r>
            <w:bookmarkStart w:id="23" w:name="_Int_uqdt5c2m"/>
            <w:proofErr w:type="gramStart"/>
            <w:r w:rsidRPr="401F87D2">
              <w:rPr>
                <w:rFonts w:ascii="Work Sans" w:eastAsia="Times New Roman" w:hAnsi="Work Sans" w:cs="Segoe UI"/>
                <w:color w:val="000000" w:themeColor="text1"/>
                <w:sz w:val="16"/>
                <w:szCs w:val="16"/>
                <w:lang w:eastAsia="en-AU"/>
              </w:rPr>
              <w:t>Non-hospital</w:t>
            </w:r>
            <w:bookmarkEnd w:id="23"/>
            <w:proofErr w:type="gramEnd"/>
            <w:r w:rsidRPr="401F87D2">
              <w:rPr>
                <w:rFonts w:ascii="Work Sans" w:eastAsia="Times New Roman" w:hAnsi="Work Sans" w:cs="Segoe UI"/>
                <w:color w:val="000000" w:themeColor="text1"/>
                <w:sz w:val="16"/>
                <w:szCs w:val="16"/>
                <w:lang w:eastAsia="en-AU"/>
              </w:rPr>
              <w:t xml:space="preserve"> patients transport</w:t>
            </w:r>
          </w:p>
        </w:tc>
        <w:tc>
          <w:tcPr>
            <w:tcW w:w="4665" w:type="dxa"/>
            <w:tcBorders>
              <w:top w:val="nil"/>
              <w:left w:val="nil"/>
              <w:bottom w:val="single" w:sz="6" w:space="0" w:color="ADD6EA"/>
              <w:right w:val="nil"/>
            </w:tcBorders>
            <w:shd w:val="clear" w:color="auto" w:fill="auto"/>
            <w:vAlign w:val="center"/>
            <w:hideMark/>
          </w:tcPr>
          <w:p w14:paraId="70761117" w14:textId="2ECFFFD2"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by remoteness</w:t>
            </w:r>
          </w:p>
        </w:tc>
      </w:tr>
      <w:tr w:rsidR="00FF29CD" w:rsidRPr="00FF29CD" w14:paraId="16A13E3A" w14:textId="77777777" w:rsidTr="008F41C6">
        <w:trPr>
          <w:trHeight w:val="206"/>
        </w:trPr>
        <w:tc>
          <w:tcPr>
            <w:tcW w:w="4665" w:type="dxa"/>
            <w:gridSpan w:val="2"/>
            <w:tcBorders>
              <w:top w:val="single" w:sz="6" w:space="0" w:color="ADD6EA"/>
              <w:left w:val="nil"/>
              <w:bottom w:val="single" w:sz="6" w:space="0" w:color="ADD6EA"/>
              <w:right w:val="nil"/>
            </w:tcBorders>
            <w:shd w:val="clear" w:color="auto" w:fill="B6D5E4"/>
            <w:vAlign w:val="center"/>
            <w:hideMark/>
          </w:tcPr>
          <w:p w14:paraId="071CE491" w14:textId="18AF66A9" w:rsidR="00FF29CD" w:rsidRPr="00FF29CD" w:rsidRDefault="00FF29CD" w:rsidP="00171CD4">
            <w:pPr>
              <w:spacing w:after="0" w:line="240" w:lineRule="auto"/>
              <w:rPr>
                <w:rFonts w:ascii="Segoe UI" w:eastAsia="Times New Roman" w:hAnsi="Segoe UI" w:cs="Segoe UI"/>
                <w:sz w:val="18"/>
                <w:szCs w:val="18"/>
                <w:lang w:eastAsia="en-AU"/>
              </w:rPr>
            </w:pPr>
            <w:r w:rsidRPr="008F41C6">
              <w:rPr>
                <w:rFonts w:ascii="Open Sans Semibold" w:eastAsia="Open Sans Semibold" w:hAnsi="Open Sans Semibold" w:cs="Open Sans Semibold"/>
                <w:color w:val="000000" w:themeColor="text1"/>
                <w:sz w:val="16"/>
                <w:szCs w:val="16"/>
              </w:rPr>
              <w:t>510 Housing</w:t>
            </w:r>
          </w:p>
        </w:tc>
        <w:tc>
          <w:tcPr>
            <w:tcW w:w="4665" w:type="dxa"/>
            <w:tcBorders>
              <w:top w:val="nil"/>
              <w:left w:val="nil"/>
              <w:bottom w:val="single" w:sz="6" w:space="0" w:color="ADD6EA"/>
              <w:right w:val="nil"/>
            </w:tcBorders>
            <w:shd w:val="clear" w:color="auto" w:fill="B6D5E4"/>
            <w:vAlign w:val="center"/>
            <w:hideMark/>
          </w:tcPr>
          <w:p w14:paraId="7A7932DD" w14:textId="7E3183BE"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7ED02699"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42DCE6F3" w14:textId="21F03F0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2F94D4BD" w14:textId="016B4A8B"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 xml:space="preserve">510-01 First </w:t>
            </w:r>
            <w:bookmarkStart w:id="24" w:name="_Int_uoz0xtwB"/>
            <w:proofErr w:type="gramStart"/>
            <w:r w:rsidRPr="401F87D2">
              <w:rPr>
                <w:rFonts w:ascii="Work Sans" w:eastAsia="Times New Roman" w:hAnsi="Work Sans" w:cs="Segoe UI"/>
                <w:color w:val="000000" w:themeColor="text1"/>
                <w:sz w:val="16"/>
                <w:szCs w:val="16"/>
                <w:lang w:eastAsia="en-AU"/>
              </w:rPr>
              <w:t>home owner</w:t>
            </w:r>
            <w:bookmarkEnd w:id="24"/>
            <w:proofErr w:type="gramEnd"/>
            <w:r w:rsidRPr="401F87D2">
              <w:rPr>
                <w:rFonts w:ascii="Work Sans" w:eastAsia="Times New Roman" w:hAnsi="Work Sans" w:cs="Segoe UI"/>
                <w:color w:val="000000" w:themeColor="text1"/>
                <w:sz w:val="16"/>
                <w:szCs w:val="16"/>
                <w:lang w:eastAsia="en-AU"/>
              </w:rPr>
              <w:t xml:space="preserve"> expenses</w:t>
            </w:r>
          </w:p>
        </w:tc>
        <w:tc>
          <w:tcPr>
            <w:tcW w:w="4665" w:type="dxa"/>
            <w:tcBorders>
              <w:top w:val="nil"/>
              <w:left w:val="nil"/>
              <w:bottom w:val="single" w:sz="6" w:space="0" w:color="ADD6EA"/>
              <w:right w:val="nil"/>
            </w:tcBorders>
            <w:shd w:val="clear" w:color="auto" w:fill="auto"/>
            <w:vAlign w:val="center"/>
            <w:hideMark/>
          </w:tcPr>
          <w:p w14:paraId="7BB2360A" w14:textId="413632D4" w:rsidR="00FF29CD" w:rsidRPr="00FF29CD" w:rsidRDefault="0C9B4580"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0FC69C7A"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1265BD49" w14:textId="2EE85421"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641B5D2E" w14:textId="0C17754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510-02 Social housing</w:t>
            </w:r>
          </w:p>
        </w:tc>
        <w:tc>
          <w:tcPr>
            <w:tcW w:w="4665" w:type="dxa"/>
            <w:tcBorders>
              <w:top w:val="nil"/>
              <w:left w:val="nil"/>
              <w:bottom w:val="single" w:sz="6" w:space="0" w:color="ADD6EA"/>
              <w:right w:val="nil"/>
            </w:tcBorders>
            <w:shd w:val="clear" w:color="auto" w:fill="auto"/>
            <w:vAlign w:val="center"/>
            <w:hideMark/>
          </w:tcPr>
          <w:p w14:paraId="08D28861" w14:textId="29421049"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Census housing counts, adjusted for undercount.</w:t>
            </w:r>
          </w:p>
        </w:tc>
      </w:tr>
      <w:tr w:rsidR="00FF29CD" w:rsidRPr="00FF29CD" w14:paraId="2F09DEA9"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516DA061" w14:textId="26D0AF78"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75AE7B95" w14:textId="06CDF8DB"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510-10 Social housing user charges</w:t>
            </w:r>
          </w:p>
        </w:tc>
        <w:tc>
          <w:tcPr>
            <w:tcW w:w="4665" w:type="dxa"/>
            <w:tcBorders>
              <w:top w:val="nil"/>
              <w:left w:val="nil"/>
              <w:bottom w:val="single" w:sz="6" w:space="0" w:color="ADD6EA"/>
              <w:right w:val="nil"/>
            </w:tcBorders>
            <w:shd w:val="clear" w:color="auto" w:fill="auto"/>
            <w:vAlign w:val="center"/>
            <w:hideMark/>
          </w:tcPr>
          <w:p w14:paraId="41C7F4DF" w14:textId="7599D30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Census housing counts, adjusted for undercount.</w:t>
            </w:r>
          </w:p>
        </w:tc>
      </w:tr>
      <w:tr w:rsidR="00FF29CD" w:rsidRPr="00FF29CD" w14:paraId="626C7C48" w14:textId="77777777" w:rsidTr="0E20B45B">
        <w:trPr>
          <w:trHeight w:val="300"/>
        </w:trPr>
        <w:tc>
          <w:tcPr>
            <w:tcW w:w="4665" w:type="dxa"/>
            <w:gridSpan w:val="2"/>
            <w:tcBorders>
              <w:top w:val="single" w:sz="6" w:space="0" w:color="ADD6EA"/>
              <w:left w:val="nil"/>
              <w:bottom w:val="single" w:sz="6" w:space="0" w:color="ADD6EA"/>
              <w:right w:val="nil"/>
            </w:tcBorders>
            <w:shd w:val="clear" w:color="auto" w:fill="B6D5E4"/>
            <w:vAlign w:val="center"/>
            <w:hideMark/>
          </w:tcPr>
          <w:p w14:paraId="28AFD675" w14:textId="40B2998E" w:rsidR="00FF29CD" w:rsidRPr="00FF29CD" w:rsidRDefault="00FF29CD" w:rsidP="00171CD4">
            <w:pPr>
              <w:spacing w:after="0" w:line="240" w:lineRule="auto"/>
              <w:rPr>
                <w:rFonts w:ascii="Segoe UI" w:eastAsia="Times New Roman" w:hAnsi="Segoe UI" w:cs="Segoe UI"/>
                <w:sz w:val="18"/>
                <w:szCs w:val="18"/>
                <w:lang w:eastAsia="en-AU"/>
              </w:rPr>
            </w:pPr>
            <w:r w:rsidRPr="00171CD4">
              <w:rPr>
                <w:rFonts w:ascii="Open Sans Semibold" w:eastAsia="Open Sans Semibold" w:hAnsi="Open Sans Semibold" w:cs="Open Sans Semibold"/>
                <w:color w:val="000000" w:themeColor="text1"/>
                <w:sz w:val="16"/>
                <w:szCs w:val="16"/>
              </w:rPr>
              <w:t>520 Welfare</w:t>
            </w:r>
          </w:p>
        </w:tc>
        <w:tc>
          <w:tcPr>
            <w:tcW w:w="4665" w:type="dxa"/>
            <w:tcBorders>
              <w:top w:val="nil"/>
              <w:left w:val="nil"/>
              <w:bottom w:val="single" w:sz="6" w:space="0" w:color="ADD6EA"/>
              <w:right w:val="nil"/>
            </w:tcBorders>
            <w:shd w:val="clear" w:color="auto" w:fill="B6D5E4"/>
            <w:vAlign w:val="center"/>
            <w:hideMark/>
          </w:tcPr>
          <w:p w14:paraId="7CC310E8" w14:textId="53DF8308"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3B4D6F7D"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76E8B47D" w14:textId="7D2B2B37"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5861138C" w14:textId="3814678F"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520-10 Child protection and family services</w:t>
            </w:r>
          </w:p>
        </w:tc>
        <w:tc>
          <w:tcPr>
            <w:tcW w:w="4665" w:type="dxa"/>
            <w:tcBorders>
              <w:top w:val="nil"/>
              <w:left w:val="nil"/>
              <w:bottom w:val="single" w:sz="6" w:space="0" w:color="ADD6EA"/>
              <w:right w:val="nil"/>
            </w:tcBorders>
            <w:shd w:val="clear" w:color="auto" w:fill="auto"/>
            <w:vAlign w:val="center"/>
            <w:hideMark/>
          </w:tcPr>
          <w:p w14:paraId="1F37D0AE" w14:textId="5F4BAF88"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 SEIFA)</w:t>
            </w:r>
          </w:p>
        </w:tc>
      </w:tr>
      <w:tr w:rsidR="00FF29CD" w:rsidRPr="00FF29CD" w14:paraId="684F5B85"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24BAE4CE" w14:textId="67D1F830"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30E876DF" w14:textId="78CEFED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520-21 National Disability Insurance Scheme (NDIS)</w:t>
            </w:r>
          </w:p>
        </w:tc>
        <w:tc>
          <w:tcPr>
            <w:tcW w:w="4665" w:type="dxa"/>
            <w:tcBorders>
              <w:top w:val="nil"/>
              <w:left w:val="nil"/>
              <w:bottom w:val="single" w:sz="6" w:space="0" w:color="ADD6EA"/>
              <w:right w:val="nil"/>
            </w:tcBorders>
            <w:shd w:val="clear" w:color="auto" w:fill="auto"/>
            <w:vAlign w:val="center"/>
            <w:hideMark/>
          </w:tcPr>
          <w:p w14:paraId="61252027" w14:textId="1EB9B9A6"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by state</w:t>
            </w:r>
          </w:p>
        </w:tc>
      </w:tr>
      <w:tr w:rsidR="00FF29CD" w:rsidRPr="00FF29CD" w14:paraId="6E1FE831"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4776F7F9" w14:textId="334B38E2"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3A13F28F" w14:textId="3F7EA6B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 xml:space="preserve">520-22 </w:t>
            </w:r>
            <w:bookmarkStart w:id="25" w:name="_Int_ywTXwzjI"/>
            <w:proofErr w:type="gramStart"/>
            <w:r w:rsidRPr="401F87D2">
              <w:rPr>
                <w:rFonts w:ascii="Work Sans" w:eastAsia="Times New Roman" w:hAnsi="Work Sans" w:cs="Segoe UI"/>
                <w:color w:val="000000" w:themeColor="text1"/>
                <w:sz w:val="16"/>
                <w:szCs w:val="16"/>
                <w:lang w:eastAsia="en-AU"/>
              </w:rPr>
              <w:t>Non-NDIS</w:t>
            </w:r>
            <w:bookmarkEnd w:id="25"/>
            <w:proofErr w:type="gramEnd"/>
            <w:r w:rsidRPr="401F87D2">
              <w:rPr>
                <w:rFonts w:ascii="Work Sans" w:eastAsia="Times New Roman" w:hAnsi="Work Sans" w:cs="Segoe UI"/>
                <w:color w:val="000000" w:themeColor="text1"/>
                <w:sz w:val="16"/>
                <w:szCs w:val="16"/>
                <w:lang w:eastAsia="en-AU"/>
              </w:rPr>
              <w:t>, aged care, national redress</w:t>
            </w:r>
          </w:p>
        </w:tc>
        <w:tc>
          <w:tcPr>
            <w:tcW w:w="4665" w:type="dxa"/>
            <w:tcBorders>
              <w:top w:val="nil"/>
              <w:left w:val="nil"/>
              <w:bottom w:val="single" w:sz="6" w:space="0" w:color="ADD6EA"/>
              <w:right w:val="nil"/>
            </w:tcBorders>
            <w:shd w:val="clear" w:color="auto" w:fill="auto"/>
            <w:vAlign w:val="center"/>
            <w:hideMark/>
          </w:tcPr>
          <w:p w14:paraId="2A4D2F64" w14:textId="0218D47D" w:rsidR="00FF29CD" w:rsidRPr="00FF29CD" w:rsidRDefault="464BAFB7"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3A2D71E6"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591B89F9" w14:textId="1354B25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1088FE23" w14:textId="1B7A5795"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520-41 Concessions</w:t>
            </w:r>
          </w:p>
        </w:tc>
        <w:tc>
          <w:tcPr>
            <w:tcW w:w="4665" w:type="dxa"/>
            <w:tcBorders>
              <w:top w:val="nil"/>
              <w:left w:val="nil"/>
              <w:bottom w:val="single" w:sz="6" w:space="0" w:color="ADD6EA"/>
              <w:right w:val="nil"/>
            </w:tcBorders>
            <w:shd w:val="clear" w:color="auto" w:fill="auto"/>
            <w:vAlign w:val="center"/>
            <w:hideMark/>
          </w:tcPr>
          <w:p w14:paraId="728A2EAC" w14:textId="5982C79B" w:rsidR="00FF29CD" w:rsidRPr="00FF29CD" w:rsidRDefault="6ACB4A72"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237AD532"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7C77504E" w14:textId="7F91B188"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0850B2AE" w14:textId="3F50D7F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520-42 Other welfare</w:t>
            </w:r>
          </w:p>
        </w:tc>
        <w:tc>
          <w:tcPr>
            <w:tcW w:w="4665" w:type="dxa"/>
            <w:tcBorders>
              <w:top w:val="nil"/>
              <w:left w:val="nil"/>
              <w:bottom w:val="single" w:sz="6" w:space="0" w:color="ADD6EA"/>
              <w:right w:val="nil"/>
            </w:tcBorders>
            <w:shd w:val="clear" w:color="auto" w:fill="auto"/>
            <w:vAlign w:val="center"/>
            <w:hideMark/>
          </w:tcPr>
          <w:p w14:paraId="1AE377E2" w14:textId="6F7E9BFB" w:rsidR="00FF29CD" w:rsidRPr="00FF29CD" w:rsidRDefault="5F95B088"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00AAE1D0" w14:textId="77777777" w:rsidTr="0E20B45B">
        <w:trPr>
          <w:trHeight w:val="300"/>
        </w:trPr>
        <w:tc>
          <w:tcPr>
            <w:tcW w:w="4665" w:type="dxa"/>
            <w:gridSpan w:val="2"/>
            <w:tcBorders>
              <w:top w:val="single" w:sz="6" w:space="0" w:color="ADD6EA"/>
              <w:left w:val="nil"/>
              <w:bottom w:val="single" w:sz="6" w:space="0" w:color="ADD6EA"/>
              <w:right w:val="nil"/>
            </w:tcBorders>
            <w:shd w:val="clear" w:color="auto" w:fill="B6D5E4"/>
            <w:vAlign w:val="center"/>
            <w:hideMark/>
          </w:tcPr>
          <w:p w14:paraId="3A51AC91" w14:textId="01D5BBC9" w:rsidR="00FF29CD" w:rsidRPr="00FF29CD" w:rsidRDefault="00FF29CD" w:rsidP="00171CD4">
            <w:pPr>
              <w:spacing w:after="0" w:line="240" w:lineRule="auto"/>
              <w:rPr>
                <w:rFonts w:ascii="Segoe UI" w:eastAsia="Times New Roman" w:hAnsi="Segoe UI" w:cs="Segoe UI"/>
                <w:sz w:val="18"/>
                <w:szCs w:val="18"/>
                <w:lang w:eastAsia="en-AU"/>
              </w:rPr>
            </w:pPr>
            <w:r w:rsidRPr="00171CD4">
              <w:rPr>
                <w:rFonts w:ascii="Open Sans Semibold" w:eastAsia="Open Sans Semibold" w:hAnsi="Open Sans Semibold" w:cs="Open Sans Semibold"/>
                <w:color w:val="000000" w:themeColor="text1"/>
                <w:sz w:val="16"/>
                <w:szCs w:val="16"/>
              </w:rPr>
              <w:t>530 Services to communities</w:t>
            </w:r>
          </w:p>
        </w:tc>
        <w:tc>
          <w:tcPr>
            <w:tcW w:w="4665" w:type="dxa"/>
            <w:tcBorders>
              <w:top w:val="nil"/>
              <w:left w:val="nil"/>
              <w:bottom w:val="single" w:sz="6" w:space="0" w:color="ADD6EA"/>
              <w:right w:val="nil"/>
            </w:tcBorders>
            <w:shd w:val="clear" w:color="auto" w:fill="B6D5E4"/>
            <w:vAlign w:val="center"/>
            <w:hideMark/>
          </w:tcPr>
          <w:p w14:paraId="6A560280" w14:textId="058520E5"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5FE71BEA"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36A59EF6" w14:textId="0BBC11E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0AD01844" w14:textId="49084D0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530-10 Water subsidies</w:t>
            </w:r>
          </w:p>
        </w:tc>
        <w:tc>
          <w:tcPr>
            <w:tcW w:w="4665" w:type="dxa"/>
            <w:tcBorders>
              <w:top w:val="nil"/>
              <w:left w:val="nil"/>
              <w:bottom w:val="single" w:sz="6" w:space="0" w:color="ADD6EA"/>
              <w:right w:val="nil"/>
            </w:tcBorders>
            <w:shd w:val="clear" w:color="auto" w:fill="auto"/>
            <w:vAlign w:val="center"/>
            <w:hideMark/>
          </w:tcPr>
          <w:p w14:paraId="6C3F9FEC" w14:textId="52E6EB2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by very small area</w:t>
            </w:r>
          </w:p>
        </w:tc>
      </w:tr>
      <w:tr w:rsidR="00FF29CD" w:rsidRPr="00FF29CD" w14:paraId="442E64EA"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4026D186" w14:textId="0BF9DDBB"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2C40E2A3" w14:textId="5E8095AE"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530-20 Electricity subsidies</w:t>
            </w:r>
          </w:p>
        </w:tc>
        <w:tc>
          <w:tcPr>
            <w:tcW w:w="4665" w:type="dxa"/>
            <w:tcBorders>
              <w:top w:val="nil"/>
              <w:left w:val="nil"/>
              <w:bottom w:val="single" w:sz="6" w:space="0" w:color="ADD6EA"/>
              <w:right w:val="nil"/>
            </w:tcBorders>
            <w:shd w:val="clear" w:color="auto" w:fill="auto"/>
            <w:vAlign w:val="center"/>
            <w:hideMark/>
          </w:tcPr>
          <w:p w14:paraId="504362B4" w14:textId="5357305B"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by very small area</w:t>
            </w:r>
          </w:p>
        </w:tc>
      </w:tr>
      <w:tr w:rsidR="00FF29CD" w:rsidRPr="00FF29CD" w14:paraId="6550D6FB"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42E23076" w14:textId="1A78163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7A69F555" w14:textId="7AC59C19"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530-30 Indigenous community development</w:t>
            </w:r>
          </w:p>
        </w:tc>
        <w:tc>
          <w:tcPr>
            <w:tcW w:w="4665" w:type="dxa"/>
            <w:tcBorders>
              <w:top w:val="nil"/>
              <w:left w:val="nil"/>
              <w:bottom w:val="single" w:sz="6" w:space="0" w:color="ADD6EA"/>
              <w:right w:val="nil"/>
            </w:tcBorders>
            <w:shd w:val="clear" w:color="auto" w:fill="auto"/>
            <w:vAlign w:val="center"/>
            <w:hideMark/>
          </w:tcPr>
          <w:p w14:paraId="4DF5AF3F" w14:textId="31EFB09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Indigenous ERP by small area</w:t>
            </w:r>
          </w:p>
        </w:tc>
      </w:tr>
      <w:tr w:rsidR="00FF29CD" w:rsidRPr="00FF29CD" w14:paraId="10437258"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695445E1" w14:textId="2716383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6109BBC0" w14:textId="233D65D9"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530-40 Other community development and amenities</w:t>
            </w:r>
          </w:p>
        </w:tc>
        <w:tc>
          <w:tcPr>
            <w:tcW w:w="4665" w:type="dxa"/>
            <w:tcBorders>
              <w:top w:val="nil"/>
              <w:left w:val="nil"/>
              <w:bottom w:val="single" w:sz="6" w:space="0" w:color="ADD6EA"/>
              <w:right w:val="nil"/>
            </w:tcBorders>
            <w:shd w:val="clear" w:color="auto" w:fill="auto"/>
            <w:vAlign w:val="center"/>
            <w:hideMark/>
          </w:tcPr>
          <w:p w14:paraId="4D74ADFC" w14:textId="0578F47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Nil</w:t>
            </w:r>
          </w:p>
        </w:tc>
      </w:tr>
      <w:tr w:rsidR="00FF29CD" w:rsidRPr="00FF29CD" w14:paraId="6BFC5C98"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06864CA0" w14:textId="398B10F4"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69364182" w14:textId="2A8132E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530-50 Environmental protection</w:t>
            </w:r>
          </w:p>
        </w:tc>
        <w:tc>
          <w:tcPr>
            <w:tcW w:w="4665" w:type="dxa"/>
            <w:tcBorders>
              <w:top w:val="nil"/>
              <w:left w:val="nil"/>
              <w:bottom w:val="single" w:sz="6" w:space="0" w:color="ADD6EA"/>
              <w:right w:val="nil"/>
            </w:tcBorders>
            <w:shd w:val="clear" w:color="auto" w:fill="auto"/>
            <w:vAlign w:val="center"/>
            <w:hideMark/>
          </w:tcPr>
          <w:p w14:paraId="617BF895" w14:textId="0C479A1B"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Nil</w:t>
            </w:r>
          </w:p>
        </w:tc>
      </w:tr>
      <w:tr w:rsidR="00FF29CD" w:rsidRPr="00FF29CD" w14:paraId="3832F6AE" w14:textId="77777777" w:rsidTr="0E20B45B">
        <w:trPr>
          <w:trHeight w:val="300"/>
        </w:trPr>
        <w:tc>
          <w:tcPr>
            <w:tcW w:w="4665" w:type="dxa"/>
            <w:gridSpan w:val="2"/>
            <w:tcBorders>
              <w:top w:val="single" w:sz="6" w:space="0" w:color="ADD6EA"/>
              <w:left w:val="nil"/>
              <w:bottom w:val="single" w:sz="6" w:space="0" w:color="ADD6EA"/>
              <w:right w:val="nil"/>
            </w:tcBorders>
            <w:shd w:val="clear" w:color="auto" w:fill="B6D5E4"/>
            <w:vAlign w:val="center"/>
            <w:hideMark/>
          </w:tcPr>
          <w:p w14:paraId="4B7925B5" w14:textId="02484B66" w:rsidR="00FF29CD" w:rsidRPr="00FF29CD" w:rsidRDefault="00FF29CD" w:rsidP="00171CD4">
            <w:pPr>
              <w:spacing w:after="0" w:line="240" w:lineRule="auto"/>
              <w:rPr>
                <w:rFonts w:ascii="Segoe UI" w:eastAsia="Times New Roman" w:hAnsi="Segoe UI" w:cs="Segoe UI"/>
                <w:sz w:val="18"/>
                <w:szCs w:val="18"/>
                <w:lang w:eastAsia="en-AU"/>
              </w:rPr>
            </w:pPr>
            <w:r w:rsidRPr="00171CD4">
              <w:rPr>
                <w:rFonts w:ascii="Open Sans Semibold" w:eastAsia="Open Sans Semibold" w:hAnsi="Open Sans Semibold" w:cs="Open Sans Semibold"/>
                <w:color w:val="000000" w:themeColor="text1"/>
                <w:sz w:val="16"/>
                <w:szCs w:val="16"/>
              </w:rPr>
              <w:t>610 Justice</w:t>
            </w:r>
          </w:p>
        </w:tc>
        <w:tc>
          <w:tcPr>
            <w:tcW w:w="4665" w:type="dxa"/>
            <w:tcBorders>
              <w:top w:val="nil"/>
              <w:left w:val="nil"/>
              <w:bottom w:val="single" w:sz="6" w:space="0" w:color="ADD6EA"/>
              <w:right w:val="nil"/>
            </w:tcBorders>
            <w:shd w:val="clear" w:color="auto" w:fill="B6D5E4"/>
            <w:vAlign w:val="center"/>
            <w:hideMark/>
          </w:tcPr>
          <w:p w14:paraId="01A87F94" w14:textId="21BD9D4D"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37CCBACD"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162E479B" w14:textId="41650698"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087DD4D0" w14:textId="423D369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610-10 Police</w:t>
            </w:r>
          </w:p>
        </w:tc>
        <w:tc>
          <w:tcPr>
            <w:tcW w:w="4665" w:type="dxa"/>
            <w:tcBorders>
              <w:top w:val="nil"/>
              <w:left w:val="nil"/>
              <w:bottom w:val="single" w:sz="6" w:space="0" w:color="ADD6EA"/>
              <w:right w:val="nil"/>
            </w:tcBorders>
            <w:shd w:val="clear" w:color="auto" w:fill="auto"/>
            <w:vAlign w:val="center"/>
            <w:hideMark/>
          </w:tcPr>
          <w:p w14:paraId="5E59D852" w14:textId="47A74458"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 SEIFA)</w:t>
            </w:r>
          </w:p>
        </w:tc>
      </w:tr>
      <w:tr w:rsidR="00FF29CD" w:rsidRPr="00FF29CD" w14:paraId="22FB1DA5"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44270B5C" w14:textId="5BBABBB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28EBADCD" w14:textId="1C213D66"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610-21 Criminal courts</w:t>
            </w:r>
          </w:p>
        </w:tc>
        <w:tc>
          <w:tcPr>
            <w:tcW w:w="4665" w:type="dxa"/>
            <w:tcBorders>
              <w:top w:val="nil"/>
              <w:left w:val="nil"/>
              <w:bottom w:val="single" w:sz="6" w:space="0" w:color="ADD6EA"/>
              <w:right w:val="nil"/>
            </w:tcBorders>
            <w:shd w:val="clear" w:color="auto" w:fill="auto"/>
            <w:vAlign w:val="center"/>
            <w:hideMark/>
          </w:tcPr>
          <w:p w14:paraId="74776218" w14:textId="7CD30D04"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 SEIFA)</w:t>
            </w:r>
          </w:p>
        </w:tc>
      </w:tr>
      <w:tr w:rsidR="00FF29CD" w:rsidRPr="00FF29CD" w14:paraId="5D4338C7"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16ACFE36" w14:textId="25C0A57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05A12B19" w14:textId="7679077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610-22 Other legal services</w:t>
            </w:r>
          </w:p>
        </w:tc>
        <w:tc>
          <w:tcPr>
            <w:tcW w:w="4665" w:type="dxa"/>
            <w:tcBorders>
              <w:top w:val="nil"/>
              <w:left w:val="nil"/>
              <w:bottom w:val="single" w:sz="6" w:space="0" w:color="ADD6EA"/>
              <w:right w:val="nil"/>
            </w:tcBorders>
            <w:shd w:val="clear" w:color="auto" w:fill="auto"/>
            <w:vAlign w:val="center"/>
            <w:hideMark/>
          </w:tcPr>
          <w:p w14:paraId="12FF0A85" w14:textId="6F7E9BFB" w:rsidR="00FF29CD" w:rsidRPr="00FF29CD" w:rsidRDefault="0BEF6227" w:rsidP="00FF29CD">
            <w:pPr>
              <w:spacing w:after="0" w:line="240" w:lineRule="auto"/>
              <w:textAlignment w:val="baseline"/>
              <w:rPr>
                <w:rFonts w:ascii="Segoe UI" w:eastAsia="Times New Roman" w:hAnsi="Segoe UI" w:cs="Segoe UI"/>
                <w:sz w:val="18"/>
                <w:szCs w:val="18"/>
                <w:lang w:eastAsia="en-AU"/>
              </w:rPr>
            </w:pPr>
            <w:r w:rsidRPr="6E601D1C">
              <w:rPr>
                <w:rFonts w:ascii="Work Sans" w:eastAsia="Times New Roman" w:hAnsi="Work Sans" w:cs="Segoe UI"/>
                <w:color w:val="000000" w:themeColor="text1"/>
                <w:sz w:val="16"/>
                <w:szCs w:val="16"/>
                <w:lang w:eastAsia="en-AU"/>
              </w:rPr>
              <w:t>Nil</w:t>
            </w:r>
          </w:p>
        </w:tc>
      </w:tr>
      <w:tr w:rsidR="00FF29CD" w:rsidRPr="00FF29CD" w14:paraId="6D0F6900"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76E6076D" w14:textId="6A997AD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71B7D855" w14:textId="3A6CAEC1"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610-30 Prisons</w:t>
            </w:r>
          </w:p>
        </w:tc>
        <w:tc>
          <w:tcPr>
            <w:tcW w:w="4665" w:type="dxa"/>
            <w:tcBorders>
              <w:top w:val="nil"/>
              <w:left w:val="nil"/>
              <w:bottom w:val="single" w:sz="6" w:space="0" w:color="ADD6EA"/>
              <w:right w:val="nil"/>
            </w:tcBorders>
            <w:shd w:val="clear" w:color="auto" w:fill="auto"/>
            <w:vAlign w:val="center"/>
            <w:hideMark/>
          </w:tcPr>
          <w:p w14:paraId="34F318E9" w14:textId="4EDC847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disaggregated by SDC (incl. SEIFA)</w:t>
            </w:r>
          </w:p>
        </w:tc>
      </w:tr>
      <w:tr w:rsidR="00FF29CD" w:rsidRPr="00FF29CD" w14:paraId="2173D50C" w14:textId="77777777" w:rsidTr="0E20B45B">
        <w:trPr>
          <w:trHeight w:val="300"/>
        </w:trPr>
        <w:tc>
          <w:tcPr>
            <w:tcW w:w="4665" w:type="dxa"/>
            <w:gridSpan w:val="2"/>
            <w:tcBorders>
              <w:top w:val="single" w:sz="6" w:space="0" w:color="ADD6EA"/>
              <w:left w:val="nil"/>
              <w:bottom w:val="single" w:sz="6" w:space="0" w:color="ADD6EA"/>
              <w:right w:val="nil"/>
            </w:tcBorders>
            <w:shd w:val="clear" w:color="auto" w:fill="B6D5E4"/>
            <w:vAlign w:val="center"/>
            <w:hideMark/>
          </w:tcPr>
          <w:p w14:paraId="033C1459" w14:textId="7FD8E833" w:rsidR="00FF29CD" w:rsidRPr="00FF29CD" w:rsidRDefault="00FF29CD" w:rsidP="00171CD4">
            <w:pPr>
              <w:spacing w:after="0" w:line="240" w:lineRule="auto"/>
              <w:rPr>
                <w:rFonts w:ascii="Segoe UI" w:eastAsia="Times New Roman" w:hAnsi="Segoe UI" w:cs="Segoe UI"/>
                <w:sz w:val="18"/>
                <w:szCs w:val="18"/>
                <w:lang w:eastAsia="en-AU"/>
              </w:rPr>
            </w:pPr>
            <w:r w:rsidRPr="00171CD4">
              <w:rPr>
                <w:rFonts w:ascii="Open Sans Semibold" w:eastAsia="Open Sans Semibold" w:hAnsi="Open Sans Semibold" w:cs="Open Sans Semibold"/>
                <w:color w:val="000000" w:themeColor="text1"/>
                <w:sz w:val="16"/>
                <w:szCs w:val="16"/>
              </w:rPr>
              <w:t>710 Roads</w:t>
            </w:r>
          </w:p>
        </w:tc>
        <w:tc>
          <w:tcPr>
            <w:tcW w:w="4665" w:type="dxa"/>
            <w:tcBorders>
              <w:top w:val="nil"/>
              <w:left w:val="nil"/>
              <w:bottom w:val="single" w:sz="6" w:space="0" w:color="ADD6EA"/>
              <w:right w:val="nil"/>
            </w:tcBorders>
            <w:shd w:val="clear" w:color="auto" w:fill="B6D5E4"/>
            <w:vAlign w:val="center"/>
            <w:hideMark/>
          </w:tcPr>
          <w:p w14:paraId="32E54AD0" w14:textId="6935721D"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77079B80"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73C102C6" w14:textId="1D0B2A95"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4E9468D4" w14:textId="61454B75"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710-11 Rural roads</w:t>
            </w:r>
          </w:p>
        </w:tc>
        <w:tc>
          <w:tcPr>
            <w:tcW w:w="4665" w:type="dxa"/>
            <w:tcBorders>
              <w:top w:val="nil"/>
              <w:left w:val="nil"/>
              <w:bottom w:val="single" w:sz="6" w:space="0" w:color="ADD6EA"/>
              <w:right w:val="nil"/>
            </w:tcBorders>
            <w:shd w:val="clear" w:color="auto" w:fill="auto"/>
            <w:vAlign w:val="center"/>
            <w:hideMark/>
          </w:tcPr>
          <w:p w14:paraId="2E867372" w14:textId="652EC8D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by area; whether town needs road</w:t>
            </w:r>
          </w:p>
        </w:tc>
      </w:tr>
      <w:tr w:rsidR="00FF29CD" w:rsidRPr="00FF29CD" w14:paraId="189133DF"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79E57B74" w14:textId="506D55BE"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73BDF804" w14:textId="13272F11"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710-21 Urban roads</w:t>
            </w:r>
          </w:p>
        </w:tc>
        <w:tc>
          <w:tcPr>
            <w:tcW w:w="4665" w:type="dxa"/>
            <w:tcBorders>
              <w:top w:val="nil"/>
              <w:left w:val="nil"/>
              <w:bottom w:val="single" w:sz="6" w:space="0" w:color="ADD6EA"/>
              <w:right w:val="nil"/>
            </w:tcBorders>
            <w:shd w:val="clear" w:color="auto" w:fill="auto"/>
            <w:vAlign w:val="center"/>
            <w:hideMark/>
          </w:tcPr>
          <w:p w14:paraId="59E09A6D" w14:textId="5B3A6415"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by area</w:t>
            </w:r>
          </w:p>
        </w:tc>
      </w:tr>
      <w:tr w:rsidR="00FF29CD" w:rsidRPr="00FF29CD" w14:paraId="57D39FE8"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157FB78C" w14:textId="0D7F3C08"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5FB13EEA" w14:textId="580000AF"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710-31 Bridges and tunnels</w:t>
            </w:r>
          </w:p>
        </w:tc>
        <w:tc>
          <w:tcPr>
            <w:tcW w:w="4665" w:type="dxa"/>
            <w:tcBorders>
              <w:top w:val="nil"/>
              <w:left w:val="nil"/>
              <w:bottom w:val="single" w:sz="6" w:space="0" w:color="ADD6EA"/>
              <w:right w:val="nil"/>
            </w:tcBorders>
            <w:shd w:val="clear" w:color="auto" w:fill="auto"/>
            <w:vAlign w:val="center"/>
            <w:hideMark/>
          </w:tcPr>
          <w:p w14:paraId="2DC774AB" w14:textId="09F01AA2" w:rsidR="00FF29CD" w:rsidRPr="00FF29CD" w:rsidRDefault="003A6AF3"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N</w:t>
            </w:r>
            <w:r w:rsidR="00FF29CD" w:rsidRPr="401F87D2">
              <w:rPr>
                <w:rFonts w:ascii="Work Sans" w:eastAsia="Times New Roman" w:hAnsi="Work Sans" w:cs="Segoe UI"/>
                <w:color w:val="000000" w:themeColor="text1"/>
                <w:sz w:val="16"/>
                <w:szCs w:val="16"/>
                <w:lang w:eastAsia="en-AU"/>
              </w:rPr>
              <w:t>il</w:t>
            </w:r>
          </w:p>
        </w:tc>
      </w:tr>
      <w:tr w:rsidR="00FF29CD" w:rsidRPr="00FF29CD" w14:paraId="7039A6C0" w14:textId="77777777" w:rsidTr="0E20B45B">
        <w:trPr>
          <w:trHeight w:val="300"/>
        </w:trPr>
        <w:tc>
          <w:tcPr>
            <w:tcW w:w="4665" w:type="dxa"/>
            <w:gridSpan w:val="2"/>
            <w:tcBorders>
              <w:top w:val="single" w:sz="6" w:space="0" w:color="ADD6EA"/>
              <w:left w:val="nil"/>
              <w:bottom w:val="single" w:sz="6" w:space="0" w:color="ADD6EA"/>
              <w:right w:val="nil"/>
            </w:tcBorders>
            <w:shd w:val="clear" w:color="auto" w:fill="B6D5E4"/>
            <w:vAlign w:val="center"/>
            <w:hideMark/>
          </w:tcPr>
          <w:p w14:paraId="6CAA74AD" w14:textId="116482F1" w:rsidR="00FF29CD" w:rsidRPr="00FF29CD" w:rsidRDefault="00FF29CD" w:rsidP="00171CD4">
            <w:pPr>
              <w:spacing w:after="0" w:line="240" w:lineRule="auto"/>
              <w:rPr>
                <w:rFonts w:ascii="Segoe UI" w:eastAsia="Times New Roman" w:hAnsi="Segoe UI" w:cs="Segoe UI"/>
                <w:sz w:val="18"/>
                <w:szCs w:val="18"/>
                <w:lang w:eastAsia="en-AU"/>
              </w:rPr>
            </w:pPr>
            <w:r w:rsidRPr="00171CD4">
              <w:rPr>
                <w:rFonts w:ascii="Open Sans Semibold" w:eastAsia="Open Sans Semibold" w:hAnsi="Open Sans Semibold" w:cs="Open Sans Semibold"/>
                <w:color w:val="000000" w:themeColor="text1"/>
                <w:sz w:val="16"/>
                <w:szCs w:val="16"/>
              </w:rPr>
              <w:lastRenderedPageBreak/>
              <w:t>720 Transport</w:t>
            </w:r>
          </w:p>
        </w:tc>
        <w:tc>
          <w:tcPr>
            <w:tcW w:w="4665" w:type="dxa"/>
            <w:tcBorders>
              <w:top w:val="nil"/>
              <w:left w:val="nil"/>
              <w:bottom w:val="single" w:sz="6" w:space="0" w:color="ADD6EA"/>
              <w:right w:val="nil"/>
            </w:tcBorders>
            <w:shd w:val="clear" w:color="auto" w:fill="B6D5E4"/>
            <w:vAlign w:val="center"/>
            <w:hideMark/>
          </w:tcPr>
          <w:p w14:paraId="624AF22E" w14:textId="2D181EDB" w:rsidR="00FF29CD" w:rsidRPr="00FF29CD" w:rsidRDefault="00FF29CD" w:rsidP="00FF29CD">
            <w:pPr>
              <w:spacing w:after="0" w:line="240" w:lineRule="auto"/>
              <w:ind w:firstLine="225"/>
              <w:textAlignment w:val="baseline"/>
              <w:rPr>
                <w:rFonts w:ascii="Segoe UI" w:eastAsia="Times New Roman" w:hAnsi="Segoe UI" w:cs="Segoe UI"/>
                <w:sz w:val="18"/>
                <w:szCs w:val="18"/>
                <w:lang w:eastAsia="en-AU"/>
              </w:rPr>
            </w:pPr>
          </w:p>
        </w:tc>
      </w:tr>
      <w:tr w:rsidR="00FF29CD" w:rsidRPr="00FF29CD" w14:paraId="3FD3279C"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6EBEFDFF" w14:textId="75315DD2"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30230F5B" w14:textId="5C4C464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720-10 Urban transport</w:t>
            </w:r>
          </w:p>
        </w:tc>
        <w:tc>
          <w:tcPr>
            <w:tcW w:w="4665" w:type="dxa"/>
            <w:tcBorders>
              <w:top w:val="nil"/>
              <w:left w:val="nil"/>
              <w:bottom w:val="single" w:sz="6" w:space="0" w:color="ADD6EA"/>
              <w:right w:val="nil"/>
            </w:tcBorders>
            <w:shd w:val="clear" w:color="auto" w:fill="auto"/>
            <w:vAlign w:val="center"/>
            <w:hideMark/>
          </w:tcPr>
          <w:p w14:paraId="4C10E94E" w14:textId="1D8775EE"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ERP by small area; Commuter patterns by transport mode</w:t>
            </w:r>
          </w:p>
        </w:tc>
      </w:tr>
      <w:tr w:rsidR="00FF29CD" w:rsidRPr="00FF29CD" w14:paraId="4A63F53E" w14:textId="77777777" w:rsidTr="0E20B45B">
        <w:trPr>
          <w:trHeight w:val="300"/>
        </w:trPr>
        <w:tc>
          <w:tcPr>
            <w:tcW w:w="270" w:type="dxa"/>
            <w:tcBorders>
              <w:top w:val="nil"/>
              <w:left w:val="nil"/>
              <w:bottom w:val="single" w:sz="6" w:space="0" w:color="ADD6EA"/>
              <w:right w:val="nil"/>
            </w:tcBorders>
            <w:shd w:val="clear" w:color="auto" w:fill="auto"/>
            <w:vAlign w:val="center"/>
            <w:hideMark/>
          </w:tcPr>
          <w:p w14:paraId="22A35015" w14:textId="01E9326F"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nil"/>
              <w:left w:val="nil"/>
              <w:bottom w:val="single" w:sz="6" w:space="0" w:color="ADD6EA"/>
              <w:right w:val="nil"/>
            </w:tcBorders>
            <w:shd w:val="clear" w:color="auto" w:fill="auto"/>
            <w:vAlign w:val="center"/>
            <w:hideMark/>
          </w:tcPr>
          <w:p w14:paraId="6E44093F" w14:textId="1F495B9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 xml:space="preserve">720-20 </w:t>
            </w:r>
            <w:bookmarkStart w:id="26" w:name="_Int_WTtBODTz"/>
            <w:proofErr w:type="gramStart"/>
            <w:r w:rsidRPr="401F87D2">
              <w:rPr>
                <w:rFonts w:ascii="Work Sans" w:eastAsia="Times New Roman" w:hAnsi="Work Sans" w:cs="Segoe UI"/>
                <w:color w:val="000000" w:themeColor="text1"/>
                <w:sz w:val="16"/>
                <w:szCs w:val="16"/>
                <w:lang w:eastAsia="en-AU"/>
              </w:rPr>
              <w:t>Non-urban</w:t>
            </w:r>
            <w:bookmarkEnd w:id="26"/>
            <w:proofErr w:type="gramEnd"/>
            <w:r w:rsidRPr="401F87D2">
              <w:rPr>
                <w:rFonts w:ascii="Work Sans" w:eastAsia="Times New Roman" w:hAnsi="Work Sans" w:cs="Segoe UI"/>
                <w:color w:val="000000" w:themeColor="text1"/>
                <w:sz w:val="16"/>
                <w:szCs w:val="16"/>
                <w:lang w:eastAsia="en-AU"/>
              </w:rPr>
              <w:t xml:space="preserve"> transport</w:t>
            </w:r>
          </w:p>
        </w:tc>
        <w:tc>
          <w:tcPr>
            <w:tcW w:w="4665" w:type="dxa"/>
            <w:tcBorders>
              <w:top w:val="nil"/>
              <w:left w:val="nil"/>
              <w:bottom w:val="single" w:sz="6" w:space="0" w:color="ADD6EA"/>
              <w:right w:val="nil"/>
            </w:tcBorders>
            <w:shd w:val="clear" w:color="auto" w:fill="auto"/>
            <w:vAlign w:val="center"/>
            <w:hideMark/>
          </w:tcPr>
          <w:p w14:paraId="4323AB00" w14:textId="41B96BCF" w:rsidR="00FF29CD" w:rsidRPr="00FF29CD" w:rsidRDefault="70B0CEA0" w:rsidP="00FF29CD">
            <w:pPr>
              <w:spacing w:after="0" w:line="240" w:lineRule="auto"/>
              <w:textAlignment w:val="baseline"/>
              <w:rPr>
                <w:rFonts w:ascii="Segoe UI" w:eastAsia="Times New Roman" w:hAnsi="Segoe UI" w:cs="Segoe UI"/>
                <w:sz w:val="18"/>
                <w:szCs w:val="18"/>
                <w:lang w:eastAsia="en-AU"/>
              </w:rPr>
            </w:pPr>
            <w:r w:rsidRPr="24C74E02">
              <w:rPr>
                <w:rFonts w:ascii="Work Sans" w:eastAsia="Times New Roman" w:hAnsi="Work Sans" w:cs="Segoe UI"/>
                <w:color w:val="000000" w:themeColor="text1"/>
                <w:sz w:val="16"/>
                <w:szCs w:val="16"/>
                <w:lang w:eastAsia="en-AU"/>
              </w:rPr>
              <w:t>N</w:t>
            </w:r>
            <w:r w:rsidR="00FF29CD" w:rsidRPr="24C74E02">
              <w:rPr>
                <w:rFonts w:ascii="Work Sans" w:eastAsia="Times New Roman" w:hAnsi="Work Sans" w:cs="Segoe UI"/>
                <w:color w:val="000000" w:themeColor="text1"/>
                <w:sz w:val="16"/>
                <w:szCs w:val="16"/>
                <w:lang w:eastAsia="en-AU"/>
              </w:rPr>
              <w:t>il</w:t>
            </w:r>
          </w:p>
        </w:tc>
      </w:tr>
      <w:tr w:rsidR="00FF29CD" w:rsidRPr="00FF29CD" w14:paraId="736F0624" w14:textId="77777777" w:rsidTr="0E20B45B">
        <w:trPr>
          <w:trHeight w:val="300"/>
        </w:trPr>
        <w:tc>
          <w:tcPr>
            <w:tcW w:w="4665" w:type="dxa"/>
            <w:gridSpan w:val="2"/>
            <w:tcBorders>
              <w:top w:val="single" w:sz="6" w:space="0" w:color="ADD6EA"/>
              <w:left w:val="nil"/>
              <w:bottom w:val="single" w:sz="6" w:space="0" w:color="ADD6EA"/>
              <w:right w:val="nil"/>
            </w:tcBorders>
            <w:shd w:val="clear" w:color="auto" w:fill="B6D5E4"/>
            <w:vAlign w:val="center"/>
            <w:hideMark/>
          </w:tcPr>
          <w:p w14:paraId="77C427FB" w14:textId="3BD8CEA8" w:rsidR="00FF29CD" w:rsidRPr="00FF29CD" w:rsidRDefault="00FF29CD" w:rsidP="00171CD4">
            <w:pPr>
              <w:spacing w:after="0" w:line="240" w:lineRule="auto"/>
              <w:rPr>
                <w:rFonts w:ascii="Segoe UI" w:eastAsia="Times New Roman" w:hAnsi="Segoe UI" w:cs="Segoe UI"/>
                <w:sz w:val="18"/>
                <w:szCs w:val="18"/>
                <w:lang w:eastAsia="en-AU"/>
              </w:rPr>
            </w:pPr>
            <w:r w:rsidRPr="00171CD4">
              <w:rPr>
                <w:rFonts w:ascii="Open Sans Semibold" w:eastAsia="Open Sans Semibold" w:hAnsi="Open Sans Semibold" w:cs="Open Sans Semibold"/>
                <w:color w:val="000000" w:themeColor="text1"/>
                <w:sz w:val="16"/>
                <w:szCs w:val="16"/>
              </w:rPr>
              <w:t>810 Services to industry</w:t>
            </w:r>
          </w:p>
        </w:tc>
        <w:tc>
          <w:tcPr>
            <w:tcW w:w="4665" w:type="dxa"/>
            <w:tcBorders>
              <w:top w:val="nil"/>
              <w:left w:val="nil"/>
              <w:bottom w:val="single" w:sz="6" w:space="0" w:color="ADD6EA"/>
              <w:right w:val="nil"/>
            </w:tcBorders>
            <w:shd w:val="clear" w:color="auto" w:fill="B6D5E4"/>
            <w:vAlign w:val="center"/>
            <w:hideMark/>
          </w:tcPr>
          <w:p w14:paraId="3B3ECDEE" w14:textId="4069C9D6" w:rsidR="00FF29CD" w:rsidRPr="00FF29CD" w:rsidRDefault="00FF29CD" w:rsidP="00FF29CD">
            <w:pPr>
              <w:spacing w:after="0" w:line="240" w:lineRule="auto"/>
              <w:textAlignment w:val="baseline"/>
              <w:rPr>
                <w:rFonts w:ascii="Segoe UI" w:eastAsia="Times New Roman" w:hAnsi="Segoe UI" w:cs="Segoe UI"/>
                <w:sz w:val="18"/>
                <w:szCs w:val="18"/>
                <w:lang w:eastAsia="en-AU"/>
              </w:rPr>
            </w:pPr>
          </w:p>
        </w:tc>
      </w:tr>
      <w:tr w:rsidR="00FF29CD" w:rsidRPr="00FF29CD" w14:paraId="1C1E5B1B" w14:textId="77777777" w:rsidTr="0E20B45B">
        <w:trPr>
          <w:trHeight w:val="300"/>
        </w:trPr>
        <w:tc>
          <w:tcPr>
            <w:tcW w:w="270" w:type="dxa"/>
            <w:tcBorders>
              <w:top w:val="single" w:sz="6" w:space="0" w:color="ADD6EA"/>
              <w:left w:val="nil"/>
              <w:bottom w:val="single" w:sz="6" w:space="0" w:color="ADD6EA"/>
              <w:right w:val="nil"/>
            </w:tcBorders>
            <w:shd w:val="clear" w:color="auto" w:fill="FFFFFF" w:themeFill="background1"/>
            <w:vAlign w:val="center"/>
            <w:hideMark/>
          </w:tcPr>
          <w:p w14:paraId="054B7563" w14:textId="6A408A96"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single" w:sz="6" w:space="0" w:color="ADD6EA"/>
              <w:left w:val="nil"/>
              <w:bottom w:val="single" w:sz="6" w:space="0" w:color="ADD6EA"/>
              <w:right w:val="nil"/>
            </w:tcBorders>
            <w:shd w:val="clear" w:color="auto" w:fill="FFFFFF" w:themeFill="background1"/>
            <w:vAlign w:val="center"/>
            <w:hideMark/>
          </w:tcPr>
          <w:p w14:paraId="3AE3166E" w14:textId="3F9E6D6D"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810-10 Agriculture regulation</w:t>
            </w:r>
          </w:p>
        </w:tc>
        <w:tc>
          <w:tcPr>
            <w:tcW w:w="4665" w:type="dxa"/>
            <w:tcBorders>
              <w:top w:val="nil"/>
              <w:left w:val="nil"/>
              <w:bottom w:val="single" w:sz="6" w:space="0" w:color="ADD6EA"/>
              <w:right w:val="nil"/>
            </w:tcBorders>
            <w:shd w:val="clear" w:color="auto" w:fill="FFFFFF" w:themeFill="background1"/>
            <w:vAlign w:val="center"/>
            <w:hideMark/>
          </w:tcPr>
          <w:p w14:paraId="34E04E08" w14:textId="211AD5C4"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Count of employed persons by place of work</w:t>
            </w:r>
          </w:p>
        </w:tc>
      </w:tr>
      <w:tr w:rsidR="00FF29CD" w:rsidRPr="00FF29CD" w14:paraId="4A27F5FE" w14:textId="77777777" w:rsidTr="0E20B45B">
        <w:trPr>
          <w:trHeight w:val="300"/>
        </w:trPr>
        <w:tc>
          <w:tcPr>
            <w:tcW w:w="270" w:type="dxa"/>
            <w:tcBorders>
              <w:top w:val="single" w:sz="6" w:space="0" w:color="ADD6EA"/>
              <w:left w:val="nil"/>
              <w:bottom w:val="single" w:sz="6" w:space="0" w:color="ADD6EA"/>
              <w:right w:val="nil"/>
            </w:tcBorders>
            <w:shd w:val="clear" w:color="auto" w:fill="FFFFFF" w:themeFill="background1"/>
            <w:vAlign w:val="center"/>
            <w:hideMark/>
          </w:tcPr>
          <w:p w14:paraId="5399D840" w14:textId="49119A86"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single" w:sz="6" w:space="0" w:color="ADD6EA"/>
              <w:left w:val="nil"/>
              <w:bottom w:val="single" w:sz="6" w:space="0" w:color="ADD6EA"/>
              <w:right w:val="nil"/>
            </w:tcBorders>
            <w:shd w:val="clear" w:color="auto" w:fill="FFFFFF" w:themeFill="background1"/>
            <w:vAlign w:val="center"/>
            <w:hideMark/>
          </w:tcPr>
          <w:p w14:paraId="5009E6FE" w14:textId="64056FC9"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810-20 Mining regulation</w:t>
            </w:r>
          </w:p>
        </w:tc>
        <w:tc>
          <w:tcPr>
            <w:tcW w:w="4665" w:type="dxa"/>
            <w:tcBorders>
              <w:top w:val="nil"/>
              <w:left w:val="nil"/>
              <w:bottom w:val="single" w:sz="6" w:space="0" w:color="ADD6EA"/>
              <w:right w:val="nil"/>
            </w:tcBorders>
            <w:shd w:val="clear" w:color="auto" w:fill="FFFFFF" w:themeFill="background1"/>
            <w:vAlign w:val="center"/>
            <w:hideMark/>
          </w:tcPr>
          <w:p w14:paraId="26EF6CA6" w14:textId="640EA69E"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Count of employed persons by place of work</w:t>
            </w:r>
          </w:p>
        </w:tc>
      </w:tr>
      <w:tr w:rsidR="00FF29CD" w:rsidRPr="00FF29CD" w14:paraId="00DE570B" w14:textId="77777777" w:rsidTr="0E20B45B">
        <w:trPr>
          <w:trHeight w:val="300"/>
        </w:trPr>
        <w:tc>
          <w:tcPr>
            <w:tcW w:w="270" w:type="dxa"/>
            <w:tcBorders>
              <w:top w:val="single" w:sz="6" w:space="0" w:color="ADD6EA"/>
              <w:left w:val="nil"/>
              <w:bottom w:val="single" w:sz="6" w:space="0" w:color="ADD6EA"/>
              <w:right w:val="nil"/>
            </w:tcBorders>
            <w:shd w:val="clear" w:color="auto" w:fill="FFFFFF" w:themeFill="background1"/>
            <w:vAlign w:val="center"/>
            <w:hideMark/>
          </w:tcPr>
          <w:p w14:paraId="7A14FB5E" w14:textId="4361E517"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single" w:sz="6" w:space="0" w:color="ADD6EA"/>
              <w:left w:val="nil"/>
              <w:bottom w:val="single" w:sz="6" w:space="0" w:color="ADD6EA"/>
              <w:right w:val="nil"/>
            </w:tcBorders>
            <w:shd w:val="clear" w:color="auto" w:fill="FFFFFF" w:themeFill="background1"/>
            <w:vAlign w:val="center"/>
            <w:hideMark/>
          </w:tcPr>
          <w:p w14:paraId="11FC4D25" w14:textId="314CA291"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810-30 Other industries regulation</w:t>
            </w:r>
          </w:p>
        </w:tc>
        <w:tc>
          <w:tcPr>
            <w:tcW w:w="4665" w:type="dxa"/>
            <w:tcBorders>
              <w:top w:val="nil"/>
              <w:left w:val="nil"/>
              <w:bottom w:val="single" w:sz="6" w:space="0" w:color="ADD6EA"/>
              <w:right w:val="nil"/>
            </w:tcBorders>
            <w:shd w:val="clear" w:color="auto" w:fill="FFFFFF" w:themeFill="background1"/>
            <w:vAlign w:val="center"/>
            <w:hideMark/>
          </w:tcPr>
          <w:p w14:paraId="172851FF" w14:textId="5B68F1BC"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Count of employed persons by place of work</w:t>
            </w:r>
          </w:p>
        </w:tc>
      </w:tr>
      <w:tr w:rsidR="00FF29CD" w:rsidRPr="00FF29CD" w14:paraId="701FED16" w14:textId="77777777" w:rsidTr="0E20B45B">
        <w:trPr>
          <w:trHeight w:val="300"/>
        </w:trPr>
        <w:tc>
          <w:tcPr>
            <w:tcW w:w="270" w:type="dxa"/>
            <w:tcBorders>
              <w:top w:val="single" w:sz="6" w:space="0" w:color="ADD6EA"/>
              <w:left w:val="nil"/>
              <w:bottom w:val="single" w:sz="6" w:space="0" w:color="ADD6EA"/>
              <w:right w:val="nil"/>
            </w:tcBorders>
            <w:shd w:val="clear" w:color="auto" w:fill="FFFFFF" w:themeFill="background1"/>
            <w:vAlign w:val="center"/>
            <w:hideMark/>
          </w:tcPr>
          <w:p w14:paraId="6CBDE555" w14:textId="1D9E781A"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Times New Roman" w:eastAsia="Times New Roman" w:hAnsi="Times New Roman" w:cs="Times New Roman"/>
                <w:color w:val="000000" w:themeColor="text1"/>
                <w:sz w:val="16"/>
                <w:szCs w:val="16"/>
                <w:lang w:eastAsia="en-AU"/>
              </w:rPr>
              <w:t> </w:t>
            </w:r>
          </w:p>
        </w:tc>
        <w:tc>
          <w:tcPr>
            <w:tcW w:w="4395" w:type="dxa"/>
            <w:tcBorders>
              <w:top w:val="single" w:sz="6" w:space="0" w:color="ADD6EA"/>
              <w:left w:val="nil"/>
              <w:bottom w:val="single" w:sz="6" w:space="0" w:color="ADD6EA"/>
              <w:right w:val="nil"/>
            </w:tcBorders>
            <w:shd w:val="clear" w:color="auto" w:fill="FFFFFF" w:themeFill="background1"/>
            <w:vAlign w:val="center"/>
            <w:hideMark/>
          </w:tcPr>
          <w:p w14:paraId="4C13F1C1" w14:textId="637241A1"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810-40 Business development</w:t>
            </w:r>
          </w:p>
        </w:tc>
        <w:tc>
          <w:tcPr>
            <w:tcW w:w="4665" w:type="dxa"/>
            <w:tcBorders>
              <w:top w:val="nil"/>
              <w:left w:val="nil"/>
              <w:bottom w:val="single" w:sz="6" w:space="0" w:color="ADD6EA"/>
              <w:right w:val="nil"/>
            </w:tcBorders>
            <w:shd w:val="clear" w:color="auto" w:fill="FFFFFF" w:themeFill="background1"/>
            <w:vAlign w:val="center"/>
            <w:hideMark/>
          </w:tcPr>
          <w:p w14:paraId="342E5281" w14:textId="077CD7A1" w:rsidR="00FF29CD" w:rsidRPr="00FF29CD" w:rsidRDefault="00FF29CD" w:rsidP="00FF29CD">
            <w:pPr>
              <w:spacing w:after="0" w:line="240" w:lineRule="auto"/>
              <w:textAlignment w:val="baseline"/>
              <w:rPr>
                <w:rFonts w:ascii="Segoe UI" w:eastAsia="Times New Roman" w:hAnsi="Segoe UI" w:cs="Segoe UI"/>
                <w:sz w:val="18"/>
                <w:szCs w:val="18"/>
                <w:lang w:eastAsia="en-AU"/>
              </w:rPr>
            </w:pPr>
            <w:r w:rsidRPr="401F87D2">
              <w:rPr>
                <w:rFonts w:ascii="Work Sans" w:eastAsia="Times New Roman" w:hAnsi="Work Sans" w:cs="Segoe UI"/>
                <w:color w:val="000000" w:themeColor="text1"/>
                <w:sz w:val="16"/>
                <w:szCs w:val="16"/>
                <w:lang w:eastAsia="en-AU"/>
              </w:rPr>
              <w:t>Nil</w:t>
            </w:r>
          </w:p>
        </w:tc>
      </w:tr>
    </w:tbl>
    <w:p w14:paraId="416A15E1" w14:textId="5559A8B4" w:rsidR="00FF29CD" w:rsidRPr="00BE73C1" w:rsidRDefault="00FF29CD" w:rsidP="37E0AD7E">
      <w:pPr>
        <w:pStyle w:val="CGCTablerow"/>
        <w:ind w:left="567" w:hanging="567"/>
        <w:rPr>
          <w:sz w:val="14"/>
          <w:szCs w:val="14"/>
        </w:rPr>
      </w:pPr>
      <w:r w:rsidRPr="00BE73C1" w:rsidDel="00D77B6C">
        <w:rPr>
          <w:sz w:val="14"/>
          <w:szCs w:val="14"/>
        </w:rPr>
        <w:t xml:space="preserve">Note: </w:t>
      </w:r>
      <w:r w:rsidRPr="00BE73C1" w:rsidDel="00D77B6C">
        <w:rPr>
          <w:sz w:val="14"/>
          <w:szCs w:val="14"/>
        </w:rPr>
        <w:tab/>
        <w:t>The table only lists Census measures used directly by the Commission. Other data inputs may have Census changes embedded in them.</w:t>
      </w:r>
    </w:p>
    <w:p w14:paraId="3B2C225F" w14:textId="24603539" w:rsidR="37E0AD7E" w:rsidRDefault="37E0AD7E">
      <w:r>
        <w:br w:type="page"/>
      </w:r>
    </w:p>
    <w:p w14:paraId="42791DED" w14:textId="5573462F" w:rsidR="00835935" w:rsidRPr="00835935" w:rsidRDefault="00835935" w:rsidP="005D7A41">
      <w:pPr>
        <w:pStyle w:val="Heading2"/>
        <w:rPr>
          <w:rFonts w:eastAsia="MS Gothic" w:cs="Times New Roman"/>
          <w:color w:val="004563"/>
          <w:sz w:val="40"/>
          <w:szCs w:val="40"/>
        </w:rPr>
      </w:pPr>
      <w:r w:rsidRPr="0020736B">
        <w:rPr>
          <w:rFonts w:eastAsia="MS Gothic"/>
        </w:rPr>
        <w:lastRenderedPageBreak/>
        <w:t xml:space="preserve">Attachment </w:t>
      </w:r>
      <w:bookmarkEnd w:id="18"/>
      <w:bookmarkEnd w:id="19"/>
      <w:bookmarkEnd w:id="20"/>
      <w:r w:rsidR="00FF29CD" w:rsidRPr="3B084EB0">
        <w:rPr>
          <w:rFonts w:eastAsia="MS Gothic"/>
        </w:rPr>
        <w:t>B</w:t>
      </w:r>
      <w:r w:rsidRPr="3B084EB0">
        <w:rPr>
          <w:rFonts w:eastAsia="MS Gothic"/>
        </w:rPr>
        <w:t xml:space="preserve"> </w:t>
      </w:r>
      <w:r w:rsidR="00132920">
        <w:rPr>
          <w:rFonts w:eastAsia="MS Gothic"/>
        </w:rPr>
        <w:t>—</w:t>
      </w:r>
      <w:r w:rsidRPr="3B084EB0">
        <w:rPr>
          <w:rFonts w:eastAsia="MS Gothic"/>
        </w:rPr>
        <w:t xml:space="preserve"> </w:t>
      </w:r>
      <w:r w:rsidR="00472ED6" w:rsidRPr="005D7A41">
        <w:rPr>
          <w:rFonts w:eastAsia="MS Gothic"/>
        </w:rPr>
        <w:t xml:space="preserve">Changes to </w:t>
      </w:r>
      <w:r w:rsidRPr="005D7A41">
        <w:rPr>
          <w:rFonts w:eastAsia="MS Gothic"/>
        </w:rPr>
        <w:t>Significant Urban Areas</w:t>
      </w:r>
    </w:p>
    <w:p w14:paraId="415AC298" w14:textId="1FB3BF25" w:rsidR="0072160D" w:rsidRPr="0072160D" w:rsidRDefault="0072160D" w:rsidP="3B084EB0">
      <w:pPr>
        <w:keepNext/>
        <w:keepLines/>
        <w:spacing w:after="0" w:line="240" w:lineRule="auto"/>
        <w:rPr>
          <w:rStyle w:val="eop"/>
          <w:rFonts w:ascii="Work Sans" w:eastAsia="Calibri" w:hAnsi="Work Sans" w:cs="Arial"/>
          <w:b/>
          <w:bCs/>
          <w:sz w:val="20"/>
          <w:szCs w:val="20"/>
        </w:rPr>
      </w:pPr>
      <w:r w:rsidRPr="0072160D">
        <w:rPr>
          <w:rFonts w:ascii="Work Sans" w:eastAsia="Calibri" w:hAnsi="Work Sans" w:cs="Arial"/>
          <w:b/>
          <w:bCs/>
          <w:sz w:val="20"/>
          <w:szCs w:val="20"/>
        </w:rPr>
        <w:t xml:space="preserve">Changes to significant urban areas </w:t>
      </w:r>
      <w:r w:rsidR="00E20571">
        <w:rPr>
          <w:rFonts w:ascii="Work Sans" w:eastAsia="Calibri" w:hAnsi="Work Sans" w:cs="Arial"/>
          <w:b/>
          <w:bCs/>
          <w:sz w:val="20"/>
          <w:szCs w:val="20"/>
        </w:rPr>
        <w:t>(</w:t>
      </w:r>
      <w:r w:rsidR="00A076E0">
        <w:rPr>
          <w:rFonts w:ascii="Work Sans" w:eastAsia="Calibri" w:hAnsi="Work Sans" w:cs="Arial"/>
          <w:b/>
          <w:bCs/>
          <w:sz w:val="20"/>
          <w:szCs w:val="20"/>
        </w:rPr>
        <w:t xml:space="preserve">SUA) </w:t>
      </w:r>
      <w:r w:rsidR="008803FC">
        <w:rPr>
          <w:rFonts w:ascii="Work Sans" w:eastAsia="Calibri" w:hAnsi="Work Sans" w:cs="Arial"/>
          <w:b/>
          <w:bCs/>
          <w:sz w:val="20"/>
          <w:szCs w:val="20"/>
        </w:rPr>
        <w:t xml:space="preserve">between the ABS 2016 and </w:t>
      </w:r>
      <w:r w:rsidRPr="0072160D">
        <w:rPr>
          <w:rFonts w:ascii="Work Sans" w:eastAsia="Calibri" w:hAnsi="Work Sans" w:cs="Arial"/>
          <w:b/>
          <w:bCs/>
          <w:sz w:val="20"/>
          <w:szCs w:val="20"/>
        </w:rPr>
        <w:t xml:space="preserve">2021 </w:t>
      </w:r>
      <w:r w:rsidR="008803FC">
        <w:rPr>
          <w:rFonts w:ascii="Work Sans" w:eastAsia="Calibri" w:hAnsi="Work Sans" w:cs="Arial"/>
          <w:b/>
          <w:bCs/>
          <w:sz w:val="20"/>
          <w:szCs w:val="20"/>
        </w:rPr>
        <w:t>c</w:t>
      </w:r>
      <w:r w:rsidR="008803FC" w:rsidRPr="0072160D">
        <w:rPr>
          <w:rFonts w:ascii="Work Sans" w:eastAsia="Calibri" w:hAnsi="Work Sans" w:cs="Arial"/>
          <w:b/>
          <w:bCs/>
          <w:sz w:val="20"/>
          <w:szCs w:val="20"/>
        </w:rPr>
        <w:t>ensus</w:t>
      </w:r>
      <w:r w:rsidR="008803FC">
        <w:rPr>
          <w:rFonts w:ascii="Work Sans" w:eastAsia="Calibri" w:hAnsi="Work Sans" w:cs="Arial"/>
          <w:b/>
          <w:bCs/>
          <w:sz w:val="20"/>
          <w:szCs w:val="20"/>
        </w:rPr>
        <w:t>es</w:t>
      </w:r>
    </w:p>
    <w:tbl>
      <w:tblPr>
        <w:tblW w:w="8948" w:type="dxa"/>
        <w:tblLook w:val="04A0" w:firstRow="1" w:lastRow="0" w:firstColumn="1" w:lastColumn="0" w:noHBand="0" w:noVBand="1"/>
      </w:tblPr>
      <w:tblGrid>
        <w:gridCol w:w="3505"/>
        <w:gridCol w:w="1701"/>
        <w:gridCol w:w="3742"/>
      </w:tblGrid>
      <w:tr w:rsidR="009279F1" w:rsidRPr="009279F1" w14:paraId="08DF08B5" w14:textId="77777777" w:rsidTr="397A327A">
        <w:trPr>
          <w:trHeight w:val="375"/>
        </w:trPr>
        <w:tc>
          <w:tcPr>
            <w:tcW w:w="3505" w:type="dxa"/>
            <w:tcBorders>
              <w:top w:val="nil"/>
              <w:left w:val="nil"/>
              <w:bottom w:val="nil"/>
              <w:right w:val="nil"/>
            </w:tcBorders>
            <w:shd w:val="clear" w:color="auto" w:fill="006991"/>
            <w:noWrap/>
            <w:vAlign w:val="center"/>
            <w:hideMark/>
          </w:tcPr>
          <w:p w14:paraId="4B069057" w14:textId="77777777" w:rsidR="009279F1" w:rsidRPr="009279F1" w:rsidRDefault="009279F1" w:rsidP="009279F1">
            <w:pPr>
              <w:spacing w:after="0" w:line="240" w:lineRule="auto"/>
              <w:rPr>
                <w:rFonts w:ascii="Open Sans Semibold" w:eastAsia="Times New Roman" w:hAnsi="Open Sans Semibold" w:cs="Open Sans Semibold"/>
                <w:color w:val="FFFFFF"/>
                <w:sz w:val="16"/>
                <w:szCs w:val="16"/>
                <w:lang w:eastAsia="en-AU"/>
              </w:rPr>
            </w:pPr>
            <w:r w:rsidRPr="009279F1">
              <w:rPr>
                <w:rFonts w:ascii="Open Sans Semibold" w:eastAsia="Times New Roman" w:hAnsi="Open Sans Semibold" w:cs="Open Sans Semibold"/>
                <w:color w:val="FFFFFF"/>
                <w:sz w:val="16"/>
                <w:szCs w:val="16"/>
                <w:lang w:eastAsia="en-AU"/>
              </w:rPr>
              <w:t>Significant Urban Area</w:t>
            </w:r>
          </w:p>
        </w:tc>
        <w:tc>
          <w:tcPr>
            <w:tcW w:w="1701" w:type="dxa"/>
            <w:tcBorders>
              <w:top w:val="nil"/>
              <w:left w:val="nil"/>
              <w:bottom w:val="nil"/>
              <w:right w:val="nil"/>
            </w:tcBorders>
            <w:shd w:val="clear" w:color="auto" w:fill="006991"/>
            <w:noWrap/>
            <w:vAlign w:val="center"/>
            <w:hideMark/>
          </w:tcPr>
          <w:p w14:paraId="55DC45BA" w14:textId="77777777" w:rsidR="009279F1" w:rsidRPr="009279F1" w:rsidRDefault="009279F1" w:rsidP="009279F1">
            <w:pPr>
              <w:spacing w:after="0" w:line="240" w:lineRule="auto"/>
              <w:jc w:val="right"/>
              <w:rPr>
                <w:rFonts w:ascii="Open Sans Semibold" w:eastAsia="Times New Roman" w:hAnsi="Open Sans Semibold" w:cs="Open Sans Semibold"/>
                <w:color w:val="FFFFFF"/>
                <w:sz w:val="16"/>
                <w:szCs w:val="16"/>
                <w:lang w:eastAsia="en-AU"/>
              </w:rPr>
            </w:pPr>
            <w:r w:rsidRPr="009279F1">
              <w:rPr>
                <w:rFonts w:ascii="Open Sans Semibold" w:eastAsia="Times New Roman" w:hAnsi="Open Sans Semibold" w:cs="Open Sans Semibold"/>
                <w:color w:val="FFFFFF"/>
                <w:sz w:val="16"/>
                <w:szCs w:val="16"/>
                <w:lang w:eastAsia="en-AU"/>
              </w:rPr>
              <w:t>State</w:t>
            </w:r>
          </w:p>
        </w:tc>
        <w:tc>
          <w:tcPr>
            <w:tcW w:w="3742" w:type="dxa"/>
            <w:tcBorders>
              <w:top w:val="nil"/>
              <w:left w:val="nil"/>
              <w:bottom w:val="nil"/>
              <w:right w:val="nil"/>
            </w:tcBorders>
            <w:shd w:val="clear" w:color="auto" w:fill="006991"/>
            <w:noWrap/>
            <w:vAlign w:val="center"/>
            <w:hideMark/>
          </w:tcPr>
          <w:p w14:paraId="7E6BCE87" w14:textId="77777777" w:rsidR="009279F1" w:rsidRPr="009279F1" w:rsidRDefault="009279F1" w:rsidP="009279F1">
            <w:pPr>
              <w:spacing w:after="0" w:line="240" w:lineRule="auto"/>
              <w:jc w:val="right"/>
              <w:rPr>
                <w:rFonts w:ascii="Open Sans Semibold" w:eastAsia="Times New Roman" w:hAnsi="Open Sans Semibold" w:cs="Open Sans Semibold"/>
                <w:color w:val="FFFFFF"/>
                <w:sz w:val="16"/>
                <w:szCs w:val="16"/>
                <w:lang w:eastAsia="en-AU"/>
              </w:rPr>
            </w:pPr>
            <w:r w:rsidRPr="009279F1">
              <w:rPr>
                <w:rFonts w:ascii="Open Sans Semibold" w:eastAsia="Times New Roman" w:hAnsi="Open Sans Semibold" w:cs="Open Sans Semibold"/>
                <w:color w:val="FFFFFF"/>
                <w:sz w:val="16"/>
                <w:szCs w:val="16"/>
                <w:lang w:eastAsia="en-AU"/>
              </w:rPr>
              <w:t>Change</w:t>
            </w:r>
          </w:p>
        </w:tc>
      </w:tr>
      <w:tr w:rsidR="009279F1" w:rsidRPr="009279F1" w14:paraId="5D6E2458" w14:textId="77777777" w:rsidTr="397A327A">
        <w:trPr>
          <w:trHeight w:val="315"/>
        </w:trPr>
        <w:tc>
          <w:tcPr>
            <w:tcW w:w="3505" w:type="dxa"/>
            <w:tcBorders>
              <w:top w:val="nil"/>
              <w:left w:val="nil"/>
              <w:bottom w:val="nil"/>
              <w:right w:val="nil"/>
            </w:tcBorders>
            <w:shd w:val="clear" w:color="auto" w:fill="FFFFFF" w:themeFill="background1"/>
            <w:noWrap/>
            <w:vAlign w:val="bottom"/>
            <w:hideMark/>
          </w:tcPr>
          <w:p w14:paraId="6F5DBE60" w14:textId="036CCCB4"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Airlie Beach-Cannonvale</w:t>
            </w:r>
          </w:p>
        </w:tc>
        <w:tc>
          <w:tcPr>
            <w:tcW w:w="1701" w:type="dxa"/>
            <w:tcBorders>
              <w:top w:val="nil"/>
              <w:left w:val="nil"/>
              <w:bottom w:val="nil"/>
              <w:right w:val="nil"/>
            </w:tcBorders>
            <w:shd w:val="clear" w:color="auto" w:fill="FFFFFF" w:themeFill="background1"/>
            <w:noWrap/>
            <w:vAlign w:val="bottom"/>
            <w:hideMark/>
          </w:tcPr>
          <w:p w14:paraId="7A5D52AC"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Qld</w:t>
            </w:r>
          </w:p>
        </w:tc>
        <w:tc>
          <w:tcPr>
            <w:tcW w:w="3742" w:type="dxa"/>
            <w:tcBorders>
              <w:top w:val="nil"/>
              <w:left w:val="nil"/>
              <w:bottom w:val="nil"/>
              <w:right w:val="nil"/>
            </w:tcBorders>
            <w:shd w:val="clear" w:color="auto" w:fill="FFFFFF" w:themeFill="background1"/>
            <w:noWrap/>
            <w:vAlign w:val="bottom"/>
            <w:hideMark/>
          </w:tcPr>
          <w:p w14:paraId="69397C9B"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New SUA</w:t>
            </w:r>
          </w:p>
        </w:tc>
      </w:tr>
      <w:tr w:rsidR="009279F1" w:rsidRPr="009279F1" w14:paraId="511AF462" w14:textId="77777777" w:rsidTr="397A327A">
        <w:trPr>
          <w:trHeight w:val="315"/>
        </w:trPr>
        <w:tc>
          <w:tcPr>
            <w:tcW w:w="3505" w:type="dxa"/>
            <w:tcBorders>
              <w:top w:val="single" w:sz="8" w:space="0" w:color="ADD6EA"/>
              <w:left w:val="nil"/>
              <w:bottom w:val="single" w:sz="8" w:space="0" w:color="ADD6EA"/>
              <w:right w:val="nil"/>
            </w:tcBorders>
            <w:shd w:val="clear" w:color="auto" w:fill="FFFFFF" w:themeFill="background1"/>
            <w:noWrap/>
            <w:vAlign w:val="bottom"/>
          </w:tcPr>
          <w:p w14:paraId="65751C3B"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Burnie-Somerset</w:t>
            </w:r>
          </w:p>
        </w:tc>
        <w:tc>
          <w:tcPr>
            <w:tcW w:w="1701" w:type="dxa"/>
            <w:tcBorders>
              <w:top w:val="single" w:sz="8" w:space="0" w:color="ADD6EA"/>
              <w:left w:val="nil"/>
              <w:bottom w:val="single" w:sz="8" w:space="0" w:color="ADD6EA"/>
              <w:right w:val="nil"/>
            </w:tcBorders>
            <w:shd w:val="clear" w:color="auto" w:fill="FFFFFF" w:themeFill="background1"/>
            <w:noWrap/>
            <w:vAlign w:val="bottom"/>
          </w:tcPr>
          <w:p w14:paraId="58C90296"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Tas</w:t>
            </w:r>
          </w:p>
        </w:tc>
        <w:tc>
          <w:tcPr>
            <w:tcW w:w="3742" w:type="dxa"/>
            <w:tcBorders>
              <w:top w:val="single" w:sz="8" w:space="0" w:color="ADD6EA"/>
              <w:left w:val="nil"/>
              <w:bottom w:val="single" w:sz="8" w:space="0" w:color="ADD6EA"/>
              <w:right w:val="nil"/>
            </w:tcBorders>
            <w:shd w:val="clear" w:color="auto" w:fill="FFFFFF" w:themeFill="background1"/>
            <w:noWrap/>
            <w:vAlign w:val="bottom"/>
          </w:tcPr>
          <w:p w14:paraId="327517B3"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Name change</w:t>
            </w:r>
          </w:p>
        </w:tc>
      </w:tr>
      <w:tr w:rsidR="009279F1" w:rsidRPr="009279F1" w14:paraId="36F55101" w14:textId="77777777" w:rsidTr="397A327A">
        <w:trPr>
          <w:trHeight w:val="315"/>
        </w:trPr>
        <w:tc>
          <w:tcPr>
            <w:tcW w:w="3505" w:type="dxa"/>
            <w:tcBorders>
              <w:top w:val="single" w:sz="8" w:space="0" w:color="ADD6EA"/>
              <w:left w:val="nil"/>
              <w:bottom w:val="single" w:sz="8" w:space="0" w:color="ADD6EA"/>
              <w:right w:val="nil"/>
            </w:tcBorders>
            <w:shd w:val="clear" w:color="auto" w:fill="FFFFFF" w:themeFill="background1"/>
            <w:noWrap/>
            <w:vAlign w:val="bottom"/>
            <w:hideMark/>
          </w:tcPr>
          <w:p w14:paraId="121E42F3"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Byron Bay</w:t>
            </w:r>
          </w:p>
        </w:tc>
        <w:tc>
          <w:tcPr>
            <w:tcW w:w="1701" w:type="dxa"/>
            <w:tcBorders>
              <w:top w:val="single" w:sz="8" w:space="0" w:color="ADD6EA"/>
              <w:left w:val="nil"/>
              <w:bottom w:val="single" w:sz="8" w:space="0" w:color="ADD6EA"/>
              <w:right w:val="nil"/>
            </w:tcBorders>
            <w:shd w:val="clear" w:color="auto" w:fill="FFFFFF" w:themeFill="background1"/>
            <w:noWrap/>
            <w:vAlign w:val="bottom"/>
            <w:hideMark/>
          </w:tcPr>
          <w:p w14:paraId="2DFB149C"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NSW</w:t>
            </w:r>
          </w:p>
        </w:tc>
        <w:tc>
          <w:tcPr>
            <w:tcW w:w="3742" w:type="dxa"/>
            <w:tcBorders>
              <w:top w:val="single" w:sz="8" w:space="0" w:color="ADD6EA"/>
              <w:left w:val="nil"/>
              <w:bottom w:val="single" w:sz="8" w:space="0" w:color="ADD6EA"/>
              <w:right w:val="nil"/>
            </w:tcBorders>
            <w:shd w:val="clear" w:color="auto" w:fill="FFFFFF" w:themeFill="background1"/>
            <w:noWrap/>
            <w:vAlign w:val="bottom"/>
            <w:hideMark/>
          </w:tcPr>
          <w:p w14:paraId="14525E38"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New SUA</w:t>
            </w:r>
          </w:p>
        </w:tc>
      </w:tr>
      <w:tr w:rsidR="009279F1" w:rsidRPr="009279F1" w14:paraId="1E85837B" w14:textId="77777777" w:rsidTr="397A327A">
        <w:trPr>
          <w:trHeight w:val="315"/>
        </w:trPr>
        <w:tc>
          <w:tcPr>
            <w:tcW w:w="3505" w:type="dxa"/>
            <w:tcBorders>
              <w:top w:val="nil"/>
              <w:left w:val="nil"/>
              <w:bottom w:val="nil"/>
              <w:right w:val="nil"/>
            </w:tcBorders>
            <w:shd w:val="clear" w:color="auto" w:fill="FFFFFF" w:themeFill="background1"/>
            <w:noWrap/>
            <w:vAlign w:val="bottom"/>
            <w:hideMark/>
          </w:tcPr>
          <w:p w14:paraId="7C3151DA"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Castlemaine</w:t>
            </w:r>
          </w:p>
        </w:tc>
        <w:tc>
          <w:tcPr>
            <w:tcW w:w="1701" w:type="dxa"/>
            <w:tcBorders>
              <w:top w:val="nil"/>
              <w:left w:val="nil"/>
              <w:bottom w:val="nil"/>
              <w:right w:val="nil"/>
            </w:tcBorders>
            <w:shd w:val="clear" w:color="auto" w:fill="FFFFFF" w:themeFill="background1"/>
            <w:noWrap/>
            <w:vAlign w:val="bottom"/>
            <w:hideMark/>
          </w:tcPr>
          <w:p w14:paraId="0B1E04C5"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Vic</w:t>
            </w:r>
          </w:p>
        </w:tc>
        <w:tc>
          <w:tcPr>
            <w:tcW w:w="3742" w:type="dxa"/>
            <w:tcBorders>
              <w:top w:val="nil"/>
              <w:left w:val="nil"/>
              <w:bottom w:val="nil"/>
              <w:right w:val="nil"/>
            </w:tcBorders>
            <w:shd w:val="clear" w:color="auto" w:fill="FFFFFF" w:themeFill="background1"/>
            <w:noWrap/>
            <w:vAlign w:val="bottom"/>
            <w:hideMark/>
          </w:tcPr>
          <w:p w14:paraId="19A9B4B0"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New SUA</w:t>
            </w:r>
          </w:p>
        </w:tc>
      </w:tr>
      <w:tr w:rsidR="009279F1" w:rsidRPr="009279F1" w14:paraId="7BBDFBA5" w14:textId="77777777" w:rsidTr="397A327A">
        <w:trPr>
          <w:trHeight w:val="315"/>
        </w:trPr>
        <w:tc>
          <w:tcPr>
            <w:tcW w:w="3505" w:type="dxa"/>
            <w:tcBorders>
              <w:top w:val="single" w:sz="8" w:space="0" w:color="ADD6EA"/>
              <w:left w:val="nil"/>
              <w:bottom w:val="single" w:sz="8" w:space="0" w:color="ADD6EA"/>
              <w:right w:val="nil"/>
            </w:tcBorders>
            <w:shd w:val="clear" w:color="auto" w:fill="FFFFFF" w:themeFill="background1"/>
            <w:noWrap/>
            <w:vAlign w:val="bottom"/>
            <w:hideMark/>
          </w:tcPr>
          <w:p w14:paraId="0311BA5D"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Gisborne</w:t>
            </w:r>
          </w:p>
        </w:tc>
        <w:tc>
          <w:tcPr>
            <w:tcW w:w="1701" w:type="dxa"/>
            <w:tcBorders>
              <w:top w:val="single" w:sz="8" w:space="0" w:color="ADD6EA"/>
              <w:left w:val="nil"/>
              <w:bottom w:val="single" w:sz="8" w:space="0" w:color="ADD6EA"/>
              <w:right w:val="nil"/>
            </w:tcBorders>
            <w:shd w:val="clear" w:color="auto" w:fill="FFFFFF" w:themeFill="background1"/>
            <w:noWrap/>
            <w:vAlign w:val="bottom"/>
            <w:hideMark/>
          </w:tcPr>
          <w:p w14:paraId="5A27297F"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Vic</w:t>
            </w:r>
          </w:p>
        </w:tc>
        <w:tc>
          <w:tcPr>
            <w:tcW w:w="3742" w:type="dxa"/>
            <w:tcBorders>
              <w:top w:val="single" w:sz="8" w:space="0" w:color="ADD6EA"/>
              <w:left w:val="nil"/>
              <w:bottom w:val="single" w:sz="8" w:space="0" w:color="ADD6EA"/>
              <w:right w:val="nil"/>
            </w:tcBorders>
            <w:shd w:val="clear" w:color="auto" w:fill="FFFFFF" w:themeFill="background1"/>
            <w:noWrap/>
            <w:vAlign w:val="bottom"/>
            <w:hideMark/>
          </w:tcPr>
          <w:p w14:paraId="2B6FD152"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Name change</w:t>
            </w:r>
          </w:p>
        </w:tc>
      </w:tr>
      <w:tr w:rsidR="009279F1" w:rsidRPr="009279F1" w14:paraId="3871ED9A" w14:textId="77777777" w:rsidTr="397A327A">
        <w:trPr>
          <w:trHeight w:val="315"/>
        </w:trPr>
        <w:tc>
          <w:tcPr>
            <w:tcW w:w="3505" w:type="dxa"/>
            <w:tcBorders>
              <w:top w:val="single" w:sz="8" w:space="0" w:color="ADD6EA"/>
              <w:left w:val="nil"/>
              <w:bottom w:val="single" w:sz="8" w:space="0" w:color="ADD6EA"/>
              <w:right w:val="nil"/>
            </w:tcBorders>
            <w:shd w:val="clear" w:color="auto" w:fill="FFFFFF" w:themeFill="background1"/>
            <w:noWrap/>
            <w:vAlign w:val="bottom"/>
          </w:tcPr>
          <w:p w14:paraId="426BE65F"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Gladstone</w:t>
            </w:r>
          </w:p>
        </w:tc>
        <w:tc>
          <w:tcPr>
            <w:tcW w:w="1701" w:type="dxa"/>
            <w:tcBorders>
              <w:top w:val="single" w:sz="8" w:space="0" w:color="ADD6EA"/>
              <w:left w:val="nil"/>
              <w:bottom w:val="single" w:sz="8" w:space="0" w:color="ADD6EA"/>
              <w:right w:val="nil"/>
            </w:tcBorders>
            <w:shd w:val="clear" w:color="auto" w:fill="FFFFFF" w:themeFill="background1"/>
            <w:noWrap/>
            <w:vAlign w:val="bottom"/>
          </w:tcPr>
          <w:p w14:paraId="4071A70C"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Qld</w:t>
            </w:r>
          </w:p>
        </w:tc>
        <w:tc>
          <w:tcPr>
            <w:tcW w:w="3742" w:type="dxa"/>
            <w:tcBorders>
              <w:top w:val="single" w:sz="8" w:space="0" w:color="ADD6EA"/>
              <w:left w:val="nil"/>
              <w:bottom w:val="single" w:sz="8" w:space="0" w:color="ADD6EA"/>
              <w:right w:val="nil"/>
            </w:tcBorders>
            <w:shd w:val="clear" w:color="auto" w:fill="FFFFFF" w:themeFill="background1"/>
            <w:noWrap/>
            <w:vAlign w:val="bottom"/>
          </w:tcPr>
          <w:p w14:paraId="63225DB6"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Name change</w:t>
            </w:r>
          </w:p>
        </w:tc>
      </w:tr>
      <w:tr w:rsidR="009279F1" w:rsidRPr="009279F1" w14:paraId="36223A99" w14:textId="77777777" w:rsidTr="397A327A">
        <w:trPr>
          <w:trHeight w:val="315"/>
        </w:trPr>
        <w:tc>
          <w:tcPr>
            <w:tcW w:w="3505" w:type="dxa"/>
            <w:tcBorders>
              <w:top w:val="nil"/>
              <w:left w:val="nil"/>
              <w:bottom w:val="nil"/>
              <w:right w:val="nil"/>
            </w:tcBorders>
            <w:shd w:val="clear" w:color="auto" w:fill="FFFFFF" w:themeFill="background1"/>
            <w:noWrap/>
            <w:vAlign w:val="bottom"/>
            <w:hideMark/>
          </w:tcPr>
          <w:p w14:paraId="05B508A9"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Medowie</w:t>
            </w:r>
          </w:p>
        </w:tc>
        <w:tc>
          <w:tcPr>
            <w:tcW w:w="1701" w:type="dxa"/>
            <w:tcBorders>
              <w:top w:val="nil"/>
              <w:left w:val="nil"/>
              <w:bottom w:val="nil"/>
              <w:right w:val="nil"/>
            </w:tcBorders>
            <w:shd w:val="clear" w:color="auto" w:fill="FFFFFF" w:themeFill="background1"/>
            <w:noWrap/>
            <w:vAlign w:val="bottom"/>
            <w:hideMark/>
          </w:tcPr>
          <w:p w14:paraId="0D19FB76"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NSW</w:t>
            </w:r>
          </w:p>
        </w:tc>
        <w:tc>
          <w:tcPr>
            <w:tcW w:w="3742" w:type="dxa"/>
            <w:tcBorders>
              <w:top w:val="nil"/>
              <w:left w:val="nil"/>
              <w:bottom w:val="nil"/>
              <w:right w:val="nil"/>
            </w:tcBorders>
            <w:shd w:val="clear" w:color="auto" w:fill="FFFFFF" w:themeFill="background1"/>
            <w:noWrap/>
            <w:vAlign w:val="bottom"/>
            <w:hideMark/>
          </w:tcPr>
          <w:p w14:paraId="38D09CF5"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New SUA</w:t>
            </w:r>
          </w:p>
        </w:tc>
      </w:tr>
      <w:tr w:rsidR="009279F1" w:rsidRPr="009279F1" w14:paraId="18E9A5F9" w14:textId="77777777" w:rsidTr="397A327A">
        <w:trPr>
          <w:trHeight w:val="315"/>
        </w:trPr>
        <w:tc>
          <w:tcPr>
            <w:tcW w:w="3505" w:type="dxa"/>
            <w:tcBorders>
              <w:top w:val="single" w:sz="8" w:space="0" w:color="ADD6EA"/>
              <w:left w:val="nil"/>
              <w:bottom w:val="single" w:sz="8" w:space="0" w:color="ADD6EA"/>
              <w:right w:val="nil"/>
            </w:tcBorders>
            <w:shd w:val="clear" w:color="auto" w:fill="FFFFFF" w:themeFill="background1"/>
            <w:noWrap/>
            <w:vAlign w:val="bottom"/>
            <w:hideMark/>
          </w:tcPr>
          <w:p w14:paraId="5A2EC005"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Melton</w:t>
            </w:r>
          </w:p>
        </w:tc>
        <w:tc>
          <w:tcPr>
            <w:tcW w:w="1701" w:type="dxa"/>
            <w:tcBorders>
              <w:top w:val="single" w:sz="8" w:space="0" w:color="ADD6EA"/>
              <w:left w:val="nil"/>
              <w:bottom w:val="single" w:sz="8" w:space="0" w:color="ADD6EA"/>
              <w:right w:val="nil"/>
            </w:tcBorders>
            <w:shd w:val="clear" w:color="auto" w:fill="FFFFFF" w:themeFill="background1"/>
            <w:noWrap/>
            <w:vAlign w:val="bottom"/>
            <w:hideMark/>
          </w:tcPr>
          <w:p w14:paraId="4E8961BF"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Vic</w:t>
            </w:r>
          </w:p>
        </w:tc>
        <w:tc>
          <w:tcPr>
            <w:tcW w:w="3742" w:type="dxa"/>
            <w:tcBorders>
              <w:top w:val="single" w:sz="8" w:space="0" w:color="ADD6EA"/>
              <w:left w:val="nil"/>
              <w:bottom w:val="single" w:sz="8" w:space="0" w:color="ADD6EA"/>
              <w:right w:val="nil"/>
            </w:tcBorders>
            <w:shd w:val="clear" w:color="auto" w:fill="FFFFFF" w:themeFill="background1"/>
            <w:noWrap/>
            <w:vAlign w:val="bottom"/>
            <w:hideMark/>
          </w:tcPr>
          <w:p w14:paraId="0777C5BD"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Amalgamated into Melbourne</w:t>
            </w:r>
          </w:p>
        </w:tc>
      </w:tr>
      <w:tr w:rsidR="009279F1" w:rsidRPr="009279F1" w14:paraId="511E5A55" w14:textId="77777777" w:rsidTr="397A327A">
        <w:trPr>
          <w:trHeight w:val="315"/>
        </w:trPr>
        <w:tc>
          <w:tcPr>
            <w:tcW w:w="3505" w:type="dxa"/>
            <w:tcBorders>
              <w:top w:val="nil"/>
              <w:left w:val="nil"/>
              <w:bottom w:val="nil"/>
              <w:right w:val="nil"/>
            </w:tcBorders>
            <w:shd w:val="clear" w:color="auto" w:fill="FFFFFF" w:themeFill="background1"/>
            <w:noWrap/>
            <w:vAlign w:val="bottom"/>
            <w:hideMark/>
          </w:tcPr>
          <w:p w14:paraId="569111C7" w14:textId="4A1B102A"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Mildura-Buronga</w:t>
            </w:r>
          </w:p>
        </w:tc>
        <w:tc>
          <w:tcPr>
            <w:tcW w:w="1701" w:type="dxa"/>
            <w:tcBorders>
              <w:top w:val="nil"/>
              <w:left w:val="nil"/>
              <w:bottom w:val="nil"/>
              <w:right w:val="nil"/>
            </w:tcBorders>
            <w:shd w:val="clear" w:color="auto" w:fill="FFFFFF" w:themeFill="background1"/>
            <w:noWrap/>
            <w:vAlign w:val="bottom"/>
            <w:hideMark/>
          </w:tcPr>
          <w:p w14:paraId="1663F4B5"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Vic</w:t>
            </w:r>
          </w:p>
        </w:tc>
        <w:tc>
          <w:tcPr>
            <w:tcW w:w="3742" w:type="dxa"/>
            <w:tcBorders>
              <w:top w:val="nil"/>
              <w:left w:val="nil"/>
              <w:bottom w:val="nil"/>
              <w:right w:val="nil"/>
            </w:tcBorders>
            <w:shd w:val="clear" w:color="auto" w:fill="FFFFFF" w:themeFill="background1"/>
            <w:noWrap/>
            <w:vAlign w:val="bottom"/>
            <w:hideMark/>
          </w:tcPr>
          <w:p w14:paraId="13AF8F6F"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Name change</w:t>
            </w:r>
          </w:p>
        </w:tc>
      </w:tr>
      <w:tr w:rsidR="009279F1" w:rsidRPr="009279F1" w14:paraId="507D1568" w14:textId="77777777" w:rsidTr="397A327A">
        <w:trPr>
          <w:trHeight w:val="315"/>
        </w:trPr>
        <w:tc>
          <w:tcPr>
            <w:tcW w:w="3505" w:type="dxa"/>
            <w:tcBorders>
              <w:top w:val="single" w:sz="8" w:space="0" w:color="ADD6EA"/>
              <w:left w:val="nil"/>
              <w:bottom w:val="single" w:sz="8" w:space="0" w:color="ADD6EA"/>
              <w:right w:val="nil"/>
            </w:tcBorders>
            <w:shd w:val="clear" w:color="auto" w:fill="FFFFFF" w:themeFill="background1"/>
            <w:noWrap/>
            <w:vAlign w:val="bottom"/>
          </w:tcPr>
          <w:p w14:paraId="147C53E3"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Parkes</w:t>
            </w:r>
          </w:p>
        </w:tc>
        <w:tc>
          <w:tcPr>
            <w:tcW w:w="1701" w:type="dxa"/>
            <w:tcBorders>
              <w:top w:val="single" w:sz="8" w:space="0" w:color="ADD6EA"/>
              <w:left w:val="nil"/>
              <w:bottom w:val="single" w:sz="8" w:space="0" w:color="ADD6EA"/>
              <w:right w:val="nil"/>
            </w:tcBorders>
            <w:shd w:val="clear" w:color="auto" w:fill="FFFFFF" w:themeFill="background1"/>
            <w:noWrap/>
            <w:vAlign w:val="bottom"/>
          </w:tcPr>
          <w:p w14:paraId="00AAD940"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NSW</w:t>
            </w:r>
          </w:p>
        </w:tc>
        <w:tc>
          <w:tcPr>
            <w:tcW w:w="3742" w:type="dxa"/>
            <w:tcBorders>
              <w:top w:val="single" w:sz="8" w:space="0" w:color="ADD6EA"/>
              <w:left w:val="nil"/>
              <w:bottom w:val="single" w:sz="8" w:space="0" w:color="ADD6EA"/>
              <w:right w:val="nil"/>
            </w:tcBorders>
            <w:shd w:val="clear" w:color="auto" w:fill="FFFFFF" w:themeFill="background1"/>
            <w:noWrap/>
            <w:vAlign w:val="bottom"/>
          </w:tcPr>
          <w:p w14:paraId="355D1F0D"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Removed</w:t>
            </w:r>
          </w:p>
        </w:tc>
      </w:tr>
      <w:tr w:rsidR="009279F1" w:rsidRPr="009279F1" w14:paraId="69D17438" w14:textId="77777777" w:rsidTr="397A327A">
        <w:trPr>
          <w:trHeight w:val="315"/>
        </w:trPr>
        <w:tc>
          <w:tcPr>
            <w:tcW w:w="3505" w:type="dxa"/>
            <w:tcBorders>
              <w:top w:val="single" w:sz="8" w:space="0" w:color="ADD6EA"/>
              <w:left w:val="nil"/>
              <w:bottom w:val="single" w:sz="8" w:space="0" w:color="ADD6EA"/>
              <w:right w:val="nil"/>
            </w:tcBorders>
            <w:shd w:val="clear" w:color="auto" w:fill="FFFFFF" w:themeFill="background1"/>
            <w:noWrap/>
            <w:vAlign w:val="bottom"/>
            <w:hideMark/>
          </w:tcPr>
          <w:p w14:paraId="69AB1A65" w14:textId="77777777" w:rsidR="009279F1" w:rsidRPr="009279F1" w:rsidRDefault="009279F1" w:rsidP="009279F1">
            <w:pPr>
              <w:spacing w:after="0" w:line="240" w:lineRule="auto"/>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Yanchep</w:t>
            </w:r>
          </w:p>
        </w:tc>
        <w:tc>
          <w:tcPr>
            <w:tcW w:w="1701" w:type="dxa"/>
            <w:tcBorders>
              <w:top w:val="single" w:sz="8" w:space="0" w:color="ADD6EA"/>
              <w:left w:val="nil"/>
              <w:bottom w:val="single" w:sz="8" w:space="0" w:color="ADD6EA"/>
              <w:right w:val="nil"/>
            </w:tcBorders>
            <w:shd w:val="clear" w:color="auto" w:fill="FFFFFF" w:themeFill="background1"/>
            <w:noWrap/>
            <w:vAlign w:val="bottom"/>
            <w:hideMark/>
          </w:tcPr>
          <w:p w14:paraId="64209484"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bookmarkStart w:id="27" w:name="_Int_knUz0uCa"/>
            <w:r w:rsidRPr="397A327A">
              <w:rPr>
                <w:rFonts w:ascii="Open Sans Light" w:eastAsia="Times New Roman" w:hAnsi="Open Sans Light" w:cs="Open Sans Light"/>
                <w:color w:val="000000" w:themeColor="text1"/>
                <w:sz w:val="16"/>
                <w:szCs w:val="16"/>
                <w:lang w:eastAsia="en-AU"/>
              </w:rPr>
              <w:t>WA</w:t>
            </w:r>
            <w:bookmarkEnd w:id="27"/>
          </w:p>
        </w:tc>
        <w:tc>
          <w:tcPr>
            <w:tcW w:w="3742" w:type="dxa"/>
            <w:tcBorders>
              <w:top w:val="single" w:sz="8" w:space="0" w:color="ADD6EA"/>
              <w:left w:val="nil"/>
              <w:bottom w:val="single" w:sz="8" w:space="0" w:color="ADD6EA"/>
              <w:right w:val="nil"/>
            </w:tcBorders>
            <w:shd w:val="clear" w:color="auto" w:fill="FFFFFF" w:themeFill="background1"/>
            <w:noWrap/>
            <w:vAlign w:val="bottom"/>
            <w:hideMark/>
          </w:tcPr>
          <w:p w14:paraId="50EE8782" w14:textId="77777777" w:rsidR="009279F1" w:rsidRPr="009279F1" w:rsidRDefault="009279F1" w:rsidP="009279F1">
            <w:pPr>
              <w:spacing w:after="0" w:line="240" w:lineRule="auto"/>
              <w:jc w:val="right"/>
              <w:rPr>
                <w:rFonts w:ascii="Open Sans Light" w:eastAsia="Times New Roman" w:hAnsi="Open Sans Light" w:cs="Open Sans Light"/>
                <w:color w:val="000000"/>
                <w:sz w:val="16"/>
                <w:szCs w:val="16"/>
                <w:lang w:eastAsia="en-AU"/>
              </w:rPr>
            </w:pPr>
            <w:r w:rsidRPr="009279F1">
              <w:rPr>
                <w:rFonts w:ascii="Open Sans Light" w:eastAsia="Times New Roman" w:hAnsi="Open Sans Light" w:cs="Open Sans Light"/>
                <w:color w:val="000000"/>
                <w:sz w:val="16"/>
                <w:szCs w:val="16"/>
                <w:lang w:eastAsia="en-AU"/>
              </w:rPr>
              <w:t>Amalgamated into Perth</w:t>
            </w:r>
          </w:p>
        </w:tc>
      </w:tr>
    </w:tbl>
    <w:p w14:paraId="2BBBE16C" w14:textId="2E46A381" w:rsidR="00A12BD2" w:rsidRPr="00A12BD2" w:rsidRDefault="00A12BD2" w:rsidP="00BE73C1">
      <w:pPr>
        <w:tabs>
          <w:tab w:val="left" w:pos="567"/>
        </w:tabs>
        <w:spacing w:before="40" w:after="0" w:line="240" w:lineRule="auto"/>
        <w:ind w:left="567" w:hanging="567"/>
        <w:rPr>
          <w:rFonts w:ascii="Work Sans" w:eastAsia="Calibri" w:hAnsi="Work Sans" w:cs="Segoe UI"/>
          <w:sz w:val="14"/>
          <w:szCs w:val="14"/>
        </w:rPr>
      </w:pPr>
      <w:r w:rsidRPr="083C5A09">
        <w:rPr>
          <w:rFonts w:ascii="Work Sans" w:eastAsia="Calibri" w:hAnsi="Work Sans" w:cs="Arial"/>
          <w:sz w:val="14"/>
          <w:szCs w:val="14"/>
        </w:rPr>
        <w:t xml:space="preserve">Source: </w:t>
      </w:r>
      <w:r w:rsidRPr="00A12BD2">
        <w:rPr>
          <w:rFonts w:ascii="Work Sans" w:eastAsia="Calibri" w:hAnsi="Work Sans" w:cs="Segoe UI"/>
          <w:sz w:val="14"/>
          <w:szCs w:val="14"/>
        </w:rPr>
        <w:t>Australian Bureau of Statistics</w:t>
      </w:r>
      <w:r w:rsidR="00F0730D">
        <w:rPr>
          <w:rFonts w:ascii="Work Sans" w:eastAsia="Calibri" w:hAnsi="Work Sans" w:cs="Segoe UI"/>
          <w:sz w:val="14"/>
          <w:szCs w:val="14"/>
        </w:rPr>
        <w:t xml:space="preserve"> (ABS),</w:t>
      </w:r>
      <w:r w:rsidR="00772BC9">
        <w:rPr>
          <w:rFonts w:ascii="Work Sans" w:eastAsia="Calibri" w:hAnsi="Work Sans" w:cs="Segoe UI"/>
          <w:sz w:val="14"/>
          <w:szCs w:val="14"/>
        </w:rPr>
        <w:t xml:space="preserve"> ‘Significant Urban Areas </w:t>
      </w:r>
      <w:r w:rsidR="00B41F94">
        <w:rPr>
          <w:rFonts w:ascii="Work Sans" w:eastAsia="Calibri" w:hAnsi="Work Sans" w:cs="Segoe UI"/>
          <w:sz w:val="14"/>
          <w:szCs w:val="14"/>
        </w:rPr>
        <w:t xml:space="preserve">association </w:t>
      </w:r>
      <w:r w:rsidR="00772BC9">
        <w:rPr>
          <w:rFonts w:ascii="Work Sans" w:eastAsia="Calibri" w:hAnsi="Work Sans" w:cs="Segoe UI"/>
          <w:sz w:val="14"/>
          <w:szCs w:val="14"/>
        </w:rPr>
        <w:t xml:space="preserve">– </w:t>
      </w:r>
      <w:r w:rsidR="00B41F94">
        <w:rPr>
          <w:rFonts w:ascii="Work Sans" w:eastAsia="Calibri" w:hAnsi="Work Sans" w:cs="Segoe UI"/>
          <w:sz w:val="14"/>
          <w:szCs w:val="14"/>
        </w:rPr>
        <w:t>2016 to</w:t>
      </w:r>
      <w:r w:rsidR="00772BC9">
        <w:rPr>
          <w:rFonts w:ascii="Work Sans" w:eastAsia="Calibri" w:hAnsi="Work Sans" w:cs="Segoe UI"/>
          <w:sz w:val="14"/>
          <w:szCs w:val="14"/>
        </w:rPr>
        <w:t xml:space="preserve"> 2021</w:t>
      </w:r>
      <w:r w:rsidR="00863E6B">
        <w:rPr>
          <w:rFonts w:ascii="Work Sans" w:eastAsia="Calibri" w:hAnsi="Work Sans" w:cs="Segoe UI"/>
          <w:sz w:val="14"/>
          <w:szCs w:val="14"/>
        </w:rPr>
        <w:t xml:space="preserve"> [data set]</w:t>
      </w:r>
      <w:r w:rsidR="00772BC9">
        <w:rPr>
          <w:rFonts w:ascii="Work Sans" w:eastAsia="Calibri" w:hAnsi="Work Sans" w:cs="Segoe UI"/>
          <w:sz w:val="14"/>
          <w:szCs w:val="14"/>
        </w:rPr>
        <w:t>’,</w:t>
      </w:r>
      <w:r w:rsidRPr="00A12BD2">
        <w:rPr>
          <w:rFonts w:ascii="Work Sans" w:eastAsia="Calibri" w:hAnsi="Work Sans" w:cs="Segoe UI"/>
          <w:sz w:val="14"/>
          <w:szCs w:val="14"/>
        </w:rPr>
        <w:t> </w:t>
      </w:r>
      <w:hyperlink r:id="rId21" w:history="1">
        <w:r w:rsidR="00B45CC2" w:rsidRPr="006A2192">
          <w:rPr>
            <w:rStyle w:val="Hyperlink"/>
            <w:rFonts w:ascii="Work Sans" w:eastAsia="Calibri" w:hAnsi="Work Sans" w:cs="Segoe UI"/>
            <w:sz w:val="14"/>
            <w:szCs w:val="14"/>
          </w:rPr>
          <w:t>Australian Statistical</w:t>
        </w:r>
        <w:r w:rsidR="00BE73C1">
          <w:rPr>
            <w:rStyle w:val="Hyperlink"/>
            <w:rFonts w:ascii="Work Sans" w:eastAsia="Calibri" w:hAnsi="Work Sans" w:cs="Segoe UI"/>
            <w:sz w:val="14"/>
            <w:szCs w:val="14"/>
          </w:rPr>
          <w:t xml:space="preserve"> </w:t>
        </w:r>
        <w:r w:rsidR="00B45CC2" w:rsidRPr="006A2192">
          <w:rPr>
            <w:rStyle w:val="Hyperlink"/>
            <w:rFonts w:ascii="Work Sans" w:eastAsia="Calibri" w:hAnsi="Work Sans" w:cs="Segoe UI"/>
            <w:sz w:val="14"/>
            <w:szCs w:val="14"/>
          </w:rPr>
          <w:t>Geography Standard (ASGS)</w:t>
        </w:r>
        <w:r w:rsidR="008774F6" w:rsidRPr="006A2192">
          <w:rPr>
            <w:rStyle w:val="Hyperlink"/>
            <w:rFonts w:ascii="Work Sans" w:eastAsia="Calibri" w:hAnsi="Work Sans" w:cs="Segoe UI"/>
            <w:sz w:val="14"/>
            <w:szCs w:val="14"/>
          </w:rPr>
          <w:t xml:space="preserve"> </w:t>
        </w:r>
        <w:r w:rsidR="00B45CC2" w:rsidRPr="006A2192">
          <w:rPr>
            <w:rStyle w:val="Hyperlink"/>
            <w:rFonts w:ascii="Work Sans" w:eastAsia="Calibri" w:hAnsi="Work Sans" w:cs="Segoe UI"/>
            <w:sz w:val="14"/>
            <w:szCs w:val="14"/>
          </w:rPr>
          <w:t>Edition</w:t>
        </w:r>
        <w:r w:rsidR="008774F6" w:rsidRPr="006A2192">
          <w:rPr>
            <w:rStyle w:val="Hyperlink"/>
            <w:rFonts w:ascii="Work Sans" w:eastAsia="Calibri" w:hAnsi="Work Sans" w:cs="Segoe UI"/>
            <w:sz w:val="14"/>
            <w:szCs w:val="14"/>
          </w:rPr>
          <w:t> </w:t>
        </w:r>
        <w:r w:rsidR="00B45CC2" w:rsidRPr="006A2192">
          <w:rPr>
            <w:rStyle w:val="Hyperlink"/>
            <w:rFonts w:ascii="Work Sans" w:eastAsia="Calibri" w:hAnsi="Work Sans" w:cs="Segoe UI"/>
            <w:sz w:val="14"/>
            <w:szCs w:val="14"/>
          </w:rPr>
          <w:t>3</w:t>
        </w:r>
      </w:hyperlink>
      <w:r w:rsidR="006A2192">
        <w:rPr>
          <w:rFonts w:ascii="Work Sans" w:eastAsia="Calibri" w:hAnsi="Work Sans" w:cs="Segoe UI"/>
          <w:sz w:val="14"/>
          <w:szCs w:val="14"/>
        </w:rPr>
        <w:t>, ABS w</w:t>
      </w:r>
      <w:r w:rsidR="006B5A1D">
        <w:rPr>
          <w:rFonts w:ascii="Work Sans" w:eastAsia="Calibri" w:hAnsi="Work Sans" w:cs="Segoe UI"/>
          <w:sz w:val="14"/>
          <w:szCs w:val="14"/>
        </w:rPr>
        <w:t xml:space="preserve">ebsite, </w:t>
      </w:r>
      <w:r w:rsidR="008A5E84">
        <w:rPr>
          <w:rFonts w:ascii="Work Sans" w:eastAsia="Calibri" w:hAnsi="Work Sans" w:cs="Segoe UI"/>
          <w:sz w:val="14"/>
          <w:szCs w:val="14"/>
        </w:rPr>
        <w:t>202</w:t>
      </w:r>
      <w:r w:rsidR="00B41F94">
        <w:rPr>
          <w:rFonts w:ascii="Work Sans" w:eastAsia="Calibri" w:hAnsi="Work Sans" w:cs="Segoe UI"/>
          <w:sz w:val="14"/>
          <w:szCs w:val="14"/>
        </w:rPr>
        <w:t>1</w:t>
      </w:r>
      <w:r w:rsidR="008A5E84">
        <w:rPr>
          <w:rFonts w:ascii="Work Sans" w:eastAsia="Calibri" w:hAnsi="Work Sans" w:cs="Segoe UI"/>
          <w:sz w:val="14"/>
          <w:szCs w:val="14"/>
        </w:rPr>
        <w:t>, a</w:t>
      </w:r>
      <w:r w:rsidR="00687711">
        <w:rPr>
          <w:rFonts w:ascii="Work Sans" w:eastAsia="Calibri" w:hAnsi="Work Sans" w:cs="Segoe UI"/>
          <w:sz w:val="14"/>
          <w:szCs w:val="14"/>
        </w:rPr>
        <w:t xml:space="preserve">ccessed </w:t>
      </w:r>
      <w:r w:rsidR="00865522">
        <w:rPr>
          <w:rFonts w:ascii="Work Sans" w:eastAsia="Calibri" w:hAnsi="Work Sans" w:cs="Segoe UI"/>
          <w:sz w:val="14"/>
          <w:szCs w:val="14"/>
        </w:rPr>
        <w:t>2 September 2023</w:t>
      </w:r>
      <w:r w:rsidR="00EB10D2">
        <w:rPr>
          <w:rFonts w:ascii="Work Sans" w:eastAsia="Calibri" w:hAnsi="Work Sans" w:cs="Segoe UI"/>
          <w:sz w:val="14"/>
          <w:szCs w:val="14"/>
        </w:rPr>
        <w:t>.</w:t>
      </w:r>
    </w:p>
    <w:p w14:paraId="5807D08E" w14:textId="6E1D7C4A" w:rsidR="00176068" w:rsidRDefault="00176068">
      <w:r>
        <w:br w:type="page"/>
      </w:r>
    </w:p>
    <w:p w14:paraId="7D6A5C6D" w14:textId="6335ABA8" w:rsidR="00447041" w:rsidRPr="008D2D98" w:rsidRDefault="33175D9C" w:rsidP="005D7A41">
      <w:pPr>
        <w:pStyle w:val="Heading2"/>
        <w:rPr>
          <w:rFonts w:eastAsia="Work Sans"/>
        </w:rPr>
      </w:pPr>
      <w:r w:rsidRPr="008D2D98">
        <w:rPr>
          <w:rFonts w:eastAsia="Work Sans"/>
        </w:rPr>
        <w:lastRenderedPageBreak/>
        <w:t xml:space="preserve">Attachment </w:t>
      </w:r>
      <w:r w:rsidR="00176068">
        <w:rPr>
          <w:rFonts w:eastAsia="Work Sans"/>
        </w:rPr>
        <w:t>C</w:t>
      </w:r>
      <w:r w:rsidRPr="008D2D98">
        <w:rPr>
          <w:rFonts w:eastAsia="Work Sans"/>
        </w:rPr>
        <w:t xml:space="preserve"> </w:t>
      </w:r>
      <w:r w:rsidR="00132920">
        <w:rPr>
          <w:rFonts w:eastAsia="Work Sans"/>
        </w:rPr>
        <w:t>—</w:t>
      </w:r>
      <w:r w:rsidRPr="008D2D98">
        <w:rPr>
          <w:rFonts w:eastAsia="Work Sans"/>
        </w:rPr>
        <w:t xml:space="preserve"> Preliminary views on the treatment of Commonwealth Payments that commenced in 2022</w:t>
      </w:r>
      <w:r w:rsidR="00D02CBE">
        <w:rPr>
          <w:rFonts w:eastAsia="Work Sans"/>
        </w:rPr>
        <w:t>–</w:t>
      </w:r>
      <w:proofErr w:type="gramStart"/>
      <w:r w:rsidRPr="008D2D98">
        <w:rPr>
          <w:rFonts w:eastAsia="Work Sans"/>
        </w:rPr>
        <w:t>23</w:t>
      </w:r>
      <w:proofErr w:type="gramEnd"/>
    </w:p>
    <w:p w14:paraId="57425C50" w14:textId="6A1615BC" w:rsidR="00447041" w:rsidRPr="00580DE4" w:rsidRDefault="33175D9C" w:rsidP="3C22A2BB">
      <w:pPr>
        <w:pStyle w:val="Caption"/>
        <w:rPr>
          <w:rFonts w:eastAsia="Work Sans" w:cs="Work Sans"/>
          <w:b/>
          <w:color w:val="000000" w:themeColor="text1"/>
        </w:rPr>
      </w:pPr>
      <w:r w:rsidRPr="00580DE4">
        <w:rPr>
          <w:rFonts w:eastAsia="Work Sans" w:cs="Work Sans"/>
          <w:b/>
          <w:color w:val="000000" w:themeColor="text1"/>
        </w:rPr>
        <w:t xml:space="preserve">Table </w:t>
      </w:r>
      <w:r w:rsidR="00412187" w:rsidRPr="00580DE4">
        <w:rPr>
          <w:rFonts w:eastAsia="Work Sans" w:cs="Work Sans"/>
          <w:b/>
          <w:bCs/>
          <w:color w:val="000000" w:themeColor="text1"/>
        </w:rPr>
        <w:t>C</w:t>
      </w:r>
      <w:r w:rsidRPr="00580DE4">
        <w:rPr>
          <w:rFonts w:eastAsia="Work Sans" w:cs="Work Sans"/>
          <w:b/>
          <w:color w:val="000000" w:themeColor="text1"/>
        </w:rPr>
        <w:t xml:space="preserve">1 </w:t>
      </w:r>
      <w:r w:rsidR="00447041" w:rsidRPr="00580DE4">
        <w:rPr>
          <w:b/>
        </w:rPr>
        <w:tab/>
      </w:r>
      <w:r w:rsidRPr="00580DE4">
        <w:rPr>
          <w:rFonts w:eastAsia="Work Sans" w:cs="Work Sans"/>
          <w:b/>
          <w:color w:val="000000" w:themeColor="text1"/>
        </w:rPr>
        <w:t xml:space="preserve">Proposed treatment of Commonwealth payments </w:t>
      </w:r>
      <w:r w:rsidRPr="00AC2339">
        <w:rPr>
          <w:rFonts w:eastAsia="Work Sans" w:cs="Work Sans"/>
          <w:b/>
          <w:color w:val="000000" w:themeColor="text1"/>
        </w:rPr>
        <w:t>commenced in 2022</w:t>
      </w:r>
      <w:r w:rsidR="00D02CBE" w:rsidRPr="00AC2339">
        <w:rPr>
          <w:rFonts w:eastAsia="Work Sans" w:cs="Work Sans"/>
          <w:b/>
          <w:color w:val="000000" w:themeColor="text1"/>
        </w:rPr>
        <w:t>–</w:t>
      </w:r>
      <w:r w:rsidRPr="00AC2339">
        <w:rPr>
          <w:rFonts w:eastAsia="Work Sans" w:cs="Work Sans"/>
          <w:b/>
          <w:color w:val="000000" w:themeColor="text1"/>
        </w:rPr>
        <w:t xml:space="preserve">23, </w:t>
      </w:r>
      <w:r w:rsidR="00747005" w:rsidRPr="00AC2339">
        <w:rPr>
          <w:rFonts w:eastAsia="Work Sans" w:cs="Work Sans"/>
          <w:b/>
          <w:color w:val="000000" w:themeColor="text1"/>
        </w:rPr>
        <w:t xml:space="preserve">Commonwealth </w:t>
      </w:r>
      <w:r w:rsidRPr="00AC2339">
        <w:rPr>
          <w:rFonts w:eastAsia="Work Sans" w:cs="Work Sans"/>
          <w:b/>
          <w:i/>
          <w:color w:val="000000" w:themeColor="text1"/>
        </w:rPr>
        <w:t>Final Budget Outcome, 2022</w:t>
      </w:r>
      <w:r w:rsidR="00D02CBE" w:rsidRPr="00AC2339">
        <w:rPr>
          <w:rFonts w:eastAsia="Work Sans" w:cs="Work Sans"/>
          <w:b/>
          <w:i/>
          <w:color w:val="000000" w:themeColor="text1"/>
        </w:rPr>
        <w:t>–</w:t>
      </w:r>
      <w:r w:rsidRPr="00AC2339">
        <w:rPr>
          <w:rFonts w:eastAsia="Work Sans" w:cs="Work Sans"/>
          <w:b/>
          <w:i/>
          <w:color w:val="000000" w:themeColor="text1"/>
        </w:rPr>
        <w:t>23</w:t>
      </w: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59"/>
        <w:gridCol w:w="2594"/>
        <w:gridCol w:w="992"/>
        <w:gridCol w:w="851"/>
        <w:gridCol w:w="2920"/>
      </w:tblGrid>
      <w:tr w:rsidR="000A6357" w14:paraId="2494C737" w14:textId="77777777" w:rsidTr="00376E42">
        <w:trPr>
          <w:trHeight w:val="555"/>
          <w:tblHeader/>
        </w:trPr>
        <w:tc>
          <w:tcPr>
            <w:tcW w:w="1659" w:type="dxa"/>
            <w:tcBorders>
              <w:top w:val="single" w:sz="6" w:space="0" w:color="ADD6EA"/>
              <w:left w:val="nil"/>
              <w:bottom w:val="single" w:sz="6" w:space="0" w:color="ADD6EA"/>
              <w:right w:val="nil"/>
            </w:tcBorders>
            <w:shd w:val="clear" w:color="auto" w:fill="006991"/>
            <w:tcMar>
              <w:left w:w="15" w:type="dxa"/>
              <w:right w:w="15" w:type="dxa"/>
            </w:tcMar>
          </w:tcPr>
          <w:p w14:paraId="18F9422D" w14:textId="3576B2F5" w:rsidR="083C5A09" w:rsidRDefault="083C5A09" w:rsidP="00376E42">
            <w:pPr>
              <w:spacing w:line="240" w:lineRule="auto"/>
              <w:rPr>
                <w:rFonts w:ascii="Open Sans Semibold" w:eastAsia="Open Sans Semibold" w:hAnsi="Open Sans Semibold" w:cs="Open Sans Semibold"/>
                <w:color w:val="FFFFFF" w:themeColor="background1"/>
                <w:sz w:val="16"/>
                <w:szCs w:val="16"/>
              </w:rPr>
            </w:pPr>
            <w:r w:rsidRPr="083C5A09">
              <w:rPr>
                <w:rFonts w:ascii="Open Sans Semibold" w:eastAsia="Open Sans Semibold" w:hAnsi="Open Sans Semibold" w:cs="Open Sans Semibold"/>
                <w:color w:val="FFFFFF" w:themeColor="background1"/>
                <w:sz w:val="16"/>
                <w:szCs w:val="16"/>
              </w:rPr>
              <w:t>Commonwealth payment</w:t>
            </w:r>
          </w:p>
        </w:tc>
        <w:tc>
          <w:tcPr>
            <w:tcW w:w="2594" w:type="dxa"/>
            <w:tcBorders>
              <w:top w:val="single" w:sz="6" w:space="0" w:color="ADD6EA"/>
              <w:left w:val="nil"/>
              <w:bottom w:val="single" w:sz="6" w:space="0" w:color="ADD6EA"/>
              <w:right w:val="nil"/>
            </w:tcBorders>
            <w:shd w:val="clear" w:color="auto" w:fill="006991"/>
            <w:tcMar>
              <w:left w:w="15" w:type="dxa"/>
              <w:right w:w="15" w:type="dxa"/>
            </w:tcMar>
          </w:tcPr>
          <w:p w14:paraId="2E60C568" w14:textId="65E14113" w:rsidR="083C5A09" w:rsidRDefault="083C5A09" w:rsidP="00376E42">
            <w:pPr>
              <w:spacing w:line="240" w:lineRule="auto"/>
              <w:rPr>
                <w:rFonts w:ascii="Open Sans Semibold" w:eastAsia="Open Sans Semibold" w:hAnsi="Open Sans Semibold" w:cs="Open Sans Semibold"/>
                <w:color w:val="FFFFFF" w:themeColor="background1"/>
                <w:sz w:val="16"/>
                <w:szCs w:val="16"/>
              </w:rPr>
            </w:pPr>
            <w:r w:rsidRPr="083C5A09">
              <w:rPr>
                <w:rFonts w:ascii="Open Sans Semibold" w:eastAsia="Open Sans Semibold" w:hAnsi="Open Sans Semibold" w:cs="Open Sans Semibold"/>
                <w:color w:val="FFFFFF" w:themeColor="background1"/>
                <w:sz w:val="16"/>
                <w:szCs w:val="16"/>
              </w:rPr>
              <w:t>Description</w:t>
            </w:r>
          </w:p>
        </w:tc>
        <w:tc>
          <w:tcPr>
            <w:tcW w:w="992" w:type="dxa"/>
            <w:tcBorders>
              <w:top w:val="single" w:sz="6" w:space="0" w:color="ADD6EA"/>
              <w:left w:val="nil"/>
              <w:bottom w:val="single" w:sz="6" w:space="0" w:color="ADD6EA"/>
              <w:right w:val="nil"/>
            </w:tcBorders>
            <w:shd w:val="clear" w:color="auto" w:fill="006991"/>
            <w:tcMar>
              <w:left w:w="15" w:type="dxa"/>
              <w:right w:w="75" w:type="dxa"/>
            </w:tcMar>
          </w:tcPr>
          <w:p w14:paraId="2C9EE0BC" w14:textId="58E266EC" w:rsidR="083C5A09" w:rsidRDefault="083C5A09" w:rsidP="00376E42">
            <w:pPr>
              <w:spacing w:line="240" w:lineRule="auto"/>
              <w:ind w:right="227"/>
              <w:jc w:val="right"/>
              <w:rPr>
                <w:rFonts w:ascii="Open Sans Semibold" w:eastAsia="Open Sans Semibold" w:hAnsi="Open Sans Semibold" w:cs="Open Sans Semibold"/>
                <w:color w:val="FFFFFF" w:themeColor="background1"/>
                <w:sz w:val="16"/>
                <w:szCs w:val="16"/>
              </w:rPr>
            </w:pPr>
            <w:r w:rsidRPr="083C5A09">
              <w:rPr>
                <w:rFonts w:ascii="Open Sans Semibold" w:eastAsia="Open Sans Semibold" w:hAnsi="Open Sans Semibold" w:cs="Open Sans Semibold"/>
                <w:color w:val="FFFFFF" w:themeColor="background1"/>
                <w:sz w:val="16"/>
                <w:szCs w:val="16"/>
              </w:rPr>
              <w:t>2022</w:t>
            </w:r>
            <w:r w:rsidR="00D02CBE">
              <w:rPr>
                <w:rFonts w:ascii="Open Sans Semibold" w:eastAsia="Open Sans Semibold" w:hAnsi="Open Sans Semibold" w:cs="Open Sans Semibold"/>
                <w:color w:val="FFFFFF" w:themeColor="background1"/>
                <w:sz w:val="16"/>
                <w:szCs w:val="16"/>
              </w:rPr>
              <w:t>–</w:t>
            </w:r>
            <w:r w:rsidRPr="083C5A09">
              <w:rPr>
                <w:rFonts w:ascii="Open Sans Semibold" w:eastAsia="Open Sans Semibold" w:hAnsi="Open Sans Semibold" w:cs="Open Sans Semibold"/>
                <w:color w:val="FFFFFF" w:themeColor="background1"/>
                <w:sz w:val="16"/>
                <w:szCs w:val="16"/>
              </w:rPr>
              <w:t>23 $m</w:t>
            </w:r>
          </w:p>
        </w:tc>
        <w:tc>
          <w:tcPr>
            <w:tcW w:w="851" w:type="dxa"/>
            <w:tcBorders>
              <w:top w:val="single" w:sz="6" w:space="0" w:color="ADD6EA"/>
              <w:left w:val="nil"/>
              <w:bottom w:val="single" w:sz="6" w:space="0" w:color="ADD6EA"/>
              <w:right w:val="nil"/>
            </w:tcBorders>
            <w:shd w:val="clear" w:color="auto" w:fill="006991"/>
            <w:tcMar>
              <w:left w:w="15" w:type="dxa"/>
              <w:right w:w="15" w:type="dxa"/>
            </w:tcMar>
          </w:tcPr>
          <w:p w14:paraId="66132F7B" w14:textId="7EDC09F2" w:rsidR="083C5A09" w:rsidRDefault="083C5A09" w:rsidP="00376E42">
            <w:pPr>
              <w:spacing w:line="240" w:lineRule="auto"/>
              <w:rPr>
                <w:rFonts w:ascii="Open Sans Semibold" w:eastAsia="Open Sans Semibold" w:hAnsi="Open Sans Semibold" w:cs="Open Sans Semibold"/>
                <w:color w:val="FFFFFF" w:themeColor="background1"/>
                <w:sz w:val="16"/>
                <w:szCs w:val="16"/>
              </w:rPr>
            </w:pPr>
            <w:r w:rsidRPr="083C5A09">
              <w:rPr>
                <w:rFonts w:ascii="Open Sans Semibold" w:eastAsia="Open Sans Semibold" w:hAnsi="Open Sans Semibold" w:cs="Open Sans Semibold"/>
                <w:color w:val="FFFFFF" w:themeColor="background1"/>
                <w:sz w:val="16"/>
                <w:szCs w:val="16"/>
              </w:rPr>
              <w:t>Proposed treatment</w:t>
            </w:r>
          </w:p>
        </w:tc>
        <w:tc>
          <w:tcPr>
            <w:tcW w:w="2920" w:type="dxa"/>
            <w:tcBorders>
              <w:top w:val="single" w:sz="6" w:space="0" w:color="ADD6EA"/>
              <w:left w:val="nil"/>
              <w:bottom w:val="single" w:sz="6" w:space="0" w:color="ADD6EA"/>
              <w:right w:val="nil"/>
            </w:tcBorders>
            <w:shd w:val="clear" w:color="auto" w:fill="006991"/>
            <w:tcMar>
              <w:left w:w="15" w:type="dxa"/>
              <w:right w:w="15" w:type="dxa"/>
            </w:tcMar>
          </w:tcPr>
          <w:p w14:paraId="0FBC573D" w14:textId="77777777" w:rsidR="083C5A09" w:rsidRDefault="083C5A09" w:rsidP="00376E42">
            <w:pPr>
              <w:spacing w:line="240" w:lineRule="auto"/>
              <w:rPr>
                <w:rFonts w:ascii="Open Sans Semibold" w:eastAsia="Open Sans Semibold" w:hAnsi="Open Sans Semibold" w:cs="Open Sans Semibold"/>
                <w:color w:val="FFFFFF" w:themeColor="background1"/>
                <w:sz w:val="16"/>
                <w:szCs w:val="16"/>
              </w:rPr>
            </w:pPr>
            <w:r w:rsidRPr="083C5A09">
              <w:rPr>
                <w:rFonts w:ascii="Open Sans Semibold" w:eastAsia="Open Sans Semibold" w:hAnsi="Open Sans Semibold" w:cs="Open Sans Semibold"/>
                <w:color w:val="FFFFFF" w:themeColor="background1"/>
                <w:sz w:val="16"/>
                <w:szCs w:val="16"/>
              </w:rPr>
              <w:t>Reason for treatment</w:t>
            </w:r>
          </w:p>
          <w:p w14:paraId="13F36E49" w14:textId="20442495" w:rsidR="004F750F" w:rsidRDefault="004F750F" w:rsidP="00376E42">
            <w:pPr>
              <w:spacing w:line="240" w:lineRule="auto"/>
              <w:rPr>
                <w:rFonts w:ascii="Open Sans Semibold" w:eastAsia="Open Sans Semibold" w:hAnsi="Open Sans Semibold" w:cs="Open Sans Semibold"/>
                <w:color w:val="FFFFFF" w:themeColor="background1"/>
                <w:sz w:val="16"/>
                <w:szCs w:val="16"/>
              </w:rPr>
            </w:pPr>
            <w:r>
              <w:rPr>
                <w:rFonts w:ascii="Open Sans Semibold" w:eastAsia="Open Sans Semibold" w:hAnsi="Open Sans Semibold" w:cs="Open Sans Semibold"/>
                <w:color w:val="FFFFFF" w:themeColor="background1"/>
                <w:sz w:val="16"/>
                <w:szCs w:val="16"/>
              </w:rPr>
              <w:t>(</w:t>
            </w:r>
            <w:proofErr w:type="gramStart"/>
            <w:r w:rsidR="00C3603A">
              <w:rPr>
                <w:rFonts w:ascii="Open Sans Semibold" w:eastAsia="Open Sans Semibold" w:hAnsi="Open Sans Semibold" w:cs="Open Sans Semibold"/>
                <w:color w:val="FFFFFF" w:themeColor="background1"/>
                <w:sz w:val="16"/>
                <w:szCs w:val="16"/>
              </w:rPr>
              <w:t>including</w:t>
            </w:r>
            <w:proofErr w:type="gramEnd"/>
            <w:r w:rsidR="00C3603A">
              <w:rPr>
                <w:rFonts w:ascii="Open Sans Semibold" w:eastAsia="Open Sans Semibold" w:hAnsi="Open Sans Semibold" w:cs="Open Sans Semibold"/>
                <w:color w:val="FFFFFF" w:themeColor="background1"/>
                <w:sz w:val="16"/>
                <w:szCs w:val="16"/>
              </w:rPr>
              <w:t xml:space="preserve"> e</w:t>
            </w:r>
            <w:r>
              <w:rPr>
                <w:rFonts w:ascii="Open Sans Semibold" w:eastAsia="Open Sans Semibold" w:hAnsi="Open Sans Semibold" w:cs="Open Sans Semibold"/>
                <w:color w:val="FFFFFF" w:themeColor="background1"/>
                <w:sz w:val="16"/>
                <w:szCs w:val="16"/>
              </w:rPr>
              <w:t xml:space="preserve">xpense category </w:t>
            </w:r>
            <w:r w:rsidR="00C3603A">
              <w:rPr>
                <w:rFonts w:ascii="Open Sans Semibold" w:eastAsia="Open Sans Semibold" w:hAnsi="Open Sans Semibold" w:cs="Open Sans Semibold"/>
                <w:color w:val="FFFFFF" w:themeColor="background1"/>
                <w:sz w:val="16"/>
                <w:szCs w:val="16"/>
              </w:rPr>
              <w:t xml:space="preserve">where ‘no </w:t>
            </w:r>
            <w:r w:rsidR="001A017E">
              <w:rPr>
                <w:rFonts w:ascii="Open Sans Semibold" w:eastAsia="Open Sans Semibold" w:hAnsi="Open Sans Semibold" w:cs="Open Sans Semibold"/>
                <w:color w:val="FFFFFF" w:themeColor="background1"/>
                <w:sz w:val="16"/>
                <w:szCs w:val="16"/>
              </w:rPr>
              <w:t>impact’ payments will be deducted)</w:t>
            </w:r>
            <w:r w:rsidR="00FA5BD1">
              <w:rPr>
                <w:rFonts w:ascii="Open Sans Semibold" w:eastAsia="Open Sans Semibold" w:hAnsi="Open Sans Semibold" w:cs="Open Sans Semibold"/>
                <w:color w:val="FFFFFF" w:themeColor="background1"/>
                <w:sz w:val="16"/>
                <w:szCs w:val="16"/>
              </w:rPr>
              <w:t xml:space="preserve"> </w:t>
            </w:r>
          </w:p>
        </w:tc>
      </w:tr>
      <w:tr w:rsidR="083C5A09" w14:paraId="7713C048" w14:textId="77777777" w:rsidTr="00376E42">
        <w:trPr>
          <w:trHeight w:val="59"/>
        </w:trPr>
        <w:tc>
          <w:tcPr>
            <w:tcW w:w="1659" w:type="dxa"/>
            <w:tcBorders>
              <w:top w:val="single" w:sz="6" w:space="0" w:color="ADD6EA"/>
              <w:left w:val="nil"/>
              <w:bottom w:val="single" w:sz="6" w:space="0" w:color="ADD6EA"/>
              <w:right w:val="nil"/>
            </w:tcBorders>
            <w:shd w:val="clear" w:color="auto" w:fill="B6D5E4"/>
            <w:tcMar>
              <w:left w:w="15" w:type="dxa"/>
              <w:right w:w="15" w:type="dxa"/>
            </w:tcMar>
          </w:tcPr>
          <w:p w14:paraId="7B04CCD9" w14:textId="69B6EE0D" w:rsidR="083C5A09" w:rsidRDefault="083C5A09" w:rsidP="00376E42">
            <w:pPr>
              <w:spacing w:after="0" w:line="240" w:lineRule="auto"/>
              <w:rPr>
                <w:rFonts w:ascii="Open Sans Semibold" w:eastAsia="Open Sans Semibold" w:hAnsi="Open Sans Semibold" w:cs="Open Sans Semibold"/>
                <w:color w:val="000000" w:themeColor="text1"/>
                <w:sz w:val="16"/>
                <w:szCs w:val="16"/>
              </w:rPr>
            </w:pPr>
            <w:r w:rsidRPr="083C5A09">
              <w:rPr>
                <w:rFonts w:ascii="Open Sans Semibold" w:eastAsia="Open Sans Semibold" w:hAnsi="Open Sans Semibold" w:cs="Open Sans Semibold"/>
                <w:color w:val="000000" w:themeColor="text1"/>
                <w:sz w:val="16"/>
                <w:szCs w:val="16"/>
              </w:rPr>
              <w:t>Health</w:t>
            </w:r>
          </w:p>
        </w:tc>
        <w:tc>
          <w:tcPr>
            <w:tcW w:w="2594" w:type="dxa"/>
            <w:tcBorders>
              <w:top w:val="single" w:sz="6" w:space="0" w:color="ADD6EA"/>
              <w:left w:val="nil"/>
              <w:bottom w:val="single" w:sz="6" w:space="0" w:color="ADD6EA"/>
              <w:right w:val="nil"/>
            </w:tcBorders>
            <w:shd w:val="clear" w:color="auto" w:fill="B6D5E4"/>
            <w:tcMar>
              <w:left w:w="15" w:type="dxa"/>
              <w:right w:w="15" w:type="dxa"/>
            </w:tcMar>
          </w:tcPr>
          <w:p w14:paraId="4844902F" w14:textId="10496376" w:rsidR="083C5A09" w:rsidRDefault="083C5A09" w:rsidP="00376E42">
            <w:pPr>
              <w:spacing w:line="240" w:lineRule="auto"/>
              <w:jc w:val="right"/>
              <w:rPr>
                <w:rFonts w:ascii="Open Sans Semibold" w:eastAsia="Open Sans Semibold" w:hAnsi="Open Sans Semibold" w:cs="Open Sans Semibold"/>
                <w:color w:val="000000" w:themeColor="text1"/>
                <w:sz w:val="16"/>
                <w:szCs w:val="16"/>
              </w:rPr>
            </w:pPr>
          </w:p>
        </w:tc>
        <w:tc>
          <w:tcPr>
            <w:tcW w:w="992" w:type="dxa"/>
            <w:tcBorders>
              <w:top w:val="single" w:sz="6" w:space="0" w:color="ADD6EA"/>
              <w:left w:val="nil"/>
              <w:bottom w:val="single" w:sz="6" w:space="0" w:color="ADD6EA"/>
              <w:right w:val="nil"/>
            </w:tcBorders>
            <w:shd w:val="clear" w:color="auto" w:fill="B6D5E4"/>
            <w:tcMar>
              <w:left w:w="15" w:type="dxa"/>
              <w:right w:w="75" w:type="dxa"/>
            </w:tcMar>
          </w:tcPr>
          <w:p w14:paraId="34F19BCA" w14:textId="6CE33471" w:rsidR="083C5A09" w:rsidRDefault="083C5A09" w:rsidP="00376E42">
            <w:pPr>
              <w:spacing w:line="240" w:lineRule="auto"/>
              <w:ind w:right="227"/>
              <w:jc w:val="right"/>
              <w:rPr>
                <w:rFonts w:ascii="Open Sans Semibold" w:eastAsia="Open Sans Semibold" w:hAnsi="Open Sans Semibold" w:cs="Open Sans Semibold"/>
                <w:color w:val="000000" w:themeColor="text1"/>
                <w:sz w:val="16"/>
                <w:szCs w:val="16"/>
              </w:rPr>
            </w:pPr>
            <w:r w:rsidRPr="083C5A09">
              <w:rPr>
                <w:rFonts w:ascii="Open Sans Semibold" w:eastAsia="Open Sans Semibold" w:hAnsi="Open Sans Semibold" w:cs="Open Sans Semibold"/>
                <w:color w:val="000000" w:themeColor="text1"/>
                <w:sz w:val="16"/>
                <w:szCs w:val="16"/>
              </w:rPr>
              <w:t> </w:t>
            </w:r>
          </w:p>
        </w:tc>
        <w:tc>
          <w:tcPr>
            <w:tcW w:w="851" w:type="dxa"/>
            <w:tcBorders>
              <w:top w:val="single" w:sz="6" w:space="0" w:color="ADD6EA"/>
              <w:left w:val="nil"/>
              <w:bottom w:val="single" w:sz="6" w:space="0" w:color="ADD6EA"/>
              <w:right w:val="nil"/>
            </w:tcBorders>
            <w:shd w:val="clear" w:color="auto" w:fill="B6D5E4"/>
            <w:tcMar>
              <w:left w:w="15" w:type="dxa"/>
              <w:right w:w="15" w:type="dxa"/>
            </w:tcMar>
          </w:tcPr>
          <w:p w14:paraId="124D4C4F" w14:textId="246ACFF5" w:rsidR="083C5A09" w:rsidRDefault="083C5A09" w:rsidP="00376E42">
            <w:pPr>
              <w:spacing w:line="240" w:lineRule="auto"/>
              <w:rPr>
                <w:rFonts w:ascii="Open Sans Semibold" w:eastAsia="Open Sans Semibold" w:hAnsi="Open Sans Semibold" w:cs="Open Sans Semibold"/>
                <w:color w:val="000000" w:themeColor="text1"/>
                <w:sz w:val="16"/>
                <w:szCs w:val="16"/>
              </w:rPr>
            </w:pPr>
            <w:r w:rsidRPr="083C5A09">
              <w:rPr>
                <w:rFonts w:ascii="Open Sans Semibold" w:eastAsia="Open Sans Semibold" w:hAnsi="Open Sans Semibold" w:cs="Open Sans Semibold"/>
                <w:color w:val="000000" w:themeColor="text1"/>
                <w:sz w:val="16"/>
                <w:szCs w:val="16"/>
              </w:rPr>
              <w:t> </w:t>
            </w:r>
          </w:p>
        </w:tc>
        <w:tc>
          <w:tcPr>
            <w:tcW w:w="2920" w:type="dxa"/>
            <w:tcBorders>
              <w:top w:val="single" w:sz="6" w:space="0" w:color="ADD6EA"/>
              <w:left w:val="nil"/>
              <w:bottom w:val="single" w:sz="6" w:space="0" w:color="ADD6EA"/>
              <w:right w:val="nil"/>
            </w:tcBorders>
            <w:shd w:val="clear" w:color="auto" w:fill="B6D5E4"/>
            <w:tcMar>
              <w:left w:w="15" w:type="dxa"/>
              <w:right w:w="15" w:type="dxa"/>
            </w:tcMar>
          </w:tcPr>
          <w:p w14:paraId="1DD77B52" w14:textId="7EA945A1" w:rsidR="083C5A09" w:rsidRDefault="083C5A09" w:rsidP="00376E42">
            <w:pPr>
              <w:spacing w:line="240" w:lineRule="auto"/>
              <w:jc w:val="right"/>
              <w:rPr>
                <w:rFonts w:ascii="Open Sans Semibold" w:eastAsia="Open Sans Semibold" w:hAnsi="Open Sans Semibold" w:cs="Open Sans Semibold"/>
                <w:color w:val="000000" w:themeColor="text1"/>
                <w:sz w:val="16"/>
                <w:szCs w:val="16"/>
              </w:rPr>
            </w:pPr>
            <w:r w:rsidRPr="083C5A09">
              <w:rPr>
                <w:rFonts w:ascii="Open Sans Semibold" w:eastAsia="Open Sans Semibold" w:hAnsi="Open Sans Semibold" w:cs="Open Sans Semibold"/>
                <w:color w:val="000000" w:themeColor="text1"/>
                <w:sz w:val="16"/>
                <w:szCs w:val="16"/>
              </w:rPr>
              <w:t> </w:t>
            </w:r>
          </w:p>
        </w:tc>
      </w:tr>
      <w:tr w:rsidR="083C5A09" w14:paraId="66F4AF5D" w14:textId="77777777" w:rsidTr="00376E42">
        <w:trPr>
          <w:trHeight w:val="705"/>
        </w:trPr>
        <w:tc>
          <w:tcPr>
            <w:tcW w:w="1659" w:type="dxa"/>
            <w:tcBorders>
              <w:top w:val="single" w:sz="6" w:space="0" w:color="ADD6EA"/>
              <w:left w:val="nil"/>
              <w:bottom w:val="single" w:sz="6" w:space="0" w:color="ADD6EA"/>
              <w:right w:val="nil"/>
            </w:tcBorders>
            <w:tcMar>
              <w:left w:w="15" w:type="dxa"/>
              <w:right w:w="15" w:type="dxa"/>
            </w:tcMar>
          </w:tcPr>
          <w:p w14:paraId="1D14B39C" w14:textId="7B1FB8C8" w:rsidR="083C5A09" w:rsidRDefault="083C5A09" w:rsidP="00376E42">
            <w:pPr>
              <w:spacing w:after="0" w:line="240" w:lineRule="auto"/>
              <w:rPr>
                <w:rFonts w:ascii="Open Sans Light" w:eastAsia="Open Sans Light" w:hAnsi="Open Sans Light" w:cs="Open Sans Light"/>
                <w:sz w:val="16"/>
                <w:szCs w:val="16"/>
              </w:rPr>
            </w:pPr>
            <w:r w:rsidRPr="083C5A09">
              <w:rPr>
                <w:rFonts w:ascii="Open Sans Light" w:eastAsia="Open Sans Light" w:hAnsi="Open Sans Light" w:cs="Open Sans Light"/>
                <w:sz w:val="16"/>
                <w:szCs w:val="16"/>
              </w:rPr>
              <w:t>Access to HIV treatment</w:t>
            </w:r>
          </w:p>
        </w:tc>
        <w:tc>
          <w:tcPr>
            <w:tcW w:w="2594" w:type="dxa"/>
            <w:tcBorders>
              <w:top w:val="single" w:sz="6" w:space="0" w:color="ADD6EA"/>
              <w:left w:val="nil"/>
              <w:bottom w:val="single" w:sz="6" w:space="0" w:color="ADD6EA"/>
              <w:right w:val="nil"/>
            </w:tcBorders>
            <w:tcMar>
              <w:left w:w="15" w:type="dxa"/>
              <w:right w:w="15" w:type="dxa"/>
            </w:tcMar>
          </w:tcPr>
          <w:p w14:paraId="192FF949" w14:textId="1FEED30D" w:rsidR="083C5A09" w:rsidRDefault="083C5A09" w:rsidP="00376E42">
            <w:pPr>
              <w:spacing w:after="0" w:line="240" w:lineRule="auto"/>
              <w:rPr>
                <w:rFonts w:ascii="Open Sans Light" w:eastAsia="Open Sans Light" w:hAnsi="Open Sans Light" w:cs="Open Sans Light"/>
                <w:color w:val="000000" w:themeColor="text1"/>
                <w:sz w:val="16"/>
                <w:szCs w:val="16"/>
              </w:rPr>
            </w:pPr>
            <w:r w:rsidRPr="083C5A09">
              <w:rPr>
                <w:rFonts w:ascii="Open Sans Light" w:eastAsia="Open Sans Light" w:hAnsi="Open Sans Light" w:cs="Open Sans Light"/>
                <w:color w:val="000000" w:themeColor="text1"/>
                <w:sz w:val="16"/>
                <w:szCs w:val="16"/>
              </w:rPr>
              <w:t>Funding to support the delivery of (HIV) care to all people living with HIV in Australia who are not eligible for Medicare.</w:t>
            </w:r>
          </w:p>
        </w:tc>
        <w:tc>
          <w:tcPr>
            <w:tcW w:w="992" w:type="dxa"/>
            <w:tcBorders>
              <w:top w:val="single" w:sz="6" w:space="0" w:color="ADD6EA"/>
              <w:left w:val="nil"/>
              <w:bottom w:val="single" w:sz="6" w:space="0" w:color="ADD6EA"/>
              <w:right w:val="nil"/>
            </w:tcBorders>
            <w:tcMar>
              <w:left w:w="15" w:type="dxa"/>
              <w:right w:w="75" w:type="dxa"/>
            </w:tcMar>
          </w:tcPr>
          <w:p w14:paraId="358B4601" w14:textId="04E833DD" w:rsidR="083C5A09" w:rsidRPr="00432867" w:rsidRDefault="00CF79A3" w:rsidP="00376E42">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0.6</w:t>
            </w:r>
          </w:p>
        </w:tc>
        <w:tc>
          <w:tcPr>
            <w:tcW w:w="851" w:type="dxa"/>
            <w:tcBorders>
              <w:top w:val="single" w:sz="6" w:space="0" w:color="ADD6EA"/>
              <w:left w:val="nil"/>
              <w:bottom w:val="single" w:sz="6" w:space="0" w:color="ADD6EA"/>
              <w:right w:val="nil"/>
            </w:tcBorders>
            <w:tcMar>
              <w:left w:w="15" w:type="dxa"/>
              <w:right w:w="15" w:type="dxa"/>
            </w:tcMar>
          </w:tcPr>
          <w:p w14:paraId="7DB0F755" w14:textId="0C5F51AF" w:rsidR="083C5A09" w:rsidRDefault="083C5A09" w:rsidP="00376E42">
            <w:pPr>
              <w:spacing w:after="0" w:line="240" w:lineRule="auto"/>
              <w:rPr>
                <w:rFonts w:ascii="Open Sans Light" w:eastAsia="Open Sans Light" w:hAnsi="Open Sans Light" w:cs="Open Sans Light"/>
                <w:color w:val="000000" w:themeColor="text1"/>
                <w:sz w:val="16"/>
                <w:szCs w:val="16"/>
              </w:rPr>
            </w:pPr>
            <w:r w:rsidRPr="083C5A09">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4AF7A67D" w14:textId="73C01D5E" w:rsidR="083C5A09" w:rsidRDefault="083C5A09" w:rsidP="00376E42">
            <w:pPr>
              <w:spacing w:after="0" w:line="240" w:lineRule="auto"/>
              <w:rPr>
                <w:rFonts w:ascii="Open Sans Light" w:eastAsia="Open Sans Light" w:hAnsi="Open Sans Light" w:cs="Open Sans Light"/>
                <w:color w:val="000000" w:themeColor="text1"/>
                <w:sz w:val="16"/>
                <w:szCs w:val="16"/>
              </w:rPr>
            </w:pPr>
            <w:r w:rsidRPr="666DE824">
              <w:rPr>
                <w:rFonts w:ascii="Open Sans Light" w:eastAsia="Open Sans Light" w:hAnsi="Open Sans Light" w:cs="Open Sans Light"/>
                <w:color w:val="000000" w:themeColor="text1"/>
                <w:sz w:val="16"/>
                <w:szCs w:val="16"/>
              </w:rPr>
              <w:t xml:space="preserve">Service </w:t>
            </w:r>
            <w:r w:rsidRPr="00FC4CE9">
              <w:rPr>
                <w:rFonts w:ascii="Open Sans Light" w:eastAsia="Open Sans Light" w:hAnsi="Open Sans Light" w:cs="Open Sans Light"/>
                <w:color w:val="000000" w:themeColor="text1"/>
                <w:sz w:val="16"/>
                <w:szCs w:val="16"/>
              </w:rPr>
              <w:t xml:space="preserve">is </w:t>
            </w:r>
            <w:r w:rsidRPr="666DE824">
              <w:rPr>
                <w:rFonts w:ascii="Open Sans Light" w:eastAsia="Open Sans Light" w:hAnsi="Open Sans Light" w:cs="Open Sans Light"/>
                <w:color w:val="000000" w:themeColor="text1"/>
                <w:sz w:val="16"/>
                <w:szCs w:val="16"/>
              </w:rPr>
              <w:t>normally provided through Medicare</w:t>
            </w:r>
            <w:r w:rsidR="008A5BD1">
              <w:rPr>
                <w:rFonts w:ascii="Open Sans Light" w:eastAsia="Open Sans Light" w:hAnsi="Open Sans Light" w:cs="Open Sans Light"/>
                <w:color w:val="000000" w:themeColor="text1"/>
                <w:sz w:val="16"/>
                <w:szCs w:val="16"/>
              </w:rPr>
              <w:t xml:space="preserve">. </w:t>
            </w:r>
            <w:r w:rsidR="008A5BD1" w:rsidRPr="008945C5">
              <w:rPr>
                <w:rFonts w:ascii="Open Sans Light" w:eastAsia="Open Sans Light" w:hAnsi="Open Sans Light" w:cs="Open Sans Light"/>
                <w:color w:val="000000" w:themeColor="text1"/>
                <w:sz w:val="16"/>
                <w:szCs w:val="16"/>
              </w:rPr>
              <w:t>Medicare</w:t>
            </w:r>
            <w:r w:rsidRPr="008945C5">
              <w:rPr>
                <w:rFonts w:ascii="Open Sans Light" w:eastAsia="Open Sans Light" w:hAnsi="Open Sans Light" w:cs="Open Sans Light"/>
                <w:color w:val="000000" w:themeColor="text1"/>
                <w:sz w:val="16"/>
                <w:szCs w:val="16"/>
              </w:rPr>
              <w:t xml:space="preserve"> is </w:t>
            </w:r>
            <w:r w:rsidR="00747005" w:rsidRPr="008945C5">
              <w:rPr>
                <w:rFonts w:ascii="Open Sans Light" w:eastAsia="Open Sans Light" w:hAnsi="Open Sans Light" w:cs="Open Sans Light"/>
                <w:color w:val="000000" w:themeColor="text1"/>
                <w:sz w:val="16"/>
                <w:szCs w:val="16"/>
              </w:rPr>
              <w:t xml:space="preserve">treated as </w:t>
            </w:r>
            <w:r w:rsidRPr="008945C5">
              <w:rPr>
                <w:rFonts w:ascii="Open Sans Light" w:eastAsia="Open Sans Light" w:hAnsi="Open Sans Light" w:cs="Open Sans Light"/>
                <w:color w:val="000000" w:themeColor="text1"/>
                <w:sz w:val="16"/>
                <w:szCs w:val="16"/>
              </w:rPr>
              <w:t xml:space="preserve">a </w:t>
            </w:r>
            <w:r w:rsidR="00747005" w:rsidRPr="008945C5">
              <w:rPr>
                <w:rFonts w:ascii="Open Sans Light" w:eastAsia="Open Sans Light" w:hAnsi="Open Sans Light" w:cs="Open Sans Light"/>
                <w:color w:val="000000" w:themeColor="text1"/>
                <w:sz w:val="16"/>
                <w:szCs w:val="16"/>
              </w:rPr>
              <w:t>non-state service</w:t>
            </w:r>
            <w:r w:rsidRPr="666DE824">
              <w:rPr>
                <w:rFonts w:ascii="Open Sans Light" w:eastAsia="Open Sans Light" w:hAnsi="Open Sans Light" w:cs="Open Sans Light"/>
                <w:color w:val="000000" w:themeColor="text1"/>
                <w:sz w:val="16"/>
                <w:szCs w:val="16"/>
              </w:rPr>
              <w:t xml:space="preserve"> </w:t>
            </w:r>
            <w:r w:rsidR="001237C1">
              <w:rPr>
                <w:rFonts w:ascii="Open Sans Light" w:eastAsia="Open Sans Light" w:hAnsi="Open Sans Light" w:cs="Open Sans Light"/>
                <w:color w:val="000000" w:themeColor="text1"/>
                <w:sz w:val="16"/>
                <w:szCs w:val="16"/>
              </w:rPr>
              <w:t>(</w:t>
            </w:r>
            <w:r w:rsidR="001237C1" w:rsidRPr="008945C5">
              <w:rPr>
                <w:rFonts w:ascii="Open Sans Light" w:eastAsia="Open Sans Light" w:hAnsi="Open Sans Light" w:cs="Open Sans Light"/>
                <w:color w:val="000000" w:themeColor="text1"/>
                <w:sz w:val="16"/>
                <w:szCs w:val="16"/>
              </w:rPr>
              <w:t>Community</w:t>
            </w:r>
            <w:r w:rsidRPr="008945C5">
              <w:rPr>
                <w:rFonts w:ascii="Open Sans Light" w:eastAsia="Open Sans Light" w:hAnsi="Open Sans Light" w:cs="Open Sans Light"/>
                <w:color w:val="000000" w:themeColor="text1"/>
                <w:sz w:val="16"/>
                <w:szCs w:val="16"/>
              </w:rPr>
              <w:t xml:space="preserve"> and </w:t>
            </w:r>
            <w:r w:rsidR="001237C1" w:rsidRPr="008945C5">
              <w:rPr>
                <w:rFonts w:ascii="Open Sans Light" w:eastAsia="Open Sans Light" w:hAnsi="Open Sans Light" w:cs="Open Sans Light"/>
                <w:color w:val="000000" w:themeColor="text1"/>
                <w:sz w:val="16"/>
                <w:szCs w:val="16"/>
              </w:rPr>
              <w:t>other health)</w:t>
            </w:r>
          </w:p>
        </w:tc>
      </w:tr>
      <w:tr w:rsidR="083C5A09" w14:paraId="49DF8A07" w14:textId="77777777" w:rsidTr="00376E42">
        <w:trPr>
          <w:trHeight w:val="525"/>
        </w:trPr>
        <w:tc>
          <w:tcPr>
            <w:tcW w:w="1659" w:type="dxa"/>
            <w:tcBorders>
              <w:top w:val="single" w:sz="6" w:space="0" w:color="ADD6EA"/>
              <w:left w:val="nil"/>
              <w:bottom w:val="single" w:sz="6" w:space="0" w:color="ADD6EA"/>
              <w:right w:val="nil"/>
            </w:tcBorders>
            <w:tcMar>
              <w:left w:w="15" w:type="dxa"/>
              <w:right w:w="15" w:type="dxa"/>
            </w:tcMar>
          </w:tcPr>
          <w:p w14:paraId="5461D4C5" w14:textId="3F0A7FE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Medicare Urgent Care Clinics</w:t>
            </w:r>
          </w:p>
        </w:tc>
        <w:tc>
          <w:tcPr>
            <w:tcW w:w="2594" w:type="dxa"/>
            <w:tcBorders>
              <w:top w:val="single" w:sz="6" w:space="0" w:color="ADD6EA"/>
              <w:left w:val="nil"/>
              <w:bottom w:val="single" w:sz="6" w:space="0" w:color="ADD6EA"/>
              <w:right w:val="nil"/>
            </w:tcBorders>
            <w:tcMar>
              <w:left w:w="15" w:type="dxa"/>
              <w:right w:w="15" w:type="dxa"/>
            </w:tcMar>
          </w:tcPr>
          <w:p w14:paraId="6A749799" w14:textId="3F0A7FE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Establishment of 50 clinics that are available after hours to reduce pressure on hospital emergency departments and improve access for urgent situations.</w:t>
            </w:r>
          </w:p>
        </w:tc>
        <w:tc>
          <w:tcPr>
            <w:tcW w:w="992" w:type="dxa"/>
            <w:tcBorders>
              <w:top w:val="single" w:sz="6" w:space="0" w:color="ADD6EA"/>
              <w:left w:val="nil"/>
              <w:bottom w:val="single" w:sz="6" w:space="0" w:color="ADD6EA"/>
              <w:right w:val="nil"/>
            </w:tcBorders>
            <w:tcMar>
              <w:left w:w="15" w:type="dxa"/>
              <w:right w:w="75" w:type="dxa"/>
            </w:tcMar>
          </w:tcPr>
          <w:p w14:paraId="4E4DAEDE" w14:textId="4AAB41DF" w:rsidR="083C5A09" w:rsidRPr="00432867" w:rsidRDefault="00CE2791" w:rsidP="00376E42">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8.8</w:t>
            </w:r>
          </w:p>
        </w:tc>
        <w:tc>
          <w:tcPr>
            <w:tcW w:w="851" w:type="dxa"/>
            <w:tcBorders>
              <w:top w:val="single" w:sz="6" w:space="0" w:color="ADD6EA"/>
              <w:left w:val="nil"/>
              <w:bottom w:val="single" w:sz="6" w:space="0" w:color="ADD6EA"/>
              <w:right w:val="nil"/>
            </w:tcBorders>
            <w:tcMar>
              <w:left w:w="15" w:type="dxa"/>
              <w:right w:w="15" w:type="dxa"/>
            </w:tcMar>
          </w:tcPr>
          <w:p w14:paraId="08B9E6A0" w14:textId="3F0A7FE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0C9D2EC5" w14:textId="693C2635"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Clinics are to support Medicare-funded health services. Medicare is </w:t>
            </w:r>
            <w:r w:rsidR="00747005">
              <w:rPr>
                <w:rFonts w:ascii="Open Sans Light" w:eastAsia="Open Sans Light" w:hAnsi="Open Sans Light" w:cs="Open Sans Light"/>
                <w:color w:val="000000" w:themeColor="text1"/>
                <w:sz w:val="16"/>
                <w:szCs w:val="16"/>
              </w:rPr>
              <w:t>treated as a non-</w:t>
            </w:r>
            <w:r w:rsidR="00A050E2">
              <w:rPr>
                <w:rFonts w:ascii="Open Sans Light" w:eastAsia="Open Sans Light" w:hAnsi="Open Sans Light" w:cs="Open Sans Light"/>
                <w:color w:val="000000" w:themeColor="text1"/>
                <w:sz w:val="16"/>
                <w:szCs w:val="16"/>
              </w:rPr>
              <w:t>state service</w:t>
            </w:r>
            <w:r w:rsidRPr="71B85580">
              <w:rPr>
                <w:rFonts w:ascii="Open Sans Light" w:eastAsia="Open Sans Light" w:hAnsi="Open Sans Light" w:cs="Open Sans Light"/>
                <w:color w:val="000000" w:themeColor="text1"/>
                <w:sz w:val="16"/>
                <w:szCs w:val="16"/>
              </w:rPr>
              <w:t xml:space="preserve"> </w:t>
            </w:r>
            <w:r w:rsidR="001237C1">
              <w:rPr>
                <w:rFonts w:ascii="Open Sans Light" w:eastAsia="Open Sans Light" w:hAnsi="Open Sans Light" w:cs="Open Sans Light"/>
                <w:color w:val="000000" w:themeColor="text1"/>
                <w:sz w:val="16"/>
                <w:szCs w:val="16"/>
              </w:rPr>
              <w:t>(</w:t>
            </w:r>
            <w:r w:rsidR="001237C1" w:rsidRPr="008945C5">
              <w:rPr>
                <w:rFonts w:ascii="Open Sans Light" w:eastAsia="Open Sans Light" w:hAnsi="Open Sans Light" w:cs="Open Sans Light"/>
                <w:color w:val="000000" w:themeColor="text1"/>
                <w:sz w:val="16"/>
                <w:szCs w:val="16"/>
              </w:rPr>
              <w:t>Community and other health)</w:t>
            </w:r>
          </w:p>
        </w:tc>
      </w:tr>
      <w:tr w:rsidR="083C5A09" w14:paraId="0CF88384" w14:textId="77777777" w:rsidTr="00376E42">
        <w:trPr>
          <w:trHeight w:val="525"/>
        </w:trPr>
        <w:tc>
          <w:tcPr>
            <w:tcW w:w="1659" w:type="dxa"/>
            <w:tcBorders>
              <w:top w:val="single" w:sz="6" w:space="0" w:color="ADD6EA"/>
              <w:left w:val="nil"/>
              <w:bottom w:val="single" w:sz="6" w:space="0" w:color="ADD6EA"/>
              <w:right w:val="nil"/>
            </w:tcBorders>
            <w:tcMar>
              <w:left w:w="15" w:type="dxa"/>
              <w:right w:w="15" w:type="dxa"/>
            </w:tcMar>
          </w:tcPr>
          <w:p w14:paraId="0A50F812" w14:textId="3F0A7FE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Palliative Care Services Navigation Pilot</w:t>
            </w:r>
          </w:p>
        </w:tc>
        <w:tc>
          <w:tcPr>
            <w:tcW w:w="2594" w:type="dxa"/>
            <w:tcBorders>
              <w:top w:val="single" w:sz="6" w:space="0" w:color="ADD6EA"/>
              <w:left w:val="nil"/>
              <w:bottom w:val="single" w:sz="6" w:space="0" w:color="ADD6EA"/>
              <w:right w:val="nil"/>
            </w:tcBorders>
            <w:tcMar>
              <w:left w:w="15" w:type="dxa"/>
              <w:right w:w="15" w:type="dxa"/>
            </w:tcMar>
          </w:tcPr>
          <w:p w14:paraId="25EA9D92" w14:textId="3F0A7FE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Support for the delivery of a pilot to test a palliative care services navigation model. The pilot will develop an approach to end-of-life care pathways in South Australia.</w:t>
            </w:r>
          </w:p>
        </w:tc>
        <w:tc>
          <w:tcPr>
            <w:tcW w:w="992" w:type="dxa"/>
            <w:tcBorders>
              <w:top w:val="single" w:sz="6" w:space="0" w:color="ADD6EA"/>
              <w:left w:val="nil"/>
              <w:bottom w:val="single" w:sz="6" w:space="0" w:color="ADD6EA"/>
              <w:right w:val="nil"/>
            </w:tcBorders>
            <w:tcMar>
              <w:left w:w="15" w:type="dxa"/>
              <w:right w:w="75" w:type="dxa"/>
            </w:tcMar>
          </w:tcPr>
          <w:p w14:paraId="2294D26E" w14:textId="3F0A7FE0" w:rsidR="083C5A09" w:rsidRPr="00432867" w:rsidRDefault="083C5A09" w:rsidP="00376E42">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1.0</w:t>
            </w:r>
          </w:p>
        </w:tc>
        <w:tc>
          <w:tcPr>
            <w:tcW w:w="851" w:type="dxa"/>
            <w:tcBorders>
              <w:top w:val="single" w:sz="6" w:space="0" w:color="ADD6EA"/>
              <w:left w:val="nil"/>
              <w:bottom w:val="single" w:sz="6" w:space="0" w:color="ADD6EA"/>
              <w:right w:val="nil"/>
            </w:tcBorders>
            <w:tcMar>
              <w:left w:w="15" w:type="dxa"/>
              <w:right w:w="15" w:type="dxa"/>
            </w:tcMar>
          </w:tcPr>
          <w:p w14:paraId="36058294" w14:textId="3F0A7FE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63233119" w14:textId="0E63ACA6"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Admitted patient services are a state responsibility and needs are assessed. </w:t>
            </w:r>
          </w:p>
        </w:tc>
      </w:tr>
      <w:tr w:rsidR="083C5A09" w14:paraId="5646F60B" w14:textId="77777777" w:rsidTr="00376E42">
        <w:trPr>
          <w:trHeight w:val="525"/>
        </w:trPr>
        <w:tc>
          <w:tcPr>
            <w:tcW w:w="1659" w:type="dxa"/>
            <w:tcBorders>
              <w:top w:val="single" w:sz="6" w:space="0" w:color="ADD6EA"/>
              <w:left w:val="nil"/>
              <w:bottom w:val="single" w:sz="6" w:space="0" w:color="ADD6EA"/>
              <w:right w:val="nil"/>
            </w:tcBorders>
            <w:tcMar>
              <w:left w:w="15" w:type="dxa"/>
              <w:right w:w="15" w:type="dxa"/>
            </w:tcMar>
          </w:tcPr>
          <w:p w14:paraId="05EF73D3" w14:textId="3F0A7FE0"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Primary Care Pilot</w:t>
            </w:r>
          </w:p>
        </w:tc>
        <w:tc>
          <w:tcPr>
            <w:tcW w:w="2594" w:type="dxa"/>
            <w:tcBorders>
              <w:top w:val="single" w:sz="6" w:space="0" w:color="ADD6EA"/>
              <w:left w:val="nil"/>
              <w:bottom w:val="single" w:sz="6" w:space="0" w:color="ADD6EA"/>
              <w:right w:val="nil"/>
            </w:tcBorders>
            <w:tcMar>
              <w:left w:w="15" w:type="dxa"/>
              <w:right w:w="15" w:type="dxa"/>
            </w:tcMar>
          </w:tcPr>
          <w:p w14:paraId="5565B653" w14:textId="3F0A7FE0"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Funding to co-develop and pilot models that reduce pressure on emergency departments (ED) including ED diversion, ED prevention and strengthening partnerships between primary care, community care and the public health system.</w:t>
            </w:r>
          </w:p>
        </w:tc>
        <w:tc>
          <w:tcPr>
            <w:tcW w:w="992" w:type="dxa"/>
            <w:tcBorders>
              <w:top w:val="single" w:sz="6" w:space="0" w:color="ADD6EA"/>
              <w:left w:val="nil"/>
              <w:bottom w:val="single" w:sz="6" w:space="0" w:color="ADD6EA"/>
              <w:right w:val="nil"/>
            </w:tcBorders>
            <w:tcMar>
              <w:left w:w="15" w:type="dxa"/>
              <w:right w:w="75" w:type="dxa"/>
            </w:tcMar>
          </w:tcPr>
          <w:p w14:paraId="22319BFE" w14:textId="3F0A7FE0" w:rsidR="083C5A09" w:rsidRPr="00432867" w:rsidRDefault="083C5A09" w:rsidP="00376E42">
            <w:pPr>
              <w:spacing w:after="0" w:line="240" w:lineRule="auto"/>
              <w:ind w:right="227"/>
              <w:jc w:val="right"/>
              <w:rPr>
                <w:rFonts w:ascii="Open Sans Light" w:eastAsia="Open Sans Light" w:hAnsi="Open Sans Light" w:cs="Open Sans Light"/>
                <w:sz w:val="16"/>
                <w:szCs w:val="16"/>
              </w:rPr>
            </w:pPr>
            <w:r w:rsidRPr="00432867">
              <w:rPr>
                <w:rFonts w:ascii="Open Sans Light" w:eastAsia="Open Sans Light" w:hAnsi="Open Sans Light" w:cs="Open Sans Light"/>
                <w:sz w:val="16"/>
                <w:szCs w:val="16"/>
              </w:rPr>
              <w:t>50.0</w:t>
            </w:r>
          </w:p>
        </w:tc>
        <w:tc>
          <w:tcPr>
            <w:tcW w:w="851" w:type="dxa"/>
            <w:tcBorders>
              <w:top w:val="single" w:sz="6" w:space="0" w:color="ADD6EA"/>
              <w:left w:val="nil"/>
              <w:bottom w:val="single" w:sz="6" w:space="0" w:color="ADD6EA"/>
              <w:right w:val="nil"/>
            </w:tcBorders>
            <w:tcMar>
              <w:left w:w="15" w:type="dxa"/>
              <w:right w:w="15" w:type="dxa"/>
            </w:tcMar>
          </w:tcPr>
          <w:p w14:paraId="02634A1F" w14:textId="3F0A7FE0"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4098D1A8" w14:textId="3F0A7FE0"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Community health is a state service and needs are assessed. </w:t>
            </w:r>
          </w:p>
        </w:tc>
      </w:tr>
      <w:tr w:rsidR="083C5A09" w14:paraId="6DDCDF6E" w14:textId="77777777" w:rsidTr="00376E42">
        <w:trPr>
          <w:trHeight w:val="525"/>
        </w:trPr>
        <w:tc>
          <w:tcPr>
            <w:tcW w:w="1659" w:type="dxa"/>
            <w:tcBorders>
              <w:top w:val="single" w:sz="6" w:space="0" w:color="ADD6EA"/>
              <w:left w:val="nil"/>
              <w:bottom w:val="single" w:sz="6" w:space="0" w:color="ADD6EA"/>
              <w:right w:val="nil"/>
            </w:tcBorders>
            <w:tcMar>
              <w:left w:w="15" w:type="dxa"/>
              <w:right w:w="15" w:type="dxa"/>
            </w:tcMar>
          </w:tcPr>
          <w:p w14:paraId="6DB6AA39" w14:textId="3F0A7FE0"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Surge capacity for </w:t>
            </w:r>
            <w:proofErr w:type="spellStart"/>
            <w:r w:rsidRPr="71B85580">
              <w:rPr>
                <w:rFonts w:ascii="Open Sans Light" w:eastAsia="Open Sans Light" w:hAnsi="Open Sans Light" w:cs="Open Sans Light"/>
                <w:sz w:val="16"/>
                <w:szCs w:val="16"/>
              </w:rPr>
              <w:t>BreastScreen</w:t>
            </w:r>
            <w:proofErr w:type="spellEnd"/>
            <w:r w:rsidRPr="71B85580">
              <w:rPr>
                <w:rFonts w:ascii="Open Sans Light" w:eastAsia="Open Sans Light" w:hAnsi="Open Sans Light" w:cs="Open Sans Light"/>
                <w:sz w:val="16"/>
                <w:szCs w:val="16"/>
              </w:rPr>
              <w:t xml:space="preserve"> Australia</w:t>
            </w:r>
          </w:p>
        </w:tc>
        <w:tc>
          <w:tcPr>
            <w:tcW w:w="2594" w:type="dxa"/>
            <w:tcBorders>
              <w:top w:val="single" w:sz="6" w:space="0" w:color="ADD6EA"/>
              <w:left w:val="nil"/>
              <w:bottom w:val="single" w:sz="6" w:space="0" w:color="ADD6EA"/>
              <w:right w:val="nil"/>
            </w:tcBorders>
            <w:tcMar>
              <w:left w:w="15" w:type="dxa"/>
              <w:right w:w="15" w:type="dxa"/>
            </w:tcMar>
          </w:tcPr>
          <w:p w14:paraId="34FC05C7" w14:textId="36ADC99B"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Funding as a one-off boost to capacity for the </w:t>
            </w:r>
            <w:proofErr w:type="spellStart"/>
            <w:r w:rsidRPr="71B85580">
              <w:rPr>
                <w:rFonts w:ascii="Open Sans Light" w:eastAsia="Open Sans Light" w:hAnsi="Open Sans Light" w:cs="Open Sans Light"/>
                <w:sz w:val="16"/>
                <w:szCs w:val="16"/>
              </w:rPr>
              <w:t>BreastScreen</w:t>
            </w:r>
            <w:proofErr w:type="spellEnd"/>
            <w:r w:rsidRPr="71B85580">
              <w:rPr>
                <w:rFonts w:ascii="Open Sans Light" w:eastAsia="Open Sans Light" w:hAnsi="Open Sans Light" w:cs="Open Sans Light"/>
                <w:sz w:val="16"/>
                <w:szCs w:val="16"/>
              </w:rPr>
              <w:t xml:space="preserve"> Australia program. It will enable services to catch up on delayed appointments.</w:t>
            </w:r>
          </w:p>
        </w:tc>
        <w:tc>
          <w:tcPr>
            <w:tcW w:w="992" w:type="dxa"/>
            <w:tcBorders>
              <w:top w:val="single" w:sz="6" w:space="0" w:color="ADD6EA"/>
              <w:left w:val="nil"/>
              <w:bottom w:val="single" w:sz="6" w:space="0" w:color="ADD6EA"/>
              <w:right w:val="nil"/>
            </w:tcBorders>
            <w:tcMar>
              <w:left w:w="15" w:type="dxa"/>
              <w:right w:w="75" w:type="dxa"/>
            </w:tcMar>
          </w:tcPr>
          <w:p w14:paraId="58DDEB7D" w14:textId="3B446898" w:rsidR="083C5A09" w:rsidRPr="00432867" w:rsidRDefault="083C5A09" w:rsidP="00376E42">
            <w:pPr>
              <w:spacing w:after="0" w:line="240" w:lineRule="auto"/>
              <w:ind w:right="227"/>
              <w:jc w:val="right"/>
              <w:rPr>
                <w:rFonts w:ascii="Open Sans Light" w:eastAsia="Open Sans Light" w:hAnsi="Open Sans Light" w:cs="Open Sans Light"/>
                <w:sz w:val="16"/>
                <w:szCs w:val="16"/>
              </w:rPr>
            </w:pPr>
            <w:r w:rsidRPr="00432867">
              <w:rPr>
                <w:rFonts w:ascii="Open Sans Light" w:eastAsia="Open Sans Light" w:hAnsi="Open Sans Light" w:cs="Open Sans Light"/>
                <w:sz w:val="16"/>
                <w:szCs w:val="16"/>
              </w:rPr>
              <w:t>2.0</w:t>
            </w:r>
          </w:p>
        </w:tc>
        <w:tc>
          <w:tcPr>
            <w:tcW w:w="851" w:type="dxa"/>
            <w:tcBorders>
              <w:top w:val="single" w:sz="6" w:space="0" w:color="ADD6EA"/>
              <w:left w:val="nil"/>
              <w:bottom w:val="single" w:sz="6" w:space="0" w:color="ADD6EA"/>
              <w:right w:val="nil"/>
            </w:tcBorders>
            <w:tcMar>
              <w:left w:w="15" w:type="dxa"/>
              <w:right w:w="15" w:type="dxa"/>
            </w:tcMar>
          </w:tcPr>
          <w:p w14:paraId="0768BDD2" w14:textId="2A54D687"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7CE219E8" w14:textId="60145BA8"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Community health is a state service and needs are assessed. </w:t>
            </w:r>
          </w:p>
        </w:tc>
      </w:tr>
      <w:tr w:rsidR="083C5A09" w14:paraId="4DD037EC" w14:textId="77777777" w:rsidTr="00376E42">
        <w:trPr>
          <w:trHeight w:val="525"/>
        </w:trPr>
        <w:tc>
          <w:tcPr>
            <w:tcW w:w="1659" w:type="dxa"/>
            <w:tcBorders>
              <w:top w:val="single" w:sz="6" w:space="0" w:color="ADD6EA"/>
              <w:left w:val="nil"/>
              <w:bottom w:val="single" w:sz="6" w:space="0" w:color="ADD6EA"/>
              <w:right w:val="nil"/>
            </w:tcBorders>
            <w:tcMar>
              <w:left w:w="15" w:type="dxa"/>
              <w:right w:w="15" w:type="dxa"/>
            </w:tcMar>
          </w:tcPr>
          <w:p w14:paraId="4506CC1F" w14:textId="3F09CF29"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World-class newborn bloodspot screening program</w:t>
            </w:r>
          </w:p>
        </w:tc>
        <w:tc>
          <w:tcPr>
            <w:tcW w:w="2594" w:type="dxa"/>
            <w:tcBorders>
              <w:top w:val="single" w:sz="6" w:space="0" w:color="ADD6EA"/>
              <w:left w:val="nil"/>
              <w:bottom w:val="single" w:sz="6" w:space="0" w:color="ADD6EA"/>
              <w:right w:val="nil"/>
            </w:tcBorders>
            <w:tcMar>
              <w:left w:w="15" w:type="dxa"/>
              <w:right w:w="15" w:type="dxa"/>
            </w:tcMar>
          </w:tcPr>
          <w:p w14:paraId="1482D512" w14:textId="260C9EDC"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Funding to increase the number and consistency of conditions screened through the newborn bloodspot screening program</w:t>
            </w:r>
            <w:r w:rsidR="00B40F6F">
              <w:rPr>
                <w:rFonts w:ascii="Open Sans Light" w:eastAsia="Open Sans Light" w:hAnsi="Open Sans Light" w:cs="Open Sans Light"/>
                <w:sz w:val="16"/>
                <w:szCs w:val="16"/>
              </w:rPr>
              <w:t>.</w:t>
            </w:r>
          </w:p>
        </w:tc>
        <w:tc>
          <w:tcPr>
            <w:tcW w:w="992" w:type="dxa"/>
            <w:tcBorders>
              <w:top w:val="single" w:sz="6" w:space="0" w:color="ADD6EA"/>
              <w:left w:val="nil"/>
              <w:bottom w:val="single" w:sz="6" w:space="0" w:color="ADD6EA"/>
              <w:right w:val="nil"/>
            </w:tcBorders>
            <w:tcMar>
              <w:left w:w="15" w:type="dxa"/>
              <w:right w:w="75" w:type="dxa"/>
            </w:tcMar>
          </w:tcPr>
          <w:p w14:paraId="4D79A04A" w14:textId="6543C3C3" w:rsidR="083C5A09" w:rsidRPr="00432867" w:rsidRDefault="083C5A09" w:rsidP="00376E42">
            <w:pPr>
              <w:spacing w:after="0" w:line="240" w:lineRule="auto"/>
              <w:ind w:right="227"/>
              <w:jc w:val="right"/>
              <w:rPr>
                <w:rFonts w:ascii="Open Sans Light" w:eastAsia="Open Sans Light" w:hAnsi="Open Sans Light" w:cs="Open Sans Light"/>
                <w:sz w:val="16"/>
                <w:szCs w:val="16"/>
              </w:rPr>
            </w:pPr>
            <w:r w:rsidRPr="00432867">
              <w:rPr>
                <w:rFonts w:ascii="Open Sans Light" w:eastAsia="Open Sans Light" w:hAnsi="Open Sans Light" w:cs="Open Sans Light"/>
                <w:sz w:val="16"/>
                <w:szCs w:val="16"/>
              </w:rPr>
              <w:t>4.9</w:t>
            </w:r>
          </w:p>
        </w:tc>
        <w:tc>
          <w:tcPr>
            <w:tcW w:w="851" w:type="dxa"/>
            <w:tcBorders>
              <w:top w:val="single" w:sz="6" w:space="0" w:color="ADD6EA"/>
              <w:left w:val="nil"/>
              <w:bottom w:val="single" w:sz="6" w:space="0" w:color="ADD6EA"/>
              <w:right w:val="nil"/>
            </w:tcBorders>
            <w:tcMar>
              <w:left w:w="15" w:type="dxa"/>
              <w:right w:w="15" w:type="dxa"/>
            </w:tcMar>
          </w:tcPr>
          <w:p w14:paraId="74C37BFE" w14:textId="7C059261"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6300A332" w14:textId="464E621D"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Community health is a state service and needs are assessed. </w:t>
            </w:r>
          </w:p>
        </w:tc>
      </w:tr>
      <w:tr w:rsidR="083C5A09" w14:paraId="07C8DF50" w14:textId="77777777" w:rsidTr="00376E42">
        <w:trPr>
          <w:trHeight w:val="525"/>
        </w:trPr>
        <w:tc>
          <w:tcPr>
            <w:tcW w:w="1659" w:type="dxa"/>
            <w:tcBorders>
              <w:top w:val="single" w:sz="6" w:space="0" w:color="ADD6EA"/>
              <w:left w:val="nil"/>
              <w:bottom w:val="single" w:sz="6" w:space="0" w:color="ADD6EA"/>
              <w:right w:val="nil"/>
            </w:tcBorders>
            <w:tcMar>
              <w:left w:w="15" w:type="dxa"/>
              <w:right w:w="15" w:type="dxa"/>
            </w:tcMar>
          </w:tcPr>
          <w:p w14:paraId="27D47AE9" w14:textId="295A6CD3"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Child Development Unit at Campbelltown Hospital</w:t>
            </w:r>
          </w:p>
        </w:tc>
        <w:tc>
          <w:tcPr>
            <w:tcW w:w="2594" w:type="dxa"/>
            <w:tcBorders>
              <w:top w:val="single" w:sz="6" w:space="0" w:color="ADD6EA"/>
              <w:left w:val="nil"/>
              <w:bottom w:val="single" w:sz="6" w:space="0" w:color="ADD6EA"/>
              <w:right w:val="nil"/>
            </w:tcBorders>
            <w:tcMar>
              <w:left w:w="15" w:type="dxa"/>
              <w:right w:w="15" w:type="dxa"/>
            </w:tcMar>
          </w:tcPr>
          <w:p w14:paraId="4FEEB383" w14:textId="164C82EA"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Funding to establish a child development unit to enhance current services for children aged 2-6 years with developmental delay concerns at Campbelltown Hospital. </w:t>
            </w:r>
          </w:p>
        </w:tc>
        <w:tc>
          <w:tcPr>
            <w:tcW w:w="992" w:type="dxa"/>
            <w:tcBorders>
              <w:top w:val="single" w:sz="6" w:space="0" w:color="ADD6EA"/>
              <w:left w:val="nil"/>
              <w:bottom w:val="single" w:sz="6" w:space="0" w:color="ADD6EA"/>
              <w:right w:val="nil"/>
            </w:tcBorders>
            <w:tcMar>
              <w:left w:w="15" w:type="dxa"/>
              <w:right w:w="75" w:type="dxa"/>
            </w:tcMar>
          </w:tcPr>
          <w:p w14:paraId="126209CB" w14:textId="17A100E0" w:rsidR="083C5A09" w:rsidRPr="00432867" w:rsidRDefault="083C5A09" w:rsidP="00376E42">
            <w:pPr>
              <w:spacing w:after="0" w:line="240" w:lineRule="auto"/>
              <w:ind w:right="227"/>
              <w:jc w:val="right"/>
              <w:rPr>
                <w:rFonts w:ascii="Open Sans Light" w:eastAsia="Open Sans Light" w:hAnsi="Open Sans Light" w:cs="Open Sans Light"/>
                <w:sz w:val="16"/>
                <w:szCs w:val="16"/>
              </w:rPr>
            </w:pPr>
            <w:r w:rsidRPr="00432867">
              <w:rPr>
                <w:rFonts w:ascii="Open Sans Light" w:eastAsia="Open Sans Light" w:hAnsi="Open Sans Light" w:cs="Open Sans Light"/>
                <w:sz w:val="16"/>
                <w:szCs w:val="16"/>
              </w:rPr>
              <w:t>4.0</w:t>
            </w:r>
          </w:p>
        </w:tc>
        <w:tc>
          <w:tcPr>
            <w:tcW w:w="851" w:type="dxa"/>
            <w:tcBorders>
              <w:top w:val="single" w:sz="6" w:space="0" w:color="ADD6EA"/>
              <w:left w:val="nil"/>
              <w:bottom w:val="single" w:sz="6" w:space="0" w:color="ADD6EA"/>
              <w:right w:val="nil"/>
            </w:tcBorders>
            <w:tcMar>
              <w:left w:w="15" w:type="dxa"/>
              <w:right w:w="15" w:type="dxa"/>
            </w:tcMar>
          </w:tcPr>
          <w:p w14:paraId="73E2FC84" w14:textId="610ECB94"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607FC78C" w14:textId="47E58AF7"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Health investment is a state function and needs are assessed. </w:t>
            </w:r>
          </w:p>
        </w:tc>
      </w:tr>
      <w:tr w:rsidR="083C5A09" w14:paraId="7B727962" w14:textId="77777777" w:rsidTr="00376E42">
        <w:trPr>
          <w:trHeight w:val="525"/>
        </w:trPr>
        <w:tc>
          <w:tcPr>
            <w:tcW w:w="1659" w:type="dxa"/>
            <w:tcBorders>
              <w:top w:val="single" w:sz="6" w:space="0" w:color="ADD6EA"/>
              <w:left w:val="nil"/>
              <w:bottom w:val="single" w:sz="6" w:space="0" w:color="ADD6EA"/>
              <w:right w:val="nil"/>
            </w:tcBorders>
            <w:tcMar>
              <w:left w:w="15" w:type="dxa"/>
              <w:right w:w="15" w:type="dxa"/>
            </w:tcMar>
          </w:tcPr>
          <w:p w14:paraId="12478106" w14:textId="176DCA47"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Comprehensive Cancer Centres</w:t>
            </w:r>
          </w:p>
        </w:tc>
        <w:tc>
          <w:tcPr>
            <w:tcW w:w="2594" w:type="dxa"/>
            <w:tcBorders>
              <w:top w:val="single" w:sz="6" w:space="0" w:color="ADD6EA"/>
              <w:left w:val="nil"/>
              <w:bottom w:val="single" w:sz="6" w:space="0" w:color="ADD6EA"/>
              <w:right w:val="nil"/>
            </w:tcBorders>
            <w:tcMar>
              <w:left w:w="15" w:type="dxa"/>
              <w:right w:w="15" w:type="dxa"/>
            </w:tcMar>
          </w:tcPr>
          <w:p w14:paraId="092975F2" w14:textId="2AE69502"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Funding to support the establishment of Comprehensive Cancer Centres in Brisbane, </w:t>
            </w:r>
            <w:bookmarkStart w:id="28" w:name="_Int_Cp2QLbdT"/>
            <w:proofErr w:type="gramStart"/>
            <w:r w:rsidRPr="71B85580">
              <w:rPr>
                <w:rFonts w:ascii="Open Sans Light" w:eastAsia="Open Sans Light" w:hAnsi="Open Sans Light" w:cs="Open Sans Light"/>
                <w:sz w:val="16"/>
                <w:szCs w:val="16"/>
              </w:rPr>
              <w:t>Perth</w:t>
            </w:r>
            <w:bookmarkEnd w:id="28"/>
            <w:proofErr w:type="gramEnd"/>
            <w:r w:rsidRPr="71B85580">
              <w:rPr>
                <w:rFonts w:ascii="Open Sans Light" w:eastAsia="Open Sans Light" w:hAnsi="Open Sans Light" w:cs="Open Sans Light"/>
                <w:sz w:val="16"/>
                <w:szCs w:val="16"/>
              </w:rPr>
              <w:t xml:space="preserve"> and Adelaide.</w:t>
            </w:r>
          </w:p>
        </w:tc>
        <w:tc>
          <w:tcPr>
            <w:tcW w:w="992" w:type="dxa"/>
            <w:tcBorders>
              <w:top w:val="single" w:sz="6" w:space="0" w:color="ADD6EA"/>
              <w:left w:val="nil"/>
              <w:bottom w:val="single" w:sz="6" w:space="0" w:color="ADD6EA"/>
              <w:right w:val="nil"/>
            </w:tcBorders>
            <w:tcMar>
              <w:left w:w="15" w:type="dxa"/>
              <w:right w:w="75" w:type="dxa"/>
            </w:tcMar>
          </w:tcPr>
          <w:p w14:paraId="078FDDEE" w14:textId="718BA114" w:rsidR="083C5A09" w:rsidRPr="00432867" w:rsidRDefault="00EE469F" w:rsidP="00376E42">
            <w:pPr>
              <w:spacing w:after="0" w:line="240" w:lineRule="auto"/>
              <w:ind w:right="227"/>
              <w:jc w:val="right"/>
              <w:rPr>
                <w:rFonts w:ascii="Open Sans Light" w:eastAsia="Open Sans Light" w:hAnsi="Open Sans Light" w:cs="Open Sans Light"/>
                <w:sz w:val="16"/>
                <w:szCs w:val="16"/>
              </w:rPr>
            </w:pPr>
            <w:r w:rsidRPr="00432867">
              <w:rPr>
                <w:rFonts w:ascii="Open Sans Light" w:eastAsia="Open Sans Light" w:hAnsi="Open Sans Light" w:cs="Open Sans Light"/>
                <w:sz w:val="16"/>
                <w:szCs w:val="16"/>
              </w:rPr>
              <w:t>2.5</w:t>
            </w:r>
          </w:p>
        </w:tc>
        <w:tc>
          <w:tcPr>
            <w:tcW w:w="851" w:type="dxa"/>
            <w:tcBorders>
              <w:top w:val="single" w:sz="6" w:space="0" w:color="ADD6EA"/>
              <w:left w:val="nil"/>
              <w:bottom w:val="single" w:sz="6" w:space="0" w:color="ADD6EA"/>
              <w:right w:val="nil"/>
            </w:tcBorders>
            <w:tcMar>
              <w:left w:w="15" w:type="dxa"/>
              <w:right w:w="15" w:type="dxa"/>
            </w:tcMar>
          </w:tcPr>
          <w:p w14:paraId="1B2C9461" w14:textId="735E43FD"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535F57C6" w14:textId="2ECD445A"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Health investment is a state function and needs are assessed.</w:t>
            </w:r>
          </w:p>
        </w:tc>
      </w:tr>
      <w:tr w:rsidR="083C5A09" w14:paraId="7FADD315" w14:textId="77777777" w:rsidTr="00376E42">
        <w:trPr>
          <w:trHeight w:val="765"/>
        </w:trPr>
        <w:tc>
          <w:tcPr>
            <w:tcW w:w="1659" w:type="dxa"/>
            <w:tcBorders>
              <w:top w:val="single" w:sz="6" w:space="0" w:color="ADD6EA"/>
              <w:left w:val="nil"/>
              <w:bottom w:val="single" w:sz="6" w:space="0" w:color="ADD6EA"/>
            </w:tcBorders>
            <w:tcMar>
              <w:left w:w="15" w:type="dxa"/>
              <w:right w:w="15" w:type="dxa"/>
            </w:tcMar>
          </w:tcPr>
          <w:p w14:paraId="06607DD4" w14:textId="322180FA"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South Australian Genomics Lab</w:t>
            </w:r>
          </w:p>
        </w:tc>
        <w:tc>
          <w:tcPr>
            <w:tcW w:w="2594" w:type="dxa"/>
            <w:tcBorders>
              <w:top w:val="single" w:sz="6" w:space="0" w:color="ADD6EA"/>
              <w:bottom w:val="single" w:sz="6" w:space="0" w:color="ADD6EA"/>
            </w:tcBorders>
            <w:tcMar>
              <w:left w:w="15" w:type="dxa"/>
              <w:right w:w="15" w:type="dxa"/>
            </w:tcMar>
          </w:tcPr>
          <w:p w14:paraId="6C77B441" w14:textId="418EA7F1"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Funding to establish a cancer genomics laboratory in South Australia, which aims to improve </w:t>
            </w:r>
            <w:r w:rsidRPr="71B85580">
              <w:rPr>
                <w:rFonts w:ascii="Open Sans Light" w:eastAsia="Open Sans Light" w:hAnsi="Open Sans Light" w:cs="Open Sans Light"/>
                <w:color w:val="000000" w:themeColor="text1"/>
                <w:sz w:val="16"/>
                <w:szCs w:val="16"/>
              </w:rPr>
              <w:lastRenderedPageBreak/>
              <w:t>treatment options for Australians with cancer.</w:t>
            </w:r>
          </w:p>
        </w:tc>
        <w:tc>
          <w:tcPr>
            <w:tcW w:w="992" w:type="dxa"/>
            <w:tcBorders>
              <w:top w:val="single" w:sz="6" w:space="0" w:color="ADD6EA"/>
              <w:bottom w:val="single" w:sz="6" w:space="0" w:color="ADD6EA"/>
            </w:tcBorders>
            <w:tcMar>
              <w:left w:w="15" w:type="dxa"/>
              <w:right w:w="75" w:type="dxa"/>
            </w:tcMar>
          </w:tcPr>
          <w:p w14:paraId="45C8C3AD" w14:textId="1162F4DA" w:rsidR="083C5A09" w:rsidRDefault="083C5A09" w:rsidP="00376E42">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lastRenderedPageBreak/>
              <w:t>7.0</w:t>
            </w:r>
          </w:p>
        </w:tc>
        <w:tc>
          <w:tcPr>
            <w:tcW w:w="851" w:type="dxa"/>
            <w:tcBorders>
              <w:top w:val="single" w:sz="6" w:space="0" w:color="ADD6EA"/>
              <w:bottom w:val="single" w:sz="6" w:space="0" w:color="ADD6EA"/>
            </w:tcBorders>
            <w:shd w:val="clear" w:color="auto" w:fill="FFFFFF" w:themeFill="background1"/>
            <w:tcMar>
              <w:left w:w="15" w:type="dxa"/>
              <w:right w:w="15" w:type="dxa"/>
            </w:tcMar>
          </w:tcPr>
          <w:p w14:paraId="695772A8" w14:textId="0CDC3626"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Impact</w:t>
            </w:r>
          </w:p>
        </w:tc>
        <w:tc>
          <w:tcPr>
            <w:tcW w:w="2920" w:type="dxa"/>
            <w:tcBorders>
              <w:top w:val="single" w:sz="6" w:space="0" w:color="ADD6EA"/>
              <w:bottom w:val="single" w:sz="6" w:space="0" w:color="ADD6EA"/>
              <w:right w:val="nil"/>
            </w:tcBorders>
            <w:tcMar>
              <w:left w:w="15" w:type="dxa"/>
              <w:right w:w="15" w:type="dxa"/>
            </w:tcMar>
          </w:tcPr>
          <w:p w14:paraId="4C518E7D" w14:textId="05C24B10"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Health investment is a state function and needs are assessed.</w:t>
            </w:r>
          </w:p>
        </w:tc>
      </w:tr>
      <w:tr w:rsidR="083C5A09" w14:paraId="5EF0485E" w14:textId="77777777" w:rsidTr="00376E42">
        <w:trPr>
          <w:trHeight w:val="765"/>
        </w:trPr>
        <w:tc>
          <w:tcPr>
            <w:tcW w:w="1659" w:type="dxa"/>
            <w:tcBorders>
              <w:top w:val="single" w:sz="6" w:space="0" w:color="ADD6EA"/>
              <w:left w:val="nil"/>
              <w:bottom w:val="single" w:sz="6" w:space="0" w:color="ADD6EA"/>
              <w:right w:val="nil"/>
            </w:tcBorders>
            <w:tcMar>
              <w:left w:w="15" w:type="dxa"/>
              <w:right w:w="15" w:type="dxa"/>
            </w:tcMar>
          </w:tcPr>
          <w:p w14:paraId="6E8F504B" w14:textId="2DC529EF"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Supporting Palliative Care in Launceston</w:t>
            </w:r>
          </w:p>
        </w:tc>
        <w:tc>
          <w:tcPr>
            <w:tcW w:w="2594" w:type="dxa"/>
            <w:tcBorders>
              <w:top w:val="single" w:sz="6" w:space="0" w:color="ADD6EA"/>
              <w:left w:val="nil"/>
              <w:bottom w:val="single" w:sz="6" w:space="0" w:color="ADD6EA"/>
              <w:right w:val="nil"/>
            </w:tcBorders>
            <w:tcMar>
              <w:left w:w="15" w:type="dxa"/>
              <w:right w:w="15" w:type="dxa"/>
            </w:tcMar>
          </w:tcPr>
          <w:p w14:paraId="2F1418CF" w14:textId="352D0B11"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support the construction of a new hospice, located within the Launceston General Hospital Precinct, to improve palliative care in northern Tasmania.</w:t>
            </w:r>
          </w:p>
        </w:tc>
        <w:tc>
          <w:tcPr>
            <w:tcW w:w="992" w:type="dxa"/>
            <w:tcBorders>
              <w:top w:val="single" w:sz="6" w:space="0" w:color="ADD6EA"/>
              <w:left w:val="nil"/>
              <w:bottom w:val="single" w:sz="6" w:space="0" w:color="ADD6EA"/>
            </w:tcBorders>
            <w:tcMar>
              <w:left w:w="15" w:type="dxa"/>
              <w:right w:w="75" w:type="dxa"/>
            </w:tcMar>
          </w:tcPr>
          <w:p w14:paraId="4CB6218E" w14:textId="222060FA" w:rsidR="083C5A09" w:rsidRDefault="083C5A09" w:rsidP="00376E42">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5.0</w:t>
            </w:r>
          </w:p>
        </w:tc>
        <w:tc>
          <w:tcPr>
            <w:tcW w:w="851" w:type="dxa"/>
            <w:tcBorders>
              <w:top w:val="single" w:sz="6" w:space="0" w:color="ADD6EA"/>
              <w:bottom w:val="single" w:sz="6" w:space="0" w:color="ADD6EA"/>
            </w:tcBorders>
            <w:shd w:val="clear" w:color="auto" w:fill="FFFFFF" w:themeFill="background1"/>
            <w:tcMar>
              <w:left w:w="15" w:type="dxa"/>
              <w:right w:w="15" w:type="dxa"/>
            </w:tcMar>
          </w:tcPr>
          <w:p w14:paraId="1E19EF1D" w14:textId="163CE8F7"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Impact</w:t>
            </w:r>
          </w:p>
        </w:tc>
        <w:tc>
          <w:tcPr>
            <w:tcW w:w="2920" w:type="dxa"/>
            <w:tcBorders>
              <w:top w:val="single" w:sz="6" w:space="0" w:color="ADD6EA"/>
              <w:bottom w:val="single" w:sz="6" w:space="0" w:color="ADD6EA"/>
              <w:right w:val="nil"/>
            </w:tcBorders>
            <w:tcMar>
              <w:left w:w="15" w:type="dxa"/>
              <w:right w:w="15" w:type="dxa"/>
            </w:tcMar>
          </w:tcPr>
          <w:p w14:paraId="4A04C0AD" w14:textId="56837203" w:rsidR="083C5A09" w:rsidRDefault="083C5A09" w:rsidP="00376E42">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Health investment is a state function and needs are assessed.</w:t>
            </w:r>
          </w:p>
        </w:tc>
      </w:tr>
      <w:tr w:rsidR="083C5A09" w14:paraId="35D76D29" w14:textId="77777777" w:rsidTr="00376E42">
        <w:trPr>
          <w:trHeight w:val="765"/>
        </w:trPr>
        <w:tc>
          <w:tcPr>
            <w:tcW w:w="1659" w:type="dxa"/>
            <w:tcBorders>
              <w:top w:val="single" w:sz="6" w:space="0" w:color="ADD6EA"/>
              <w:left w:val="nil"/>
              <w:bottom w:val="single" w:sz="6" w:space="0" w:color="ADD6EA"/>
              <w:right w:val="nil"/>
            </w:tcBorders>
            <w:tcMar>
              <w:left w:w="15" w:type="dxa"/>
              <w:right w:w="15" w:type="dxa"/>
            </w:tcMar>
          </w:tcPr>
          <w:p w14:paraId="14F0E01B" w14:textId="060CC3DA"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Expansion of the John Flynn Prevocational Doctor Program</w:t>
            </w:r>
          </w:p>
        </w:tc>
        <w:tc>
          <w:tcPr>
            <w:tcW w:w="2594" w:type="dxa"/>
            <w:tcBorders>
              <w:top w:val="single" w:sz="6" w:space="0" w:color="ADD6EA"/>
              <w:left w:val="nil"/>
              <w:bottom w:val="single" w:sz="6" w:space="0" w:color="ADD6EA"/>
              <w:right w:val="nil"/>
            </w:tcBorders>
            <w:tcMar>
              <w:left w:w="15" w:type="dxa"/>
              <w:right w:w="15" w:type="dxa"/>
            </w:tcMar>
          </w:tcPr>
          <w:p w14:paraId="50887809" w14:textId="18482038"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for additional rural primary care training rotations for junior doctors through the John Flynn Prevocational Doctor Program.</w:t>
            </w:r>
          </w:p>
        </w:tc>
        <w:tc>
          <w:tcPr>
            <w:tcW w:w="992" w:type="dxa"/>
            <w:tcBorders>
              <w:top w:val="single" w:sz="6" w:space="0" w:color="ADD6EA"/>
              <w:left w:val="nil"/>
              <w:bottom w:val="single" w:sz="6" w:space="0" w:color="ADD6EA"/>
            </w:tcBorders>
            <w:tcMar>
              <w:left w:w="15" w:type="dxa"/>
              <w:right w:w="75" w:type="dxa"/>
            </w:tcMar>
          </w:tcPr>
          <w:p w14:paraId="4294A173" w14:textId="6F25BC5D" w:rsidR="083C5A09" w:rsidRPr="00432867" w:rsidRDefault="083C5A09" w:rsidP="00376E42">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12.</w:t>
            </w:r>
            <w:r w:rsidR="00FE67FE" w:rsidRPr="00432867">
              <w:rPr>
                <w:rFonts w:ascii="Open Sans Light" w:eastAsia="Open Sans Light" w:hAnsi="Open Sans Light" w:cs="Open Sans Light"/>
                <w:color w:val="000000" w:themeColor="text1"/>
                <w:sz w:val="16"/>
                <w:szCs w:val="16"/>
              </w:rPr>
              <w:t>5</w:t>
            </w:r>
          </w:p>
        </w:tc>
        <w:tc>
          <w:tcPr>
            <w:tcW w:w="851" w:type="dxa"/>
            <w:tcBorders>
              <w:top w:val="single" w:sz="6" w:space="0" w:color="ADD6EA"/>
              <w:bottom w:val="single" w:sz="6" w:space="0" w:color="ADD6EA"/>
            </w:tcBorders>
            <w:shd w:val="clear" w:color="auto" w:fill="FFFFFF" w:themeFill="background1"/>
            <w:tcMar>
              <w:left w:w="15" w:type="dxa"/>
              <w:right w:w="15" w:type="dxa"/>
            </w:tcMar>
          </w:tcPr>
          <w:p w14:paraId="428B71DE" w14:textId="62BC2CC3" w:rsidR="083C5A09" w:rsidRPr="00432867" w:rsidRDefault="083C5A09"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bottom w:val="single" w:sz="6" w:space="0" w:color="ADD6EA"/>
              <w:right w:val="nil"/>
            </w:tcBorders>
            <w:tcMar>
              <w:left w:w="15" w:type="dxa"/>
              <w:right w:w="15" w:type="dxa"/>
            </w:tcMar>
          </w:tcPr>
          <w:p w14:paraId="58AC44DE" w14:textId="6303D115"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Hospital services are a state function and needs are assessed. </w:t>
            </w:r>
          </w:p>
        </w:tc>
      </w:tr>
      <w:tr w:rsidR="083C5A09" w14:paraId="74551FF2" w14:textId="77777777" w:rsidTr="00376E42">
        <w:trPr>
          <w:trHeight w:val="765"/>
        </w:trPr>
        <w:tc>
          <w:tcPr>
            <w:tcW w:w="1659" w:type="dxa"/>
            <w:tcBorders>
              <w:top w:val="single" w:sz="6" w:space="0" w:color="ADD6EA"/>
              <w:left w:val="nil"/>
              <w:bottom w:val="single" w:sz="6" w:space="0" w:color="ADD6EA"/>
              <w:right w:val="nil"/>
            </w:tcBorders>
            <w:tcMar>
              <w:left w:w="15" w:type="dxa"/>
              <w:right w:w="15" w:type="dxa"/>
            </w:tcMar>
          </w:tcPr>
          <w:p w14:paraId="4B6E3B7E" w14:textId="433D3734"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Registration Scheme for Personal Care Workers</w:t>
            </w:r>
          </w:p>
        </w:tc>
        <w:tc>
          <w:tcPr>
            <w:tcW w:w="2594" w:type="dxa"/>
            <w:tcBorders>
              <w:top w:val="single" w:sz="6" w:space="0" w:color="ADD6EA"/>
              <w:left w:val="nil"/>
              <w:bottom w:val="single" w:sz="6" w:space="0" w:color="ADD6EA"/>
              <w:right w:val="nil"/>
            </w:tcBorders>
            <w:tcMar>
              <w:left w:w="15" w:type="dxa"/>
              <w:right w:w="15" w:type="dxa"/>
            </w:tcMar>
          </w:tcPr>
          <w:p w14:paraId="6D67B081" w14:textId="3EAACA8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establish a national registration scheme and code of conduct for personal care workers in the aged care sector.</w:t>
            </w:r>
          </w:p>
        </w:tc>
        <w:tc>
          <w:tcPr>
            <w:tcW w:w="992" w:type="dxa"/>
            <w:tcBorders>
              <w:top w:val="single" w:sz="6" w:space="0" w:color="ADD6EA"/>
              <w:left w:val="nil"/>
              <w:bottom w:val="single" w:sz="6" w:space="0" w:color="ADD6EA"/>
            </w:tcBorders>
            <w:tcMar>
              <w:left w:w="15" w:type="dxa"/>
              <w:right w:w="75" w:type="dxa"/>
            </w:tcMar>
          </w:tcPr>
          <w:p w14:paraId="24ED1801" w14:textId="74E77143" w:rsidR="083C5A09" w:rsidRPr="00432867" w:rsidRDefault="083C5A09" w:rsidP="00376E42">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1.</w:t>
            </w:r>
            <w:r w:rsidR="00351DA5" w:rsidRPr="00432867">
              <w:rPr>
                <w:rFonts w:ascii="Open Sans Light" w:eastAsia="Open Sans Light" w:hAnsi="Open Sans Light" w:cs="Open Sans Light"/>
                <w:color w:val="000000" w:themeColor="text1"/>
                <w:sz w:val="16"/>
                <w:szCs w:val="16"/>
              </w:rPr>
              <w:t>2</w:t>
            </w:r>
          </w:p>
        </w:tc>
        <w:tc>
          <w:tcPr>
            <w:tcW w:w="851" w:type="dxa"/>
            <w:tcBorders>
              <w:top w:val="single" w:sz="6" w:space="0" w:color="ADD6EA"/>
              <w:bottom w:val="single" w:sz="6" w:space="0" w:color="ADD6EA"/>
            </w:tcBorders>
            <w:shd w:val="clear" w:color="auto" w:fill="FFFFFF" w:themeFill="background1"/>
            <w:tcMar>
              <w:left w:w="15" w:type="dxa"/>
              <w:right w:w="15" w:type="dxa"/>
            </w:tcMar>
          </w:tcPr>
          <w:p w14:paraId="588D97D8" w14:textId="0899CAA2" w:rsidR="083C5A09" w:rsidRPr="00432867" w:rsidRDefault="083C5A09"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No impact</w:t>
            </w:r>
          </w:p>
        </w:tc>
        <w:tc>
          <w:tcPr>
            <w:tcW w:w="2920" w:type="dxa"/>
            <w:tcBorders>
              <w:top w:val="single" w:sz="6" w:space="0" w:color="ADD6EA"/>
              <w:bottom w:val="single" w:sz="6" w:space="0" w:color="ADD6EA"/>
              <w:right w:val="nil"/>
            </w:tcBorders>
            <w:tcMar>
              <w:left w:w="15" w:type="dxa"/>
              <w:right w:w="15" w:type="dxa"/>
            </w:tcMar>
          </w:tcPr>
          <w:p w14:paraId="1F725487" w14:textId="7B5953BE"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Aged care is a Commonwealth responsibility</w:t>
            </w:r>
            <w:r w:rsidR="00677AB4">
              <w:rPr>
                <w:rFonts w:ascii="Open Sans Light" w:eastAsia="Open Sans Light" w:hAnsi="Open Sans Light" w:cs="Open Sans Light"/>
                <w:color w:val="000000" w:themeColor="text1"/>
                <w:sz w:val="16"/>
                <w:szCs w:val="16"/>
              </w:rPr>
              <w:t xml:space="preserve"> </w:t>
            </w:r>
            <w:r w:rsidR="00677AB4" w:rsidRPr="00623410">
              <w:rPr>
                <w:rFonts w:ascii="Open Sans Light" w:eastAsia="Open Sans Light" w:hAnsi="Open Sans Light" w:cs="Open Sans Light"/>
                <w:color w:val="000000" w:themeColor="text1"/>
                <w:sz w:val="16"/>
                <w:szCs w:val="16"/>
              </w:rPr>
              <w:t xml:space="preserve">(Non-NDIS Disability services, aged </w:t>
            </w:r>
            <w:proofErr w:type="gramStart"/>
            <w:r w:rsidR="00677AB4" w:rsidRPr="00623410">
              <w:rPr>
                <w:rFonts w:ascii="Open Sans Light" w:eastAsia="Open Sans Light" w:hAnsi="Open Sans Light" w:cs="Open Sans Light"/>
                <w:color w:val="000000" w:themeColor="text1"/>
                <w:sz w:val="16"/>
                <w:szCs w:val="16"/>
              </w:rPr>
              <w:t>care</w:t>
            </w:r>
            <w:proofErr w:type="gramEnd"/>
            <w:r w:rsidR="00677AB4" w:rsidRPr="00623410">
              <w:rPr>
                <w:rFonts w:ascii="Open Sans Light" w:eastAsia="Open Sans Light" w:hAnsi="Open Sans Light" w:cs="Open Sans Light"/>
                <w:color w:val="000000" w:themeColor="text1"/>
                <w:sz w:val="16"/>
                <w:szCs w:val="16"/>
              </w:rPr>
              <w:t xml:space="preserve"> and national redress scheme)</w:t>
            </w:r>
          </w:p>
        </w:tc>
      </w:tr>
      <w:tr w:rsidR="083C5A09" w14:paraId="3AC5B4F0" w14:textId="77777777" w:rsidTr="00376E42">
        <w:trPr>
          <w:trHeight w:val="270"/>
        </w:trPr>
        <w:tc>
          <w:tcPr>
            <w:tcW w:w="9016" w:type="dxa"/>
            <w:gridSpan w:val="5"/>
            <w:tcBorders>
              <w:top w:val="single" w:sz="6" w:space="0" w:color="ADD6EA"/>
              <w:left w:val="nil"/>
              <w:bottom w:val="single" w:sz="6" w:space="0" w:color="ADD6EA"/>
              <w:right w:val="nil"/>
            </w:tcBorders>
            <w:shd w:val="clear" w:color="auto" w:fill="B6D5E4"/>
            <w:tcMar>
              <w:left w:w="15" w:type="dxa"/>
              <w:right w:w="75" w:type="dxa"/>
            </w:tcMar>
          </w:tcPr>
          <w:p w14:paraId="56643922" w14:textId="6F011FAB" w:rsidR="083C5A09" w:rsidRDefault="083C5A09" w:rsidP="00376E42">
            <w:pPr>
              <w:spacing w:after="0" w:line="240" w:lineRule="auto"/>
              <w:ind w:right="227"/>
              <w:rPr>
                <w:rFonts w:ascii="Open Sans Semibold" w:eastAsia="Open Sans Semibold" w:hAnsi="Open Sans Semibold" w:cs="Open Sans Semibold"/>
                <w:color w:val="000000" w:themeColor="text1"/>
                <w:sz w:val="16"/>
                <w:szCs w:val="16"/>
              </w:rPr>
            </w:pPr>
            <w:r w:rsidRPr="71B85580">
              <w:rPr>
                <w:rFonts w:ascii="Open Sans Semibold" w:eastAsia="Open Sans Semibold" w:hAnsi="Open Sans Semibold" w:cs="Open Sans Semibold"/>
                <w:color w:val="000000" w:themeColor="text1"/>
                <w:sz w:val="16"/>
                <w:szCs w:val="16"/>
              </w:rPr>
              <w:t>Education</w:t>
            </w:r>
          </w:p>
        </w:tc>
      </w:tr>
      <w:tr w:rsidR="00A72366" w14:paraId="2549138E"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6F7CD23E" w14:textId="7B944E21" w:rsidR="00A72366" w:rsidRPr="00432867" w:rsidRDefault="003E3479"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Building boarding schools On-Country</w:t>
            </w:r>
          </w:p>
        </w:tc>
        <w:tc>
          <w:tcPr>
            <w:tcW w:w="2594" w:type="dxa"/>
            <w:tcBorders>
              <w:top w:val="single" w:sz="6" w:space="0" w:color="ADD6EA"/>
              <w:left w:val="nil"/>
              <w:bottom w:val="single" w:sz="6" w:space="0" w:color="ADD6EA"/>
              <w:right w:val="nil"/>
            </w:tcBorders>
            <w:tcMar>
              <w:left w:w="15" w:type="dxa"/>
              <w:right w:w="15" w:type="dxa"/>
            </w:tcMar>
          </w:tcPr>
          <w:p w14:paraId="229A825F" w14:textId="55552E46" w:rsidR="00A72366" w:rsidRPr="00432867" w:rsidRDefault="00E12350"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Commonwealth investment </w:t>
            </w:r>
            <w:r w:rsidR="00953D02" w:rsidRPr="00432867">
              <w:rPr>
                <w:rFonts w:ascii="Open Sans Light" w:eastAsia="Open Sans Light" w:hAnsi="Open Sans Light" w:cs="Open Sans Light"/>
                <w:color w:val="000000" w:themeColor="text1"/>
                <w:sz w:val="16"/>
                <w:szCs w:val="16"/>
              </w:rPr>
              <w:t xml:space="preserve">to </w:t>
            </w:r>
            <w:r w:rsidRPr="00432867">
              <w:rPr>
                <w:rFonts w:ascii="Open Sans Light" w:eastAsia="Open Sans Light" w:hAnsi="Open Sans Light" w:cs="Open Sans Light"/>
                <w:color w:val="000000" w:themeColor="text1"/>
                <w:sz w:val="16"/>
                <w:szCs w:val="16"/>
              </w:rPr>
              <w:t>provide more options for local secondary education in remote communities</w:t>
            </w:r>
            <w:r w:rsidR="00D44E24" w:rsidRPr="00432867">
              <w:rPr>
                <w:rFonts w:ascii="Open Sans Light" w:eastAsia="Open Sans Light" w:hAnsi="Open Sans Light" w:cs="Open Sans Light"/>
                <w:color w:val="000000" w:themeColor="text1"/>
                <w:sz w:val="16"/>
                <w:szCs w:val="16"/>
              </w:rPr>
              <w:t xml:space="preserve"> </w:t>
            </w:r>
            <w:r w:rsidRPr="00432867">
              <w:rPr>
                <w:rFonts w:ascii="Open Sans Light" w:eastAsia="Open Sans Light" w:hAnsi="Open Sans Light" w:cs="Open Sans Light"/>
                <w:color w:val="000000" w:themeColor="text1"/>
                <w:sz w:val="16"/>
                <w:szCs w:val="16"/>
              </w:rPr>
              <w:t xml:space="preserve">through Studio Schools of Australia. </w:t>
            </w:r>
          </w:p>
        </w:tc>
        <w:tc>
          <w:tcPr>
            <w:tcW w:w="992" w:type="dxa"/>
            <w:tcBorders>
              <w:top w:val="single" w:sz="6" w:space="0" w:color="ADD6EA"/>
              <w:left w:val="nil"/>
              <w:bottom w:val="single" w:sz="6" w:space="0" w:color="ADD6EA"/>
              <w:right w:val="nil"/>
            </w:tcBorders>
            <w:tcMar>
              <w:left w:w="15" w:type="dxa"/>
              <w:right w:w="75" w:type="dxa"/>
            </w:tcMar>
          </w:tcPr>
          <w:p w14:paraId="1C883514" w14:textId="52AF4612" w:rsidR="00A72366" w:rsidRPr="00432867" w:rsidRDefault="00B92071" w:rsidP="00376E42">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54.1</w:t>
            </w:r>
          </w:p>
        </w:tc>
        <w:tc>
          <w:tcPr>
            <w:tcW w:w="851" w:type="dxa"/>
            <w:tcBorders>
              <w:top w:val="single" w:sz="6" w:space="0" w:color="ADD6EA"/>
              <w:left w:val="nil"/>
              <w:bottom w:val="single" w:sz="6" w:space="0" w:color="ADD6EA"/>
              <w:right w:val="nil"/>
            </w:tcBorders>
            <w:tcMar>
              <w:left w:w="15" w:type="dxa"/>
              <w:right w:w="15" w:type="dxa"/>
            </w:tcMar>
          </w:tcPr>
          <w:p w14:paraId="30690D71" w14:textId="1ECD2AEF" w:rsidR="00A72366" w:rsidRPr="00432867" w:rsidRDefault="00BE6AE2"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Out of scope</w:t>
            </w:r>
          </w:p>
        </w:tc>
        <w:tc>
          <w:tcPr>
            <w:tcW w:w="2920" w:type="dxa"/>
            <w:tcBorders>
              <w:top w:val="single" w:sz="6" w:space="0" w:color="ADD6EA"/>
              <w:left w:val="nil"/>
              <w:bottom w:val="single" w:sz="6" w:space="0" w:color="ADD6EA"/>
              <w:right w:val="nil"/>
            </w:tcBorders>
            <w:tcMar>
              <w:left w:w="15" w:type="dxa"/>
              <w:right w:w="15" w:type="dxa"/>
            </w:tcMar>
          </w:tcPr>
          <w:p w14:paraId="49358556" w14:textId="606626AB" w:rsidR="00A72366" w:rsidRPr="00432867" w:rsidRDefault="00A55021"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This is a payment to a non-government school. Support for non-government schools is primarily a </w:t>
            </w:r>
            <w:r w:rsidR="00AB23E9" w:rsidRPr="00432867">
              <w:rPr>
                <w:rFonts w:ascii="Open Sans Light" w:eastAsia="Open Sans Light" w:hAnsi="Open Sans Light" w:cs="Open Sans Light"/>
                <w:color w:val="000000" w:themeColor="text1"/>
                <w:sz w:val="16"/>
                <w:szCs w:val="16"/>
              </w:rPr>
              <w:t>C</w:t>
            </w:r>
            <w:r w:rsidRPr="00432867">
              <w:rPr>
                <w:rFonts w:ascii="Open Sans Light" w:eastAsia="Open Sans Light" w:hAnsi="Open Sans Light" w:cs="Open Sans Light"/>
                <w:color w:val="000000" w:themeColor="text1"/>
                <w:sz w:val="16"/>
                <w:szCs w:val="16"/>
              </w:rPr>
              <w:t xml:space="preserve">ommonwealth rather than </w:t>
            </w:r>
            <w:r w:rsidR="006079FE" w:rsidRPr="00432867">
              <w:rPr>
                <w:rFonts w:ascii="Open Sans Light" w:eastAsia="Open Sans Light" w:hAnsi="Open Sans Light" w:cs="Open Sans Light"/>
                <w:color w:val="000000" w:themeColor="text1"/>
                <w:sz w:val="16"/>
                <w:szCs w:val="16"/>
              </w:rPr>
              <w:t xml:space="preserve">a </w:t>
            </w:r>
            <w:r w:rsidRPr="00432867">
              <w:rPr>
                <w:rFonts w:ascii="Open Sans Light" w:eastAsia="Open Sans Light" w:hAnsi="Open Sans Light" w:cs="Open Sans Light"/>
                <w:color w:val="000000" w:themeColor="text1"/>
                <w:sz w:val="16"/>
                <w:szCs w:val="16"/>
              </w:rPr>
              <w:t>state responsibility</w:t>
            </w:r>
            <w:r w:rsidR="00BA41A2" w:rsidRPr="00432867">
              <w:rPr>
                <w:rFonts w:ascii="Open Sans Light" w:eastAsia="Open Sans Light" w:hAnsi="Open Sans Light" w:cs="Open Sans Light"/>
                <w:color w:val="000000" w:themeColor="text1"/>
                <w:sz w:val="16"/>
                <w:szCs w:val="16"/>
              </w:rPr>
              <w:t xml:space="preserve"> and therefore out of scope</w:t>
            </w:r>
            <w:r w:rsidRPr="00432867">
              <w:rPr>
                <w:rFonts w:ascii="Open Sans Light" w:eastAsia="Open Sans Light" w:hAnsi="Open Sans Light" w:cs="Open Sans Light"/>
                <w:color w:val="000000" w:themeColor="text1"/>
                <w:sz w:val="16"/>
                <w:szCs w:val="16"/>
              </w:rPr>
              <w:t>.</w:t>
            </w:r>
          </w:p>
        </w:tc>
      </w:tr>
      <w:tr w:rsidR="083C5A09" w14:paraId="3C0155E5"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02CC9F8A" w14:textId="5C11AED4"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National Student Wellbeing Program</w:t>
            </w:r>
          </w:p>
        </w:tc>
        <w:tc>
          <w:tcPr>
            <w:tcW w:w="2594" w:type="dxa"/>
            <w:tcBorders>
              <w:top w:val="single" w:sz="6" w:space="0" w:color="ADD6EA"/>
              <w:left w:val="nil"/>
              <w:bottom w:val="single" w:sz="6" w:space="0" w:color="ADD6EA"/>
              <w:right w:val="nil"/>
            </w:tcBorders>
            <w:tcMar>
              <w:left w:w="15" w:type="dxa"/>
              <w:right w:w="15" w:type="dxa"/>
            </w:tcMar>
          </w:tcPr>
          <w:p w14:paraId="76440D31" w14:textId="7A238A4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This program supports the wellbeing of students through the provision of pastoral care services in participating schools.</w:t>
            </w:r>
          </w:p>
        </w:tc>
        <w:tc>
          <w:tcPr>
            <w:tcW w:w="992" w:type="dxa"/>
            <w:tcBorders>
              <w:top w:val="single" w:sz="6" w:space="0" w:color="ADD6EA"/>
              <w:left w:val="nil"/>
              <w:bottom w:val="single" w:sz="6" w:space="0" w:color="ADD6EA"/>
              <w:right w:val="nil"/>
            </w:tcBorders>
            <w:tcMar>
              <w:left w:w="15" w:type="dxa"/>
              <w:right w:w="75" w:type="dxa"/>
            </w:tcMar>
          </w:tcPr>
          <w:p w14:paraId="07B39BE0" w14:textId="3BAADF70" w:rsidR="083C5A09" w:rsidRDefault="083C5A09" w:rsidP="00376E42">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61.4</w:t>
            </w:r>
          </w:p>
        </w:tc>
        <w:tc>
          <w:tcPr>
            <w:tcW w:w="851" w:type="dxa"/>
            <w:tcBorders>
              <w:top w:val="single" w:sz="6" w:space="0" w:color="ADD6EA"/>
              <w:left w:val="nil"/>
              <w:bottom w:val="single" w:sz="6" w:space="0" w:color="ADD6EA"/>
              <w:right w:val="nil"/>
            </w:tcBorders>
            <w:tcMar>
              <w:left w:w="15" w:type="dxa"/>
              <w:right w:w="15" w:type="dxa"/>
            </w:tcMar>
          </w:tcPr>
          <w:p w14:paraId="207A6CCD" w14:textId="7578AF11"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6C9942CA" w14:textId="1699AF22"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Schools </w:t>
            </w:r>
            <w:r w:rsidR="00C5107A">
              <w:rPr>
                <w:rFonts w:ascii="Open Sans Light" w:eastAsia="Open Sans Light" w:hAnsi="Open Sans Light" w:cs="Open Sans Light"/>
                <w:color w:val="000000" w:themeColor="text1"/>
                <w:sz w:val="16"/>
                <w:szCs w:val="16"/>
              </w:rPr>
              <w:t>are</w:t>
            </w:r>
            <w:r w:rsidR="00C5107A" w:rsidRPr="71B85580">
              <w:rPr>
                <w:rFonts w:ascii="Open Sans Light" w:eastAsia="Open Sans Light" w:hAnsi="Open Sans Light" w:cs="Open Sans Light"/>
                <w:color w:val="000000" w:themeColor="text1"/>
                <w:sz w:val="16"/>
                <w:szCs w:val="16"/>
              </w:rPr>
              <w:t xml:space="preserve"> </w:t>
            </w:r>
            <w:r w:rsidRPr="71B85580">
              <w:rPr>
                <w:rFonts w:ascii="Open Sans Light" w:eastAsia="Open Sans Light" w:hAnsi="Open Sans Light" w:cs="Open Sans Light"/>
                <w:color w:val="000000" w:themeColor="text1"/>
                <w:sz w:val="16"/>
                <w:szCs w:val="16"/>
              </w:rPr>
              <w:t xml:space="preserve">a state </w:t>
            </w:r>
            <w:r w:rsidR="00C5107A">
              <w:rPr>
                <w:rFonts w:ascii="Open Sans Light" w:eastAsia="Open Sans Light" w:hAnsi="Open Sans Light" w:cs="Open Sans Light"/>
                <w:color w:val="000000" w:themeColor="text1"/>
                <w:sz w:val="16"/>
                <w:szCs w:val="16"/>
              </w:rPr>
              <w:t>service</w:t>
            </w:r>
            <w:r w:rsidR="00C5107A" w:rsidRPr="71B85580">
              <w:rPr>
                <w:rFonts w:ascii="Open Sans Light" w:eastAsia="Open Sans Light" w:hAnsi="Open Sans Light" w:cs="Open Sans Light"/>
                <w:color w:val="000000" w:themeColor="text1"/>
                <w:sz w:val="16"/>
                <w:szCs w:val="16"/>
              </w:rPr>
              <w:t xml:space="preserve"> </w:t>
            </w:r>
            <w:r w:rsidR="00127EDC">
              <w:rPr>
                <w:rFonts w:ascii="Open Sans Light" w:eastAsia="Open Sans Light" w:hAnsi="Open Sans Light" w:cs="Open Sans Light"/>
                <w:color w:val="000000" w:themeColor="text1"/>
                <w:sz w:val="16"/>
                <w:szCs w:val="16"/>
              </w:rPr>
              <w:t>and</w:t>
            </w:r>
            <w:r w:rsidRPr="71B85580">
              <w:rPr>
                <w:rFonts w:ascii="Open Sans Light" w:eastAsia="Open Sans Light" w:hAnsi="Open Sans Light" w:cs="Open Sans Light"/>
                <w:color w:val="000000" w:themeColor="text1"/>
                <w:sz w:val="16"/>
                <w:szCs w:val="16"/>
              </w:rPr>
              <w:t xml:space="preserve"> needs are assessed. </w:t>
            </w:r>
          </w:p>
        </w:tc>
      </w:tr>
      <w:tr w:rsidR="083C5A09" w14:paraId="5D5F78B7"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4EECA518" w14:textId="68B2E1C4"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Schools Upgrade Funding – Round 1</w:t>
            </w:r>
          </w:p>
        </w:tc>
        <w:tc>
          <w:tcPr>
            <w:tcW w:w="2594" w:type="dxa"/>
            <w:tcBorders>
              <w:top w:val="single" w:sz="6" w:space="0" w:color="ADD6EA"/>
              <w:left w:val="nil"/>
              <w:bottom w:val="single" w:sz="6" w:space="0" w:color="ADD6EA"/>
              <w:right w:val="nil"/>
            </w:tcBorders>
            <w:tcMar>
              <w:left w:w="15" w:type="dxa"/>
              <w:right w:w="15" w:type="dxa"/>
            </w:tcMar>
          </w:tcPr>
          <w:p w14:paraId="7AB1EAA1" w14:textId="45F13787" w:rsidR="083C5A09" w:rsidRPr="00432867" w:rsidRDefault="083C5A09"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Provision of $265.8 million as part of the schools’ upgrade fund, supporting capital projects to keep students and school staff safe after disruptions due to COVID-19.</w:t>
            </w:r>
          </w:p>
        </w:tc>
        <w:tc>
          <w:tcPr>
            <w:tcW w:w="992" w:type="dxa"/>
            <w:tcBorders>
              <w:top w:val="single" w:sz="6" w:space="0" w:color="ADD6EA"/>
              <w:left w:val="nil"/>
              <w:bottom w:val="single" w:sz="6" w:space="0" w:color="ADD6EA"/>
              <w:right w:val="nil"/>
            </w:tcBorders>
            <w:tcMar>
              <w:left w:w="15" w:type="dxa"/>
              <w:right w:w="75" w:type="dxa"/>
            </w:tcMar>
          </w:tcPr>
          <w:p w14:paraId="1494A9B7" w14:textId="145DB2F5" w:rsidR="083C5A09" w:rsidRPr="00432867" w:rsidRDefault="00253689" w:rsidP="00376E42">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49.1</w:t>
            </w:r>
          </w:p>
        </w:tc>
        <w:tc>
          <w:tcPr>
            <w:tcW w:w="851" w:type="dxa"/>
            <w:tcBorders>
              <w:top w:val="single" w:sz="6" w:space="0" w:color="ADD6EA"/>
              <w:left w:val="nil"/>
              <w:bottom w:val="single" w:sz="6" w:space="0" w:color="ADD6EA"/>
              <w:right w:val="nil"/>
            </w:tcBorders>
            <w:tcMar>
              <w:left w:w="15" w:type="dxa"/>
              <w:right w:w="15" w:type="dxa"/>
            </w:tcMar>
          </w:tcPr>
          <w:p w14:paraId="5F622FFD" w14:textId="07E40BE7" w:rsidR="083C5A09" w:rsidRPr="00432867" w:rsidRDefault="083C5A09" w:rsidP="00376E42">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35AD06A9" w14:textId="2FB0B8E6"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School infrastructure is a state function and needs are assessed. </w:t>
            </w:r>
          </w:p>
        </w:tc>
      </w:tr>
      <w:tr w:rsidR="083C5A09" w14:paraId="601C4B02"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7DBEE552" w14:textId="4602B643"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Student Wellbeing Boost</w:t>
            </w:r>
          </w:p>
        </w:tc>
        <w:tc>
          <w:tcPr>
            <w:tcW w:w="2594" w:type="dxa"/>
            <w:tcBorders>
              <w:top w:val="single" w:sz="6" w:space="0" w:color="ADD6EA"/>
              <w:left w:val="nil"/>
              <w:bottom w:val="single" w:sz="6" w:space="0" w:color="ADD6EA"/>
              <w:right w:val="nil"/>
            </w:tcBorders>
            <w:tcMar>
              <w:left w:w="15" w:type="dxa"/>
              <w:right w:w="15" w:type="dxa"/>
            </w:tcMar>
          </w:tcPr>
          <w:p w14:paraId="2C7021B8" w14:textId="0A88826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Funding to schools to support mental health and wellbeing through the impacts of </w:t>
            </w:r>
            <w:r w:rsidR="00310EF5">
              <w:rPr>
                <w:rFonts w:ascii="Open Sans Light" w:eastAsia="Open Sans Light" w:hAnsi="Open Sans Light" w:cs="Open Sans Light"/>
                <w:color w:val="000000" w:themeColor="text1"/>
                <w:sz w:val="16"/>
                <w:szCs w:val="16"/>
              </w:rPr>
              <w:t>COVID-19</w:t>
            </w:r>
            <w:r w:rsidRPr="71B85580">
              <w:rPr>
                <w:rFonts w:ascii="Open Sans Light" w:eastAsia="Open Sans Light" w:hAnsi="Open Sans Light" w:cs="Open Sans Light"/>
                <w:color w:val="000000" w:themeColor="text1"/>
                <w:sz w:val="16"/>
                <w:szCs w:val="16"/>
              </w:rPr>
              <w:t>.</w:t>
            </w:r>
          </w:p>
        </w:tc>
        <w:tc>
          <w:tcPr>
            <w:tcW w:w="992" w:type="dxa"/>
            <w:tcBorders>
              <w:top w:val="single" w:sz="6" w:space="0" w:color="ADD6EA"/>
              <w:left w:val="nil"/>
              <w:bottom w:val="single" w:sz="6" w:space="0" w:color="ADD6EA"/>
              <w:right w:val="nil"/>
            </w:tcBorders>
            <w:tcMar>
              <w:left w:w="15" w:type="dxa"/>
              <w:right w:w="75" w:type="dxa"/>
            </w:tcMar>
          </w:tcPr>
          <w:p w14:paraId="5CAF7F48" w14:textId="3F668BAD" w:rsidR="083C5A09" w:rsidRDefault="083C5A09" w:rsidP="00376E42">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192.0</w:t>
            </w:r>
          </w:p>
        </w:tc>
        <w:tc>
          <w:tcPr>
            <w:tcW w:w="851" w:type="dxa"/>
            <w:tcBorders>
              <w:top w:val="single" w:sz="6" w:space="0" w:color="ADD6EA"/>
              <w:left w:val="nil"/>
              <w:bottom w:val="single" w:sz="6" w:space="0" w:color="ADD6EA"/>
              <w:right w:val="nil"/>
            </w:tcBorders>
            <w:tcMar>
              <w:left w:w="15" w:type="dxa"/>
              <w:right w:w="15" w:type="dxa"/>
            </w:tcMar>
          </w:tcPr>
          <w:p w14:paraId="754D88DB" w14:textId="5E387995"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746828C7" w14:textId="2348C9E0" w:rsidR="083C5A09" w:rsidRDefault="083C5A09" w:rsidP="00376E42">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Pastoral care in schools is a state function and needs are assessed. </w:t>
            </w:r>
          </w:p>
        </w:tc>
      </w:tr>
      <w:tr w:rsidR="083C5A09" w14:paraId="1305AB5D"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13089313" w14:textId="065D7A46" w:rsidR="083C5A09" w:rsidRDefault="083C5A09" w:rsidP="0040019D">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Workload Reduction Fund</w:t>
            </w:r>
          </w:p>
        </w:tc>
        <w:tc>
          <w:tcPr>
            <w:tcW w:w="2594" w:type="dxa"/>
            <w:tcBorders>
              <w:top w:val="single" w:sz="6" w:space="0" w:color="ADD6EA"/>
              <w:left w:val="nil"/>
              <w:bottom w:val="single" w:sz="6" w:space="0" w:color="ADD6EA"/>
              <w:right w:val="nil"/>
            </w:tcBorders>
            <w:tcMar>
              <w:left w:w="15" w:type="dxa"/>
              <w:right w:w="15" w:type="dxa"/>
            </w:tcMar>
          </w:tcPr>
          <w:p w14:paraId="14833EA2" w14:textId="6CEF98CE" w:rsidR="083C5A09" w:rsidRDefault="083C5A09" w:rsidP="0040019D">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pilot new approaches to reduce teacher workloads and maximise the value of teachers</w:t>
            </w:r>
            <w:r w:rsidR="00D84ED5">
              <w:rPr>
                <w:rFonts w:ascii="Open Sans Light" w:eastAsia="Open Sans Light" w:hAnsi="Open Sans Light" w:cs="Open Sans Light"/>
                <w:color w:val="000000" w:themeColor="text1"/>
                <w:sz w:val="16"/>
                <w:szCs w:val="16"/>
              </w:rPr>
              <w:t>’</w:t>
            </w:r>
            <w:r w:rsidRPr="71B85580">
              <w:rPr>
                <w:rFonts w:ascii="Open Sans Light" w:eastAsia="Open Sans Light" w:hAnsi="Open Sans Light" w:cs="Open Sans Light"/>
                <w:color w:val="000000" w:themeColor="text1"/>
                <w:sz w:val="16"/>
                <w:szCs w:val="16"/>
              </w:rPr>
              <w:t xml:space="preserve"> time.</w:t>
            </w:r>
          </w:p>
        </w:tc>
        <w:tc>
          <w:tcPr>
            <w:tcW w:w="992" w:type="dxa"/>
            <w:tcBorders>
              <w:top w:val="single" w:sz="6" w:space="0" w:color="ADD6EA"/>
              <w:left w:val="nil"/>
              <w:bottom w:val="single" w:sz="6" w:space="0" w:color="ADD6EA"/>
              <w:right w:val="nil"/>
            </w:tcBorders>
            <w:tcMar>
              <w:left w:w="15" w:type="dxa"/>
              <w:right w:w="75" w:type="dxa"/>
            </w:tcMar>
          </w:tcPr>
          <w:p w14:paraId="12E6C5CD" w14:textId="5339CFA4" w:rsidR="083C5A09" w:rsidRDefault="083C5A09" w:rsidP="0040019D">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4.0</w:t>
            </w:r>
          </w:p>
        </w:tc>
        <w:tc>
          <w:tcPr>
            <w:tcW w:w="851" w:type="dxa"/>
            <w:tcBorders>
              <w:top w:val="single" w:sz="6" w:space="0" w:color="ADD6EA"/>
              <w:left w:val="nil"/>
              <w:bottom w:val="single" w:sz="6" w:space="0" w:color="ADD6EA"/>
              <w:right w:val="nil"/>
            </w:tcBorders>
            <w:tcMar>
              <w:left w:w="15" w:type="dxa"/>
              <w:right w:w="15" w:type="dxa"/>
            </w:tcMar>
          </w:tcPr>
          <w:p w14:paraId="0D399631" w14:textId="2585FA6B" w:rsidR="083C5A09" w:rsidRDefault="083C5A09" w:rsidP="0040019D">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4D8748B8" w14:textId="599E276D" w:rsidR="083C5A09" w:rsidRDefault="083C5A09" w:rsidP="0040019D">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School staffing is a state function and needs are assessed. </w:t>
            </w:r>
          </w:p>
        </w:tc>
      </w:tr>
      <w:tr w:rsidR="083C5A09" w14:paraId="3574098D" w14:textId="77777777" w:rsidTr="00376E42">
        <w:trPr>
          <w:trHeight w:val="270"/>
        </w:trPr>
        <w:tc>
          <w:tcPr>
            <w:tcW w:w="9016" w:type="dxa"/>
            <w:gridSpan w:val="5"/>
            <w:tcBorders>
              <w:top w:val="single" w:sz="6" w:space="0" w:color="ADD6EA"/>
              <w:left w:val="nil"/>
              <w:bottom w:val="single" w:sz="6" w:space="0" w:color="ADD6EA"/>
              <w:right w:val="nil"/>
            </w:tcBorders>
            <w:shd w:val="clear" w:color="auto" w:fill="B6D5E4"/>
            <w:tcMar>
              <w:left w:w="15" w:type="dxa"/>
              <w:right w:w="15" w:type="dxa"/>
            </w:tcMar>
          </w:tcPr>
          <w:p w14:paraId="6AB7BB33" w14:textId="258A64C0" w:rsidR="083C5A09" w:rsidRDefault="083C5A09" w:rsidP="0040019D">
            <w:pPr>
              <w:spacing w:after="0" w:line="240" w:lineRule="auto"/>
              <w:rPr>
                <w:rFonts w:ascii="Open Sans Semibold" w:eastAsia="Open Sans Semibold" w:hAnsi="Open Sans Semibold" w:cs="Open Sans Semibold"/>
                <w:color w:val="000000" w:themeColor="text1"/>
                <w:sz w:val="16"/>
                <w:szCs w:val="16"/>
              </w:rPr>
            </w:pPr>
            <w:r w:rsidRPr="71B85580">
              <w:rPr>
                <w:rFonts w:ascii="Open Sans Semibold" w:eastAsia="Open Sans Semibold" w:hAnsi="Open Sans Semibold" w:cs="Open Sans Semibold"/>
                <w:color w:val="000000" w:themeColor="text1"/>
                <w:sz w:val="16"/>
                <w:szCs w:val="16"/>
              </w:rPr>
              <w:t>Skills and Workforce Development</w:t>
            </w:r>
          </w:p>
        </w:tc>
      </w:tr>
      <w:tr w:rsidR="083C5A09" w14:paraId="73167FAA"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518D28CD" w14:textId="52701678" w:rsidR="083C5A09" w:rsidRDefault="083C5A09" w:rsidP="0040019D">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Fee-free TAFE </w:t>
            </w:r>
            <w:r w:rsidR="00D84ED5">
              <w:rPr>
                <w:rFonts w:ascii="Open Sans Light" w:eastAsia="Open Sans Light" w:hAnsi="Open Sans Light" w:cs="Open Sans Light"/>
                <w:color w:val="000000" w:themeColor="text1"/>
                <w:sz w:val="16"/>
                <w:szCs w:val="16"/>
              </w:rPr>
              <w:t>–</w:t>
            </w:r>
            <w:r w:rsidRPr="71B85580">
              <w:rPr>
                <w:rFonts w:ascii="Open Sans Light" w:eastAsia="Open Sans Light" w:hAnsi="Open Sans Light" w:cs="Open Sans Light"/>
                <w:color w:val="000000" w:themeColor="text1"/>
                <w:sz w:val="16"/>
                <w:szCs w:val="16"/>
              </w:rPr>
              <w:t xml:space="preserve"> 12-Month Skills Agreement (including TAFE Technology Fund)</w:t>
            </w:r>
          </w:p>
        </w:tc>
        <w:tc>
          <w:tcPr>
            <w:tcW w:w="2594" w:type="dxa"/>
            <w:tcBorders>
              <w:top w:val="single" w:sz="6" w:space="0" w:color="ADD6EA"/>
              <w:left w:val="nil"/>
              <w:bottom w:val="single" w:sz="6" w:space="0" w:color="ADD6EA"/>
              <w:right w:val="nil"/>
            </w:tcBorders>
            <w:tcMar>
              <w:left w:w="15" w:type="dxa"/>
              <w:right w:w="15" w:type="dxa"/>
            </w:tcMar>
          </w:tcPr>
          <w:p w14:paraId="6050A7EB" w14:textId="019E70BD" w:rsidR="00AF3122" w:rsidRDefault="083C5A09" w:rsidP="0040019D">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Provision of $493.3 million for fee-free TAFE places to be matched by the states, $6.8 million to improve critical data infrastructure, and $50.0 million for a TAFE Technology Fund to improve workshops, laboratories, and IT facilities across the country.</w:t>
            </w:r>
          </w:p>
          <w:p w14:paraId="0D38DFA0" w14:textId="4DCF9C48" w:rsidR="083C5A09" w:rsidRDefault="083C5A09" w:rsidP="0040019D">
            <w:pPr>
              <w:spacing w:after="0" w:line="240" w:lineRule="auto"/>
              <w:rPr>
                <w:rFonts w:ascii="Open Sans Light" w:eastAsia="Open Sans Light" w:hAnsi="Open Sans Light" w:cs="Open Sans Light"/>
                <w:color w:val="000000" w:themeColor="text1"/>
                <w:sz w:val="16"/>
                <w:szCs w:val="16"/>
              </w:rPr>
            </w:pPr>
          </w:p>
        </w:tc>
        <w:tc>
          <w:tcPr>
            <w:tcW w:w="992" w:type="dxa"/>
            <w:tcBorders>
              <w:top w:val="single" w:sz="6" w:space="0" w:color="ADD6EA"/>
              <w:left w:val="nil"/>
              <w:bottom w:val="single" w:sz="6" w:space="0" w:color="ADD6EA"/>
              <w:right w:val="nil"/>
            </w:tcBorders>
            <w:tcMar>
              <w:left w:w="15" w:type="dxa"/>
              <w:right w:w="75" w:type="dxa"/>
            </w:tcMar>
          </w:tcPr>
          <w:p w14:paraId="5F56AB14" w14:textId="3B9CFE42" w:rsidR="083C5A09" w:rsidRPr="00432867" w:rsidRDefault="083C5A09" w:rsidP="0040019D">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3</w:t>
            </w:r>
            <w:r w:rsidR="00D84ED5" w:rsidRPr="00432867">
              <w:rPr>
                <w:rFonts w:ascii="Open Sans Light" w:eastAsia="Open Sans Light" w:hAnsi="Open Sans Light" w:cs="Open Sans Light"/>
                <w:color w:val="000000" w:themeColor="text1"/>
                <w:sz w:val="16"/>
                <w:szCs w:val="16"/>
              </w:rPr>
              <w:t>49.6</w:t>
            </w:r>
          </w:p>
        </w:tc>
        <w:tc>
          <w:tcPr>
            <w:tcW w:w="851" w:type="dxa"/>
            <w:tcBorders>
              <w:top w:val="single" w:sz="6" w:space="0" w:color="ADD6EA"/>
              <w:left w:val="nil"/>
              <w:bottom w:val="single" w:sz="6" w:space="0" w:color="ADD6EA"/>
              <w:right w:val="nil"/>
            </w:tcBorders>
            <w:tcMar>
              <w:left w:w="15" w:type="dxa"/>
              <w:right w:w="15" w:type="dxa"/>
            </w:tcMar>
          </w:tcPr>
          <w:p w14:paraId="048537F8" w14:textId="4C814D67" w:rsidR="083C5A09" w:rsidRPr="00432867" w:rsidRDefault="083C5A09" w:rsidP="0040019D">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09CE7895" w14:textId="66D75A6F" w:rsidR="083C5A09" w:rsidRDefault="083C5A09" w:rsidP="0040019D">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Vocational education training is a state function and needs are assessed. </w:t>
            </w:r>
          </w:p>
        </w:tc>
      </w:tr>
      <w:tr w:rsidR="083C5A09" w14:paraId="43C3EEF9" w14:textId="77777777" w:rsidTr="00376E42">
        <w:trPr>
          <w:trHeight w:val="270"/>
        </w:trPr>
        <w:tc>
          <w:tcPr>
            <w:tcW w:w="9016" w:type="dxa"/>
            <w:gridSpan w:val="5"/>
            <w:tcBorders>
              <w:top w:val="single" w:sz="6" w:space="0" w:color="ADD6EA"/>
              <w:left w:val="nil"/>
              <w:bottom w:val="nil"/>
              <w:right w:val="nil"/>
            </w:tcBorders>
            <w:shd w:val="clear" w:color="auto" w:fill="B6D5E4"/>
            <w:tcMar>
              <w:left w:w="15" w:type="dxa"/>
              <w:right w:w="75" w:type="dxa"/>
            </w:tcMar>
          </w:tcPr>
          <w:p w14:paraId="7FFB017B" w14:textId="4D286C29" w:rsidR="083C5A09" w:rsidRDefault="083C5A09" w:rsidP="0040019D">
            <w:pPr>
              <w:spacing w:after="0" w:line="240" w:lineRule="auto"/>
              <w:ind w:right="227"/>
              <w:rPr>
                <w:rFonts w:ascii="Open Sans Semibold" w:eastAsia="Open Sans Semibold" w:hAnsi="Open Sans Semibold" w:cs="Open Sans Semibold"/>
                <w:color w:val="000000" w:themeColor="text1"/>
                <w:sz w:val="16"/>
                <w:szCs w:val="16"/>
              </w:rPr>
            </w:pPr>
            <w:r w:rsidRPr="71B85580">
              <w:rPr>
                <w:rFonts w:ascii="Open Sans Semibold" w:eastAsia="Open Sans Semibold" w:hAnsi="Open Sans Semibold" w:cs="Open Sans Semibold"/>
                <w:color w:val="000000" w:themeColor="text1"/>
                <w:sz w:val="16"/>
                <w:szCs w:val="16"/>
              </w:rPr>
              <w:t>Community</w:t>
            </w:r>
          </w:p>
        </w:tc>
      </w:tr>
      <w:tr w:rsidR="083C5A09" w14:paraId="4AA188DC"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72EE708E" w14:textId="57DCBC74" w:rsidR="083C5A09" w:rsidRPr="0095415D" w:rsidRDefault="083C5A09" w:rsidP="0040019D">
            <w:pPr>
              <w:spacing w:after="0" w:line="240" w:lineRule="auto"/>
              <w:rPr>
                <w:rFonts w:ascii="Open Sans Light" w:eastAsia="Open Sans Light" w:hAnsi="Open Sans Light" w:cs="Open Sans Light"/>
                <w:color w:val="000000" w:themeColor="text1"/>
                <w:sz w:val="16"/>
                <w:szCs w:val="16"/>
              </w:rPr>
            </w:pPr>
            <w:r w:rsidRPr="0095415D">
              <w:rPr>
                <w:rFonts w:ascii="Open Sans Light" w:eastAsia="Open Sans Light" w:hAnsi="Open Sans Light" w:cs="Open Sans Light"/>
                <w:color w:val="000000" w:themeColor="text1"/>
                <w:sz w:val="16"/>
                <w:szCs w:val="16"/>
              </w:rPr>
              <w:t>Changing Places Implementation</w:t>
            </w:r>
          </w:p>
        </w:tc>
        <w:tc>
          <w:tcPr>
            <w:tcW w:w="2594" w:type="dxa"/>
            <w:tcBorders>
              <w:top w:val="single" w:sz="6" w:space="0" w:color="ADD6EA"/>
              <w:left w:val="nil"/>
              <w:bottom w:val="single" w:sz="6" w:space="0" w:color="ADD6EA"/>
              <w:right w:val="nil"/>
            </w:tcBorders>
            <w:tcMar>
              <w:left w:w="15" w:type="dxa"/>
              <w:right w:w="15" w:type="dxa"/>
            </w:tcMar>
          </w:tcPr>
          <w:p w14:paraId="19B25B9C" w14:textId="41A621AD" w:rsidR="083C5A09" w:rsidRPr="00432867" w:rsidRDefault="083C5A09" w:rsidP="0040019D">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Funding of up to one-third of the build cost per facility, to support the construction of Changing Places facilities.</w:t>
            </w:r>
          </w:p>
        </w:tc>
        <w:tc>
          <w:tcPr>
            <w:tcW w:w="992" w:type="dxa"/>
            <w:tcBorders>
              <w:top w:val="single" w:sz="6" w:space="0" w:color="ADD6EA"/>
              <w:left w:val="nil"/>
              <w:bottom w:val="single" w:sz="6" w:space="0" w:color="ADD6EA"/>
              <w:right w:val="nil"/>
            </w:tcBorders>
            <w:tcMar>
              <w:left w:w="15" w:type="dxa"/>
              <w:right w:w="75" w:type="dxa"/>
            </w:tcMar>
          </w:tcPr>
          <w:p w14:paraId="591B2536" w14:textId="6CB421E2" w:rsidR="083C5A09" w:rsidRPr="00432867" w:rsidRDefault="00BA27E3" w:rsidP="0040019D">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0</w:t>
            </w:r>
            <w:r w:rsidR="083C5A09" w:rsidRPr="00432867">
              <w:rPr>
                <w:rFonts w:ascii="Open Sans Light" w:eastAsia="Open Sans Light" w:hAnsi="Open Sans Light" w:cs="Open Sans Light"/>
                <w:color w:val="000000" w:themeColor="text1"/>
                <w:sz w:val="16"/>
                <w:szCs w:val="16"/>
              </w:rPr>
              <w:t>.4</w:t>
            </w:r>
          </w:p>
        </w:tc>
        <w:tc>
          <w:tcPr>
            <w:tcW w:w="851" w:type="dxa"/>
            <w:tcBorders>
              <w:top w:val="single" w:sz="6" w:space="0" w:color="ADD6EA"/>
              <w:left w:val="nil"/>
              <w:bottom w:val="single" w:sz="6" w:space="0" w:color="ADD6EA"/>
              <w:right w:val="nil"/>
            </w:tcBorders>
            <w:tcMar>
              <w:left w:w="15" w:type="dxa"/>
              <w:right w:w="15" w:type="dxa"/>
            </w:tcMar>
          </w:tcPr>
          <w:p w14:paraId="76EEFA3C" w14:textId="7598CD86" w:rsidR="083C5A09" w:rsidRPr="00432867" w:rsidRDefault="083C5A09" w:rsidP="0040019D">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14E59C50" w14:textId="425F6B0D" w:rsidR="083C5A09" w:rsidRPr="0095415D" w:rsidRDefault="083C5A09" w:rsidP="0040019D">
            <w:pPr>
              <w:spacing w:after="0" w:line="240" w:lineRule="auto"/>
              <w:rPr>
                <w:rFonts w:ascii="Open Sans Light" w:eastAsia="Open Sans Light" w:hAnsi="Open Sans Light" w:cs="Open Sans Light"/>
                <w:color w:val="000000" w:themeColor="text1"/>
                <w:sz w:val="16"/>
                <w:szCs w:val="16"/>
              </w:rPr>
            </w:pPr>
            <w:r w:rsidRPr="0095415D">
              <w:rPr>
                <w:rFonts w:ascii="Open Sans Light" w:eastAsia="Open Sans Light" w:hAnsi="Open Sans Light" w:cs="Open Sans Light"/>
                <w:color w:val="000000" w:themeColor="text1"/>
                <w:sz w:val="16"/>
                <w:szCs w:val="16"/>
              </w:rPr>
              <w:t xml:space="preserve">Community facilities are a state service and needs are assessed. </w:t>
            </w:r>
          </w:p>
        </w:tc>
      </w:tr>
      <w:tr w:rsidR="083C5A09" w14:paraId="6244199F"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386533A1" w14:textId="030F1797"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lastRenderedPageBreak/>
              <w:t>Extra high visibility police and law enforcement operations</w:t>
            </w:r>
          </w:p>
        </w:tc>
        <w:tc>
          <w:tcPr>
            <w:tcW w:w="2594" w:type="dxa"/>
            <w:tcBorders>
              <w:top w:val="single" w:sz="6" w:space="0" w:color="ADD6EA"/>
              <w:left w:val="nil"/>
              <w:bottom w:val="single" w:sz="6" w:space="0" w:color="ADD6EA"/>
              <w:right w:val="nil"/>
            </w:tcBorders>
            <w:tcMar>
              <w:left w:w="15" w:type="dxa"/>
              <w:right w:w="15" w:type="dxa"/>
            </w:tcMar>
          </w:tcPr>
          <w:p w14:paraId="3DB5EE17" w14:textId="20B92898"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improve remote community safety.</w:t>
            </w:r>
          </w:p>
        </w:tc>
        <w:tc>
          <w:tcPr>
            <w:tcW w:w="992" w:type="dxa"/>
            <w:tcBorders>
              <w:top w:val="single" w:sz="6" w:space="0" w:color="ADD6EA"/>
              <w:left w:val="nil"/>
              <w:bottom w:val="single" w:sz="6" w:space="0" w:color="ADD6EA"/>
              <w:right w:val="nil"/>
            </w:tcBorders>
            <w:tcMar>
              <w:left w:w="15" w:type="dxa"/>
              <w:right w:w="75" w:type="dxa"/>
            </w:tcMar>
          </w:tcPr>
          <w:p w14:paraId="3E79D341" w14:textId="0AE036F6" w:rsidR="083C5A09" w:rsidRPr="00432867" w:rsidRDefault="00BA27E3" w:rsidP="00A14FB6">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5</w:t>
            </w:r>
            <w:r w:rsidR="083C5A09" w:rsidRPr="00432867">
              <w:rPr>
                <w:rFonts w:ascii="Open Sans Light" w:eastAsia="Open Sans Light" w:hAnsi="Open Sans Light" w:cs="Open Sans Light"/>
                <w:color w:val="000000" w:themeColor="text1"/>
                <w:sz w:val="16"/>
                <w:szCs w:val="16"/>
              </w:rPr>
              <w:t>.1</w:t>
            </w:r>
          </w:p>
        </w:tc>
        <w:tc>
          <w:tcPr>
            <w:tcW w:w="851" w:type="dxa"/>
            <w:tcBorders>
              <w:top w:val="single" w:sz="6" w:space="0" w:color="ADD6EA"/>
              <w:left w:val="nil"/>
              <w:bottom w:val="single" w:sz="6" w:space="0" w:color="ADD6EA"/>
              <w:right w:val="nil"/>
            </w:tcBorders>
            <w:tcMar>
              <w:left w:w="15" w:type="dxa"/>
              <w:right w:w="15" w:type="dxa"/>
            </w:tcMar>
          </w:tcPr>
          <w:p w14:paraId="582E61D1" w14:textId="268AD87F"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4229DA90" w14:textId="3BFE5871"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Community policing is a state service and needs are assessed. </w:t>
            </w:r>
          </w:p>
        </w:tc>
      </w:tr>
      <w:tr w:rsidR="083C5A09" w14:paraId="60A57F90"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00B46F55" w14:textId="7C539154"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Family, Domestic and Sexual Violence Responses Agreement – 500 community sector and frontline workers</w:t>
            </w:r>
          </w:p>
        </w:tc>
        <w:tc>
          <w:tcPr>
            <w:tcW w:w="2594" w:type="dxa"/>
            <w:tcBorders>
              <w:top w:val="single" w:sz="6" w:space="0" w:color="ADD6EA"/>
              <w:left w:val="nil"/>
              <w:bottom w:val="single" w:sz="6" w:space="0" w:color="ADD6EA"/>
              <w:right w:val="nil"/>
            </w:tcBorders>
            <w:tcMar>
              <w:left w:w="15" w:type="dxa"/>
              <w:right w:w="15" w:type="dxa"/>
            </w:tcMar>
          </w:tcPr>
          <w:p w14:paraId="2F1280D8" w14:textId="2FB077F8"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for new frontline and community sector worker</w:t>
            </w:r>
            <w:r w:rsidRPr="71B85580">
              <w:rPr>
                <w:rFonts w:ascii="Open Sans Light" w:eastAsia="Open Sans Light" w:hAnsi="Open Sans Light" w:cs="Open Sans Light"/>
                <w:color w:val="CC3595"/>
                <w:sz w:val="16"/>
                <w:szCs w:val="16"/>
                <w:u w:val="single"/>
              </w:rPr>
              <w:t>s</w:t>
            </w:r>
            <w:r w:rsidRPr="71B85580">
              <w:rPr>
                <w:rFonts w:ascii="Open Sans Light" w:eastAsia="Open Sans Light" w:hAnsi="Open Sans Light" w:cs="Open Sans Light"/>
                <w:color w:val="000000" w:themeColor="text1"/>
                <w:sz w:val="16"/>
                <w:szCs w:val="16"/>
              </w:rPr>
              <w:t xml:space="preserve"> to provide support to women and children who are experiencing violence.</w:t>
            </w:r>
          </w:p>
        </w:tc>
        <w:tc>
          <w:tcPr>
            <w:tcW w:w="992" w:type="dxa"/>
            <w:tcBorders>
              <w:top w:val="single" w:sz="6" w:space="0" w:color="ADD6EA"/>
              <w:left w:val="nil"/>
              <w:bottom w:val="single" w:sz="6" w:space="0" w:color="ADD6EA"/>
              <w:right w:val="nil"/>
            </w:tcBorders>
            <w:tcMar>
              <w:left w:w="15" w:type="dxa"/>
              <w:right w:w="75" w:type="dxa"/>
            </w:tcMar>
          </w:tcPr>
          <w:p w14:paraId="42F27036" w14:textId="227A4B0C" w:rsidR="083C5A09" w:rsidRPr="00432867" w:rsidRDefault="0044481A" w:rsidP="00A14FB6">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14.9</w:t>
            </w:r>
          </w:p>
        </w:tc>
        <w:tc>
          <w:tcPr>
            <w:tcW w:w="851" w:type="dxa"/>
            <w:tcBorders>
              <w:top w:val="single" w:sz="6" w:space="0" w:color="ADD6EA"/>
              <w:left w:val="nil"/>
              <w:bottom w:val="single" w:sz="6" w:space="0" w:color="ADD6EA"/>
              <w:right w:val="nil"/>
            </w:tcBorders>
            <w:tcMar>
              <w:left w:w="15" w:type="dxa"/>
              <w:right w:w="15" w:type="dxa"/>
            </w:tcMar>
          </w:tcPr>
          <w:p w14:paraId="632E7A00" w14:textId="3FCE6091"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797D411D" w14:textId="38EC5567"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Welfare is a state service and needs are assessed. </w:t>
            </w:r>
          </w:p>
        </w:tc>
      </w:tr>
      <w:tr w:rsidR="083C5A09" w14:paraId="463C968A"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52E9B5CC" w14:textId="384F6327"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Family, Domestic and Sexual Violence Responses Agreement – Innovative approaches to addressing perpetrator behaviour</w:t>
            </w:r>
          </w:p>
        </w:tc>
        <w:tc>
          <w:tcPr>
            <w:tcW w:w="2594" w:type="dxa"/>
            <w:tcBorders>
              <w:top w:val="single" w:sz="6" w:space="0" w:color="ADD6EA"/>
              <w:left w:val="nil"/>
              <w:bottom w:val="single" w:sz="6" w:space="0" w:color="ADD6EA"/>
              <w:right w:val="nil"/>
            </w:tcBorders>
            <w:tcMar>
              <w:left w:w="15" w:type="dxa"/>
              <w:right w:w="15" w:type="dxa"/>
            </w:tcMar>
          </w:tcPr>
          <w:p w14:paraId="3881CD00" w14:textId="7A72AEB1"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develop innovative approaches to address family, domestic, and sexual violence perpetrator behaviour.</w:t>
            </w:r>
          </w:p>
        </w:tc>
        <w:tc>
          <w:tcPr>
            <w:tcW w:w="992" w:type="dxa"/>
            <w:tcBorders>
              <w:top w:val="single" w:sz="6" w:space="0" w:color="ADD6EA"/>
              <w:left w:val="nil"/>
              <w:bottom w:val="single" w:sz="6" w:space="0" w:color="ADD6EA"/>
              <w:right w:val="nil"/>
            </w:tcBorders>
            <w:tcMar>
              <w:left w:w="15" w:type="dxa"/>
              <w:right w:w="75" w:type="dxa"/>
            </w:tcMar>
          </w:tcPr>
          <w:p w14:paraId="5E198E63" w14:textId="7E11C862" w:rsidR="083C5A09" w:rsidRPr="00432867" w:rsidRDefault="00FF5FA9" w:rsidP="00A14FB6">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0.5</w:t>
            </w:r>
          </w:p>
        </w:tc>
        <w:tc>
          <w:tcPr>
            <w:tcW w:w="851" w:type="dxa"/>
            <w:tcBorders>
              <w:top w:val="single" w:sz="6" w:space="0" w:color="ADD6EA"/>
              <w:left w:val="nil"/>
              <w:bottom w:val="single" w:sz="6" w:space="0" w:color="ADD6EA"/>
              <w:right w:val="nil"/>
            </w:tcBorders>
            <w:tcMar>
              <w:left w:w="15" w:type="dxa"/>
              <w:right w:w="15" w:type="dxa"/>
            </w:tcMar>
          </w:tcPr>
          <w:p w14:paraId="66829CFE" w14:textId="40494370"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5D5C303A" w14:textId="303AD501"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Frontline family services are a state service and needs are assessed.</w:t>
            </w:r>
          </w:p>
        </w:tc>
      </w:tr>
      <w:tr w:rsidR="083C5A09" w14:paraId="4ED952D0"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40BC10BE" w14:textId="1F4BB3C8"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Remote Community Store Licensing Scheme</w:t>
            </w:r>
          </w:p>
        </w:tc>
        <w:tc>
          <w:tcPr>
            <w:tcW w:w="2594" w:type="dxa"/>
            <w:tcBorders>
              <w:top w:val="single" w:sz="6" w:space="0" w:color="ADD6EA"/>
              <w:left w:val="nil"/>
              <w:bottom w:val="single" w:sz="6" w:space="0" w:color="ADD6EA"/>
              <w:right w:val="nil"/>
            </w:tcBorders>
            <w:tcMar>
              <w:left w:w="15" w:type="dxa"/>
              <w:right w:w="15" w:type="dxa"/>
            </w:tcMar>
          </w:tcPr>
          <w:p w14:paraId="6CCB36E5" w14:textId="7B607766" w:rsidR="083C5A09" w:rsidRDefault="083C5A09" w:rsidP="00A14FB6">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transition the remote community store licensing scheme currently delivered by the Australian Government to the Northern Territory Government.</w:t>
            </w:r>
          </w:p>
        </w:tc>
        <w:tc>
          <w:tcPr>
            <w:tcW w:w="992" w:type="dxa"/>
            <w:tcBorders>
              <w:top w:val="single" w:sz="6" w:space="0" w:color="ADD6EA"/>
              <w:left w:val="nil"/>
              <w:bottom w:val="single" w:sz="6" w:space="0" w:color="ADD6EA"/>
              <w:right w:val="nil"/>
            </w:tcBorders>
            <w:tcMar>
              <w:left w:w="15" w:type="dxa"/>
              <w:right w:w="75" w:type="dxa"/>
            </w:tcMar>
          </w:tcPr>
          <w:p w14:paraId="1CE5F741" w14:textId="0741E11F" w:rsidR="083C5A09" w:rsidRPr="00432867" w:rsidRDefault="00FF5FA9" w:rsidP="00A14FB6">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6.0</w:t>
            </w:r>
          </w:p>
        </w:tc>
        <w:tc>
          <w:tcPr>
            <w:tcW w:w="851" w:type="dxa"/>
            <w:tcBorders>
              <w:top w:val="single" w:sz="6" w:space="0" w:color="ADD6EA"/>
              <w:left w:val="nil"/>
              <w:bottom w:val="single" w:sz="6" w:space="0" w:color="ADD6EA"/>
              <w:right w:val="nil"/>
            </w:tcBorders>
            <w:tcMar>
              <w:left w:w="15" w:type="dxa"/>
              <w:right w:w="15" w:type="dxa"/>
            </w:tcMar>
          </w:tcPr>
          <w:p w14:paraId="19D275A2" w14:textId="45FFAC1D"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No impact</w:t>
            </w:r>
          </w:p>
          <w:p w14:paraId="41BFB15E" w14:textId="6E4B504B"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p>
        </w:tc>
        <w:tc>
          <w:tcPr>
            <w:tcW w:w="2920" w:type="dxa"/>
            <w:tcBorders>
              <w:top w:val="single" w:sz="6" w:space="0" w:color="ADD6EA"/>
              <w:left w:val="nil"/>
              <w:bottom w:val="single" w:sz="6" w:space="0" w:color="ADD6EA"/>
              <w:right w:val="nil"/>
            </w:tcBorders>
            <w:tcMar>
              <w:left w:w="15" w:type="dxa"/>
              <w:right w:w="15" w:type="dxa"/>
            </w:tcMar>
          </w:tcPr>
          <w:p w14:paraId="2A4B4473" w14:textId="26930B54" w:rsidR="083C5A09" w:rsidRPr="00432867" w:rsidRDefault="083C5A09" w:rsidP="00A14FB6">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The Australian Government established a licensing regime for community stores in the NT as part of the Northern Territory National Emergency Response (NTNER). Because the NTNER was a quarantined payment, this follow-up part of the payment, that transfers responsibility for licensing from the Commonwealth to the NT government should also be no impact</w:t>
            </w:r>
            <w:r w:rsidR="006050D5" w:rsidRPr="00432867">
              <w:rPr>
                <w:rFonts w:ascii="Open Sans Light" w:eastAsia="Open Sans Light" w:hAnsi="Open Sans Light" w:cs="Open Sans Light"/>
                <w:color w:val="000000" w:themeColor="text1"/>
                <w:sz w:val="16"/>
                <w:szCs w:val="16"/>
              </w:rPr>
              <w:t xml:space="preserve"> (Other industries regulation)</w:t>
            </w:r>
            <w:r w:rsidR="00407B48">
              <w:rPr>
                <w:rFonts w:ascii="Open Sans Light" w:eastAsia="Open Sans Light" w:hAnsi="Open Sans Light" w:cs="Open Sans Light"/>
                <w:color w:val="000000" w:themeColor="text1"/>
                <w:sz w:val="16"/>
                <w:szCs w:val="16"/>
              </w:rPr>
              <w:t>.</w:t>
            </w:r>
          </w:p>
        </w:tc>
      </w:tr>
      <w:tr w:rsidR="083C5A09" w14:paraId="0933BD04" w14:textId="77777777" w:rsidTr="00376E42">
        <w:trPr>
          <w:trHeight w:val="270"/>
        </w:trPr>
        <w:tc>
          <w:tcPr>
            <w:tcW w:w="9016" w:type="dxa"/>
            <w:gridSpan w:val="5"/>
            <w:tcBorders>
              <w:top w:val="single" w:sz="6" w:space="0" w:color="ADD6EA"/>
              <w:left w:val="nil"/>
              <w:bottom w:val="nil"/>
              <w:right w:val="nil"/>
            </w:tcBorders>
            <w:shd w:val="clear" w:color="auto" w:fill="B6D5E4"/>
            <w:tcMar>
              <w:left w:w="15" w:type="dxa"/>
              <w:right w:w="75" w:type="dxa"/>
            </w:tcMar>
          </w:tcPr>
          <w:p w14:paraId="169501BD" w14:textId="06473DC1" w:rsidR="083C5A09" w:rsidRDefault="083C5A09" w:rsidP="00060D8C">
            <w:pPr>
              <w:spacing w:after="0" w:line="240" w:lineRule="auto"/>
              <w:ind w:right="227"/>
              <w:rPr>
                <w:rFonts w:ascii="Open Sans Semibold" w:eastAsia="Open Sans Semibold" w:hAnsi="Open Sans Semibold" w:cs="Open Sans Semibold"/>
                <w:color w:val="000000" w:themeColor="text1"/>
                <w:sz w:val="16"/>
                <w:szCs w:val="16"/>
              </w:rPr>
            </w:pPr>
            <w:r w:rsidRPr="71B85580">
              <w:rPr>
                <w:rFonts w:ascii="Open Sans Semibold" w:eastAsia="Open Sans Semibold" w:hAnsi="Open Sans Semibold" w:cs="Open Sans Semibold"/>
                <w:color w:val="000000" w:themeColor="text1"/>
                <w:sz w:val="16"/>
                <w:szCs w:val="16"/>
              </w:rPr>
              <w:t>Affordable Housing</w:t>
            </w:r>
          </w:p>
        </w:tc>
      </w:tr>
      <w:tr w:rsidR="083C5A09" w14:paraId="52BDC72B"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2898D099" w14:textId="70968572" w:rsidR="083C5A09" w:rsidRDefault="083C5A09" w:rsidP="00060D8C">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Housing and essential services on Northern Territory Homelands</w:t>
            </w:r>
          </w:p>
        </w:tc>
        <w:tc>
          <w:tcPr>
            <w:tcW w:w="2594" w:type="dxa"/>
            <w:tcBorders>
              <w:top w:val="single" w:sz="6" w:space="0" w:color="ADD6EA"/>
              <w:left w:val="nil"/>
              <w:bottom w:val="single" w:sz="6" w:space="0" w:color="ADD6EA"/>
              <w:right w:val="nil"/>
            </w:tcBorders>
            <w:tcMar>
              <w:left w:w="15" w:type="dxa"/>
              <w:right w:w="15" w:type="dxa"/>
            </w:tcMar>
          </w:tcPr>
          <w:p w14:paraId="1A06AE6F" w14:textId="3AAC1413" w:rsidR="083C5A09" w:rsidRDefault="083C5A09" w:rsidP="00060D8C">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deliver critical housing and essential infrastructure on NT homelands.</w:t>
            </w:r>
          </w:p>
        </w:tc>
        <w:tc>
          <w:tcPr>
            <w:tcW w:w="992" w:type="dxa"/>
            <w:tcBorders>
              <w:top w:val="single" w:sz="6" w:space="0" w:color="ADD6EA"/>
              <w:left w:val="nil"/>
              <w:bottom w:val="single" w:sz="6" w:space="0" w:color="ADD6EA"/>
              <w:right w:val="nil"/>
            </w:tcBorders>
            <w:tcMar>
              <w:left w:w="15" w:type="dxa"/>
              <w:right w:w="75" w:type="dxa"/>
            </w:tcMar>
          </w:tcPr>
          <w:p w14:paraId="31DEF4CB" w14:textId="03F9862A" w:rsidR="083C5A09" w:rsidRDefault="083C5A09" w:rsidP="00060D8C">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25.0</w:t>
            </w:r>
          </w:p>
        </w:tc>
        <w:tc>
          <w:tcPr>
            <w:tcW w:w="851" w:type="dxa"/>
            <w:tcBorders>
              <w:top w:val="single" w:sz="6" w:space="0" w:color="ADD6EA"/>
              <w:left w:val="nil"/>
              <w:bottom w:val="single" w:sz="6" w:space="0" w:color="ADD6EA"/>
              <w:right w:val="nil"/>
            </w:tcBorders>
            <w:tcMar>
              <w:left w:w="15" w:type="dxa"/>
              <w:right w:w="15" w:type="dxa"/>
            </w:tcMar>
          </w:tcPr>
          <w:p w14:paraId="6416EA97" w14:textId="5876B79A" w:rsidR="083C5A09" w:rsidRPr="00432867" w:rsidRDefault="00180424" w:rsidP="00060D8C">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No i</w:t>
            </w:r>
            <w:r w:rsidR="083C5A09" w:rsidRPr="00432867">
              <w:rPr>
                <w:rFonts w:ascii="Open Sans Light" w:eastAsia="Open Sans Light" w:hAnsi="Open Sans Light" w:cs="Open Sans Light"/>
                <w:color w:val="000000" w:themeColor="text1"/>
                <w:sz w:val="16"/>
                <w:szCs w:val="16"/>
              </w:rPr>
              <w:t>mpact</w:t>
            </w:r>
          </w:p>
        </w:tc>
        <w:tc>
          <w:tcPr>
            <w:tcW w:w="2920" w:type="dxa"/>
            <w:tcBorders>
              <w:top w:val="single" w:sz="6" w:space="0" w:color="ADD6EA"/>
              <w:left w:val="nil"/>
              <w:bottom w:val="single" w:sz="6" w:space="0" w:color="ADD6EA"/>
              <w:right w:val="nil"/>
            </w:tcBorders>
            <w:tcMar>
              <w:left w:w="15" w:type="dxa"/>
              <w:right w:w="15" w:type="dxa"/>
            </w:tcMar>
          </w:tcPr>
          <w:p w14:paraId="27AC3362" w14:textId="3667FD7B" w:rsidR="083C5A09" w:rsidRPr="00432867" w:rsidRDefault="00CF4AD4" w:rsidP="00060D8C">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This payment is </w:t>
            </w:r>
            <w:r w:rsidR="00AE2DBE" w:rsidRPr="00432867">
              <w:rPr>
                <w:rFonts w:ascii="Open Sans Light" w:eastAsia="Open Sans Light" w:hAnsi="Open Sans Light" w:cs="Open Sans Light"/>
                <w:color w:val="000000" w:themeColor="text1"/>
                <w:sz w:val="16"/>
                <w:szCs w:val="16"/>
              </w:rPr>
              <w:t>part of the Commonwealth’s closing</w:t>
            </w:r>
            <w:r w:rsidRPr="00432867">
              <w:rPr>
                <w:rFonts w:ascii="Open Sans Light" w:eastAsia="Open Sans Light" w:hAnsi="Open Sans Light" w:cs="Open Sans Light"/>
                <w:color w:val="000000" w:themeColor="text1"/>
                <w:sz w:val="16"/>
                <w:szCs w:val="16"/>
              </w:rPr>
              <w:t xml:space="preserve"> the gap </w:t>
            </w:r>
            <w:r w:rsidR="00AE2DBE" w:rsidRPr="00432867">
              <w:rPr>
                <w:rFonts w:ascii="Open Sans Light" w:eastAsia="Open Sans Light" w:hAnsi="Open Sans Light" w:cs="Open Sans Light"/>
                <w:color w:val="000000" w:themeColor="text1"/>
                <w:sz w:val="16"/>
                <w:szCs w:val="16"/>
              </w:rPr>
              <w:t>initiative that aims to address structural disadvantage for which needs are not assessed</w:t>
            </w:r>
            <w:r w:rsidR="083C5A09" w:rsidRPr="00432867">
              <w:rPr>
                <w:rFonts w:ascii="Open Sans Light" w:eastAsia="Open Sans Light" w:hAnsi="Open Sans Light" w:cs="Open Sans Light"/>
                <w:color w:val="000000" w:themeColor="text1"/>
                <w:sz w:val="16"/>
                <w:szCs w:val="16"/>
              </w:rPr>
              <w:t>.</w:t>
            </w:r>
            <w:r w:rsidR="00186F2A" w:rsidRPr="00432867">
              <w:rPr>
                <w:rFonts w:ascii="Open Sans Light" w:eastAsia="Open Sans Light" w:hAnsi="Open Sans Light" w:cs="Open Sans Light"/>
                <w:color w:val="000000" w:themeColor="text1"/>
                <w:sz w:val="16"/>
                <w:szCs w:val="16"/>
              </w:rPr>
              <w:t xml:space="preserve"> </w:t>
            </w:r>
            <w:r w:rsidR="006B23E3" w:rsidRPr="00432867">
              <w:rPr>
                <w:rFonts w:ascii="Open Sans Light" w:eastAsia="Open Sans Light" w:hAnsi="Open Sans Light" w:cs="Open Sans Light"/>
                <w:color w:val="000000" w:themeColor="text1"/>
                <w:sz w:val="16"/>
                <w:szCs w:val="16"/>
              </w:rPr>
              <w:t>(</w:t>
            </w:r>
            <w:r w:rsidR="003574AE" w:rsidRPr="00432867">
              <w:rPr>
                <w:rFonts w:ascii="Open Sans Light" w:eastAsia="Open Sans Light" w:hAnsi="Open Sans Light" w:cs="Open Sans Light"/>
                <w:color w:val="000000" w:themeColor="text1"/>
                <w:sz w:val="16"/>
                <w:szCs w:val="16"/>
              </w:rPr>
              <w:t>Housing, s</w:t>
            </w:r>
            <w:r w:rsidR="002C78A4" w:rsidRPr="00432867">
              <w:rPr>
                <w:rFonts w:ascii="Open Sans Light" w:eastAsia="Open Sans Light" w:hAnsi="Open Sans Light" w:cs="Open Sans Light"/>
                <w:color w:val="000000" w:themeColor="text1"/>
                <w:sz w:val="16"/>
                <w:szCs w:val="16"/>
              </w:rPr>
              <w:t xml:space="preserve">ocial </w:t>
            </w:r>
            <w:r w:rsidR="003574AE" w:rsidRPr="00432867">
              <w:rPr>
                <w:rFonts w:ascii="Open Sans Light" w:eastAsia="Open Sans Light" w:hAnsi="Open Sans Light" w:cs="Open Sans Light"/>
                <w:color w:val="000000" w:themeColor="text1"/>
                <w:sz w:val="16"/>
                <w:szCs w:val="16"/>
              </w:rPr>
              <w:t>h</w:t>
            </w:r>
            <w:r w:rsidR="006B23E3" w:rsidRPr="00432867">
              <w:rPr>
                <w:rFonts w:ascii="Open Sans Light" w:eastAsia="Open Sans Light" w:hAnsi="Open Sans Light" w:cs="Open Sans Light"/>
                <w:color w:val="000000" w:themeColor="text1"/>
                <w:sz w:val="16"/>
                <w:szCs w:val="16"/>
              </w:rPr>
              <w:t xml:space="preserve">ousing </w:t>
            </w:r>
            <w:r w:rsidR="002C78A4" w:rsidRPr="00432867">
              <w:rPr>
                <w:rFonts w:ascii="Open Sans Light" w:eastAsia="Open Sans Light" w:hAnsi="Open Sans Light" w:cs="Open Sans Light"/>
                <w:color w:val="000000" w:themeColor="text1"/>
                <w:sz w:val="16"/>
                <w:szCs w:val="16"/>
              </w:rPr>
              <w:t>component)</w:t>
            </w:r>
            <w:r w:rsidR="006B23E3" w:rsidRPr="00432867">
              <w:rPr>
                <w:rFonts w:ascii="Open Sans Light" w:eastAsia="Open Sans Light" w:hAnsi="Open Sans Light" w:cs="Open Sans Light"/>
                <w:color w:val="000000" w:themeColor="text1"/>
                <w:sz w:val="16"/>
                <w:szCs w:val="16"/>
              </w:rPr>
              <w:t xml:space="preserve"> </w:t>
            </w:r>
          </w:p>
        </w:tc>
      </w:tr>
      <w:tr w:rsidR="083C5A09" w14:paraId="1E1F278B"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24CE9164" w14:textId="25207959" w:rsidR="083C5A09" w:rsidRDefault="083C5A09" w:rsidP="00060D8C">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Social Impact Investments – People at risk of homelessness</w:t>
            </w:r>
          </w:p>
        </w:tc>
        <w:tc>
          <w:tcPr>
            <w:tcW w:w="2594" w:type="dxa"/>
            <w:tcBorders>
              <w:top w:val="single" w:sz="6" w:space="0" w:color="ADD6EA"/>
              <w:left w:val="nil"/>
              <w:bottom w:val="single" w:sz="6" w:space="0" w:color="ADD6EA"/>
              <w:right w:val="nil"/>
            </w:tcBorders>
            <w:tcMar>
              <w:left w:w="15" w:type="dxa"/>
              <w:right w:w="15" w:type="dxa"/>
            </w:tcMar>
          </w:tcPr>
          <w:p w14:paraId="0CA33BCF" w14:textId="10AEAE82" w:rsidR="083C5A09" w:rsidRDefault="083C5A09" w:rsidP="00060D8C">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state governments to trial social impact investments to help people at risk of homelessness.</w:t>
            </w:r>
          </w:p>
        </w:tc>
        <w:tc>
          <w:tcPr>
            <w:tcW w:w="992" w:type="dxa"/>
            <w:tcBorders>
              <w:top w:val="single" w:sz="6" w:space="0" w:color="ADD6EA"/>
              <w:left w:val="nil"/>
              <w:bottom w:val="single" w:sz="6" w:space="0" w:color="ADD6EA"/>
              <w:right w:val="nil"/>
            </w:tcBorders>
            <w:tcMar>
              <w:left w:w="15" w:type="dxa"/>
              <w:right w:w="75" w:type="dxa"/>
            </w:tcMar>
          </w:tcPr>
          <w:p w14:paraId="2F1FAA5B" w14:textId="116655E6" w:rsidR="083C5A09" w:rsidRDefault="083C5A09" w:rsidP="00060D8C">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0.3</w:t>
            </w:r>
          </w:p>
        </w:tc>
        <w:tc>
          <w:tcPr>
            <w:tcW w:w="851" w:type="dxa"/>
            <w:tcBorders>
              <w:top w:val="single" w:sz="6" w:space="0" w:color="ADD6EA"/>
              <w:left w:val="nil"/>
              <w:bottom w:val="single" w:sz="6" w:space="0" w:color="ADD6EA"/>
              <w:right w:val="nil"/>
            </w:tcBorders>
            <w:tcMar>
              <w:left w:w="15" w:type="dxa"/>
              <w:right w:w="15" w:type="dxa"/>
            </w:tcMar>
          </w:tcPr>
          <w:p w14:paraId="312A9F2B" w14:textId="3B0D448B" w:rsidR="083C5A09" w:rsidRDefault="083C5A09" w:rsidP="00060D8C">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1CE27736" w14:textId="1186B564" w:rsidR="083C5A09" w:rsidRDefault="083C5A09" w:rsidP="00060D8C">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Welfare services are a state function. However, the Commission has been unable to determine a driver of state expense needs for services such as this, which are classified in the Commission’s ‘other welfare’ component.</w:t>
            </w:r>
          </w:p>
        </w:tc>
      </w:tr>
      <w:tr w:rsidR="083C5A09" w14:paraId="1D2AA4A3" w14:textId="77777777" w:rsidTr="00376E42">
        <w:trPr>
          <w:trHeight w:val="270"/>
        </w:trPr>
        <w:tc>
          <w:tcPr>
            <w:tcW w:w="1659" w:type="dxa"/>
            <w:tcBorders>
              <w:top w:val="single" w:sz="6" w:space="0" w:color="ADD6EA"/>
              <w:left w:val="nil"/>
              <w:bottom w:val="nil"/>
              <w:right w:val="nil"/>
            </w:tcBorders>
            <w:shd w:val="clear" w:color="auto" w:fill="B6D5E4"/>
            <w:tcMar>
              <w:left w:w="15" w:type="dxa"/>
              <w:right w:w="15" w:type="dxa"/>
            </w:tcMar>
          </w:tcPr>
          <w:p w14:paraId="2396EF27" w14:textId="7F27F586" w:rsidR="083C5A09" w:rsidRDefault="083C5A09" w:rsidP="00060D8C">
            <w:pPr>
              <w:spacing w:after="0" w:line="240" w:lineRule="auto"/>
              <w:rPr>
                <w:rFonts w:ascii="Open Sans Semibold" w:eastAsia="Open Sans Semibold" w:hAnsi="Open Sans Semibold" w:cs="Open Sans Semibold"/>
                <w:color w:val="000000" w:themeColor="text1"/>
                <w:sz w:val="16"/>
                <w:szCs w:val="16"/>
              </w:rPr>
            </w:pPr>
            <w:r w:rsidRPr="71B85580">
              <w:rPr>
                <w:rFonts w:ascii="Open Sans Semibold" w:eastAsia="Open Sans Semibold" w:hAnsi="Open Sans Semibold" w:cs="Open Sans Semibold"/>
                <w:color w:val="000000" w:themeColor="text1"/>
                <w:sz w:val="16"/>
                <w:szCs w:val="16"/>
              </w:rPr>
              <w:t xml:space="preserve">Environment, </w:t>
            </w:r>
            <w:proofErr w:type="gramStart"/>
            <w:r w:rsidRPr="71B85580">
              <w:rPr>
                <w:rFonts w:ascii="Open Sans Semibold" w:eastAsia="Open Sans Semibold" w:hAnsi="Open Sans Semibold" w:cs="Open Sans Semibold"/>
                <w:color w:val="000000" w:themeColor="text1"/>
                <w:sz w:val="16"/>
                <w:szCs w:val="16"/>
              </w:rPr>
              <w:t>energy</w:t>
            </w:r>
            <w:proofErr w:type="gramEnd"/>
            <w:r w:rsidRPr="71B85580">
              <w:rPr>
                <w:rFonts w:ascii="Open Sans Semibold" w:eastAsia="Open Sans Semibold" w:hAnsi="Open Sans Semibold" w:cs="Open Sans Semibold"/>
                <w:color w:val="000000" w:themeColor="text1"/>
                <w:sz w:val="16"/>
                <w:szCs w:val="16"/>
              </w:rPr>
              <w:t xml:space="preserve"> and water</w:t>
            </w:r>
          </w:p>
        </w:tc>
        <w:tc>
          <w:tcPr>
            <w:tcW w:w="2594" w:type="dxa"/>
            <w:tcBorders>
              <w:top w:val="single" w:sz="6" w:space="0" w:color="ADD6EA"/>
              <w:left w:val="nil"/>
              <w:bottom w:val="nil"/>
              <w:right w:val="nil"/>
            </w:tcBorders>
            <w:shd w:val="clear" w:color="auto" w:fill="B6D5E4"/>
            <w:tcMar>
              <w:left w:w="15" w:type="dxa"/>
              <w:right w:w="15" w:type="dxa"/>
            </w:tcMar>
          </w:tcPr>
          <w:p w14:paraId="3EF4B695" w14:textId="20098FDE" w:rsidR="083C5A09" w:rsidRDefault="083C5A09" w:rsidP="00060D8C">
            <w:pPr>
              <w:spacing w:after="0" w:line="240" w:lineRule="auto"/>
              <w:rPr>
                <w:rFonts w:ascii="Open Sans Semibold" w:eastAsia="Open Sans Semibold" w:hAnsi="Open Sans Semibold" w:cs="Open Sans Semibold"/>
                <w:color w:val="000000" w:themeColor="text1"/>
                <w:sz w:val="16"/>
                <w:szCs w:val="16"/>
              </w:rPr>
            </w:pPr>
          </w:p>
        </w:tc>
        <w:tc>
          <w:tcPr>
            <w:tcW w:w="992" w:type="dxa"/>
            <w:tcBorders>
              <w:top w:val="single" w:sz="6" w:space="0" w:color="ADD6EA"/>
              <w:left w:val="nil"/>
              <w:bottom w:val="nil"/>
              <w:right w:val="nil"/>
            </w:tcBorders>
            <w:shd w:val="clear" w:color="auto" w:fill="B6D5E4"/>
            <w:tcMar>
              <w:left w:w="15" w:type="dxa"/>
              <w:right w:w="75" w:type="dxa"/>
            </w:tcMar>
          </w:tcPr>
          <w:p w14:paraId="6524446B" w14:textId="571D38B6" w:rsidR="083C5A09" w:rsidRDefault="083C5A09" w:rsidP="00060D8C">
            <w:pPr>
              <w:spacing w:after="0" w:line="240" w:lineRule="auto"/>
              <w:ind w:right="227"/>
              <w:rPr>
                <w:rFonts w:ascii="Open Sans Semibold" w:eastAsia="Open Sans Semibold" w:hAnsi="Open Sans Semibold" w:cs="Open Sans Semibold"/>
                <w:color w:val="000000" w:themeColor="text1"/>
                <w:sz w:val="16"/>
                <w:szCs w:val="16"/>
              </w:rPr>
            </w:pPr>
          </w:p>
        </w:tc>
        <w:tc>
          <w:tcPr>
            <w:tcW w:w="851" w:type="dxa"/>
            <w:tcBorders>
              <w:top w:val="single" w:sz="6" w:space="0" w:color="ADD6EA"/>
              <w:left w:val="nil"/>
              <w:bottom w:val="nil"/>
              <w:right w:val="nil"/>
            </w:tcBorders>
            <w:shd w:val="clear" w:color="auto" w:fill="B6D5E4"/>
            <w:tcMar>
              <w:left w:w="15" w:type="dxa"/>
              <w:right w:w="15" w:type="dxa"/>
            </w:tcMar>
          </w:tcPr>
          <w:p w14:paraId="5ACB04C7" w14:textId="7ABA352B" w:rsidR="083C5A09" w:rsidRDefault="083C5A09" w:rsidP="00060D8C">
            <w:pPr>
              <w:spacing w:after="0" w:line="240" w:lineRule="auto"/>
              <w:rPr>
                <w:rFonts w:ascii="Open Sans Semibold" w:eastAsia="Open Sans Semibold" w:hAnsi="Open Sans Semibold" w:cs="Open Sans Semibold"/>
                <w:color w:val="000000" w:themeColor="text1"/>
                <w:sz w:val="16"/>
                <w:szCs w:val="16"/>
              </w:rPr>
            </w:pPr>
          </w:p>
        </w:tc>
        <w:tc>
          <w:tcPr>
            <w:tcW w:w="2920" w:type="dxa"/>
            <w:tcBorders>
              <w:top w:val="single" w:sz="6" w:space="0" w:color="ADD6EA"/>
              <w:left w:val="nil"/>
              <w:bottom w:val="nil"/>
              <w:right w:val="nil"/>
            </w:tcBorders>
            <w:shd w:val="clear" w:color="auto" w:fill="B6D5E4"/>
            <w:tcMar>
              <w:left w:w="15" w:type="dxa"/>
              <w:right w:w="15" w:type="dxa"/>
            </w:tcMar>
          </w:tcPr>
          <w:p w14:paraId="33D8FB44" w14:textId="5CFA691D" w:rsidR="083C5A09" w:rsidRDefault="083C5A09" w:rsidP="00060D8C">
            <w:pPr>
              <w:spacing w:after="0" w:line="240" w:lineRule="auto"/>
              <w:rPr>
                <w:rFonts w:ascii="Open Sans Semibold" w:eastAsia="Open Sans Semibold" w:hAnsi="Open Sans Semibold" w:cs="Open Sans Semibold"/>
                <w:color w:val="000000" w:themeColor="text1"/>
                <w:sz w:val="16"/>
                <w:szCs w:val="16"/>
              </w:rPr>
            </w:pPr>
          </w:p>
        </w:tc>
      </w:tr>
      <w:tr w:rsidR="083C5A09" w14:paraId="360C896B" w14:textId="77777777" w:rsidTr="00376E42">
        <w:trPr>
          <w:trHeight w:val="765"/>
        </w:trPr>
        <w:tc>
          <w:tcPr>
            <w:tcW w:w="1659" w:type="dxa"/>
            <w:tcBorders>
              <w:top w:val="single" w:sz="6" w:space="0" w:color="ADD6EA"/>
              <w:left w:val="nil"/>
              <w:bottom w:val="single" w:sz="6" w:space="0" w:color="ADD6EA"/>
              <w:right w:val="nil"/>
            </w:tcBorders>
            <w:tcMar>
              <w:left w:w="15" w:type="dxa"/>
              <w:right w:w="15" w:type="dxa"/>
            </w:tcMar>
          </w:tcPr>
          <w:p w14:paraId="25E7CEFC" w14:textId="784BAD0E" w:rsidR="083C5A09" w:rsidRDefault="083C5A09" w:rsidP="00060D8C">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Bolstering Australia’s Biosecurity System – Protecting Australia from escalating exotic animal disease risks</w:t>
            </w:r>
          </w:p>
        </w:tc>
        <w:tc>
          <w:tcPr>
            <w:tcW w:w="2594" w:type="dxa"/>
            <w:tcBorders>
              <w:top w:val="single" w:sz="6" w:space="0" w:color="ADD6EA"/>
              <w:left w:val="nil"/>
              <w:bottom w:val="single" w:sz="6" w:space="0" w:color="ADD6EA"/>
              <w:right w:val="nil"/>
            </w:tcBorders>
            <w:tcMar>
              <w:left w:w="15" w:type="dxa"/>
              <w:right w:w="15" w:type="dxa"/>
            </w:tcMar>
          </w:tcPr>
          <w:p w14:paraId="152F6E9C" w14:textId="13E8BF4F" w:rsidR="083C5A09" w:rsidRPr="00432867" w:rsidRDefault="083C5A09" w:rsidP="00060D8C">
            <w:pPr>
              <w:spacing w:after="0" w:line="240" w:lineRule="auto"/>
              <w:rPr>
                <w:rFonts w:ascii="Open Sans Light" w:eastAsia="Open Sans Light" w:hAnsi="Open Sans Light" w:cs="Open Sans Light"/>
                <w:sz w:val="16"/>
                <w:szCs w:val="16"/>
              </w:rPr>
            </w:pPr>
            <w:r w:rsidRPr="00432867">
              <w:rPr>
                <w:rFonts w:ascii="Open Sans Light" w:eastAsia="Open Sans Light" w:hAnsi="Open Sans Light" w:cs="Open Sans Light"/>
                <w:sz w:val="16"/>
                <w:szCs w:val="16"/>
              </w:rPr>
              <w:t>Funding to support targeted actions by developing an inter-jurisdictional plant biosecurity network that will enhance detection and response capacity within northern Australia to combat new detections of diseases.</w:t>
            </w:r>
          </w:p>
        </w:tc>
        <w:tc>
          <w:tcPr>
            <w:tcW w:w="992" w:type="dxa"/>
            <w:tcBorders>
              <w:top w:val="single" w:sz="6" w:space="0" w:color="ADD6EA"/>
              <w:left w:val="nil"/>
              <w:bottom w:val="single" w:sz="6" w:space="0" w:color="ADD6EA"/>
              <w:right w:val="nil"/>
            </w:tcBorders>
            <w:tcMar>
              <w:left w:w="15" w:type="dxa"/>
              <w:right w:w="75" w:type="dxa"/>
            </w:tcMar>
          </w:tcPr>
          <w:p w14:paraId="5C4CC774" w14:textId="5930AC37" w:rsidR="083C5A09" w:rsidRPr="00432867" w:rsidRDefault="083C5A09" w:rsidP="00060D8C">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0.</w:t>
            </w:r>
            <w:r w:rsidR="00EB7D32" w:rsidRPr="00432867">
              <w:rPr>
                <w:rFonts w:ascii="Open Sans Light" w:eastAsia="Open Sans Light" w:hAnsi="Open Sans Light" w:cs="Open Sans Light"/>
                <w:color w:val="000000" w:themeColor="text1"/>
                <w:sz w:val="16"/>
                <w:szCs w:val="16"/>
              </w:rPr>
              <w:t>4</w:t>
            </w:r>
          </w:p>
        </w:tc>
        <w:tc>
          <w:tcPr>
            <w:tcW w:w="851" w:type="dxa"/>
            <w:tcBorders>
              <w:top w:val="single" w:sz="6" w:space="0" w:color="ADD6EA"/>
              <w:left w:val="nil"/>
              <w:bottom w:val="single" w:sz="6" w:space="0" w:color="ADD6EA"/>
              <w:right w:val="nil"/>
            </w:tcBorders>
            <w:tcMar>
              <w:left w:w="15" w:type="dxa"/>
              <w:right w:w="15" w:type="dxa"/>
            </w:tcMar>
          </w:tcPr>
          <w:p w14:paraId="35AD35CB" w14:textId="0523F9D7" w:rsidR="083C5A09" w:rsidRPr="00432867" w:rsidRDefault="083C5A09" w:rsidP="00060D8C">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75CBA0BC" w14:textId="1972CA7F" w:rsidR="083C5A09" w:rsidRDefault="083C5A09" w:rsidP="00060D8C">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 xml:space="preserve">Agriculture regulation is a state service and needs are assessed. </w:t>
            </w:r>
          </w:p>
        </w:tc>
      </w:tr>
      <w:tr w:rsidR="083C5A09" w14:paraId="2C1D150F" w14:textId="77777777" w:rsidTr="00376E42">
        <w:trPr>
          <w:trHeight w:val="660"/>
        </w:trPr>
        <w:tc>
          <w:tcPr>
            <w:tcW w:w="1659" w:type="dxa"/>
            <w:tcBorders>
              <w:top w:val="single" w:sz="6" w:space="0" w:color="ADD6EA"/>
              <w:left w:val="nil"/>
              <w:bottom w:val="single" w:sz="6" w:space="0" w:color="ADD6EA"/>
              <w:right w:val="nil"/>
            </w:tcBorders>
            <w:tcMar>
              <w:left w:w="15" w:type="dxa"/>
              <w:right w:w="15" w:type="dxa"/>
            </w:tcMar>
          </w:tcPr>
          <w:p w14:paraId="48B4D17C" w14:textId="18011E4E" w:rsidR="083C5A09" w:rsidRDefault="083C5A09" w:rsidP="00B7709F">
            <w:pPr>
              <w:spacing w:after="0" w:line="240" w:lineRule="auto"/>
              <w:rPr>
                <w:rFonts w:ascii="Open Sans Light" w:eastAsia="Open Sans Light" w:hAnsi="Open Sans Light" w:cs="Open Sans Light"/>
                <w:sz w:val="16"/>
                <w:szCs w:val="16"/>
              </w:rPr>
            </w:pPr>
            <w:proofErr w:type="spellStart"/>
            <w:r w:rsidRPr="71B85580">
              <w:rPr>
                <w:rFonts w:ascii="Open Sans Light" w:eastAsia="Open Sans Light" w:hAnsi="Open Sans Light" w:cs="Open Sans Light"/>
                <w:sz w:val="16"/>
                <w:szCs w:val="16"/>
              </w:rPr>
              <w:t>CarbonNet</w:t>
            </w:r>
            <w:proofErr w:type="spellEnd"/>
          </w:p>
        </w:tc>
        <w:tc>
          <w:tcPr>
            <w:tcW w:w="2594" w:type="dxa"/>
            <w:tcBorders>
              <w:top w:val="single" w:sz="6" w:space="0" w:color="ADD6EA"/>
              <w:left w:val="nil"/>
              <w:bottom w:val="single" w:sz="6" w:space="0" w:color="ADD6EA"/>
              <w:right w:val="nil"/>
            </w:tcBorders>
            <w:tcMar>
              <w:left w:w="15" w:type="dxa"/>
              <w:right w:w="15" w:type="dxa"/>
            </w:tcMar>
          </w:tcPr>
          <w:p w14:paraId="46287F79" w14:textId="40484087"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Funding to support </w:t>
            </w:r>
            <w:proofErr w:type="spellStart"/>
            <w:r w:rsidRPr="71B85580">
              <w:rPr>
                <w:rFonts w:ascii="Open Sans Light" w:eastAsia="Open Sans Light" w:hAnsi="Open Sans Light" w:cs="Open Sans Light"/>
                <w:color w:val="000000" w:themeColor="text1"/>
                <w:sz w:val="16"/>
                <w:szCs w:val="16"/>
              </w:rPr>
              <w:t>CarbonNet’s</w:t>
            </w:r>
            <w:proofErr w:type="spellEnd"/>
            <w:r w:rsidRPr="71B85580">
              <w:rPr>
                <w:rFonts w:ascii="Open Sans Light" w:eastAsia="Open Sans Light" w:hAnsi="Open Sans Light" w:cs="Open Sans Light"/>
                <w:color w:val="000000" w:themeColor="text1"/>
                <w:sz w:val="16"/>
                <w:szCs w:val="16"/>
              </w:rPr>
              <w:t xml:space="preserve"> establishment of a commercial carbon capture and storage network in Victoria’s Gippsland Basin.</w:t>
            </w:r>
          </w:p>
        </w:tc>
        <w:tc>
          <w:tcPr>
            <w:tcW w:w="992" w:type="dxa"/>
            <w:tcBorders>
              <w:top w:val="single" w:sz="6" w:space="0" w:color="ADD6EA"/>
              <w:left w:val="nil"/>
              <w:bottom w:val="single" w:sz="6" w:space="0" w:color="ADD6EA"/>
              <w:right w:val="nil"/>
            </w:tcBorders>
            <w:tcMar>
              <w:left w:w="15" w:type="dxa"/>
              <w:right w:w="75" w:type="dxa"/>
            </w:tcMar>
          </w:tcPr>
          <w:p w14:paraId="0016AC74" w14:textId="152D9B67" w:rsidR="083C5A09"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10.0</w:t>
            </w:r>
          </w:p>
        </w:tc>
        <w:tc>
          <w:tcPr>
            <w:tcW w:w="851" w:type="dxa"/>
            <w:tcBorders>
              <w:top w:val="single" w:sz="6" w:space="0" w:color="ADD6EA"/>
              <w:left w:val="nil"/>
              <w:bottom w:val="single" w:sz="6" w:space="0" w:color="ADD6EA"/>
              <w:right w:val="nil"/>
            </w:tcBorders>
            <w:tcMar>
              <w:left w:w="15" w:type="dxa"/>
              <w:right w:w="15" w:type="dxa"/>
            </w:tcMar>
          </w:tcPr>
          <w:p w14:paraId="2EF69D80" w14:textId="2FFE986D"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4FBE5066" w14:textId="2078FFBD"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 xml:space="preserve">Business development is a state service and needs are assessed. </w:t>
            </w:r>
          </w:p>
        </w:tc>
      </w:tr>
      <w:tr w:rsidR="083C5A09" w14:paraId="43446CB3" w14:textId="77777777" w:rsidTr="00376E42">
        <w:trPr>
          <w:trHeight w:val="600"/>
        </w:trPr>
        <w:tc>
          <w:tcPr>
            <w:tcW w:w="1659" w:type="dxa"/>
            <w:tcBorders>
              <w:top w:val="single" w:sz="6" w:space="0" w:color="ADD6EA"/>
              <w:left w:val="nil"/>
              <w:bottom w:val="single" w:sz="6" w:space="0" w:color="ADD6EA"/>
              <w:right w:val="nil"/>
            </w:tcBorders>
            <w:tcMar>
              <w:left w:w="15" w:type="dxa"/>
              <w:right w:w="15" w:type="dxa"/>
            </w:tcMar>
          </w:tcPr>
          <w:p w14:paraId="4AAB3F4B" w14:textId="3A4EBDE8"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lastRenderedPageBreak/>
              <w:t>Disaster Ready Fund - Coastal and Estuaries Risk Mitigation Program</w:t>
            </w:r>
          </w:p>
        </w:tc>
        <w:tc>
          <w:tcPr>
            <w:tcW w:w="2594" w:type="dxa"/>
            <w:tcBorders>
              <w:top w:val="single" w:sz="6" w:space="0" w:color="ADD6EA"/>
              <w:left w:val="nil"/>
              <w:bottom w:val="single" w:sz="6" w:space="0" w:color="ADD6EA"/>
              <w:right w:val="nil"/>
            </w:tcBorders>
            <w:tcMar>
              <w:left w:w="15" w:type="dxa"/>
              <w:right w:w="15" w:type="dxa"/>
            </w:tcMar>
          </w:tcPr>
          <w:p w14:paraId="7E339B09" w14:textId="56108077"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$50.0 million from the Disaster Ready Fund in 2022–23 to target high priority locally and nationally significant coastal and estuarine disaster risk mitigation projects</w:t>
            </w:r>
            <w:r w:rsidR="00540810">
              <w:rPr>
                <w:rFonts w:ascii="Open Sans Light" w:eastAsia="Open Sans Light" w:hAnsi="Open Sans Light" w:cs="Open Sans Light"/>
                <w:color w:val="000000" w:themeColor="text1"/>
                <w:sz w:val="16"/>
                <w:szCs w:val="16"/>
              </w:rPr>
              <w:t>.</w:t>
            </w:r>
          </w:p>
        </w:tc>
        <w:tc>
          <w:tcPr>
            <w:tcW w:w="992" w:type="dxa"/>
            <w:tcBorders>
              <w:top w:val="single" w:sz="6" w:space="0" w:color="ADD6EA"/>
              <w:left w:val="nil"/>
              <w:bottom w:val="single" w:sz="6" w:space="0" w:color="ADD6EA"/>
              <w:right w:val="nil"/>
            </w:tcBorders>
            <w:tcMar>
              <w:left w:w="15" w:type="dxa"/>
              <w:right w:w="75" w:type="dxa"/>
            </w:tcMar>
          </w:tcPr>
          <w:p w14:paraId="107C7971" w14:textId="73E88431" w:rsidR="083C5A09"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50.0</w:t>
            </w:r>
          </w:p>
        </w:tc>
        <w:tc>
          <w:tcPr>
            <w:tcW w:w="851" w:type="dxa"/>
            <w:tcBorders>
              <w:top w:val="single" w:sz="6" w:space="0" w:color="ADD6EA"/>
              <w:left w:val="nil"/>
              <w:bottom w:val="single" w:sz="6" w:space="0" w:color="ADD6EA"/>
              <w:right w:val="nil"/>
            </w:tcBorders>
            <w:tcMar>
              <w:left w:w="15" w:type="dxa"/>
              <w:right w:w="15" w:type="dxa"/>
            </w:tcMar>
          </w:tcPr>
          <w:p w14:paraId="706CFCB4" w14:textId="34B4764C"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335B01E0" w14:textId="72D3AFA3"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Environmental protection is a state service, but needs are not assessed.</w:t>
            </w:r>
          </w:p>
        </w:tc>
      </w:tr>
      <w:tr w:rsidR="083C5A09" w14:paraId="77249331" w14:textId="77777777" w:rsidTr="00376E42">
        <w:trPr>
          <w:trHeight w:val="540"/>
        </w:trPr>
        <w:tc>
          <w:tcPr>
            <w:tcW w:w="1659" w:type="dxa"/>
            <w:tcBorders>
              <w:top w:val="single" w:sz="6" w:space="0" w:color="ADD6EA"/>
              <w:left w:val="nil"/>
              <w:bottom w:val="single" w:sz="6" w:space="0" w:color="ADD6EA"/>
              <w:right w:val="nil"/>
            </w:tcBorders>
            <w:tcMar>
              <w:left w:w="15" w:type="dxa"/>
              <w:right w:w="15" w:type="dxa"/>
            </w:tcMar>
          </w:tcPr>
          <w:p w14:paraId="4D29ABD0" w14:textId="2B974F1C"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Food Waste for Healthy Soils Fund</w:t>
            </w:r>
          </w:p>
        </w:tc>
        <w:tc>
          <w:tcPr>
            <w:tcW w:w="2594" w:type="dxa"/>
            <w:tcBorders>
              <w:top w:val="single" w:sz="6" w:space="0" w:color="ADD6EA"/>
              <w:left w:val="nil"/>
              <w:bottom w:val="single" w:sz="6" w:space="0" w:color="ADD6EA"/>
              <w:right w:val="nil"/>
            </w:tcBorders>
            <w:tcMar>
              <w:left w:w="15" w:type="dxa"/>
              <w:right w:w="15" w:type="dxa"/>
            </w:tcMar>
          </w:tcPr>
          <w:p w14:paraId="12442C62" w14:textId="6D45CA14"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support infrastructure that will divert organic waste from landfill towards improving Australian soils, as well as a $10 million program aimed at avoiding food waste.</w:t>
            </w:r>
          </w:p>
        </w:tc>
        <w:tc>
          <w:tcPr>
            <w:tcW w:w="992" w:type="dxa"/>
            <w:tcBorders>
              <w:top w:val="single" w:sz="6" w:space="0" w:color="ADD6EA"/>
              <w:left w:val="nil"/>
              <w:bottom w:val="single" w:sz="6" w:space="0" w:color="ADD6EA"/>
              <w:right w:val="nil"/>
            </w:tcBorders>
            <w:tcMar>
              <w:left w:w="15" w:type="dxa"/>
              <w:right w:w="75" w:type="dxa"/>
            </w:tcMar>
          </w:tcPr>
          <w:p w14:paraId="369A0720" w14:textId="4C51A549" w:rsidR="083C5A09" w:rsidRPr="00432867" w:rsidRDefault="00F162C3"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4.9</w:t>
            </w:r>
          </w:p>
        </w:tc>
        <w:tc>
          <w:tcPr>
            <w:tcW w:w="851" w:type="dxa"/>
            <w:tcBorders>
              <w:top w:val="single" w:sz="6" w:space="0" w:color="ADD6EA"/>
              <w:left w:val="nil"/>
              <w:bottom w:val="single" w:sz="6" w:space="0" w:color="ADD6EA"/>
              <w:right w:val="nil"/>
            </w:tcBorders>
            <w:tcMar>
              <w:left w:w="15" w:type="dxa"/>
              <w:right w:w="15" w:type="dxa"/>
            </w:tcMar>
          </w:tcPr>
          <w:p w14:paraId="294679F0" w14:textId="4A1B5AFD"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138DD45F" w14:textId="665EA07A"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Business development is a state service and needs are assessed. </w:t>
            </w:r>
          </w:p>
        </w:tc>
      </w:tr>
      <w:tr w:rsidR="083C5A09" w14:paraId="5F74FCD6" w14:textId="77777777" w:rsidTr="00376E42">
        <w:trPr>
          <w:trHeight w:val="540"/>
        </w:trPr>
        <w:tc>
          <w:tcPr>
            <w:tcW w:w="1659" w:type="dxa"/>
            <w:tcBorders>
              <w:top w:val="single" w:sz="6" w:space="0" w:color="ADD6EA"/>
              <w:left w:val="nil"/>
              <w:bottom w:val="single" w:sz="6" w:space="0" w:color="ADD6EA"/>
              <w:right w:val="nil"/>
            </w:tcBorders>
            <w:tcMar>
              <w:left w:w="15" w:type="dxa"/>
              <w:right w:w="15" w:type="dxa"/>
            </w:tcMar>
          </w:tcPr>
          <w:p w14:paraId="6CAD8203" w14:textId="4609DAF2"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Horse traceability</w:t>
            </w:r>
          </w:p>
        </w:tc>
        <w:tc>
          <w:tcPr>
            <w:tcW w:w="2594" w:type="dxa"/>
            <w:tcBorders>
              <w:top w:val="single" w:sz="6" w:space="0" w:color="ADD6EA"/>
              <w:left w:val="nil"/>
              <w:bottom w:val="single" w:sz="6" w:space="0" w:color="ADD6EA"/>
              <w:right w:val="nil"/>
            </w:tcBorders>
            <w:tcMar>
              <w:left w:w="15" w:type="dxa"/>
              <w:right w:w="15" w:type="dxa"/>
            </w:tcMar>
          </w:tcPr>
          <w:p w14:paraId="4E1B8D7B" w14:textId="36ED95C6"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increase horse traceability, targeting the spread of infectious diseases that have potentially significant market access and/or human health impacts.</w:t>
            </w:r>
          </w:p>
        </w:tc>
        <w:tc>
          <w:tcPr>
            <w:tcW w:w="992" w:type="dxa"/>
            <w:tcBorders>
              <w:top w:val="single" w:sz="6" w:space="0" w:color="ADD6EA"/>
              <w:left w:val="nil"/>
              <w:bottom w:val="single" w:sz="6" w:space="0" w:color="ADD6EA"/>
              <w:right w:val="nil"/>
            </w:tcBorders>
            <w:tcMar>
              <w:left w:w="15" w:type="dxa"/>
              <w:right w:w="75" w:type="dxa"/>
            </w:tcMar>
          </w:tcPr>
          <w:p w14:paraId="486D6204" w14:textId="3DB08B50" w:rsidR="083C5A09" w:rsidRPr="00432867"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0.6</w:t>
            </w:r>
          </w:p>
        </w:tc>
        <w:tc>
          <w:tcPr>
            <w:tcW w:w="851" w:type="dxa"/>
            <w:tcBorders>
              <w:top w:val="single" w:sz="6" w:space="0" w:color="ADD6EA"/>
              <w:left w:val="nil"/>
              <w:bottom w:val="single" w:sz="6" w:space="0" w:color="ADD6EA"/>
              <w:right w:val="nil"/>
            </w:tcBorders>
            <w:tcMar>
              <w:left w:w="15" w:type="dxa"/>
              <w:right w:w="15" w:type="dxa"/>
            </w:tcMar>
          </w:tcPr>
          <w:p w14:paraId="0551F299" w14:textId="543C299E"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60E166C0" w14:textId="4084D686"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Agriculture regulation is a state service and needs are assessed. </w:t>
            </w:r>
          </w:p>
        </w:tc>
      </w:tr>
      <w:tr w:rsidR="083C5A09" w14:paraId="0B09F647" w14:textId="77777777" w:rsidTr="00376E42">
        <w:trPr>
          <w:trHeight w:val="540"/>
        </w:trPr>
        <w:tc>
          <w:tcPr>
            <w:tcW w:w="1659" w:type="dxa"/>
            <w:tcBorders>
              <w:top w:val="single" w:sz="6" w:space="0" w:color="ADD6EA"/>
              <w:left w:val="nil"/>
              <w:bottom w:val="single" w:sz="6" w:space="0" w:color="ADD6EA"/>
              <w:right w:val="nil"/>
            </w:tcBorders>
            <w:tcMar>
              <w:left w:w="15" w:type="dxa"/>
              <w:right w:w="15" w:type="dxa"/>
            </w:tcMar>
          </w:tcPr>
          <w:p w14:paraId="1CA96221" w14:textId="7767323C"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Investing in Australia’s First Nations Culture and World Heritage</w:t>
            </w:r>
          </w:p>
        </w:tc>
        <w:tc>
          <w:tcPr>
            <w:tcW w:w="2594" w:type="dxa"/>
            <w:tcBorders>
              <w:top w:val="single" w:sz="6" w:space="0" w:color="ADD6EA"/>
              <w:left w:val="nil"/>
              <w:bottom w:val="single" w:sz="6" w:space="0" w:color="ADD6EA"/>
              <w:right w:val="nil"/>
            </w:tcBorders>
            <w:tcMar>
              <w:left w:w="15" w:type="dxa"/>
              <w:right w:w="15" w:type="dxa"/>
            </w:tcMar>
          </w:tcPr>
          <w:p w14:paraId="46C9EA30" w14:textId="1CEE2057"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support the protection of First Nations’ cultural heritage, including support for the addition of First Nations’ heritage values to world and national heritage listings.</w:t>
            </w:r>
          </w:p>
        </w:tc>
        <w:tc>
          <w:tcPr>
            <w:tcW w:w="992" w:type="dxa"/>
            <w:tcBorders>
              <w:top w:val="single" w:sz="6" w:space="0" w:color="ADD6EA"/>
              <w:left w:val="nil"/>
              <w:bottom w:val="single" w:sz="6" w:space="0" w:color="ADD6EA"/>
              <w:right w:val="nil"/>
            </w:tcBorders>
            <w:tcMar>
              <w:left w:w="15" w:type="dxa"/>
              <w:right w:w="75" w:type="dxa"/>
            </w:tcMar>
          </w:tcPr>
          <w:p w14:paraId="6D20B80E" w14:textId="2FB0C6EF" w:rsidR="083C5A09" w:rsidRPr="00432867" w:rsidRDefault="00A461FD"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2.2</w:t>
            </w:r>
          </w:p>
        </w:tc>
        <w:tc>
          <w:tcPr>
            <w:tcW w:w="851" w:type="dxa"/>
            <w:tcBorders>
              <w:top w:val="single" w:sz="6" w:space="0" w:color="ADD6EA"/>
              <w:left w:val="nil"/>
              <w:bottom w:val="single" w:sz="6" w:space="0" w:color="ADD6EA"/>
              <w:right w:val="nil"/>
            </w:tcBorders>
            <w:tcMar>
              <w:left w:w="15" w:type="dxa"/>
              <w:right w:w="15" w:type="dxa"/>
            </w:tcMar>
          </w:tcPr>
          <w:p w14:paraId="0D9C97A8" w14:textId="430688AD"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60CA6D4C" w14:textId="304AC448"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Cultural heritage is a state service and needs are assessed. </w:t>
            </w:r>
          </w:p>
        </w:tc>
      </w:tr>
      <w:tr w:rsidR="083C5A09" w14:paraId="0C7321B1" w14:textId="77777777" w:rsidTr="00376E42">
        <w:trPr>
          <w:trHeight w:val="910"/>
        </w:trPr>
        <w:tc>
          <w:tcPr>
            <w:tcW w:w="1659" w:type="dxa"/>
            <w:tcBorders>
              <w:top w:val="single" w:sz="6" w:space="0" w:color="ADD6EA"/>
              <w:left w:val="nil"/>
              <w:bottom w:val="single" w:sz="6" w:space="0" w:color="ADD6EA"/>
              <w:right w:val="nil"/>
            </w:tcBorders>
            <w:tcMar>
              <w:left w:w="15" w:type="dxa"/>
              <w:right w:w="15" w:type="dxa"/>
            </w:tcMar>
          </w:tcPr>
          <w:p w14:paraId="41A9B842" w14:textId="4575F710" w:rsidR="083C5A09" w:rsidRDefault="083C5A09" w:rsidP="00B7709F">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Marine Parks Management – Northern Territory Marine Parks</w:t>
            </w:r>
          </w:p>
        </w:tc>
        <w:tc>
          <w:tcPr>
            <w:tcW w:w="2594" w:type="dxa"/>
            <w:tcBorders>
              <w:top w:val="single" w:sz="6" w:space="0" w:color="ADD6EA"/>
              <w:left w:val="nil"/>
              <w:bottom w:val="single" w:sz="6" w:space="0" w:color="ADD6EA"/>
              <w:right w:val="nil"/>
            </w:tcBorders>
            <w:tcMar>
              <w:left w:w="15" w:type="dxa"/>
              <w:right w:w="15" w:type="dxa"/>
            </w:tcMar>
          </w:tcPr>
          <w:p w14:paraId="7B19CC3C" w14:textId="4E913299" w:rsidR="083C5A09" w:rsidRPr="00795AF7" w:rsidRDefault="083C5A09" w:rsidP="00B7709F">
            <w:pPr>
              <w:spacing w:after="0" w:line="240" w:lineRule="auto"/>
              <w:rPr>
                <w:rFonts w:ascii="Open Sans Light" w:eastAsia="Open Sans Light" w:hAnsi="Open Sans Light" w:cs="Open Sans Light"/>
                <w:color w:val="000000" w:themeColor="text1"/>
                <w:sz w:val="16"/>
                <w:szCs w:val="16"/>
              </w:rPr>
            </w:pPr>
            <w:r w:rsidRPr="00795AF7">
              <w:rPr>
                <w:rFonts w:ascii="Open Sans Light" w:eastAsia="Open Sans Light" w:hAnsi="Open Sans Light" w:cs="Open Sans Light"/>
                <w:color w:val="000000" w:themeColor="text1"/>
                <w:sz w:val="16"/>
                <w:szCs w:val="16"/>
              </w:rPr>
              <w:t>A partnership between the Director of National Parks and the Northern Territory Government to support Northern Territory marine parks.</w:t>
            </w:r>
          </w:p>
        </w:tc>
        <w:tc>
          <w:tcPr>
            <w:tcW w:w="992" w:type="dxa"/>
            <w:tcBorders>
              <w:top w:val="single" w:sz="6" w:space="0" w:color="ADD6EA"/>
              <w:left w:val="nil"/>
              <w:bottom w:val="single" w:sz="6" w:space="0" w:color="ADD6EA"/>
              <w:right w:val="nil"/>
            </w:tcBorders>
            <w:tcMar>
              <w:left w:w="15" w:type="dxa"/>
              <w:right w:w="75" w:type="dxa"/>
            </w:tcMar>
          </w:tcPr>
          <w:p w14:paraId="4267F749" w14:textId="5CAA90E8" w:rsidR="083C5A09" w:rsidRPr="00432867"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0.2</w:t>
            </w:r>
          </w:p>
        </w:tc>
        <w:tc>
          <w:tcPr>
            <w:tcW w:w="851" w:type="dxa"/>
            <w:tcBorders>
              <w:top w:val="single" w:sz="6" w:space="0" w:color="ADD6EA"/>
              <w:left w:val="nil"/>
              <w:bottom w:val="single" w:sz="6" w:space="0" w:color="ADD6EA"/>
              <w:right w:val="nil"/>
            </w:tcBorders>
            <w:tcMar>
              <w:left w:w="15" w:type="dxa"/>
              <w:right w:w="15" w:type="dxa"/>
            </w:tcMar>
          </w:tcPr>
          <w:p w14:paraId="1502B9CD" w14:textId="1DAAC6ED"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0E3A0BDE" w14:textId="54917B50"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Environmental protection is a state service, but needs are not assessed.</w:t>
            </w:r>
          </w:p>
        </w:tc>
      </w:tr>
      <w:tr w:rsidR="083C5A09" w14:paraId="6283EECC" w14:textId="77777777" w:rsidTr="00376E42">
        <w:trPr>
          <w:trHeight w:val="495"/>
        </w:trPr>
        <w:tc>
          <w:tcPr>
            <w:tcW w:w="1659" w:type="dxa"/>
            <w:tcBorders>
              <w:top w:val="single" w:sz="6" w:space="0" w:color="ADD6EA"/>
              <w:left w:val="nil"/>
              <w:bottom w:val="single" w:sz="6" w:space="0" w:color="ADD6EA"/>
              <w:right w:val="nil"/>
            </w:tcBorders>
            <w:tcMar>
              <w:left w:w="15" w:type="dxa"/>
              <w:right w:w="15" w:type="dxa"/>
            </w:tcMar>
          </w:tcPr>
          <w:p w14:paraId="5CB91B00" w14:textId="3FFE0F6E" w:rsidR="083C5A09" w:rsidRDefault="083C5A09" w:rsidP="00B7709F">
            <w:pPr>
              <w:spacing w:after="0" w:line="240" w:lineRule="auto"/>
              <w:rPr>
                <w:rFonts w:ascii="Open Sans Light" w:eastAsia="Open Sans Light" w:hAnsi="Open Sans Light" w:cs="Open Sans Light"/>
                <w:sz w:val="16"/>
                <w:szCs w:val="16"/>
              </w:rPr>
            </w:pPr>
            <w:r w:rsidRPr="71B85580">
              <w:rPr>
                <w:rFonts w:ascii="Open Sans Light" w:eastAsia="Open Sans Light" w:hAnsi="Open Sans Light" w:cs="Open Sans Light"/>
                <w:sz w:val="16"/>
                <w:szCs w:val="16"/>
              </w:rPr>
              <w:t>Raine Island Recovery Project</w:t>
            </w:r>
          </w:p>
        </w:tc>
        <w:tc>
          <w:tcPr>
            <w:tcW w:w="2594" w:type="dxa"/>
            <w:tcBorders>
              <w:top w:val="single" w:sz="6" w:space="0" w:color="ADD6EA"/>
              <w:left w:val="nil"/>
              <w:bottom w:val="single" w:sz="6" w:space="0" w:color="ADD6EA"/>
              <w:right w:val="nil"/>
            </w:tcBorders>
            <w:tcMar>
              <w:left w:w="15" w:type="dxa"/>
              <w:right w:w="15" w:type="dxa"/>
            </w:tcMar>
          </w:tcPr>
          <w:p w14:paraId="7F2FFBF9" w14:textId="26086E2F" w:rsidR="083C5A09" w:rsidRDefault="083C5A09" w:rsidP="00B7709F">
            <w:pPr>
              <w:spacing w:after="0" w:line="240" w:lineRule="auto"/>
              <w:rPr>
                <w:rFonts w:ascii="Open Sans Light" w:eastAsia="Open Sans Light" w:hAnsi="Open Sans Light" w:cs="Open Sans Light"/>
                <w:color w:val="000000" w:themeColor="text1"/>
                <w:sz w:val="16"/>
                <w:szCs w:val="16"/>
              </w:rPr>
            </w:pPr>
            <w:r w:rsidRPr="71B85580">
              <w:rPr>
                <w:rFonts w:ascii="Open Sans Light" w:eastAsia="Open Sans Light" w:hAnsi="Open Sans Light" w:cs="Open Sans Light"/>
                <w:color w:val="000000" w:themeColor="text1"/>
                <w:sz w:val="16"/>
                <w:szCs w:val="16"/>
              </w:rPr>
              <w:t>Funding to re-establish and maintain Raine Island as a viable island ecosystem.</w:t>
            </w:r>
          </w:p>
        </w:tc>
        <w:tc>
          <w:tcPr>
            <w:tcW w:w="992" w:type="dxa"/>
            <w:tcBorders>
              <w:top w:val="single" w:sz="6" w:space="0" w:color="ADD6EA"/>
              <w:left w:val="nil"/>
              <w:bottom w:val="single" w:sz="6" w:space="0" w:color="ADD6EA"/>
              <w:right w:val="nil"/>
            </w:tcBorders>
            <w:tcMar>
              <w:left w:w="15" w:type="dxa"/>
              <w:right w:w="75" w:type="dxa"/>
            </w:tcMar>
          </w:tcPr>
          <w:p w14:paraId="77012EA4" w14:textId="6AC72866" w:rsidR="083C5A09" w:rsidRPr="00432867"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0.7</w:t>
            </w:r>
          </w:p>
        </w:tc>
        <w:tc>
          <w:tcPr>
            <w:tcW w:w="851" w:type="dxa"/>
            <w:tcBorders>
              <w:top w:val="single" w:sz="6" w:space="0" w:color="ADD6EA"/>
              <w:left w:val="nil"/>
              <w:bottom w:val="single" w:sz="6" w:space="0" w:color="ADD6EA"/>
              <w:right w:val="nil"/>
            </w:tcBorders>
            <w:tcMar>
              <w:left w:w="15" w:type="dxa"/>
              <w:right w:w="15" w:type="dxa"/>
            </w:tcMar>
          </w:tcPr>
          <w:p w14:paraId="4C1ADF54" w14:textId="0A88F34C"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423644CC" w14:textId="3115A12A"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Environmental protection is a state service, but needs are not assessed.</w:t>
            </w:r>
          </w:p>
        </w:tc>
      </w:tr>
      <w:tr w:rsidR="083C5A09" w14:paraId="12DF3AAD" w14:textId="77777777" w:rsidTr="00376E42">
        <w:trPr>
          <w:trHeight w:val="510"/>
        </w:trPr>
        <w:tc>
          <w:tcPr>
            <w:tcW w:w="1659" w:type="dxa"/>
            <w:tcBorders>
              <w:top w:val="single" w:sz="6" w:space="0" w:color="ADD6EA"/>
              <w:left w:val="nil"/>
              <w:bottom w:val="single" w:sz="6" w:space="0" w:color="ADD6EA"/>
              <w:right w:val="nil"/>
            </w:tcBorders>
            <w:tcMar>
              <w:left w:w="15" w:type="dxa"/>
              <w:right w:w="15" w:type="dxa"/>
            </w:tcMar>
          </w:tcPr>
          <w:p w14:paraId="206A60F8" w14:textId="2349F695"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Strengthen Australia’s frontline biosecurity capability and domestic preparedness</w:t>
            </w:r>
          </w:p>
        </w:tc>
        <w:tc>
          <w:tcPr>
            <w:tcW w:w="2594" w:type="dxa"/>
            <w:tcBorders>
              <w:top w:val="single" w:sz="6" w:space="0" w:color="ADD6EA"/>
              <w:left w:val="nil"/>
              <w:bottom w:val="single" w:sz="6" w:space="0" w:color="ADD6EA"/>
              <w:right w:val="nil"/>
            </w:tcBorders>
            <w:tcMar>
              <w:left w:w="15" w:type="dxa"/>
              <w:right w:w="15" w:type="dxa"/>
            </w:tcMar>
          </w:tcPr>
          <w:p w14:paraId="2A21A9A2" w14:textId="5F519ABB"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Funding to support on-farm and off-farm transition to a national livestock traceability system, including for the individual electronic identification of sheep and goats, to be delivered and co-funded by state governments and industry.</w:t>
            </w:r>
          </w:p>
        </w:tc>
        <w:tc>
          <w:tcPr>
            <w:tcW w:w="992" w:type="dxa"/>
            <w:tcBorders>
              <w:top w:val="single" w:sz="6" w:space="0" w:color="ADD6EA"/>
              <w:left w:val="nil"/>
              <w:bottom w:val="single" w:sz="6" w:space="0" w:color="ADD6EA"/>
              <w:right w:val="nil"/>
            </w:tcBorders>
            <w:tcMar>
              <w:left w:w="15" w:type="dxa"/>
              <w:right w:w="75" w:type="dxa"/>
            </w:tcMar>
          </w:tcPr>
          <w:p w14:paraId="78FDF974" w14:textId="59002CB0" w:rsidR="083C5A09" w:rsidRPr="00432867" w:rsidRDefault="001D62B3"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2.2</w:t>
            </w:r>
          </w:p>
        </w:tc>
        <w:tc>
          <w:tcPr>
            <w:tcW w:w="851" w:type="dxa"/>
            <w:tcBorders>
              <w:top w:val="single" w:sz="6" w:space="0" w:color="ADD6EA"/>
              <w:left w:val="nil"/>
              <w:bottom w:val="single" w:sz="6" w:space="0" w:color="ADD6EA"/>
              <w:right w:val="nil"/>
            </w:tcBorders>
            <w:tcMar>
              <w:left w:w="15" w:type="dxa"/>
              <w:right w:w="15" w:type="dxa"/>
            </w:tcMar>
          </w:tcPr>
          <w:p w14:paraId="4BE2BE6D" w14:textId="76FF05E4"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56C520A4" w14:textId="528FDEB2"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Agriculture regulation is a state service and needs are assessed. </w:t>
            </w:r>
          </w:p>
        </w:tc>
      </w:tr>
      <w:tr w:rsidR="083C5A09" w14:paraId="7F582B97" w14:textId="77777777" w:rsidTr="00376E42">
        <w:trPr>
          <w:cantSplit/>
          <w:trHeight w:val="765"/>
        </w:trPr>
        <w:tc>
          <w:tcPr>
            <w:tcW w:w="1659" w:type="dxa"/>
            <w:tcBorders>
              <w:top w:val="single" w:sz="6" w:space="0" w:color="ADD6EA"/>
              <w:left w:val="nil"/>
              <w:bottom w:val="single" w:sz="6" w:space="0" w:color="ADD6EA"/>
              <w:right w:val="nil"/>
            </w:tcBorders>
            <w:tcMar>
              <w:left w:w="15" w:type="dxa"/>
              <w:right w:w="15" w:type="dxa"/>
            </w:tcMar>
          </w:tcPr>
          <w:p w14:paraId="533EE04F" w14:textId="0DF86F74" w:rsidR="083C5A09" w:rsidRDefault="083C5A09" w:rsidP="00B7709F">
            <w:pPr>
              <w:spacing w:after="0" w:line="240" w:lineRule="auto"/>
              <w:rPr>
                <w:rFonts w:ascii="Open Sans Light" w:eastAsia="Open Sans Light" w:hAnsi="Open Sans Light" w:cs="Open Sans Light"/>
                <w:color w:val="000000" w:themeColor="text1"/>
                <w:sz w:val="16"/>
                <w:szCs w:val="16"/>
              </w:rPr>
            </w:pPr>
            <w:r w:rsidRPr="005429B6">
              <w:rPr>
                <w:rFonts w:ascii="Open Sans Light" w:eastAsia="Open Sans Light" w:hAnsi="Open Sans Light" w:cs="Open Sans Light"/>
                <w:color w:val="000000" w:themeColor="text1"/>
                <w:sz w:val="16"/>
                <w:szCs w:val="16"/>
              </w:rPr>
              <w:t>Temporary cap on the price of coal</w:t>
            </w:r>
          </w:p>
        </w:tc>
        <w:tc>
          <w:tcPr>
            <w:tcW w:w="2594" w:type="dxa"/>
            <w:tcBorders>
              <w:top w:val="single" w:sz="6" w:space="0" w:color="ADD6EA"/>
              <w:left w:val="nil"/>
              <w:bottom w:val="single" w:sz="6" w:space="0" w:color="ADD6EA"/>
              <w:right w:val="nil"/>
            </w:tcBorders>
            <w:tcMar>
              <w:left w:w="15" w:type="dxa"/>
              <w:right w:w="15" w:type="dxa"/>
            </w:tcMar>
          </w:tcPr>
          <w:p w14:paraId="513C7209" w14:textId="30CC2CDD" w:rsidR="083C5A09" w:rsidRDefault="083C5A09" w:rsidP="00B7709F">
            <w:pPr>
              <w:spacing w:after="0" w:line="240" w:lineRule="auto"/>
              <w:rPr>
                <w:rFonts w:ascii="Open Sans Light" w:eastAsia="Open Sans Light" w:hAnsi="Open Sans Light" w:cs="Open Sans Light"/>
                <w:color w:val="000000" w:themeColor="text1"/>
                <w:sz w:val="16"/>
                <w:szCs w:val="16"/>
              </w:rPr>
            </w:pPr>
            <w:r w:rsidRPr="005429B6">
              <w:rPr>
                <w:rFonts w:ascii="Open Sans Light" w:eastAsia="Open Sans Light" w:hAnsi="Open Sans Light" w:cs="Open Sans Light"/>
                <w:color w:val="000000" w:themeColor="text1"/>
                <w:sz w:val="16"/>
                <w:szCs w:val="16"/>
              </w:rPr>
              <w:t>Funding to support the New South Wales and Queensland governments to implement a temporary cap of $125 per tonne on the price of coal used for electricity generation.</w:t>
            </w:r>
          </w:p>
        </w:tc>
        <w:tc>
          <w:tcPr>
            <w:tcW w:w="992" w:type="dxa"/>
            <w:tcBorders>
              <w:top w:val="single" w:sz="6" w:space="0" w:color="ADD6EA"/>
              <w:left w:val="nil"/>
              <w:bottom w:val="single" w:sz="6" w:space="0" w:color="ADD6EA"/>
              <w:right w:val="nil"/>
            </w:tcBorders>
            <w:tcMar>
              <w:left w:w="15" w:type="dxa"/>
              <w:right w:w="75" w:type="dxa"/>
            </w:tcMar>
          </w:tcPr>
          <w:p w14:paraId="55EA64E7" w14:textId="52AFA457" w:rsidR="083C5A09" w:rsidRPr="00432867" w:rsidRDefault="001D62B3"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165.4</w:t>
            </w:r>
          </w:p>
        </w:tc>
        <w:tc>
          <w:tcPr>
            <w:tcW w:w="851" w:type="dxa"/>
            <w:tcBorders>
              <w:top w:val="single" w:sz="6" w:space="0" w:color="ADD6EA"/>
              <w:left w:val="nil"/>
              <w:bottom w:val="single" w:sz="6" w:space="0" w:color="ADD6EA"/>
              <w:right w:val="nil"/>
            </w:tcBorders>
            <w:tcMar>
              <w:left w:w="15" w:type="dxa"/>
              <w:right w:w="15" w:type="dxa"/>
            </w:tcMar>
          </w:tcPr>
          <w:p w14:paraId="3C4C8828" w14:textId="5182CFC7" w:rsidR="083C5A09" w:rsidRPr="00432867" w:rsidRDefault="006229CB"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No </w:t>
            </w:r>
            <w:r w:rsidR="00346FBE" w:rsidRPr="00432867">
              <w:rPr>
                <w:rFonts w:ascii="Open Sans Light" w:eastAsia="Open Sans Light" w:hAnsi="Open Sans Light" w:cs="Open Sans Light"/>
                <w:color w:val="000000" w:themeColor="text1"/>
                <w:sz w:val="16"/>
                <w:szCs w:val="16"/>
              </w:rPr>
              <w:t>i</w:t>
            </w:r>
            <w:r w:rsidR="083C5A09" w:rsidRPr="00432867">
              <w:rPr>
                <w:rFonts w:ascii="Open Sans Light" w:eastAsia="Open Sans Light" w:hAnsi="Open Sans Light" w:cs="Open Sans Light"/>
                <w:color w:val="000000" w:themeColor="text1"/>
                <w:sz w:val="16"/>
                <w:szCs w:val="16"/>
              </w:rPr>
              <w:t>mpact</w:t>
            </w:r>
          </w:p>
        </w:tc>
        <w:tc>
          <w:tcPr>
            <w:tcW w:w="2920" w:type="dxa"/>
            <w:tcBorders>
              <w:top w:val="single" w:sz="6" w:space="0" w:color="ADD6EA"/>
              <w:left w:val="nil"/>
              <w:bottom w:val="single" w:sz="6" w:space="0" w:color="ADD6EA"/>
              <w:right w:val="nil"/>
            </w:tcBorders>
            <w:tcMar>
              <w:left w:w="15" w:type="dxa"/>
              <w:right w:w="15" w:type="dxa"/>
            </w:tcMar>
          </w:tcPr>
          <w:p w14:paraId="79EA2416" w14:textId="3A1B33C0" w:rsidR="083C5A09" w:rsidRPr="00432867" w:rsidRDefault="00406ACA"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 xml:space="preserve">Measures to </w:t>
            </w:r>
            <w:r w:rsidR="007F0510" w:rsidRPr="00432867">
              <w:rPr>
                <w:rFonts w:ascii="Open Sans Light" w:eastAsia="Open Sans Light" w:hAnsi="Open Sans Light" w:cs="Open Sans Light"/>
                <w:color w:val="000000" w:themeColor="text1"/>
                <w:sz w:val="16"/>
                <w:szCs w:val="16"/>
              </w:rPr>
              <w:t xml:space="preserve">reduce national energy prices are not </w:t>
            </w:r>
            <w:r w:rsidR="00601DA3" w:rsidRPr="00432867">
              <w:rPr>
                <w:rFonts w:ascii="Open Sans Light" w:eastAsia="Open Sans Light" w:hAnsi="Open Sans Light" w:cs="Open Sans Light"/>
                <w:color w:val="000000" w:themeColor="text1"/>
                <w:sz w:val="16"/>
                <w:szCs w:val="16"/>
              </w:rPr>
              <w:t xml:space="preserve">a </w:t>
            </w:r>
            <w:r w:rsidR="007F0510" w:rsidRPr="00432867">
              <w:rPr>
                <w:rFonts w:ascii="Open Sans Light" w:eastAsia="Open Sans Light" w:hAnsi="Open Sans Light" w:cs="Open Sans Light"/>
                <w:color w:val="000000" w:themeColor="text1"/>
                <w:sz w:val="16"/>
                <w:szCs w:val="16"/>
              </w:rPr>
              <w:t xml:space="preserve">usual state </w:t>
            </w:r>
            <w:r w:rsidR="00A01DCA" w:rsidRPr="00432867">
              <w:rPr>
                <w:rFonts w:ascii="Open Sans Light" w:eastAsia="Open Sans Light" w:hAnsi="Open Sans Light" w:cs="Open Sans Light"/>
                <w:color w:val="000000" w:themeColor="text1"/>
                <w:sz w:val="16"/>
                <w:szCs w:val="16"/>
              </w:rPr>
              <w:t>service</w:t>
            </w:r>
            <w:r w:rsidR="00F42A36" w:rsidRPr="00432867">
              <w:rPr>
                <w:rFonts w:ascii="Open Sans Light" w:eastAsia="Open Sans Light" w:hAnsi="Open Sans Light" w:cs="Open Sans Light"/>
                <w:color w:val="000000" w:themeColor="text1"/>
                <w:sz w:val="16"/>
                <w:szCs w:val="16"/>
              </w:rPr>
              <w:t xml:space="preserve"> (Services to Communities, electricity subsidies component)</w:t>
            </w:r>
            <w:r w:rsidR="083C5A09" w:rsidRPr="00432867">
              <w:rPr>
                <w:rFonts w:ascii="Open Sans Light" w:eastAsia="Open Sans Light" w:hAnsi="Open Sans Light" w:cs="Open Sans Light"/>
                <w:color w:val="000000" w:themeColor="text1"/>
                <w:sz w:val="16"/>
                <w:szCs w:val="16"/>
              </w:rPr>
              <w:t xml:space="preserve">. </w:t>
            </w:r>
          </w:p>
        </w:tc>
      </w:tr>
      <w:tr w:rsidR="083C5A09" w14:paraId="66E98617" w14:textId="77777777" w:rsidTr="00376E42">
        <w:trPr>
          <w:trHeight w:val="765"/>
        </w:trPr>
        <w:tc>
          <w:tcPr>
            <w:tcW w:w="1659" w:type="dxa"/>
            <w:tcBorders>
              <w:top w:val="single" w:sz="6" w:space="0" w:color="ADD6EA"/>
              <w:left w:val="nil"/>
              <w:bottom w:val="single" w:sz="6" w:space="0" w:color="ADD6EA"/>
              <w:right w:val="nil"/>
            </w:tcBorders>
            <w:tcMar>
              <w:left w:w="15" w:type="dxa"/>
              <w:right w:w="15" w:type="dxa"/>
            </w:tcMar>
          </w:tcPr>
          <w:p w14:paraId="13E41D4F" w14:textId="20469D3B"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Transforming Digital Environmental Assessments</w:t>
            </w:r>
          </w:p>
        </w:tc>
        <w:tc>
          <w:tcPr>
            <w:tcW w:w="2594" w:type="dxa"/>
            <w:tcBorders>
              <w:top w:val="single" w:sz="6" w:space="0" w:color="ADD6EA"/>
              <w:left w:val="nil"/>
              <w:bottom w:val="single" w:sz="6" w:space="0" w:color="ADD6EA"/>
              <w:right w:val="nil"/>
            </w:tcBorders>
            <w:tcMar>
              <w:left w:w="15" w:type="dxa"/>
              <w:right w:w="15" w:type="dxa"/>
            </w:tcMar>
          </w:tcPr>
          <w:p w14:paraId="0F047B9F" w14:textId="77777777" w:rsidR="00432867"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Programs to harmonise and share biodiversity data among Commonwealth and state governments. Under this program, states will transform and share biodiversity data with the new National Biodiversity Data Repository.</w:t>
            </w:r>
            <w:r w:rsidR="00EC2BB9">
              <w:rPr>
                <w:rFonts w:ascii="Open Sans Light" w:eastAsia="Open Sans Light" w:hAnsi="Open Sans Light" w:cs="Open Sans Light"/>
                <w:color w:val="000000" w:themeColor="text1"/>
                <w:sz w:val="16"/>
                <w:szCs w:val="16"/>
              </w:rPr>
              <w:br/>
            </w:r>
            <w:r w:rsidR="00EC2BB9">
              <w:rPr>
                <w:rFonts w:ascii="Open Sans Light" w:eastAsia="Open Sans Light" w:hAnsi="Open Sans Light" w:cs="Open Sans Light"/>
                <w:color w:val="000000" w:themeColor="text1"/>
                <w:sz w:val="16"/>
                <w:szCs w:val="16"/>
              </w:rPr>
              <w:br/>
            </w:r>
          </w:p>
          <w:p w14:paraId="400F26F9" w14:textId="77777777" w:rsidR="00432867" w:rsidRDefault="00432867" w:rsidP="00B7709F">
            <w:pPr>
              <w:spacing w:after="0" w:line="240" w:lineRule="auto"/>
              <w:rPr>
                <w:rFonts w:ascii="Open Sans Light" w:eastAsia="Open Sans Light" w:hAnsi="Open Sans Light" w:cs="Open Sans Light"/>
                <w:color w:val="000000" w:themeColor="text1"/>
                <w:sz w:val="16"/>
                <w:szCs w:val="16"/>
              </w:rPr>
            </w:pPr>
          </w:p>
          <w:p w14:paraId="57E3AC76" w14:textId="77777777" w:rsidR="00B5318C" w:rsidRDefault="00B5318C" w:rsidP="00B7709F">
            <w:pPr>
              <w:spacing w:after="0" w:line="240" w:lineRule="auto"/>
              <w:rPr>
                <w:rFonts w:ascii="Open Sans Light" w:eastAsia="Open Sans Light" w:hAnsi="Open Sans Light" w:cs="Open Sans Light"/>
                <w:color w:val="000000" w:themeColor="text1"/>
                <w:sz w:val="16"/>
                <w:szCs w:val="16"/>
              </w:rPr>
            </w:pPr>
          </w:p>
          <w:p w14:paraId="6111FCA9" w14:textId="03470DA9" w:rsidR="083C5A09" w:rsidRDefault="00EC2BB9" w:rsidP="00B7709F">
            <w:pPr>
              <w:spacing w:after="0" w:line="240" w:lineRule="auto"/>
              <w:rPr>
                <w:rFonts w:ascii="Open Sans Light" w:eastAsia="Open Sans Light" w:hAnsi="Open Sans Light" w:cs="Open Sans Light"/>
                <w:color w:val="000000" w:themeColor="text1"/>
                <w:sz w:val="16"/>
                <w:szCs w:val="16"/>
              </w:rPr>
            </w:pPr>
            <w:r>
              <w:rPr>
                <w:rFonts w:ascii="Open Sans Light" w:eastAsia="Open Sans Light" w:hAnsi="Open Sans Light" w:cs="Open Sans Light"/>
                <w:color w:val="000000" w:themeColor="text1"/>
                <w:sz w:val="16"/>
                <w:szCs w:val="16"/>
              </w:rPr>
              <w:br/>
            </w:r>
          </w:p>
        </w:tc>
        <w:tc>
          <w:tcPr>
            <w:tcW w:w="992" w:type="dxa"/>
            <w:tcBorders>
              <w:top w:val="single" w:sz="6" w:space="0" w:color="ADD6EA"/>
              <w:left w:val="nil"/>
              <w:bottom w:val="single" w:sz="6" w:space="0" w:color="ADD6EA"/>
              <w:right w:val="nil"/>
            </w:tcBorders>
            <w:tcMar>
              <w:left w:w="15" w:type="dxa"/>
              <w:right w:w="75" w:type="dxa"/>
            </w:tcMar>
          </w:tcPr>
          <w:p w14:paraId="62E31312" w14:textId="4E4F232F" w:rsidR="083C5A09" w:rsidRPr="00432867" w:rsidRDefault="00DA33A2" w:rsidP="00B7709F">
            <w:pPr>
              <w:spacing w:after="0" w:line="240" w:lineRule="auto"/>
              <w:ind w:right="227"/>
              <w:jc w:val="right"/>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1.2</w:t>
            </w:r>
          </w:p>
        </w:tc>
        <w:tc>
          <w:tcPr>
            <w:tcW w:w="851" w:type="dxa"/>
            <w:tcBorders>
              <w:top w:val="single" w:sz="6" w:space="0" w:color="ADD6EA"/>
              <w:left w:val="nil"/>
              <w:bottom w:val="single" w:sz="6" w:space="0" w:color="ADD6EA"/>
              <w:right w:val="nil"/>
            </w:tcBorders>
            <w:tcMar>
              <w:left w:w="15" w:type="dxa"/>
              <w:right w:w="15" w:type="dxa"/>
            </w:tcMar>
          </w:tcPr>
          <w:p w14:paraId="72E039C2" w14:textId="6BB1F890"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2246A0A1" w14:textId="3B891737" w:rsidR="083C5A09" w:rsidRPr="00432867" w:rsidRDefault="083C5A09" w:rsidP="00B7709F">
            <w:pPr>
              <w:spacing w:after="0" w:line="240" w:lineRule="auto"/>
              <w:rPr>
                <w:rFonts w:ascii="Open Sans Light" w:eastAsia="Open Sans Light" w:hAnsi="Open Sans Light" w:cs="Open Sans Light"/>
                <w:color w:val="000000" w:themeColor="text1"/>
                <w:sz w:val="16"/>
                <w:szCs w:val="16"/>
              </w:rPr>
            </w:pPr>
            <w:r w:rsidRPr="00432867">
              <w:rPr>
                <w:rFonts w:ascii="Open Sans Light" w:eastAsia="Open Sans Light" w:hAnsi="Open Sans Light" w:cs="Open Sans Light"/>
                <w:color w:val="000000" w:themeColor="text1"/>
                <w:sz w:val="16"/>
                <w:szCs w:val="16"/>
              </w:rPr>
              <w:t>Environmental protection is a state service, but needs are not assessed.</w:t>
            </w:r>
          </w:p>
        </w:tc>
      </w:tr>
      <w:tr w:rsidR="083C5A09" w14:paraId="2C019D3B" w14:textId="77777777" w:rsidTr="00376E42">
        <w:trPr>
          <w:trHeight w:val="270"/>
        </w:trPr>
        <w:tc>
          <w:tcPr>
            <w:tcW w:w="9016" w:type="dxa"/>
            <w:gridSpan w:val="5"/>
            <w:tcBorders>
              <w:top w:val="single" w:sz="6" w:space="0" w:color="ADD6EA"/>
              <w:left w:val="nil"/>
              <w:bottom w:val="single" w:sz="6" w:space="0" w:color="ADD6EA"/>
              <w:right w:val="nil"/>
            </w:tcBorders>
            <w:shd w:val="clear" w:color="auto" w:fill="B6D5E4"/>
            <w:tcMar>
              <w:left w:w="15" w:type="dxa"/>
              <w:right w:w="75" w:type="dxa"/>
            </w:tcMar>
          </w:tcPr>
          <w:p w14:paraId="26CD2197" w14:textId="2DBC69F8" w:rsidR="083C5A09" w:rsidRDefault="083C5A09" w:rsidP="00B7709F">
            <w:pPr>
              <w:spacing w:after="0" w:line="240" w:lineRule="auto"/>
              <w:ind w:right="227"/>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lastRenderedPageBreak/>
              <w:t>Other purposes</w:t>
            </w:r>
          </w:p>
        </w:tc>
      </w:tr>
      <w:tr w:rsidR="083C5A09" w14:paraId="017B5AF6" w14:textId="77777777" w:rsidTr="00376E42">
        <w:trPr>
          <w:trHeight w:val="510"/>
        </w:trPr>
        <w:tc>
          <w:tcPr>
            <w:tcW w:w="1659" w:type="dxa"/>
            <w:tcBorders>
              <w:top w:val="single" w:sz="6" w:space="0" w:color="ADD6EA"/>
              <w:left w:val="nil"/>
              <w:bottom w:val="single" w:sz="6" w:space="0" w:color="ADD6EA"/>
              <w:right w:val="nil"/>
            </w:tcBorders>
            <w:tcMar>
              <w:left w:w="15" w:type="dxa"/>
              <w:right w:w="15" w:type="dxa"/>
            </w:tcMar>
          </w:tcPr>
          <w:p w14:paraId="07970B93" w14:textId="4AF51FAF"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National Legal Assistance Partnership</w:t>
            </w:r>
          </w:p>
          <w:p w14:paraId="19800F67" w14:textId="097CE9BB"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  Support Criminal Justice Reform through Coronial Inquiries</w:t>
            </w:r>
          </w:p>
        </w:tc>
        <w:tc>
          <w:tcPr>
            <w:tcW w:w="2594" w:type="dxa"/>
            <w:tcBorders>
              <w:top w:val="single" w:sz="6" w:space="0" w:color="ADD6EA"/>
              <w:left w:val="nil"/>
              <w:bottom w:val="single" w:sz="6" w:space="0" w:color="ADD6EA"/>
              <w:right w:val="nil"/>
            </w:tcBorders>
            <w:tcMar>
              <w:left w:w="15" w:type="dxa"/>
              <w:right w:w="15" w:type="dxa"/>
            </w:tcMar>
          </w:tcPr>
          <w:p w14:paraId="432E050F" w14:textId="2026E92C"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Funding is for Aboriginal and Torres Strait Islander Legal Services (ATSILS) in each state. ATSILS are required to use this funding to provide culturally appropriate legal assistance in coronial inquiries for First Nations peoples.</w:t>
            </w:r>
          </w:p>
        </w:tc>
        <w:tc>
          <w:tcPr>
            <w:tcW w:w="992" w:type="dxa"/>
            <w:tcBorders>
              <w:top w:val="single" w:sz="6" w:space="0" w:color="ADD6EA"/>
              <w:left w:val="nil"/>
              <w:bottom w:val="single" w:sz="6" w:space="0" w:color="ADD6EA"/>
              <w:right w:val="nil"/>
            </w:tcBorders>
            <w:tcMar>
              <w:left w:w="15" w:type="dxa"/>
              <w:right w:w="75" w:type="dxa"/>
            </w:tcMar>
          </w:tcPr>
          <w:p w14:paraId="35EA5B4D" w14:textId="5794AAE5" w:rsidR="083C5A09"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2.7</w:t>
            </w:r>
          </w:p>
        </w:tc>
        <w:tc>
          <w:tcPr>
            <w:tcW w:w="851" w:type="dxa"/>
            <w:tcBorders>
              <w:top w:val="nil"/>
              <w:left w:val="nil"/>
              <w:bottom w:val="single" w:sz="6" w:space="0" w:color="ADD6EA"/>
              <w:right w:val="nil"/>
            </w:tcBorders>
            <w:tcMar>
              <w:left w:w="15" w:type="dxa"/>
              <w:right w:w="15" w:type="dxa"/>
            </w:tcMar>
          </w:tcPr>
          <w:p w14:paraId="63D0D56B" w14:textId="01D2706A"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No impact</w:t>
            </w:r>
          </w:p>
        </w:tc>
        <w:tc>
          <w:tcPr>
            <w:tcW w:w="2920" w:type="dxa"/>
            <w:tcBorders>
              <w:top w:val="nil"/>
              <w:left w:val="nil"/>
              <w:bottom w:val="single" w:sz="6" w:space="0" w:color="ADD6EA"/>
              <w:right w:val="nil"/>
            </w:tcBorders>
            <w:tcMar>
              <w:left w:w="15" w:type="dxa"/>
              <w:right w:w="15" w:type="dxa"/>
            </w:tcMar>
          </w:tcPr>
          <w:p w14:paraId="7C549080" w14:textId="292998DC" w:rsidR="083C5A09" w:rsidRDefault="083C5A09" w:rsidP="00B7709F">
            <w:pPr>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 xml:space="preserve">Legal services for </w:t>
            </w:r>
            <w:r w:rsidR="00C064A6">
              <w:rPr>
                <w:rFonts w:ascii="Open Sans Light" w:eastAsia="Open Sans Light" w:hAnsi="Open Sans Light" w:cs="Open Sans Light"/>
                <w:color w:val="000000" w:themeColor="text1"/>
                <w:sz w:val="16"/>
                <w:szCs w:val="16"/>
              </w:rPr>
              <w:t xml:space="preserve">coronial </w:t>
            </w:r>
            <w:r w:rsidRPr="1C8CF150">
              <w:rPr>
                <w:rFonts w:ascii="Open Sans Light" w:eastAsia="Open Sans Light" w:hAnsi="Open Sans Light" w:cs="Open Sans Light"/>
                <w:color w:val="000000" w:themeColor="text1"/>
                <w:sz w:val="16"/>
                <w:szCs w:val="16"/>
              </w:rPr>
              <w:t xml:space="preserve">court matters are a state function. </w:t>
            </w:r>
            <w:r w:rsidR="00DF4A12" w:rsidRPr="00645EDE">
              <w:rPr>
                <w:rFonts w:ascii="Open Sans Light" w:eastAsia="Open Sans Light" w:hAnsi="Open Sans Light" w:cs="Open Sans Light"/>
                <w:color w:val="000000" w:themeColor="text1"/>
                <w:sz w:val="16"/>
                <w:szCs w:val="16"/>
              </w:rPr>
              <w:t>However, the Commission has been unable to determine a driver of state expense needs for services such as this, which are classified in the Commission’s ‘other legal service’ component.</w:t>
            </w:r>
            <w:r w:rsidR="00C4640D">
              <w:rPr>
                <w:rFonts w:ascii="Open Sans Light" w:eastAsia="Open Sans Light" w:hAnsi="Open Sans Light" w:cs="Open Sans Light"/>
                <w:color w:val="000000" w:themeColor="text1"/>
                <w:sz w:val="16"/>
                <w:szCs w:val="16"/>
              </w:rPr>
              <w:t xml:space="preserve"> Therefore, needs are not assessed.</w:t>
            </w:r>
          </w:p>
        </w:tc>
      </w:tr>
      <w:tr w:rsidR="083C5A09" w14:paraId="3DA97F22" w14:textId="77777777" w:rsidTr="00376E42">
        <w:trPr>
          <w:trHeight w:val="510"/>
        </w:trPr>
        <w:tc>
          <w:tcPr>
            <w:tcW w:w="1659" w:type="dxa"/>
            <w:tcBorders>
              <w:top w:val="single" w:sz="6" w:space="0" w:color="ADD6EA"/>
              <w:left w:val="nil"/>
              <w:bottom w:val="single" w:sz="6" w:space="0" w:color="ADD6EA"/>
              <w:right w:val="nil"/>
            </w:tcBorders>
            <w:tcMar>
              <w:left w:w="15" w:type="dxa"/>
              <w:right w:w="15" w:type="dxa"/>
            </w:tcMar>
          </w:tcPr>
          <w:p w14:paraId="0C7A5636" w14:textId="47CB1E38"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Additional funding for Legal Aid – Commissions to support court reform</w:t>
            </w:r>
          </w:p>
        </w:tc>
        <w:tc>
          <w:tcPr>
            <w:tcW w:w="2594" w:type="dxa"/>
            <w:tcBorders>
              <w:top w:val="single" w:sz="6" w:space="0" w:color="ADD6EA"/>
              <w:left w:val="nil"/>
              <w:bottom w:val="single" w:sz="6" w:space="0" w:color="ADD6EA"/>
              <w:right w:val="nil"/>
            </w:tcBorders>
            <w:tcMar>
              <w:left w:w="15" w:type="dxa"/>
              <w:right w:w="15" w:type="dxa"/>
            </w:tcMar>
          </w:tcPr>
          <w:p w14:paraId="234B5BAB" w14:textId="5452BEF5"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Funding for legal aid commissions to improve their capacity to support the implementation of, and transition to, a new case management approach in the Federal Circuit and Family Court of Australia. The funding supports the delivery of timely and effective family law services by legal aid commissions in response to increased demand arising from the new approach to case management.</w:t>
            </w:r>
          </w:p>
        </w:tc>
        <w:tc>
          <w:tcPr>
            <w:tcW w:w="992" w:type="dxa"/>
            <w:tcBorders>
              <w:top w:val="single" w:sz="6" w:space="0" w:color="ADD6EA"/>
              <w:left w:val="nil"/>
              <w:bottom w:val="single" w:sz="6" w:space="0" w:color="ADD6EA"/>
              <w:right w:val="nil"/>
            </w:tcBorders>
            <w:tcMar>
              <w:left w:w="15" w:type="dxa"/>
              <w:right w:w="75" w:type="dxa"/>
            </w:tcMar>
          </w:tcPr>
          <w:p w14:paraId="21E61172" w14:textId="3F703FCF" w:rsidR="083C5A09"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16.5</w:t>
            </w:r>
          </w:p>
        </w:tc>
        <w:tc>
          <w:tcPr>
            <w:tcW w:w="851" w:type="dxa"/>
            <w:tcBorders>
              <w:top w:val="single" w:sz="6" w:space="0" w:color="ADD6EA"/>
              <w:left w:val="nil"/>
              <w:bottom w:val="single" w:sz="6" w:space="0" w:color="ADD6EA"/>
              <w:right w:val="nil"/>
            </w:tcBorders>
            <w:tcMar>
              <w:left w:w="15" w:type="dxa"/>
              <w:right w:w="15" w:type="dxa"/>
            </w:tcMar>
          </w:tcPr>
          <w:p w14:paraId="27BD9A6C" w14:textId="53100B02"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No impact</w:t>
            </w:r>
          </w:p>
        </w:tc>
        <w:tc>
          <w:tcPr>
            <w:tcW w:w="2920" w:type="dxa"/>
            <w:tcBorders>
              <w:top w:val="single" w:sz="6" w:space="0" w:color="ADD6EA"/>
              <w:left w:val="nil"/>
              <w:bottom w:val="single" w:sz="6" w:space="0" w:color="ADD6EA"/>
              <w:right w:val="nil"/>
            </w:tcBorders>
            <w:tcMar>
              <w:left w:w="15" w:type="dxa"/>
              <w:right w:w="15" w:type="dxa"/>
            </w:tcMar>
          </w:tcPr>
          <w:p w14:paraId="402AF8F6" w14:textId="1F6CC1EB"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Payment is for a state service</w:t>
            </w:r>
            <w:r w:rsidR="00987E9C">
              <w:rPr>
                <w:rFonts w:ascii="Open Sans Light" w:eastAsia="Open Sans Light" w:hAnsi="Open Sans Light" w:cs="Open Sans Light"/>
                <w:color w:val="000000" w:themeColor="text1"/>
                <w:sz w:val="16"/>
                <w:szCs w:val="16"/>
              </w:rPr>
              <w:t xml:space="preserve"> </w:t>
            </w:r>
            <w:r w:rsidR="00987E9C" w:rsidRPr="00645EDE">
              <w:rPr>
                <w:rFonts w:ascii="Open Sans Light" w:eastAsia="Open Sans Light" w:hAnsi="Open Sans Light" w:cs="Open Sans Light"/>
                <w:color w:val="000000" w:themeColor="text1"/>
                <w:sz w:val="16"/>
                <w:szCs w:val="16"/>
              </w:rPr>
              <w:t>(other legal services)</w:t>
            </w:r>
            <w:r w:rsidRPr="00645EDE">
              <w:rPr>
                <w:rFonts w:ascii="Open Sans Light" w:eastAsia="Open Sans Light" w:hAnsi="Open Sans Light" w:cs="Open Sans Light"/>
                <w:color w:val="000000" w:themeColor="text1"/>
                <w:sz w:val="16"/>
                <w:szCs w:val="16"/>
              </w:rPr>
              <w:t>.</w:t>
            </w:r>
            <w:r w:rsidRPr="1C8CF150">
              <w:rPr>
                <w:rFonts w:ascii="Open Sans Light" w:eastAsia="Open Sans Light" w:hAnsi="Open Sans Light" w:cs="Open Sans Light"/>
                <w:color w:val="000000" w:themeColor="text1"/>
                <w:sz w:val="16"/>
                <w:szCs w:val="16"/>
              </w:rPr>
              <w:t xml:space="preserve"> However, the funding is used specifically to deliver advice for use of a fully funded Commonwealth entity. </w:t>
            </w:r>
          </w:p>
        </w:tc>
      </w:tr>
      <w:tr w:rsidR="083C5A09" w14:paraId="35C88E7D" w14:textId="77777777" w:rsidTr="00376E42">
        <w:trPr>
          <w:trHeight w:val="690"/>
        </w:trPr>
        <w:tc>
          <w:tcPr>
            <w:tcW w:w="1659" w:type="dxa"/>
            <w:tcBorders>
              <w:top w:val="single" w:sz="6" w:space="0" w:color="ADD6EA"/>
              <w:left w:val="nil"/>
              <w:bottom w:val="single" w:sz="6" w:space="0" w:color="ADD6EA"/>
              <w:right w:val="nil"/>
            </w:tcBorders>
            <w:tcMar>
              <w:left w:w="15" w:type="dxa"/>
              <w:right w:w="15" w:type="dxa"/>
            </w:tcMar>
          </w:tcPr>
          <w:p w14:paraId="3B843C84" w14:textId="487EE132" w:rsidR="083C5A09" w:rsidRDefault="083C5A09" w:rsidP="00B7709F">
            <w:pPr>
              <w:spacing w:after="0" w:line="240" w:lineRule="auto"/>
              <w:rPr>
                <w:rFonts w:ascii="Open Sans Light" w:eastAsia="Open Sans Light" w:hAnsi="Open Sans Light" w:cs="Open Sans Light"/>
                <w:color w:val="000000" w:themeColor="text1"/>
                <w:sz w:val="16"/>
                <w:szCs w:val="16"/>
              </w:rPr>
            </w:pPr>
            <w:proofErr w:type="spellStart"/>
            <w:r w:rsidRPr="1C8CF150">
              <w:rPr>
                <w:rFonts w:ascii="Open Sans Light" w:eastAsia="Open Sans Light" w:hAnsi="Open Sans Light" w:cs="Open Sans Light"/>
                <w:color w:val="000000" w:themeColor="text1"/>
                <w:sz w:val="16"/>
                <w:szCs w:val="16"/>
              </w:rPr>
              <w:t>Scotdesco</w:t>
            </w:r>
            <w:proofErr w:type="spellEnd"/>
            <w:r w:rsidRPr="1C8CF150">
              <w:rPr>
                <w:rFonts w:ascii="Open Sans Light" w:eastAsia="Open Sans Light" w:hAnsi="Open Sans Light" w:cs="Open Sans Light"/>
                <w:color w:val="000000" w:themeColor="text1"/>
                <w:sz w:val="16"/>
                <w:szCs w:val="16"/>
              </w:rPr>
              <w:t xml:space="preserve"> water security project</w:t>
            </w:r>
          </w:p>
        </w:tc>
        <w:tc>
          <w:tcPr>
            <w:tcW w:w="2594" w:type="dxa"/>
            <w:tcBorders>
              <w:top w:val="single" w:sz="6" w:space="0" w:color="ADD6EA"/>
              <w:left w:val="nil"/>
              <w:bottom w:val="single" w:sz="6" w:space="0" w:color="ADD6EA"/>
              <w:right w:val="nil"/>
            </w:tcBorders>
            <w:tcMar>
              <w:left w:w="15" w:type="dxa"/>
              <w:right w:w="15" w:type="dxa"/>
            </w:tcMar>
          </w:tcPr>
          <w:p w14:paraId="6B2A77B0" w14:textId="77777777"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 xml:space="preserve">Funding to contribute towards the investigation and delivery of a permanent solution to drinking water for the remote community of </w:t>
            </w:r>
            <w:proofErr w:type="spellStart"/>
            <w:r w:rsidRPr="1C8CF150">
              <w:rPr>
                <w:rFonts w:ascii="Open Sans Light" w:eastAsia="Open Sans Light" w:hAnsi="Open Sans Light" w:cs="Open Sans Light"/>
                <w:color w:val="000000" w:themeColor="text1"/>
                <w:sz w:val="16"/>
                <w:szCs w:val="16"/>
              </w:rPr>
              <w:t>Scotdesco</w:t>
            </w:r>
            <w:proofErr w:type="spellEnd"/>
            <w:r w:rsidRPr="1C8CF150">
              <w:rPr>
                <w:rFonts w:ascii="Open Sans Light" w:eastAsia="Open Sans Light" w:hAnsi="Open Sans Light" w:cs="Open Sans Light"/>
                <w:color w:val="000000" w:themeColor="text1"/>
                <w:sz w:val="16"/>
                <w:szCs w:val="16"/>
              </w:rPr>
              <w:t xml:space="preserve"> in South Australia.</w:t>
            </w:r>
          </w:p>
          <w:p w14:paraId="53FF9E89" w14:textId="27D72318" w:rsidR="00463BEA" w:rsidRDefault="00463BEA" w:rsidP="00B7709F">
            <w:pPr>
              <w:spacing w:after="0" w:line="240" w:lineRule="auto"/>
              <w:rPr>
                <w:rFonts w:ascii="Open Sans Light" w:eastAsia="Open Sans Light" w:hAnsi="Open Sans Light" w:cs="Open Sans Light"/>
                <w:color w:val="000000" w:themeColor="text1"/>
                <w:sz w:val="16"/>
                <w:szCs w:val="16"/>
              </w:rPr>
            </w:pPr>
          </w:p>
        </w:tc>
        <w:tc>
          <w:tcPr>
            <w:tcW w:w="992" w:type="dxa"/>
            <w:tcBorders>
              <w:top w:val="single" w:sz="6" w:space="0" w:color="ADD6EA"/>
              <w:left w:val="nil"/>
              <w:bottom w:val="single" w:sz="6" w:space="0" w:color="ADD6EA"/>
              <w:right w:val="nil"/>
            </w:tcBorders>
            <w:tcMar>
              <w:left w:w="15" w:type="dxa"/>
              <w:right w:w="75" w:type="dxa"/>
            </w:tcMar>
          </w:tcPr>
          <w:p w14:paraId="5B33EF71" w14:textId="7F075314" w:rsidR="083C5A09" w:rsidRDefault="083C5A09" w:rsidP="00B7709F">
            <w:pPr>
              <w:spacing w:after="0" w:line="240" w:lineRule="auto"/>
              <w:ind w:right="227"/>
              <w:jc w:val="right"/>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0.3</w:t>
            </w:r>
          </w:p>
          <w:p w14:paraId="31B78B43" w14:textId="3EC47ACE" w:rsidR="083C5A09" w:rsidRDefault="083C5A09" w:rsidP="00B7709F">
            <w:pPr>
              <w:spacing w:after="0" w:line="240" w:lineRule="auto"/>
              <w:ind w:right="227"/>
              <w:rPr>
                <w:rFonts w:ascii="Open Sans Light" w:eastAsia="Open Sans Light" w:hAnsi="Open Sans Light" w:cs="Open Sans Light"/>
                <w:color w:val="000000" w:themeColor="text1"/>
                <w:sz w:val="16"/>
                <w:szCs w:val="16"/>
              </w:rPr>
            </w:pPr>
          </w:p>
        </w:tc>
        <w:tc>
          <w:tcPr>
            <w:tcW w:w="851" w:type="dxa"/>
            <w:tcBorders>
              <w:top w:val="single" w:sz="6" w:space="0" w:color="ADD6EA"/>
              <w:left w:val="nil"/>
              <w:bottom w:val="single" w:sz="6" w:space="0" w:color="ADD6EA"/>
              <w:right w:val="nil"/>
            </w:tcBorders>
            <w:tcMar>
              <w:left w:w="15" w:type="dxa"/>
              <w:right w:w="15" w:type="dxa"/>
            </w:tcMar>
          </w:tcPr>
          <w:p w14:paraId="19D13E8D" w14:textId="4388E365"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Impact</w:t>
            </w:r>
          </w:p>
        </w:tc>
        <w:tc>
          <w:tcPr>
            <w:tcW w:w="2920" w:type="dxa"/>
            <w:tcBorders>
              <w:top w:val="single" w:sz="6" w:space="0" w:color="ADD6EA"/>
              <w:left w:val="nil"/>
              <w:bottom w:val="single" w:sz="6" w:space="0" w:color="ADD6EA"/>
              <w:right w:val="nil"/>
            </w:tcBorders>
            <w:tcMar>
              <w:left w:w="15" w:type="dxa"/>
              <w:right w:w="15" w:type="dxa"/>
            </w:tcMar>
          </w:tcPr>
          <w:p w14:paraId="6B120883" w14:textId="76E65171" w:rsidR="083C5A09" w:rsidRDefault="083C5A09" w:rsidP="00B7709F">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 xml:space="preserve">Subsidised water is a state service and needs are assessed. </w:t>
            </w:r>
          </w:p>
        </w:tc>
      </w:tr>
    </w:tbl>
    <w:p w14:paraId="53AB7001" w14:textId="77777777" w:rsidR="003E60D3" w:rsidRDefault="003E60D3">
      <w:pPr>
        <w:rPr>
          <w:rFonts w:eastAsia="Work Sans" w:cs="Work Sans"/>
          <w:b/>
          <w:color w:val="000000" w:themeColor="text1"/>
        </w:rPr>
      </w:pPr>
      <w:r>
        <w:rPr>
          <w:rFonts w:eastAsia="Work Sans" w:cs="Work Sans"/>
          <w:b/>
          <w:color w:val="000000" w:themeColor="text1"/>
        </w:rPr>
        <w:br w:type="page"/>
      </w:r>
    </w:p>
    <w:p w14:paraId="104AA678" w14:textId="52CD10C3" w:rsidR="00447041" w:rsidRPr="00580DE4" w:rsidRDefault="33175D9C" w:rsidP="008774F6">
      <w:pPr>
        <w:tabs>
          <w:tab w:val="left" w:pos="1134"/>
        </w:tabs>
        <w:rPr>
          <w:rFonts w:eastAsia="Work Sans" w:cs="Work Sans"/>
          <w:b/>
          <w:color w:val="000000" w:themeColor="text1"/>
        </w:rPr>
      </w:pPr>
      <w:r w:rsidRPr="00580DE4">
        <w:rPr>
          <w:rFonts w:eastAsia="Work Sans" w:cs="Work Sans"/>
          <w:b/>
          <w:color w:val="000000" w:themeColor="text1"/>
        </w:rPr>
        <w:lastRenderedPageBreak/>
        <w:t xml:space="preserve">Table </w:t>
      </w:r>
      <w:r w:rsidR="00412187">
        <w:rPr>
          <w:rFonts w:eastAsia="Work Sans" w:cs="Work Sans"/>
          <w:b/>
          <w:bCs/>
          <w:color w:val="000000" w:themeColor="text1"/>
        </w:rPr>
        <w:t>C</w:t>
      </w:r>
      <w:r w:rsidRPr="00580DE4">
        <w:rPr>
          <w:rFonts w:eastAsia="Work Sans" w:cs="Work Sans"/>
          <w:b/>
          <w:bCs/>
          <w:color w:val="000000" w:themeColor="text1"/>
        </w:rPr>
        <w:t>2</w:t>
      </w:r>
      <w:r w:rsidRPr="00580DE4">
        <w:rPr>
          <w:b/>
        </w:rPr>
        <w:tab/>
      </w:r>
      <w:r w:rsidRPr="00580DE4">
        <w:rPr>
          <w:rFonts w:eastAsia="Work Sans" w:cs="Work Sans"/>
          <w:b/>
          <w:color w:val="000000" w:themeColor="text1"/>
        </w:rPr>
        <w:t>Proposed treatment of City and Regional Deals projects commenced in 202</w:t>
      </w:r>
      <w:r w:rsidR="00BA2683">
        <w:rPr>
          <w:rFonts w:eastAsia="Work Sans" w:cs="Work Sans"/>
          <w:b/>
          <w:color w:val="000000" w:themeColor="text1"/>
        </w:rPr>
        <w:t>2</w:t>
      </w:r>
      <w:r w:rsidR="00472B4E">
        <w:rPr>
          <w:rFonts w:eastAsia="Work Sans" w:cs="Work Sans"/>
          <w:b/>
          <w:color w:val="000000" w:themeColor="text1"/>
        </w:rPr>
        <w:t>–</w:t>
      </w:r>
      <w:proofErr w:type="gramStart"/>
      <w:r w:rsidRPr="00580DE4" w:rsidDel="00BA2683">
        <w:rPr>
          <w:rFonts w:eastAsia="Work Sans" w:cs="Work Sans"/>
          <w:b/>
          <w:color w:val="000000" w:themeColor="text1"/>
        </w:rPr>
        <w:t>2</w:t>
      </w:r>
      <w:r w:rsidR="00BA2683">
        <w:rPr>
          <w:rFonts w:eastAsia="Work Sans" w:cs="Work Sans"/>
          <w:b/>
          <w:color w:val="000000" w:themeColor="text1"/>
        </w:rPr>
        <w:t>3</w:t>
      </w:r>
      <w:proofErr w:type="gramEnd"/>
    </w:p>
    <w:tbl>
      <w:tblPr>
        <w:tblW w:w="901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04"/>
        <w:gridCol w:w="2479"/>
        <w:gridCol w:w="992"/>
        <w:gridCol w:w="851"/>
        <w:gridCol w:w="3188"/>
      </w:tblGrid>
      <w:tr w:rsidR="00D91CA1" w14:paraId="79986D8D" w14:textId="77777777" w:rsidTr="00F32A8C">
        <w:trPr>
          <w:trHeight w:val="555"/>
        </w:trPr>
        <w:tc>
          <w:tcPr>
            <w:tcW w:w="1504" w:type="dxa"/>
            <w:tcBorders>
              <w:top w:val="single" w:sz="6" w:space="0" w:color="ADD6EA"/>
              <w:left w:val="nil"/>
              <w:bottom w:val="single" w:sz="6" w:space="0" w:color="ADD6EA"/>
              <w:right w:val="nil"/>
            </w:tcBorders>
            <w:shd w:val="clear" w:color="auto" w:fill="006991"/>
            <w:tcMar>
              <w:left w:w="15" w:type="dxa"/>
              <w:right w:w="15" w:type="dxa"/>
            </w:tcMar>
          </w:tcPr>
          <w:p w14:paraId="6FCE8138" w14:textId="00B2F2A8" w:rsidR="083C5A09" w:rsidRDefault="083C5A09" w:rsidP="1C8CF150">
            <w:pPr>
              <w:spacing w:line="240" w:lineRule="auto"/>
              <w:rPr>
                <w:rFonts w:ascii="Open Sans Semibold" w:eastAsia="Open Sans Semibold" w:hAnsi="Open Sans Semibold" w:cs="Open Sans Semibold"/>
                <w:color w:val="FFFFFF" w:themeColor="background1"/>
                <w:sz w:val="16"/>
                <w:szCs w:val="16"/>
              </w:rPr>
            </w:pPr>
            <w:r w:rsidRPr="1C8CF150">
              <w:rPr>
                <w:rFonts w:ascii="Open Sans Semibold" w:eastAsia="Open Sans Semibold" w:hAnsi="Open Sans Semibold" w:cs="Open Sans Semibold"/>
                <w:color w:val="FFFFFF" w:themeColor="background1"/>
                <w:sz w:val="16"/>
                <w:szCs w:val="16"/>
              </w:rPr>
              <w:t>Commonwealth payment</w:t>
            </w:r>
          </w:p>
        </w:tc>
        <w:tc>
          <w:tcPr>
            <w:tcW w:w="2479" w:type="dxa"/>
            <w:tcBorders>
              <w:top w:val="single" w:sz="6" w:space="0" w:color="ADD6EA"/>
              <w:left w:val="nil"/>
              <w:bottom w:val="single" w:sz="6" w:space="0" w:color="ADD6EA"/>
              <w:right w:val="nil"/>
            </w:tcBorders>
            <w:shd w:val="clear" w:color="auto" w:fill="006991"/>
            <w:tcMar>
              <w:left w:w="15" w:type="dxa"/>
              <w:right w:w="15" w:type="dxa"/>
            </w:tcMar>
          </w:tcPr>
          <w:p w14:paraId="52B7B607" w14:textId="2EC16AD8" w:rsidR="083C5A09" w:rsidRDefault="083C5A09" w:rsidP="1C8CF150">
            <w:pPr>
              <w:spacing w:line="240" w:lineRule="auto"/>
              <w:rPr>
                <w:rFonts w:ascii="Open Sans Semibold" w:eastAsia="Open Sans Semibold" w:hAnsi="Open Sans Semibold" w:cs="Open Sans Semibold"/>
                <w:color w:val="FFFFFF" w:themeColor="background1"/>
                <w:sz w:val="16"/>
                <w:szCs w:val="16"/>
              </w:rPr>
            </w:pPr>
            <w:r w:rsidRPr="1C8CF150">
              <w:rPr>
                <w:rFonts w:ascii="Open Sans Semibold" w:eastAsia="Open Sans Semibold" w:hAnsi="Open Sans Semibold" w:cs="Open Sans Semibold"/>
                <w:color w:val="FFFFFF" w:themeColor="background1"/>
                <w:sz w:val="16"/>
                <w:szCs w:val="16"/>
              </w:rPr>
              <w:t>Description</w:t>
            </w:r>
          </w:p>
        </w:tc>
        <w:tc>
          <w:tcPr>
            <w:tcW w:w="992" w:type="dxa"/>
            <w:tcBorders>
              <w:top w:val="single" w:sz="6" w:space="0" w:color="ADD6EA"/>
              <w:left w:val="nil"/>
              <w:bottom w:val="single" w:sz="6" w:space="0" w:color="ADD6EA"/>
              <w:right w:val="nil"/>
            </w:tcBorders>
            <w:shd w:val="clear" w:color="auto" w:fill="006991"/>
            <w:tcMar>
              <w:left w:w="15" w:type="dxa"/>
              <w:right w:w="75" w:type="dxa"/>
            </w:tcMar>
          </w:tcPr>
          <w:p w14:paraId="00979C96" w14:textId="4D525AC3" w:rsidR="083C5A09" w:rsidRDefault="083C5A09" w:rsidP="1C8CF150">
            <w:pPr>
              <w:spacing w:line="240" w:lineRule="auto"/>
              <w:ind w:right="227"/>
              <w:jc w:val="right"/>
              <w:rPr>
                <w:rFonts w:ascii="Open Sans Semibold" w:eastAsia="Open Sans Semibold" w:hAnsi="Open Sans Semibold" w:cs="Open Sans Semibold"/>
                <w:color w:val="FFFFFF" w:themeColor="background1"/>
                <w:sz w:val="16"/>
                <w:szCs w:val="16"/>
              </w:rPr>
            </w:pPr>
            <w:r w:rsidRPr="1C8CF150">
              <w:rPr>
                <w:rFonts w:ascii="Open Sans Semibold" w:eastAsia="Open Sans Semibold" w:hAnsi="Open Sans Semibold" w:cs="Open Sans Semibold"/>
                <w:color w:val="FFFFFF" w:themeColor="background1"/>
                <w:sz w:val="16"/>
                <w:szCs w:val="16"/>
              </w:rPr>
              <w:t>202</w:t>
            </w:r>
            <w:r w:rsidR="00BA2683">
              <w:rPr>
                <w:rFonts w:ascii="Open Sans Semibold" w:eastAsia="Open Sans Semibold" w:hAnsi="Open Sans Semibold" w:cs="Open Sans Semibold"/>
                <w:color w:val="FFFFFF" w:themeColor="background1"/>
                <w:sz w:val="16"/>
                <w:szCs w:val="16"/>
              </w:rPr>
              <w:t>2</w:t>
            </w:r>
            <w:r w:rsidR="00472B4E">
              <w:rPr>
                <w:rFonts w:ascii="Open Sans Semibold" w:eastAsia="Open Sans Semibold" w:hAnsi="Open Sans Semibold" w:cs="Open Sans Semibold"/>
                <w:color w:val="FFFFFF" w:themeColor="background1"/>
                <w:sz w:val="16"/>
                <w:szCs w:val="16"/>
              </w:rPr>
              <w:t>–</w:t>
            </w:r>
            <w:r w:rsidRPr="1C8CF150" w:rsidDel="00BA2683">
              <w:rPr>
                <w:rFonts w:ascii="Open Sans Semibold" w:eastAsia="Open Sans Semibold" w:hAnsi="Open Sans Semibold" w:cs="Open Sans Semibold"/>
                <w:color w:val="FFFFFF" w:themeColor="background1"/>
                <w:sz w:val="16"/>
                <w:szCs w:val="16"/>
              </w:rPr>
              <w:t>2</w:t>
            </w:r>
            <w:r w:rsidR="00BA2683">
              <w:rPr>
                <w:rFonts w:ascii="Open Sans Semibold" w:eastAsia="Open Sans Semibold" w:hAnsi="Open Sans Semibold" w:cs="Open Sans Semibold"/>
                <w:color w:val="FFFFFF" w:themeColor="background1"/>
                <w:sz w:val="16"/>
                <w:szCs w:val="16"/>
              </w:rPr>
              <w:t>3</w:t>
            </w:r>
            <w:r w:rsidRPr="1C8CF150">
              <w:rPr>
                <w:rFonts w:ascii="Open Sans Semibold" w:eastAsia="Open Sans Semibold" w:hAnsi="Open Sans Semibold" w:cs="Open Sans Semibold"/>
                <w:color w:val="FFFFFF" w:themeColor="background1"/>
                <w:sz w:val="16"/>
                <w:szCs w:val="16"/>
              </w:rPr>
              <w:t xml:space="preserve"> $m</w:t>
            </w:r>
          </w:p>
        </w:tc>
        <w:tc>
          <w:tcPr>
            <w:tcW w:w="851" w:type="dxa"/>
            <w:tcBorders>
              <w:top w:val="single" w:sz="6" w:space="0" w:color="ADD6EA"/>
              <w:left w:val="nil"/>
              <w:bottom w:val="single" w:sz="6" w:space="0" w:color="ADD6EA"/>
              <w:right w:val="nil"/>
            </w:tcBorders>
            <w:shd w:val="clear" w:color="auto" w:fill="006991"/>
            <w:tcMar>
              <w:left w:w="15" w:type="dxa"/>
              <w:right w:w="15" w:type="dxa"/>
            </w:tcMar>
          </w:tcPr>
          <w:p w14:paraId="23FD6D29" w14:textId="669A8301" w:rsidR="083C5A09" w:rsidRDefault="083C5A09" w:rsidP="1C8CF150">
            <w:pPr>
              <w:spacing w:line="240" w:lineRule="auto"/>
              <w:rPr>
                <w:rFonts w:ascii="Open Sans Semibold" w:eastAsia="Open Sans Semibold" w:hAnsi="Open Sans Semibold" w:cs="Open Sans Semibold"/>
                <w:color w:val="FFFFFF" w:themeColor="background1"/>
                <w:sz w:val="16"/>
                <w:szCs w:val="16"/>
              </w:rPr>
            </w:pPr>
            <w:r w:rsidRPr="1C8CF150">
              <w:rPr>
                <w:rFonts w:ascii="Open Sans Semibold" w:eastAsia="Open Sans Semibold" w:hAnsi="Open Sans Semibold" w:cs="Open Sans Semibold"/>
                <w:color w:val="FFFFFF" w:themeColor="background1"/>
                <w:sz w:val="16"/>
                <w:szCs w:val="16"/>
              </w:rPr>
              <w:t>Proposed treatment</w:t>
            </w:r>
          </w:p>
        </w:tc>
        <w:tc>
          <w:tcPr>
            <w:tcW w:w="3188" w:type="dxa"/>
            <w:tcBorders>
              <w:top w:val="single" w:sz="6" w:space="0" w:color="ADD6EA"/>
              <w:left w:val="nil"/>
              <w:bottom w:val="single" w:sz="6" w:space="0" w:color="ADD6EA"/>
              <w:right w:val="nil"/>
            </w:tcBorders>
            <w:shd w:val="clear" w:color="auto" w:fill="006991"/>
            <w:tcMar>
              <w:left w:w="15" w:type="dxa"/>
              <w:right w:w="15" w:type="dxa"/>
            </w:tcMar>
          </w:tcPr>
          <w:p w14:paraId="4DC246C9" w14:textId="3F11DF2B" w:rsidR="083C5A09" w:rsidRDefault="083C5A09" w:rsidP="1C8CF150">
            <w:pPr>
              <w:spacing w:line="240" w:lineRule="auto"/>
              <w:rPr>
                <w:rFonts w:ascii="Open Sans Semibold" w:eastAsia="Open Sans Semibold" w:hAnsi="Open Sans Semibold" w:cs="Open Sans Semibold"/>
                <w:color w:val="FFFFFF" w:themeColor="background1"/>
                <w:sz w:val="16"/>
                <w:szCs w:val="16"/>
              </w:rPr>
            </w:pPr>
            <w:r w:rsidRPr="1C8CF150">
              <w:rPr>
                <w:rFonts w:ascii="Open Sans Semibold" w:eastAsia="Open Sans Semibold" w:hAnsi="Open Sans Semibold" w:cs="Open Sans Semibold"/>
                <w:color w:val="FFFFFF" w:themeColor="background1"/>
                <w:sz w:val="16"/>
                <w:szCs w:val="16"/>
              </w:rPr>
              <w:t>Reason for treatment</w:t>
            </w:r>
          </w:p>
        </w:tc>
      </w:tr>
      <w:tr w:rsidR="00D91CA1" w14:paraId="51A9BA15" w14:textId="77777777" w:rsidTr="00F32A8C">
        <w:trPr>
          <w:trHeight w:val="300"/>
        </w:trPr>
        <w:tc>
          <w:tcPr>
            <w:tcW w:w="1504" w:type="dxa"/>
            <w:tcBorders>
              <w:top w:val="single" w:sz="6" w:space="0" w:color="ADD6EA"/>
              <w:left w:val="nil"/>
              <w:bottom w:val="single" w:sz="6" w:space="0" w:color="ADD6EA"/>
              <w:right w:val="nil"/>
            </w:tcBorders>
            <w:shd w:val="clear" w:color="auto" w:fill="B6D5E4"/>
            <w:tcMar>
              <w:left w:w="15" w:type="dxa"/>
              <w:right w:w="15" w:type="dxa"/>
            </w:tcMar>
          </w:tcPr>
          <w:p w14:paraId="0BE8D023" w14:textId="00C804F1" w:rsidR="083C5A09" w:rsidRDefault="083C5A09" w:rsidP="1C8CF150">
            <w:pPr>
              <w:spacing w:after="0" w:line="240" w:lineRule="auto"/>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Adelaide</w:t>
            </w:r>
          </w:p>
        </w:tc>
        <w:tc>
          <w:tcPr>
            <w:tcW w:w="2479" w:type="dxa"/>
            <w:tcBorders>
              <w:top w:val="single" w:sz="6" w:space="0" w:color="ADD6EA"/>
              <w:left w:val="nil"/>
              <w:bottom w:val="single" w:sz="6" w:space="0" w:color="ADD6EA"/>
              <w:right w:val="nil"/>
            </w:tcBorders>
            <w:shd w:val="clear" w:color="auto" w:fill="B6D5E4"/>
            <w:tcMar>
              <w:left w:w="15" w:type="dxa"/>
              <w:right w:w="15" w:type="dxa"/>
            </w:tcMar>
          </w:tcPr>
          <w:p w14:paraId="49166F27" w14:textId="6CAC17F0" w:rsidR="083C5A09" w:rsidRDefault="083C5A09" w:rsidP="1C8CF150">
            <w:pPr>
              <w:spacing w:after="0" w:line="240" w:lineRule="auto"/>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 </w:t>
            </w:r>
          </w:p>
        </w:tc>
        <w:tc>
          <w:tcPr>
            <w:tcW w:w="992" w:type="dxa"/>
            <w:tcBorders>
              <w:top w:val="single" w:sz="6" w:space="0" w:color="ADD6EA"/>
              <w:left w:val="nil"/>
              <w:bottom w:val="single" w:sz="6" w:space="0" w:color="ADD6EA"/>
              <w:right w:val="nil"/>
            </w:tcBorders>
            <w:shd w:val="clear" w:color="auto" w:fill="B6D5E4"/>
            <w:tcMar>
              <w:left w:w="15" w:type="dxa"/>
              <w:right w:w="75" w:type="dxa"/>
            </w:tcMar>
          </w:tcPr>
          <w:p w14:paraId="5C8A3E74" w14:textId="2194C616" w:rsidR="083C5A09" w:rsidRDefault="083C5A09" w:rsidP="1C8CF150">
            <w:pPr>
              <w:spacing w:after="0" w:line="240" w:lineRule="auto"/>
              <w:ind w:right="227"/>
              <w:jc w:val="right"/>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 </w:t>
            </w:r>
            <w:r w:rsidR="00A21F5C" w:rsidRPr="00B5318C">
              <w:rPr>
                <w:rFonts w:ascii="Open Sans Semibold" w:eastAsia="Open Sans Semibold" w:hAnsi="Open Sans Semibold" w:cs="Open Sans Semibold"/>
                <w:color w:val="000000" w:themeColor="text1"/>
                <w:sz w:val="16"/>
                <w:szCs w:val="16"/>
              </w:rPr>
              <w:t>10.0</w:t>
            </w:r>
          </w:p>
        </w:tc>
        <w:tc>
          <w:tcPr>
            <w:tcW w:w="851" w:type="dxa"/>
            <w:tcBorders>
              <w:top w:val="single" w:sz="6" w:space="0" w:color="ADD6EA"/>
              <w:left w:val="nil"/>
              <w:bottom w:val="single" w:sz="6" w:space="0" w:color="ADD6EA"/>
              <w:right w:val="nil"/>
            </w:tcBorders>
            <w:shd w:val="clear" w:color="auto" w:fill="B6D5E4"/>
            <w:tcMar>
              <w:left w:w="15" w:type="dxa"/>
              <w:right w:w="15" w:type="dxa"/>
            </w:tcMar>
          </w:tcPr>
          <w:p w14:paraId="3249AD95" w14:textId="6D7E4373" w:rsidR="083C5A09" w:rsidRDefault="083C5A09" w:rsidP="1C8CF150">
            <w:pPr>
              <w:spacing w:after="0" w:line="240" w:lineRule="auto"/>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 </w:t>
            </w:r>
          </w:p>
        </w:tc>
        <w:tc>
          <w:tcPr>
            <w:tcW w:w="3188" w:type="dxa"/>
            <w:tcBorders>
              <w:top w:val="single" w:sz="6" w:space="0" w:color="ADD6EA"/>
              <w:left w:val="nil"/>
              <w:bottom w:val="single" w:sz="6" w:space="0" w:color="ADD6EA"/>
              <w:right w:val="nil"/>
            </w:tcBorders>
            <w:shd w:val="clear" w:color="auto" w:fill="B6D5E4"/>
            <w:tcMar>
              <w:left w:w="15" w:type="dxa"/>
              <w:right w:w="15" w:type="dxa"/>
            </w:tcMar>
          </w:tcPr>
          <w:p w14:paraId="0FEE7AA6" w14:textId="1BD92822" w:rsidR="083C5A09" w:rsidRDefault="083C5A09" w:rsidP="1C8CF150">
            <w:pPr>
              <w:spacing w:after="0" w:line="240" w:lineRule="auto"/>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 </w:t>
            </w:r>
          </w:p>
        </w:tc>
      </w:tr>
      <w:tr w:rsidR="0095415D" w14:paraId="337E2237" w14:textId="77777777" w:rsidTr="00F32A8C">
        <w:trPr>
          <w:trHeight w:val="765"/>
        </w:trPr>
        <w:tc>
          <w:tcPr>
            <w:tcW w:w="1504" w:type="dxa"/>
            <w:tcBorders>
              <w:top w:val="single" w:sz="6" w:space="0" w:color="ADD6EA"/>
              <w:left w:val="nil"/>
              <w:bottom w:val="single" w:sz="6" w:space="0" w:color="ADD6EA"/>
              <w:right w:val="nil"/>
            </w:tcBorders>
            <w:tcMar>
              <w:left w:w="15" w:type="dxa"/>
              <w:right w:w="15" w:type="dxa"/>
            </w:tcMar>
          </w:tcPr>
          <w:p w14:paraId="101B36F3" w14:textId="1C54758A"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Digital technologies academy</w:t>
            </w:r>
          </w:p>
        </w:tc>
        <w:tc>
          <w:tcPr>
            <w:tcW w:w="2479" w:type="dxa"/>
            <w:tcBorders>
              <w:top w:val="single" w:sz="6" w:space="0" w:color="ADD6EA"/>
              <w:left w:val="nil"/>
              <w:bottom w:val="single" w:sz="6" w:space="0" w:color="ADD6EA"/>
              <w:right w:val="nil"/>
            </w:tcBorders>
            <w:tcMar>
              <w:left w:w="15" w:type="dxa"/>
              <w:right w:w="15" w:type="dxa"/>
            </w:tcMar>
          </w:tcPr>
          <w:p w14:paraId="77483E50" w14:textId="1CE778E7"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Construction of an educational facility for digital technologies. The DTA will address the current skills gaps by developing specialised and highly adaptable education and training facility designed to support pathways linked to jobs and skills outcomes.</w:t>
            </w:r>
          </w:p>
        </w:tc>
        <w:tc>
          <w:tcPr>
            <w:tcW w:w="992" w:type="dxa"/>
            <w:tcBorders>
              <w:top w:val="single" w:sz="6" w:space="0" w:color="ADD6EA"/>
              <w:left w:val="nil"/>
              <w:bottom w:val="single" w:sz="6" w:space="0" w:color="ADD6EA"/>
            </w:tcBorders>
            <w:tcMar>
              <w:left w:w="15" w:type="dxa"/>
              <w:right w:w="75" w:type="dxa"/>
            </w:tcMar>
          </w:tcPr>
          <w:p w14:paraId="419A32FE" w14:textId="4E1D7006" w:rsidR="083C5A09" w:rsidRDefault="083C5A09" w:rsidP="1C8CF150">
            <w:pPr>
              <w:spacing w:after="0" w:line="240" w:lineRule="auto"/>
              <w:ind w:right="227"/>
              <w:rPr>
                <w:rFonts w:ascii="Open Sans Light" w:eastAsia="Open Sans Light" w:hAnsi="Open Sans Light" w:cs="Open Sans Light"/>
                <w:color w:val="000000" w:themeColor="text1"/>
                <w:sz w:val="16"/>
                <w:szCs w:val="16"/>
              </w:rPr>
            </w:pPr>
          </w:p>
        </w:tc>
        <w:tc>
          <w:tcPr>
            <w:tcW w:w="851" w:type="dxa"/>
            <w:tcBorders>
              <w:top w:val="single" w:sz="6" w:space="0" w:color="ADD6EA"/>
              <w:bottom w:val="single" w:sz="6" w:space="0" w:color="ADD6EA"/>
              <w:right w:val="nil"/>
            </w:tcBorders>
            <w:tcMar>
              <w:left w:w="15" w:type="dxa"/>
              <w:right w:w="15" w:type="dxa"/>
            </w:tcMar>
          </w:tcPr>
          <w:p w14:paraId="702F4044" w14:textId="2EF6325C"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Impact</w:t>
            </w:r>
          </w:p>
        </w:tc>
        <w:tc>
          <w:tcPr>
            <w:tcW w:w="3188" w:type="dxa"/>
            <w:tcBorders>
              <w:top w:val="single" w:sz="6" w:space="0" w:color="ADD6EA"/>
              <w:left w:val="nil"/>
              <w:bottom w:val="single" w:sz="6" w:space="0" w:color="ADD6EA"/>
              <w:right w:val="nil"/>
            </w:tcBorders>
            <w:tcMar>
              <w:left w:w="15" w:type="dxa"/>
              <w:right w:w="15" w:type="dxa"/>
            </w:tcMar>
          </w:tcPr>
          <w:p w14:paraId="6E281382" w14:textId="7BA2656D"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Payment supports an education facility. Investment in post-secondary education is a state function and needs are assessed.</w:t>
            </w:r>
          </w:p>
        </w:tc>
      </w:tr>
      <w:tr w:rsidR="00D91CA1" w14:paraId="5EAEEB79" w14:textId="77777777" w:rsidTr="00F32A8C">
        <w:trPr>
          <w:trHeight w:val="255"/>
        </w:trPr>
        <w:tc>
          <w:tcPr>
            <w:tcW w:w="1504" w:type="dxa"/>
            <w:tcBorders>
              <w:top w:val="single" w:sz="6" w:space="0" w:color="ADD6EA"/>
              <w:left w:val="nil"/>
              <w:bottom w:val="single" w:sz="6" w:space="0" w:color="ADD6EA"/>
              <w:right w:val="nil"/>
            </w:tcBorders>
            <w:shd w:val="clear" w:color="auto" w:fill="B6D5E4"/>
            <w:tcMar>
              <w:left w:w="15" w:type="dxa"/>
              <w:right w:w="15" w:type="dxa"/>
            </w:tcMar>
          </w:tcPr>
          <w:p w14:paraId="4FD7766F" w14:textId="6CBE8115" w:rsidR="083C5A09" w:rsidRDefault="083C5A09" w:rsidP="1C8CF150">
            <w:pPr>
              <w:spacing w:after="0" w:line="240" w:lineRule="auto"/>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Albury-Wodonga</w:t>
            </w:r>
          </w:p>
        </w:tc>
        <w:tc>
          <w:tcPr>
            <w:tcW w:w="2479" w:type="dxa"/>
            <w:tcBorders>
              <w:top w:val="single" w:sz="6" w:space="0" w:color="ADD6EA"/>
              <w:left w:val="nil"/>
              <w:bottom w:val="single" w:sz="6" w:space="0" w:color="ADD6EA"/>
              <w:right w:val="nil"/>
            </w:tcBorders>
            <w:shd w:val="clear" w:color="auto" w:fill="B6D5E4"/>
            <w:tcMar>
              <w:left w:w="15" w:type="dxa"/>
              <w:right w:w="15" w:type="dxa"/>
            </w:tcMar>
          </w:tcPr>
          <w:p w14:paraId="6C7E4212" w14:textId="561983B4" w:rsidR="083C5A09" w:rsidRDefault="083C5A09" w:rsidP="1C8CF150">
            <w:pPr>
              <w:spacing w:after="0" w:line="240" w:lineRule="auto"/>
              <w:jc w:val="right"/>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 </w:t>
            </w:r>
          </w:p>
        </w:tc>
        <w:tc>
          <w:tcPr>
            <w:tcW w:w="992" w:type="dxa"/>
            <w:tcBorders>
              <w:top w:val="single" w:sz="6" w:space="0" w:color="ADD6EA"/>
              <w:left w:val="nil"/>
              <w:bottom w:val="single" w:sz="6" w:space="0" w:color="ADD6EA"/>
              <w:right w:val="nil"/>
            </w:tcBorders>
            <w:shd w:val="clear" w:color="auto" w:fill="B6D5E4"/>
            <w:tcMar>
              <w:left w:w="15" w:type="dxa"/>
              <w:right w:w="75" w:type="dxa"/>
            </w:tcMar>
          </w:tcPr>
          <w:p w14:paraId="3AA4B492" w14:textId="15DC971D" w:rsidR="083C5A09" w:rsidRDefault="003D1A82" w:rsidP="1C8CF150">
            <w:pPr>
              <w:spacing w:after="0" w:line="240" w:lineRule="auto"/>
              <w:ind w:right="192"/>
              <w:jc w:val="right"/>
              <w:rPr>
                <w:rFonts w:ascii="Open Sans Semibold" w:eastAsia="Open Sans Semibold" w:hAnsi="Open Sans Semibold" w:cs="Open Sans Semibold"/>
                <w:color w:val="000000" w:themeColor="text1"/>
                <w:sz w:val="16"/>
                <w:szCs w:val="16"/>
              </w:rPr>
            </w:pPr>
            <w:r w:rsidRPr="00B5318C">
              <w:rPr>
                <w:rFonts w:ascii="Open Sans Semibold" w:eastAsia="Open Sans Semibold" w:hAnsi="Open Sans Semibold" w:cs="Open Sans Semibold"/>
                <w:color w:val="000000" w:themeColor="text1"/>
                <w:sz w:val="16"/>
                <w:szCs w:val="16"/>
              </w:rPr>
              <w:t>3.6</w:t>
            </w:r>
            <w:r w:rsidR="083C5A09" w:rsidRPr="1C8CF150">
              <w:rPr>
                <w:rFonts w:ascii="Open Sans Semibold" w:eastAsia="Open Sans Semibold" w:hAnsi="Open Sans Semibold" w:cs="Open Sans Semibold"/>
                <w:color w:val="000000" w:themeColor="text1"/>
                <w:sz w:val="16"/>
                <w:szCs w:val="16"/>
              </w:rPr>
              <w:t> </w:t>
            </w:r>
          </w:p>
        </w:tc>
        <w:tc>
          <w:tcPr>
            <w:tcW w:w="851" w:type="dxa"/>
            <w:tcBorders>
              <w:top w:val="single" w:sz="6" w:space="0" w:color="ADD6EA"/>
              <w:left w:val="nil"/>
              <w:bottom w:val="single" w:sz="6" w:space="0" w:color="ADD6EA"/>
              <w:right w:val="nil"/>
            </w:tcBorders>
            <w:shd w:val="clear" w:color="auto" w:fill="B6D5E4"/>
            <w:tcMar>
              <w:left w:w="15" w:type="dxa"/>
              <w:right w:w="15" w:type="dxa"/>
            </w:tcMar>
          </w:tcPr>
          <w:p w14:paraId="5036A921" w14:textId="173AA6B8" w:rsidR="083C5A09" w:rsidRDefault="083C5A09" w:rsidP="1C8CF150">
            <w:pPr>
              <w:spacing w:after="0" w:line="240" w:lineRule="auto"/>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 </w:t>
            </w:r>
          </w:p>
        </w:tc>
        <w:tc>
          <w:tcPr>
            <w:tcW w:w="3188" w:type="dxa"/>
            <w:tcBorders>
              <w:top w:val="single" w:sz="6" w:space="0" w:color="ADD6EA"/>
              <w:left w:val="nil"/>
              <w:bottom w:val="single" w:sz="6" w:space="0" w:color="ADD6EA"/>
              <w:right w:val="nil"/>
            </w:tcBorders>
            <w:shd w:val="clear" w:color="auto" w:fill="B6D5E4"/>
            <w:tcMar>
              <w:left w:w="15" w:type="dxa"/>
              <w:right w:w="15" w:type="dxa"/>
            </w:tcMar>
          </w:tcPr>
          <w:p w14:paraId="7C9C09F3" w14:textId="4B654C97" w:rsidR="083C5A09" w:rsidRDefault="083C5A09" w:rsidP="1C8CF150">
            <w:pPr>
              <w:spacing w:after="0" w:line="240" w:lineRule="auto"/>
              <w:jc w:val="right"/>
              <w:rPr>
                <w:rFonts w:ascii="Open Sans Semibold" w:eastAsia="Open Sans Semibold" w:hAnsi="Open Sans Semibold" w:cs="Open Sans Semibold"/>
                <w:color w:val="000000" w:themeColor="text1"/>
                <w:sz w:val="16"/>
                <w:szCs w:val="16"/>
              </w:rPr>
            </w:pPr>
            <w:r w:rsidRPr="1C8CF150">
              <w:rPr>
                <w:rFonts w:ascii="Open Sans Semibold" w:eastAsia="Open Sans Semibold" w:hAnsi="Open Sans Semibold" w:cs="Open Sans Semibold"/>
                <w:color w:val="000000" w:themeColor="text1"/>
                <w:sz w:val="16"/>
                <w:szCs w:val="16"/>
              </w:rPr>
              <w:t> </w:t>
            </w:r>
          </w:p>
        </w:tc>
      </w:tr>
      <w:tr w:rsidR="083C5A09" w14:paraId="7ACBAD2E" w14:textId="77777777" w:rsidTr="00F32A8C">
        <w:trPr>
          <w:trHeight w:val="450"/>
        </w:trPr>
        <w:tc>
          <w:tcPr>
            <w:tcW w:w="1504" w:type="dxa"/>
            <w:tcBorders>
              <w:top w:val="single" w:sz="6" w:space="0" w:color="ADD6EA"/>
              <w:left w:val="nil"/>
              <w:bottom w:val="single" w:sz="6" w:space="0" w:color="ADD6EA"/>
              <w:right w:val="nil"/>
            </w:tcBorders>
            <w:tcMar>
              <w:left w:w="15" w:type="dxa"/>
              <w:right w:w="15" w:type="dxa"/>
            </w:tcMar>
          </w:tcPr>
          <w:p w14:paraId="09F87751" w14:textId="28D478E4"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Albury Entertainment Centre Redevelopment</w:t>
            </w:r>
          </w:p>
        </w:tc>
        <w:tc>
          <w:tcPr>
            <w:tcW w:w="2479" w:type="dxa"/>
            <w:tcBorders>
              <w:top w:val="single" w:sz="6" w:space="0" w:color="ADD6EA"/>
              <w:left w:val="nil"/>
              <w:bottom w:val="single" w:sz="6" w:space="0" w:color="ADD6EA"/>
              <w:right w:val="nil"/>
            </w:tcBorders>
            <w:tcMar>
              <w:left w:w="15" w:type="dxa"/>
              <w:right w:w="15" w:type="dxa"/>
            </w:tcMar>
          </w:tcPr>
          <w:p w14:paraId="403F124E" w14:textId="42521E7A"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 xml:space="preserve">A major redevelopment of the Albury Entertainment Centre Convention Wing to create a regional events, </w:t>
            </w:r>
            <w:proofErr w:type="gramStart"/>
            <w:r w:rsidRPr="1C8CF150">
              <w:rPr>
                <w:rFonts w:ascii="Open Sans Light" w:eastAsia="Open Sans Light" w:hAnsi="Open Sans Light" w:cs="Open Sans Light"/>
                <w:color w:val="000000" w:themeColor="text1"/>
                <w:sz w:val="16"/>
                <w:szCs w:val="16"/>
              </w:rPr>
              <w:t>conference</w:t>
            </w:r>
            <w:proofErr w:type="gramEnd"/>
            <w:r w:rsidRPr="1C8CF150">
              <w:rPr>
                <w:rFonts w:ascii="Open Sans Light" w:eastAsia="Open Sans Light" w:hAnsi="Open Sans Light" w:cs="Open Sans Light"/>
                <w:color w:val="000000" w:themeColor="text1"/>
                <w:sz w:val="16"/>
                <w:szCs w:val="16"/>
              </w:rPr>
              <w:t xml:space="preserve"> and function centre.</w:t>
            </w:r>
          </w:p>
        </w:tc>
        <w:tc>
          <w:tcPr>
            <w:tcW w:w="992" w:type="dxa"/>
            <w:tcBorders>
              <w:top w:val="single" w:sz="6" w:space="0" w:color="ADD6EA"/>
              <w:left w:val="nil"/>
              <w:bottom w:val="single" w:sz="6" w:space="0" w:color="ADD6EA"/>
              <w:right w:val="nil"/>
            </w:tcBorders>
            <w:tcMar>
              <w:left w:w="15" w:type="dxa"/>
              <w:right w:w="75" w:type="dxa"/>
            </w:tcMar>
          </w:tcPr>
          <w:p w14:paraId="72803D16" w14:textId="06FBE75E" w:rsidR="083C5A09" w:rsidRDefault="083C5A09" w:rsidP="1C8CF150">
            <w:pPr>
              <w:spacing w:after="0" w:line="240" w:lineRule="auto"/>
              <w:jc w:val="right"/>
              <w:rPr>
                <w:rFonts w:ascii="Open Sans Light" w:eastAsia="Open Sans Light" w:hAnsi="Open Sans Light" w:cs="Open Sans Light"/>
                <w:color w:val="000000" w:themeColor="text1"/>
                <w:sz w:val="16"/>
                <w:szCs w:val="16"/>
              </w:rPr>
            </w:pPr>
          </w:p>
        </w:tc>
        <w:tc>
          <w:tcPr>
            <w:tcW w:w="851" w:type="dxa"/>
            <w:tcBorders>
              <w:top w:val="single" w:sz="6" w:space="0" w:color="ADD6EA"/>
              <w:left w:val="nil"/>
              <w:bottom w:val="single" w:sz="6" w:space="0" w:color="ADD6EA"/>
              <w:right w:val="nil"/>
            </w:tcBorders>
            <w:tcMar>
              <w:left w:w="15" w:type="dxa"/>
              <w:right w:w="15" w:type="dxa"/>
            </w:tcMar>
          </w:tcPr>
          <w:p w14:paraId="409FF533" w14:textId="6F9B1587"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Impact</w:t>
            </w:r>
          </w:p>
        </w:tc>
        <w:tc>
          <w:tcPr>
            <w:tcW w:w="3188" w:type="dxa"/>
            <w:tcBorders>
              <w:top w:val="single" w:sz="6" w:space="0" w:color="ADD6EA"/>
              <w:left w:val="nil"/>
              <w:bottom w:val="single" w:sz="6" w:space="0" w:color="ADD6EA"/>
              <w:right w:val="nil"/>
            </w:tcBorders>
            <w:tcMar>
              <w:left w:w="15" w:type="dxa"/>
              <w:right w:w="15" w:type="dxa"/>
            </w:tcMar>
          </w:tcPr>
          <w:p w14:paraId="31153FC4" w14:textId="73175EEF"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Payments are for the development of a cultural centre. This is a state service and needs are assessed under Services to Communities.</w:t>
            </w:r>
          </w:p>
        </w:tc>
      </w:tr>
      <w:tr w:rsidR="083C5A09" w14:paraId="417ACFCA" w14:textId="77777777" w:rsidTr="00F32A8C">
        <w:trPr>
          <w:trHeight w:val="450"/>
        </w:trPr>
        <w:tc>
          <w:tcPr>
            <w:tcW w:w="1504" w:type="dxa"/>
            <w:tcBorders>
              <w:top w:val="single" w:sz="6" w:space="0" w:color="ADD6EA"/>
              <w:left w:val="nil"/>
              <w:bottom w:val="single" w:sz="6" w:space="0" w:color="ADD6EA"/>
              <w:right w:val="nil"/>
            </w:tcBorders>
            <w:tcMar>
              <w:left w:w="15" w:type="dxa"/>
              <w:right w:w="15" w:type="dxa"/>
            </w:tcMar>
          </w:tcPr>
          <w:p w14:paraId="020D7871" w14:textId="2EFCFE74"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Albury Airport Western Precinct Expansion</w:t>
            </w:r>
          </w:p>
        </w:tc>
        <w:tc>
          <w:tcPr>
            <w:tcW w:w="2479" w:type="dxa"/>
            <w:tcBorders>
              <w:top w:val="single" w:sz="6" w:space="0" w:color="ADD6EA"/>
              <w:left w:val="nil"/>
              <w:bottom w:val="single" w:sz="6" w:space="0" w:color="ADD6EA"/>
              <w:right w:val="nil"/>
            </w:tcBorders>
            <w:tcMar>
              <w:left w:w="15" w:type="dxa"/>
              <w:right w:w="15" w:type="dxa"/>
            </w:tcMar>
          </w:tcPr>
          <w:p w14:paraId="6DF7DE9F" w14:textId="4E4E9294"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 xml:space="preserve">Infrastructure to enable the development of the Airports Western Precinct to support aerial firefighting, aeromedical services, general aviation, </w:t>
            </w:r>
            <w:proofErr w:type="gramStart"/>
            <w:r w:rsidRPr="1C8CF150">
              <w:rPr>
                <w:rFonts w:ascii="Open Sans Light" w:eastAsia="Open Sans Light" w:hAnsi="Open Sans Light" w:cs="Open Sans Light"/>
                <w:color w:val="000000" w:themeColor="text1"/>
                <w:sz w:val="16"/>
                <w:szCs w:val="16"/>
              </w:rPr>
              <w:t>freight</w:t>
            </w:r>
            <w:proofErr w:type="gramEnd"/>
            <w:r w:rsidRPr="1C8CF150">
              <w:rPr>
                <w:rFonts w:ascii="Open Sans Light" w:eastAsia="Open Sans Light" w:hAnsi="Open Sans Light" w:cs="Open Sans Light"/>
                <w:color w:val="000000" w:themeColor="text1"/>
                <w:sz w:val="16"/>
                <w:szCs w:val="16"/>
              </w:rPr>
              <w:t xml:space="preserve"> and emerging technology.</w:t>
            </w:r>
          </w:p>
        </w:tc>
        <w:tc>
          <w:tcPr>
            <w:tcW w:w="992" w:type="dxa"/>
            <w:tcBorders>
              <w:top w:val="single" w:sz="6" w:space="0" w:color="ADD6EA"/>
              <w:left w:val="nil"/>
              <w:bottom w:val="single" w:sz="6" w:space="0" w:color="ADD6EA"/>
              <w:right w:val="nil"/>
            </w:tcBorders>
            <w:tcMar>
              <w:left w:w="15" w:type="dxa"/>
              <w:right w:w="75" w:type="dxa"/>
            </w:tcMar>
          </w:tcPr>
          <w:p w14:paraId="4000BF50" w14:textId="4F587064" w:rsidR="083C5A09" w:rsidRDefault="083C5A09" w:rsidP="1C8CF150">
            <w:pPr>
              <w:spacing w:after="0" w:line="240" w:lineRule="auto"/>
              <w:jc w:val="right"/>
              <w:rPr>
                <w:rFonts w:ascii="Open Sans Light" w:eastAsia="Open Sans Light" w:hAnsi="Open Sans Light" w:cs="Open Sans Light"/>
                <w:color w:val="000000" w:themeColor="text1"/>
                <w:sz w:val="16"/>
                <w:szCs w:val="16"/>
              </w:rPr>
            </w:pPr>
          </w:p>
        </w:tc>
        <w:tc>
          <w:tcPr>
            <w:tcW w:w="851" w:type="dxa"/>
            <w:tcBorders>
              <w:top w:val="single" w:sz="6" w:space="0" w:color="ADD6EA"/>
              <w:left w:val="nil"/>
              <w:bottom w:val="single" w:sz="6" w:space="0" w:color="ADD6EA"/>
              <w:right w:val="nil"/>
            </w:tcBorders>
            <w:shd w:val="clear" w:color="auto" w:fill="auto"/>
            <w:tcMar>
              <w:left w:w="15" w:type="dxa"/>
              <w:right w:w="15" w:type="dxa"/>
            </w:tcMar>
          </w:tcPr>
          <w:p w14:paraId="22BC967E" w14:textId="171C8AAC"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Impact</w:t>
            </w:r>
          </w:p>
        </w:tc>
        <w:tc>
          <w:tcPr>
            <w:tcW w:w="3188" w:type="dxa"/>
            <w:tcBorders>
              <w:top w:val="single" w:sz="6" w:space="0" w:color="ADD6EA"/>
              <w:left w:val="nil"/>
              <w:bottom w:val="single" w:sz="6" w:space="0" w:color="ADD6EA"/>
              <w:right w:val="nil"/>
            </w:tcBorders>
            <w:shd w:val="clear" w:color="auto" w:fill="auto"/>
            <w:tcMar>
              <w:left w:w="15" w:type="dxa"/>
              <w:right w:w="15" w:type="dxa"/>
            </w:tcMar>
          </w:tcPr>
          <w:p w14:paraId="53E48800" w14:textId="4BCE47FD" w:rsidR="083C5A09" w:rsidRDefault="083C5A09" w:rsidP="1C8CF150">
            <w:pPr>
              <w:spacing w:after="0" w:line="240" w:lineRule="auto"/>
              <w:rPr>
                <w:rFonts w:ascii="Open Sans Light" w:eastAsia="Open Sans Light" w:hAnsi="Open Sans Light" w:cs="Open Sans Light"/>
                <w:color w:val="000000" w:themeColor="text1"/>
                <w:sz w:val="16"/>
                <w:szCs w:val="16"/>
              </w:rPr>
            </w:pPr>
            <w:r w:rsidRPr="0095415D">
              <w:rPr>
                <w:rFonts w:ascii="Open Sans Light" w:eastAsia="Open Sans Light" w:hAnsi="Open Sans Light" w:cs="Open Sans Light"/>
                <w:color w:val="000000" w:themeColor="text1"/>
                <w:sz w:val="16"/>
                <w:szCs w:val="16"/>
              </w:rPr>
              <w:t>Payment supports emergency and industry services. General public services, including public safety, is a state responsibility and needs are assessed.</w:t>
            </w:r>
          </w:p>
        </w:tc>
      </w:tr>
      <w:tr w:rsidR="083C5A09" w14:paraId="5BC604C1" w14:textId="77777777" w:rsidTr="00F32A8C">
        <w:trPr>
          <w:trHeight w:val="450"/>
        </w:trPr>
        <w:tc>
          <w:tcPr>
            <w:tcW w:w="1504" w:type="dxa"/>
            <w:tcBorders>
              <w:top w:val="single" w:sz="6" w:space="0" w:color="ADD6EA"/>
              <w:left w:val="nil"/>
              <w:bottom w:val="single" w:sz="6" w:space="0" w:color="ADD6EA"/>
              <w:right w:val="nil"/>
            </w:tcBorders>
            <w:tcMar>
              <w:left w:w="15" w:type="dxa"/>
              <w:right w:w="15" w:type="dxa"/>
            </w:tcMar>
          </w:tcPr>
          <w:p w14:paraId="33E422DF" w14:textId="7D2F9DE8"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Wodonga TAFE Heavy Vehicle Technology Program - Stage 1</w:t>
            </w:r>
          </w:p>
        </w:tc>
        <w:tc>
          <w:tcPr>
            <w:tcW w:w="2479" w:type="dxa"/>
            <w:tcBorders>
              <w:top w:val="single" w:sz="6" w:space="0" w:color="ADD6EA"/>
              <w:left w:val="nil"/>
              <w:bottom w:val="single" w:sz="6" w:space="0" w:color="ADD6EA"/>
              <w:right w:val="nil"/>
            </w:tcBorders>
            <w:tcMar>
              <w:left w:w="15" w:type="dxa"/>
              <w:right w:w="15" w:type="dxa"/>
            </w:tcMar>
          </w:tcPr>
          <w:p w14:paraId="2839EB5A" w14:textId="4EDF8625"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The Heavy Vehicle Training Program proposes increased scale and specialised facilities that will significantly improve heavy vehicle training capacity and capability.  Wodonga TAFE Logic Innovation Precinct Stage 1 Heavy Vehicle Technology Program includes six projects and three construction phases:  Heavy vehicle 4WD obstacle circuit; Cyber Range; Heavy vehicle workshop; Main Client Building; Carpark; and External infrastructure upgrades.</w:t>
            </w:r>
          </w:p>
        </w:tc>
        <w:tc>
          <w:tcPr>
            <w:tcW w:w="992" w:type="dxa"/>
            <w:tcBorders>
              <w:top w:val="single" w:sz="6" w:space="0" w:color="ADD6EA"/>
              <w:left w:val="nil"/>
              <w:bottom w:val="single" w:sz="6" w:space="0" w:color="ADD6EA"/>
              <w:right w:val="nil"/>
            </w:tcBorders>
            <w:tcMar>
              <w:left w:w="15" w:type="dxa"/>
              <w:right w:w="75" w:type="dxa"/>
            </w:tcMar>
          </w:tcPr>
          <w:p w14:paraId="6897E2DE" w14:textId="5BE42AA0" w:rsidR="083C5A09" w:rsidRDefault="083C5A09" w:rsidP="1C8CF150">
            <w:pPr>
              <w:spacing w:after="0" w:line="240" w:lineRule="auto"/>
              <w:jc w:val="right"/>
              <w:rPr>
                <w:rFonts w:ascii="Open Sans Light" w:eastAsia="Open Sans Light" w:hAnsi="Open Sans Light" w:cs="Open Sans Light"/>
                <w:color w:val="000000" w:themeColor="text1"/>
                <w:sz w:val="16"/>
                <w:szCs w:val="16"/>
              </w:rPr>
            </w:pPr>
          </w:p>
        </w:tc>
        <w:tc>
          <w:tcPr>
            <w:tcW w:w="851" w:type="dxa"/>
            <w:tcBorders>
              <w:top w:val="single" w:sz="6" w:space="0" w:color="ADD6EA"/>
              <w:left w:val="nil"/>
              <w:bottom w:val="single" w:sz="6" w:space="0" w:color="ADD6EA"/>
              <w:right w:val="nil"/>
            </w:tcBorders>
            <w:tcMar>
              <w:left w:w="15" w:type="dxa"/>
              <w:right w:w="15" w:type="dxa"/>
            </w:tcMar>
          </w:tcPr>
          <w:p w14:paraId="3C7CCF6B" w14:textId="6D7AC259"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Impact</w:t>
            </w:r>
          </w:p>
        </w:tc>
        <w:tc>
          <w:tcPr>
            <w:tcW w:w="3188" w:type="dxa"/>
            <w:tcBorders>
              <w:top w:val="single" w:sz="6" w:space="0" w:color="ADD6EA"/>
              <w:left w:val="nil"/>
              <w:bottom w:val="single" w:sz="6" w:space="0" w:color="ADD6EA"/>
              <w:right w:val="nil"/>
            </w:tcBorders>
            <w:tcMar>
              <w:left w:w="15" w:type="dxa"/>
              <w:right w:w="15" w:type="dxa"/>
            </w:tcMar>
          </w:tcPr>
          <w:p w14:paraId="65F4EABE" w14:textId="29B87623" w:rsidR="083C5A09" w:rsidRDefault="083C5A09" w:rsidP="1C8CF150">
            <w:pPr>
              <w:spacing w:after="0" w:line="240" w:lineRule="auto"/>
              <w:rPr>
                <w:rFonts w:ascii="Open Sans Light" w:eastAsia="Open Sans Light" w:hAnsi="Open Sans Light" w:cs="Open Sans Light"/>
                <w:color w:val="000000" w:themeColor="text1"/>
                <w:sz w:val="16"/>
                <w:szCs w:val="16"/>
              </w:rPr>
            </w:pPr>
            <w:r w:rsidRPr="1C8CF150">
              <w:rPr>
                <w:rFonts w:ascii="Open Sans Light" w:eastAsia="Open Sans Light" w:hAnsi="Open Sans Light" w:cs="Open Sans Light"/>
                <w:color w:val="000000" w:themeColor="text1"/>
                <w:sz w:val="16"/>
                <w:szCs w:val="16"/>
              </w:rPr>
              <w:t>Payment supports investment in a TAFE facility. Investment in post-secondary education is a state function and needs are assessed.</w:t>
            </w:r>
          </w:p>
        </w:tc>
      </w:tr>
    </w:tbl>
    <w:p w14:paraId="407BAC70" w14:textId="3122A286" w:rsidR="00447041" w:rsidRPr="00BE73C1" w:rsidRDefault="33175D9C" w:rsidP="00BE73C1">
      <w:pPr>
        <w:pStyle w:val="Tablenote"/>
        <w:ind w:left="0" w:firstLine="0"/>
        <w:rPr>
          <w:rFonts w:ascii="Work Sans" w:eastAsia="Open Sans Light" w:hAnsi="Work Sans" w:cs="Open Sans Light"/>
          <w:color w:val="000000" w:themeColor="text1"/>
        </w:rPr>
      </w:pPr>
      <w:r w:rsidRPr="00BE73C1">
        <w:rPr>
          <w:rFonts w:ascii="Work Sans" w:eastAsia="Open Sans Light" w:hAnsi="Work Sans" w:cs="Open Sans Light"/>
          <w:color w:val="000000" w:themeColor="text1"/>
        </w:rPr>
        <w:t>Source: Department of Infrastructure</w:t>
      </w:r>
    </w:p>
    <w:p w14:paraId="0A802F6C" w14:textId="21D6B4A1" w:rsidR="00447041" w:rsidRDefault="00447041">
      <w:pPr>
        <w:rPr>
          <w:rFonts w:ascii="Open Sans Light" w:eastAsia="Open Sans Light" w:hAnsi="Open Sans Light" w:cs="Open Sans Light"/>
          <w:color w:val="000000" w:themeColor="text1"/>
          <w:sz w:val="14"/>
        </w:rPr>
      </w:pPr>
    </w:p>
    <w:sectPr w:rsidR="00447041" w:rsidSect="00296E5D">
      <w:headerReference w:type="default" r:id="rId22"/>
      <w:headerReference w:type="first" r:id="rId23"/>
      <w:pgSz w:w="11906" w:h="16838"/>
      <w:pgMar w:top="1440" w:right="1440" w:bottom="1440" w:left="1440"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4AD6C" w14:textId="77777777" w:rsidR="001835FC" w:rsidRDefault="001835FC" w:rsidP="00CF2841">
      <w:pPr>
        <w:spacing w:after="0" w:line="240" w:lineRule="auto"/>
      </w:pPr>
      <w:r>
        <w:separator/>
      </w:r>
    </w:p>
  </w:endnote>
  <w:endnote w:type="continuationSeparator" w:id="0">
    <w:p w14:paraId="62BE4611" w14:textId="77777777" w:rsidR="001835FC" w:rsidRDefault="001835FC" w:rsidP="00CF2841">
      <w:pPr>
        <w:spacing w:after="0" w:line="240" w:lineRule="auto"/>
      </w:pPr>
      <w:r>
        <w:continuationSeparator/>
      </w:r>
    </w:p>
  </w:endnote>
  <w:endnote w:type="continuationNotice" w:id="1">
    <w:p w14:paraId="78855974" w14:textId="77777777" w:rsidR="001835FC" w:rsidRDefault="001835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ork Sans SemiBold">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85789"/>
      <w:docPartObj>
        <w:docPartGallery w:val="Page Numbers (Bottom of Page)"/>
        <w:docPartUnique/>
      </w:docPartObj>
    </w:sdtPr>
    <w:sdtEndPr>
      <w:rPr>
        <w:noProof/>
      </w:rPr>
    </w:sdtEndPr>
    <w:sdtContent>
      <w:p w14:paraId="46E166DD" w14:textId="3DD4FFA4" w:rsidR="005E6CC2" w:rsidRDefault="005E6C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29E654" w14:textId="77777777" w:rsidR="008A5137" w:rsidRDefault="008A51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721957"/>
      <w:docPartObj>
        <w:docPartGallery w:val="Page Numbers (Bottom of Page)"/>
        <w:docPartUnique/>
      </w:docPartObj>
    </w:sdtPr>
    <w:sdtEndPr>
      <w:rPr>
        <w:noProof/>
      </w:rPr>
    </w:sdtEndPr>
    <w:sdtContent>
      <w:p w14:paraId="42ED8F8B" w14:textId="19D543E5" w:rsidR="00296E5D" w:rsidRDefault="00635C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5AEB96" w14:textId="77777777" w:rsidR="00635CB3" w:rsidRDefault="00635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FE8EF" w14:textId="77777777" w:rsidR="001835FC" w:rsidRDefault="001835FC" w:rsidP="00CF2841">
      <w:pPr>
        <w:spacing w:after="0" w:line="240" w:lineRule="auto"/>
      </w:pPr>
      <w:r>
        <w:separator/>
      </w:r>
    </w:p>
  </w:footnote>
  <w:footnote w:type="continuationSeparator" w:id="0">
    <w:p w14:paraId="6F663EBD" w14:textId="77777777" w:rsidR="001835FC" w:rsidRDefault="001835FC" w:rsidP="00CF2841">
      <w:pPr>
        <w:spacing w:after="0" w:line="240" w:lineRule="auto"/>
      </w:pPr>
      <w:r>
        <w:continuationSeparator/>
      </w:r>
    </w:p>
  </w:footnote>
  <w:footnote w:type="continuationNotice" w:id="1">
    <w:p w14:paraId="4ED6FA23" w14:textId="77777777" w:rsidR="001835FC" w:rsidRDefault="001835FC">
      <w:pPr>
        <w:spacing w:after="0" w:line="240" w:lineRule="auto"/>
      </w:pPr>
    </w:p>
  </w:footnote>
  <w:footnote w:id="2">
    <w:p w14:paraId="3F0AE070" w14:textId="4CD34190" w:rsidR="00C61EF3" w:rsidRPr="001C6958" w:rsidRDefault="00C61EF3">
      <w:pPr>
        <w:pStyle w:val="FootnoteText"/>
        <w:rPr>
          <w:rFonts w:ascii="Work Sans" w:hAnsi="Work Sans"/>
          <w:sz w:val="16"/>
          <w:szCs w:val="16"/>
        </w:rPr>
      </w:pPr>
      <w:r>
        <w:rPr>
          <w:rStyle w:val="FootnoteReference"/>
        </w:rPr>
        <w:footnoteRef/>
      </w:r>
      <w:r w:rsidRPr="001C6958">
        <w:rPr>
          <w:rFonts w:ascii="Work Sans" w:hAnsi="Work Sans"/>
          <w:sz w:val="16"/>
          <w:szCs w:val="16"/>
        </w:rPr>
        <w:t xml:space="preserve"> </w:t>
      </w:r>
      <w:r w:rsidR="0014644E" w:rsidRPr="001C6958">
        <w:rPr>
          <w:rFonts w:ascii="Work Sans" w:hAnsi="Work Sans"/>
          <w:sz w:val="16"/>
          <w:szCs w:val="16"/>
        </w:rPr>
        <w:t xml:space="preserve">IRSEO is </w:t>
      </w:r>
      <w:r w:rsidR="006C04E2" w:rsidRPr="001C6958">
        <w:rPr>
          <w:rFonts w:ascii="Work Sans" w:hAnsi="Work Sans"/>
          <w:sz w:val="16"/>
          <w:szCs w:val="16"/>
        </w:rPr>
        <w:t>p</w:t>
      </w:r>
      <w:r w:rsidR="00672888" w:rsidRPr="001C6958">
        <w:rPr>
          <w:rFonts w:ascii="Work Sans" w:hAnsi="Work Sans"/>
          <w:sz w:val="16"/>
          <w:szCs w:val="16"/>
        </w:rPr>
        <w:t xml:space="preserve">roduced </w:t>
      </w:r>
      <w:r w:rsidR="0008139F" w:rsidRPr="001C6958">
        <w:rPr>
          <w:rFonts w:ascii="Work Sans" w:hAnsi="Work Sans"/>
          <w:sz w:val="16"/>
          <w:szCs w:val="16"/>
        </w:rPr>
        <w:t xml:space="preserve">by the </w:t>
      </w:r>
      <w:r w:rsidRPr="001C6958">
        <w:rPr>
          <w:rFonts w:ascii="Work Sans" w:hAnsi="Work Sans"/>
          <w:sz w:val="16"/>
          <w:szCs w:val="16"/>
        </w:rPr>
        <w:t>Centre for Aboriginal Economic and Policy Research (CAEPR)</w:t>
      </w:r>
      <w:r w:rsidR="0008139F" w:rsidRPr="001C6958">
        <w:rPr>
          <w:rFonts w:ascii="Work Sans" w:hAnsi="Work Sans"/>
          <w:sz w:val="16"/>
          <w:szCs w:val="16"/>
        </w:rPr>
        <w:t>.</w:t>
      </w:r>
    </w:p>
  </w:footnote>
  <w:footnote w:id="3">
    <w:p w14:paraId="106C1A0C" w14:textId="5B0E33EA" w:rsidR="00BC3880" w:rsidRPr="001C6958" w:rsidRDefault="00BC3880">
      <w:pPr>
        <w:pStyle w:val="FootnoteText"/>
        <w:rPr>
          <w:rFonts w:ascii="Work Sans" w:hAnsi="Work Sans"/>
          <w:sz w:val="16"/>
          <w:szCs w:val="16"/>
        </w:rPr>
      </w:pPr>
      <w:r>
        <w:rPr>
          <w:rStyle w:val="FootnoteReference"/>
        </w:rPr>
        <w:footnoteRef/>
      </w:r>
      <w:r w:rsidRPr="001C6958">
        <w:rPr>
          <w:rFonts w:ascii="Work Sans" w:hAnsi="Work Sans"/>
          <w:sz w:val="16"/>
          <w:szCs w:val="16"/>
        </w:rPr>
        <w:t xml:space="preserve"> </w:t>
      </w:r>
      <w:r w:rsidR="001A1390" w:rsidRPr="001C6958">
        <w:rPr>
          <w:rFonts w:ascii="Work Sans" w:hAnsi="Work Sans"/>
          <w:sz w:val="16"/>
          <w:szCs w:val="16"/>
        </w:rPr>
        <w:t xml:space="preserve">NISEIFA </w:t>
      </w:r>
      <w:r w:rsidR="007D6B36" w:rsidRPr="001C6958">
        <w:rPr>
          <w:rFonts w:ascii="Work Sans" w:hAnsi="Work Sans"/>
          <w:sz w:val="16"/>
          <w:szCs w:val="16"/>
        </w:rPr>
        <w:t xml:space="preserve">was developed by the Australian Bureau of Statistics </w:t>
      </w:r>
      <w:r w:rsidR="004274DB" w:rsidRPr="001C6958">
        <w:rPr>
          <w:rFonts w:ascii="Work Sans" w:hAnsi="Work Sans"/>
          <w:sz w:val="16"/>
          <w:szCs w:val="16"/>
        </w:rPr>
        <w:t>for the Commission</w:t>
      </w:r>
      <w:r w:rsidR="00F35BC7" w:rsidRPr="001C6958">
        <w:rPr>
          <w:rFonts w:ascii="Work Sans" w:hAnsi="Work Sans"/>
          <w:sz w:val="16"/>
          <w:szCs w:val="16"/>
        </w:rPr>
        <w:t xml:space="preserve"> in 2011</w:t>
      </w:r>
      <w:r w:rsidR="00116DDB" w:rsidRPr="001C6958">
        <w:rPr>
          <w:rFonts w:ascii="Work Sans" w:hAnsi="Work Sans"/>
          <w:sz w:val="16"/>
          <w:szCs w:val="16"/>
        </w:rPr>
        <w:t xml:space="preserve"> a</w:t>
      </w:r>
      <w:r w:rsidR="00F35BC7" w:rsidRPr="001C6958">
        <w:rPr>
          <w:rFonts w:ascii="Work Sans" w:hAnsi="Work Sans"/>
          <w:sz w:val="16"/>
          <w:szCs w:val="16"/>
        </w:rPr>
        <w:t xml:space="preserve">nd updated by </w:t>
      </w:r>
      <w:r w:rsidR="000A146C" w:rsidRPr="001C6958">
        <w:rPr>
          <w:rFonts w:ascii="Work Sans" w:hAnsi="Work Sans"/>
          <w:sz w:val="16"/>
          <w:szCs w:val="16"/>
        </w:rPr>
        <w:t xml:space="preserve">Commission staff </w:t>
      </w:r>
      <w:r w:rsidR="003A788E" w:rsidRPr="001C6958">
        <w:rPr>
          <w:rFonts w:ascii="Work Sans" w:hAnsi="Work Sans"/>
          <w:sz w:val="16"/>
          <w:szCs w:val="16"/>
        </w:rPr>
        <w:t xml:space="preserve">for subsequent </w:t>
      </w:r>
      <w:r w:rsidR="00C314C6" w:rsidRPr="001C6958">
        <w:rPr>
          <w:rFonts w:ascii="Work Sans" w:hAnsi="Work Sans"/>
          <w:sz w:val="16"/>
          <w:szCs w:val="16"/>
        </w:rPr>
        <w:t>censuses.</w:t>
      </w:r>
    </w:p>
  </w:footnote>
  <w:footnote w:id="4">
    <w:p w14:paraId="5E8721D0" w14:textId="77777777" w:rsidR="008A6A85" w:rsidRDefault="008A6A85" w:rsidP="008A6A85">
      <w:pPr>
        <w:pStyle w:val="FootnoteText"/>
      </w:pPr>
      <w:r>
        <w:rPr>
          <w:rStyle w:val="FootnoteReference"/>
        </w:rPr>
        <w:footnoteRef/>
      </w:r>
      <w:r w:rsidRPr="001C6958">
        <w:rPr>
          <w:rFonts w:ascii="Work Sans" w:hAnsi="Work Sans"/>
          <w:sz w:val="16"/>
          <w:szCs w:val="16"/>
        </w:rPr>
        <w:t xml:space="preserve"> SEIFA is produced by the Australian Bureau of Statistics.</w:t>
      </w:r>
    </w:p>
  </w:footnote>
  <w:footnote w:id="5">
    <w:p w14:paraId="2D315593" w14:textId="12839647" w:rsidR="002338F2" w:rsidRDefault="002338F2" w:rsidP="002338F2">
      <w:pPr>
        <w:pStyle w:val="FootnoteText"/>
      </w:pPr>
      <w:r>
        <w:rPr>
          <w:rStyle w:val="FootnoteReference"/>
        </w:rPr>
        <w:footnoteRef/>
      </w:r>
      <w:r w:rsidRPr="0069018A">
        <w:rPr>
          <w:rFonts w:ascii="Work Sans" w:hAnsi="Work Sans"/>
          <w:sz w:val="16"/>
          <w:szCs w:val="16"/>
        </w:rPr>
        <w:t xml:space="preserve"> A</w:t>
      </w:r>
      <w:r w:rsidR="00E4515D">
        <w:rPr>
          <w:rFonts w:ascii="Work Sans" w:hAnsi="Work Sans"/>
          <w:sz w:val="16"/>
          <w:szCs w:val="16"/>
        </w:rPr>
        <w:t xml:space="preserve">ustralian </w:t>
      </w:r>
      <w:r w:rsidRPr="0069018A">
        <w:rPr>
          <w:rFonts w:ascii="Work Sans" w:hAnsi="Work Sans"/>
          <w:sz w:val="16"/>
          <w:szCs w:val="16"/>
        </w:rPr>
        <w:t>B</w:t>
      </w:r>
      <w:r w:rsidR="00E4515D">
        <w:rPr>
          <w:rFonts w:ascii="Work Sans" w:hAnsi="Work Sans"/>
          <w:sz w:val="16"/>
          <w:szCs w:val="16"/>
        </w:rPr>
        <w:t xml:space="preserve">ureau of </w:t>
      </w:r>
      <w:r w:rsidRPr="0069018A">
        <w:rPr>
          <w:rFonts w:ascii="Work Sans" w:hAnsi="Work Sans"/>
          <w:sz w:val="16"/>
          <w:szCs w:val="16"/>
        </w:rPr>
        <w:t>S</w:t>
      </w:r>
      <w:r w:rsidR="00021202">
        <w:rPr>
          <w:rFonts w:ascii="Work Sans" w:hAnsi="Work Sans"/>
          <w:sz w:val="16"/>
          <w:szCs w:val="16"/>
        </w:rPr>
        <w:t>tatistics (ABS)</w:t>
      </w:r>
      <w:r w:rsidRPr="0069018A">
        <w:rPr>
          <w:rFonts w:ascii="Work Sans" w:hAnsi="Work Sans"/>
          <w:sz w:val="16"/>
          <w:szCs w:val="16"/>
        </w:rPr>
        <w:t xml:space="preserve">, </w:t>
      </w:r>
      <w:hyperlink r:id="rId1" w:anchor=":~:text=There%20were%20812%2C728%20people%20who,2011%20and%202016%20(18.4%25)." w:history="1">
        <w:r w:rsidRPr="00F8387E">
          <w:rPr>
            <w:rStyle w:val="Hyperlink"/>
            <w:rFonts w:ascii="Work Sans" w:hAnsi="Work Sans"/>
            <w:sz w:val="16"/>
            <w:szCs w:val="16"/>
          </w:rPr>
          <w:t>Understanding change in counts of Aboriginal and Torres Strait Islander Australians: Census</w:t>
        </w:r>
      </w:hyperlink>
      <w:r w:rsidR="00DC7707">
        <w:rPr>
          <w:rFonts w:ascii="Work Sans" w:hAnsi="Work Sans"/>
          <w:sz w:val="16"/>
          <w:szCs w:val="16"/>
        </w:rPr>
        <w:t xml:space="preserve">, </w:t>
      </w:r>
      <w:r w:rsidR="0080647A">
        <w:rPr>
          <w:rFonts w:ascii="Work Sans" w:hAnsi="Work Sans"/>
          <w:sz w:val="16"/>
          <w:szCs w:val="16"/>
        </w:rPr>
        <w:t>ABS</w:t>
      </w:r>
      <w:r w:rsidR="00FA61B5">
        <w:rPr>
          <w:rFonts w:ascii="Work Sans" w:hAnsi="Work Sans"/>
          <w:sz w:val="16"/>
          <w:szCs w:val="16"/>
        </w:rPr>
        <w:t xml:space="preserve"> website</w:t>
      </w:r>
      <w:r w:rsidR="0080647A">
        <w:rPr>
          <w:rFonts w:ascii="Work Sans" w:hAnsi="Work Sans"/>
          <w:sz w:val="16"/>
          <w:szCs w:val="16"/>
        </w:rPr>
        <w:t xml:space="preserve">, </w:t>
      </w:r>
      <w:r w:rsidR="0042051C">
        <w:rPr>
          <w:rFonts w:ascii="Work Sans" w:hAnsi="Work Sans"/>
          <w:sz w:val="16"/>
          <w:szCs w:val="16"/>
        </w:rPr>
        <w:t>202</w:t>
      </w:r>
      <w:r w:rsidR="00A14496">
        <w:rPr>
          <w:rFonts w:ascii="Work Sans" w:hAnsi="Work Sans"/>
          <w:sz w:val="16"/>
          <w:szCs w:val="16"/>
        </w:rPr>
        <w:t>3</w:t>
      </w:r>
      <w:r w:rsidR="0042051C">
        <w:rPr>
          <w:rFonts w:ascii="Work Sans" w:hAnsi="Work Sans"/>
          <w:sz w:val="16"/>
          <w:szCs w:val="16"/>
        </w:rPr>
        <w:t xml:space="preserve">, accessed </w:t>
      </w:r>
      <w:r w:rsidR="00281E9B">
        <w:rPr>
          <w:rFonts w:ascii="Work Sans" w:hAnsi="Work Sans"/>
          <w:sz w:val="16"/>
          <w:szCs w:val="16"/>
        </w:rPr>
        <w:t xml:space="preserve">10 </w:t>
      </w:r>
      <w:r w:rsidR="00420E67">
        <w:rPr>
          <w:rFonts w:ascii="Work Sans" w:hAnsi="Work Sans"/>
          <w:sz w:val="16"/>
          <w:szCs w:val="16"/>
        </w:rPr>
        <w:t xml:space="preserve">September </w:t>
      </w:r>
      <w:r w:rsidR="00B55534">
        <w:rPr>
          <w:rFonts w:ascii="Work Sans" w:hAnsi="Work Sans"/>
          <w:sz w:val="16"/>
          <w:szCs w:val="16"/>
        </w:rPr>
        <w:t>2023.</w:t>
      </w:r>
    </w:p>
  </w:footnote>
  <w:footnote w:id="6">
    <w:p w14:paraId="5DFB99F0" w14:textId="66192AE9" w:rsidR="004D786B" w:rsidRPr="0069018A" w:rsidRDefault="004D786B" w:rsidP="004D786B">
      <w:pPr>
        <w:pStyle w:val="FootnoteText"/>
        <w:rPr>
          <w:rFonts w:ascii="Work Sans" w:hAnsi="Work Sans"/>
          <w:sz w:val="16"/>
          <w:szCs w:val="16"/>
        </w:rPr>
      </w:pPr>
      <w:r>
        <w:rPr>
          <w:rStyle w:val="FootnoteReference"/>
        </w:rPr>
        <w:footnoteRef/>
      </w:r>
      <w:r w:rsidRPr="0069018A">
        <w:rPr>
          <w:rFonts w:ascii="Work Sans" w:hAnsi="Work Sans"/>
          <w:sz w:val="16"/>
          <w:szCs w:val="16"/>
        </w:rPr>
        <w:t xml:space="preserve"> Commonwealth Grants Commission </w:t>
      </w:r>
      <w:r w:rsidR="00342367">
        <w:rPr>
          <w:rFonts w:ascii="Work Sans" w:hAnsi="Work Sans"/>
          <w:sz w:val="16"/>
          <w:szCs w:val="16"/>
        </w:rPr>
        <w:t>(CGC</w:t>
      </w:r>
      <w:r w:rsidR="00013CA8">
        <w:rPr>
          <w:rFonts w:ascii="Work Sans" w:hAnsi="Work Sans"/>
          <w:sz w:val="16"/>
          <w:szCs w:val="16"/>
        </w:rPr>
        <w:t>)</w:t>
      </w:r>
      <w:r w:rsidR="00DD0919">
        <w:rPr>
          <w:rFonts w:ascii="Work Sans" w:hAnsi="Work Sans"/>
          <w:sz w:val="16"/>
          <w:szCs w:val="16"/>
        </w:rPr>
        <w:t>,</w:t>
      </w:r>
      <w:r w:rsidR="007B0A50">
        <w:rPr>
          <w:rFonts w:ascii="Work Sans" w:hAnsi="Work Sans"/>
          <w:sz w:val="16"/>
          <w:szCs w:val="16"/>
        </w:rPr>
        <w:t xml:space="preserve"> </w:t>
      </w:r>
      <w:hyperlink r:id="rId2" w:anchor="final-report" w:history="1">
        <w:r w:rsidR="007B0A50">
          <w:rPr>
            <w:rStyle w:val="Hyperlink"/>
            <w:rFonts w:ascii="Work Sans" w:hAnsi="Work Sans"/>
            <w:sz w:val="16"/>
            <w:szCs w:val="16"/>
          </w:rPr>
          <w:t>Report on GST Revenue Sharing Relativities</w:t>
        </w:r>
        <w:r w:rsidR="002D02C2">
          <w:rPr>
            <w:rStyle w:val="Hyperlink"/>
            <w:rFonts w:ascii="Work Sans" w:hAnsi="Work Sans"/>
            <w:sz w:val="16"/>
            <w:szCs w:val="16"/>
          </w:rPr>
          <w:t>, 2018 Update</w:t>
        </w:r>
      </w:hyperlink>
      <w:r w:rsidRPr="0069018A">
        <w:rPr>
          <w:rFonts w:ascii="Work Sans" w:hAnsi="Work Sans"/>
          <w:sz w:val="16"/>
          <w:szCs w:val="16"/>
        </w:rPr>
        <w:t>,</w:t>
      </w:r>
      <w:r w:rsidR="00DA1D01">
        <w:rPr>
          <w:rFonts w:ascii="Work Sans" w:hAnsi="Work Sans"/>
          <w:sz w:val="16"/>
          <w:szCs w:val="16"/>
        </w:rPr>
        <w:t xml:space="preserve"> CGC</w:t>
      </w:r>
      <w:r w:rsidR="007B0A50">
        <w:rPr>
          <w:rFonts w:ascii="Work Sans" w:hAnsi="Work Sans"/>
          <w:sz w:val="16"/>
          <w:szCs w:val="16"/>
        </w:rPr>
        <w:t>, 2018,</w:t>
      </w:r>
      <w:r w:rsidRPr="0069018A">
        <w:rPr>
          <w:rFonts w:ascii="Work Sans" w:hAnsi="Work Sans"/>
          <w:sz w:val="16"/>
          <w:szCs w:val="16"/>
        </w:rPr>
        <w:t xml:space="preserve"> p 42</w:t>
      </w:r>
      <w:r w:rsidR="007B0A50">
        <w:rPr>
          <w:rFonts w:ascii="Work Sans" w:hAnsi="Work Sans"/>
          <w:sz w:val="16"/>
          <w:szCs w:val="16"/>
        </w:rPr>
        <w:t>.</w:t>
      </w:r>
      <w:r w:rsidRPr="0069018A">
        <w:rPr>
          <w:rFonts w:ascii="Work Sans" w:hAnsi="Work Sans"/>
          <w:sz w:val="16"/>
          <w:szCs w:val="16"/>
        </w:rPr>
        <w:t xml:space="preserve">  </w:t>
      </w:r>
    </w:p>
  </w:footnote>
  <w:footnote w:id="7">
    <w:p w14:paraId="28E6E991" w14:textId="77777777" w:rsidR="00586CC4" w:rsidRPr="00580DE4" w:rsidRDefault="00586CC4" w:rsidP="00586CC4">
      <w:pPr>
        <w:pStyle w:val="FootnoteText"/>
        <w:rPr>
          <w:rStyle w:val="FootnoteReference"/>
        </w:rPr>
      </w:pPr>
      <w:r>
        <w:rPr>
          <w:rStyle w:val="FootnoteReference"/>
        </w:rPr>
        <w:footnoteRef/>
      </w:r>
      <w:r w:rsidRPr="00580DE4">
        <w:rPr>
          <w:rStyle w:val="FootnoteReference"/>
        </w:rPr>
        <w:t xml:space="preserve"> the introduction of a ferry service as a mode of transport is also updated in an update.</w:t>
      </w:r>
    </w:p>
  </w:footnote>
  <w:footnote w:id="8">
    <w:p w14:paraId="0885F3F5" w14:textId="743ADD91" w:rsidR="00C60681" w:rsidRDefault="00C60681">
      <w:pPr>
        <w:pStyle w:val="FootnoteText"/>
      </w:pPr>
      <w:r>
        <w:rPr>
          <w:rStyle w:val="FootnoteReference"/>
        </w:rPr>
        <w:footnoteRef/>
      </w:r>
      <w:r>
        <w:t xml:space="preserve"> </w:t>
      </w:r>
      <w:r w:rsidRPr="00D54360">
        <w:rPr>
          <w:rFonts w:ascii="Work Sans" w:hAnsi="Work Sans"/>
          <w:sz w:val="16"/>
          <w:szCs w:val="16"/>
        </w:rPr>
        <w:t xml:space="preserve">After controlling for changes due to </w:t>
      </w:r>
      <w:r w:rsidR="00E40740">
        <w:rPr>
          <w:rFonts w:ascii="Work Sans" w:hAnsi="Work Sans"/>
          <w:sz w:val="16"/>
          <w:szCs w:val="16"/>
        </w:rPr>
        <w:t xml:space="preserve">ABS </w:t>
      </w:r>
      <w:r w:rsidRPr="00D54360">
        <w:rPr>
          <w:rFonts w:ascii="Work Sans" w:hAnsi="Work Sans"/>
          <w:sz w:val="16"/>
          <w:szCs w:val="16"/>
        </w:rPr>
        <w:t>revisions, no statistically significant differences were found in the populations and population</w:t>
      </w:r>
      <w:r w:rsidR="00C105BC">
        <w:rPr>
          <w:rFonts w:ascii="Work Sans" w:hAnsi="Work Sans"/>
          <w:sz w:val="16"/>
          <w:szCs w:val="16"/>
        </w:rPr>
        <w:t>-</w:t>
      </w:r>
      <w:r w:rsidRPr="00D54360">
        <w:rPr>
          <w:rFonts w:ascii="Work Sans" w:hAnsi="Work Sans"/>
          <w:sz w:val="16"/>
          <w:szCs w:val="16"/>
        </w:rPr>
        <w:t xml:space="preserve">weighted densities </w:t>
      </w:r>
      <w:r w:rsidR="002D4A5A">
        <w:rPr>
          <w:rFonts w:ascii="Work Sans" w:hAnsi="Work Sans"/>
          <w:sz w:val="16"/>
          <w:szCs w:val="16"/>
        </w:rPr>
        <w:t>of</w:t>
      </w:r>
      <w:r w:rsidR="009E0BDF" w:rsidRPr="00D54360">
        <w:rPr>
          <w:rFonts w:ascii="Work Sans" w:hAnsi="Work Sans"/>
          <w:sz w:val="16"/>
          <w:szCs w:val="16"/>
        </w:rPr>
        <w:t xml:space="preserve"> the 2016 and 2021 Census </w:t>
      </w:r>
      <w:r w:rsidR="002D4A5A">
        <w:rPr>
          <w:rFonts w:ascii="Work Sans" w:hAnsi="Work Sans"/>
          <w:sz w:val="16"/>
          <w:szCs w:val="16"/>
        </w:rPr>
        <w:t>urban areas</w:t>
      </w:r>
      <w:r w:rsidR="009E0BDF" w:rsidRPr="00D54360">
        <w:rPr>
          <w:rFonts w:ascii="Work Sans" w:hAnsi="Work Sans"/>
          <w:sz w:val="16"/>
          <w:szCs w:val="16"/>
        </w:rPr>
        <w:t>.</w:t>
      </w:r>
      <w:r w:rsidRPr="00D54360">
        <w:rPr>
          <w:rFonts w:ascii="Work Sans" w:hAnsi="Work Sans"/>
          <w:sz w:val="16"/>
          <w:szCs w:val="16"/>
        </w:rPr>
        <w:t xml:space="preserve"> </w:t>
      </w:r>
    </w:p>
  </w:footnote>
  <w:footnote w:id="9">
    <w:p w14:paraId="777D335F" w14:textId="17378562" w:rsidR="00A0377C" w:rsidRDefault="00A0377C" w:rsidP="00A0377C">
      <w:pPr>
        <w:pStyle w:val="FootnoteText"/>
      </w:pPr>
      <w:r w:rsidRPr="00B73BD2">
        <w:rPr>
          <w:rStyle w:val="FootnoteReference"/>
        </w:rPr>
        <w:footnoteRef/>
      </w:r>
      <w:r w:rsidRPr="0049759F">
        <w:rPr>
          <w:rStyle w:val="FootnoteReference"/>
        </w:rPr>
        <w:t xml:space="preserve"> To calculate</w:t>
      </w:r>
      <w:r w:rsidR="00F407C2" w:rsidRPr="0049759F">
        <w:rPr>
          <w:rStyle w:val="FootnoteReference"/>
        </w:rPr>
        <w:t xml:space="preserve"> assessed</w:t>
      </w:r>
      <w:r w:rsidRPr="0049759F">
        <w:rPr>
          <w:rStyle w:val="FootnoteReference"/>
        </w:rPr>
        <w:t xml:space="preserve"> GST needs the 2021 Census urban centre boundaries ha</w:t>
      </w:r>
      <w:r w:rsidR="00D21467" w:rsidRPr="00C11BDE">
        <w:rPr>
          <w:rStyle w:val="FootnoteReference"/>
        </w:rPr>
        <w:t>ve</w:t>
      </w:r>
      <w:r w:rsidRPr="0049759F">
        <w:rPr>
          <w:rStyle w:val="FootnoteReference"/>
        </w:rPr>
        <w:t xml:space="preserve"> been applied to all assessment years. The 2020</w:t>
      </w:r>
      <w:r w:rsidR="00F407C2" w:rsidRPr="0049759F">
        <w:rPr>
          <w:rStyle w:val="FootnoteReference"/>
        </w:rPr>
        <w:t>–</w:t>
      </w:r>
      <w:r w:rsidRPr="0049759F">
        <w:rPr>
          <w:rStyle w:val="FootnoteReference"/>
        </w:rPr>
        <w:t>21 year is shown in Table 2 and Table 3 to aid comparison.</w:t>
      </w:r>
    </w:p>
  </w:footnote>
  <w:footnote w:id="10">
    <w:p w14:paraId="36CAA9F0" w14:textId="77777777" w:rsidR="00A840CA" w:rsidRPr="00AD504B" w:rsidRDefault="00A840CA" w:rsidP="00A840CA">
      <w:pPr>
        <w:pStyle w:val="FootnoteText"/>
        <w:rPr>
          <w:rFonts w:ascii="Work Sans" w:hAnsi="Work Sans"/>
          <w:sz w:val="16"/>
          <w:szCs w:val="16"/>
        </w:rPr>
      </w:pPr>
      <w:r w:rsidRPr="001F3443">
        <w:rPr>
          <w:rStyle w:val="FootnoteReference"/>
        </w:rPr>
        <w:footnoteRef/>
      </w:r>
      <w:r w:rsidRPr="00AD504B">
        <w:rPr>
          <w:rFonts w:ascii="Work Sans" w:hAnsi="Work Sans"/>
          <w:sz w:val="16"/>
          <w:szCs w:val="16"/>
        </w:rPr>
        <w:t xml:space="preserve"> </w:t>
      </w:r>
      <w:r>
        <w:rPr>
          <w:rFonts w:ascii="Work Sans" w:hAnsi="Work Sans"/>
          <w:sz w:val="16"/>
          <w:szCs w:val="16"/>
        </w:rPr>
        <w:t>The g</w:t>
      </w:r>
      <w:r w:rsidRPr="00AD504B">
        <w:rPr>
          <w:rFonts w:ascii="Work Sans" w:hAnsi="Work Sans"/>
          <w:sz w:val="16"/>
          <w:szCs w:val="16"/>
        </w:rPr>
        <w:t xml:space="preserve">eneral </w:t>
      </w:r>
      <w:r>
        <w:rPr>
          <w:rFonts w:ascii="Work Sans" w:hAnsi="Work Sans"/>
          <w:sz w:val="16"/>
          <w:szCs w:val="16"/>
        </w:rPr>
        <w:t>government sector is not generally liable for payroll tax. States cannot tax the general government sector at the Commonwealth level and raise only minor revenue at the local government level. Payroll tax revenue collected by some states from their general government agencies represents an internal budget transfer.</w:t>
      </w:r>
    </w:p>
  </w:footnote>
  <w:footnote w:id="11">
    <w:p w14:paraId="2C82A1EA" w14:textId="77777777" w:rsidR="00E97AB9" w:rsidRPr="0074270C" w:rsidRDefault="00E97AB9" w:rsidP="00E97AB9">
      <w:pPr>
        <w:pStyle w:val="FootnoteText"/>
        <w:rPr>
          <w:rFonts w:ascii="Work Sans" w:hAnsi="Work Sans"/>
          <w:sz w:val="16"/>
          <w:szCs w:val="16"/>
        </w:rPr>
      </w:pPr>
      <w:r w:rsidRPr="0090101E">
        <w:rPr>
          <w:rStyle w:val="FootnoteReference"/>
        </w:rPr>
        <w:footnoteRef/>
      </w:r>
      <w:r w:rsidRPr="0074270C">
        <w:rPr>
          <w:rFonts w:ascii="Work Sans" w:hAnsi="Work Sans"/>
          <w:sz w:val="16"/>
          <w:szCs w:val="16"/>
        </w:rPr>
        <w:t xml:space="preserve"> </w:t>
      </w:r>
      <w:r>
        <w:rPr>
          <w:rFonts w:ascii="Work Sans" w:hAnsi="Work Sans"/>
          <w:sz w:val="16"/>
          <w:szCs w:val="16"/>
        </w:rPr>
        <w:t>The ABS provides customised p</w:t>
      </w:r>
      <w:r w:rsidRPr="00C45EA9">
        <w:rPr>
          <w:rFonts w:ascii="Work Sans" w:hAnsi="Work Sans"/>
          <w:sz w:val="16"/>
          <w:szCs w:val="16"/>
        </w:rPr>
        <w:t xml:space="preserve">ublic </w:t>
      </w:r>
      <w:r>
        <w:rPr>
          <w:rFonts w:ascii="Work Sans" w:hAnsi="Work Sans"/>
          <w:sz w:val="16"/>
          <w:szCs w:val="16"/>
        </w:rPr>
        <w:t xml:space="preserve">sector wages and salaries data based on its publication Employment and Earnings, Public Sector, Australia. </w:t>
      </w:r>
    </w:p>
  </w:footnote>
  <w:footnote w:id="12">
    <w:p w14:paraId="24B2618B" w14:textId="19E0194D" w:rsidR="001D2241" w:rsidRPr="00432867" w:rsidRDefault="001D2241">
      <w:pPr>
        <w:pStyle w:val="FootnoteText"/>
        <w:rPr>
          <w:rFonts w:ascii="Work Sans" w:hAnsi="Work Sans"/>
          <w:sz w:val="16"/>
          <w:szCs w:val="16"/>
        </w:rPr>
      </w:pPr>
      <w:r w:rsidRPr="00432867">
        <w:rPr>
          <w:rStyle w:val="FootnoteReference"/>
        </w:rPr>
        <w:footnoteRef/>
      </w:r>
      <w:r w:rsidRPr="00432867">
        <w:rPr>
          <w:rFonts w:ascii="Work Sans" w:hAnsi="Work Sans"/>
          <w:sz w:val="16"/>
          <w:szCs w:val="16"/>
        </w:rPr>
        <w:t xml:space="preserve"> The adjustment uses data published</w:t>
      </w:r>
      <w:r w:rsidR="00D87482" w:rsidRPr="00432867">
        <w:rPr>
          <w:rFonts w:ascii="Work Sans" w:hAnsi="Work Sans"/>
          <w:sz w:val="16"/>
          <w:szCs w:val="16"/>
        </w:rPr>
        <w:t xml:space="preserve"> by the Department of Defence and the Department of Foreign Affairs and Trade, together with some historical data from the ABS.</w:t>
      </w:r>
      <w:r w:rsidRPr="00432867">
        <w:rPr>
          <w:rFonts w:ascii="Work Sans" w:hAnsi="Work Sans"/>
          <w:sz w:val="16"/>
          <w:szCs w:val="16"/>
        </w:rPr>
        <w:t xml:space="preserve">  </w:t>
      </w:r>
    </w:p>
  </w:footnote>
  <w:footnote w:id="13">
    <w:p w14:paraId="4C71FF43" w14:textId="3202AAED" w:rsidR="000F5DBF" w:rsidRDefault="000F5DBF">
      <w:pPr>
        <w:pStyle w:val="FootnoteText"/>
      </w:pPr>
      <w:r w:rsidRPr="00432867">
        <w:rPr>
          <w:rStyle w:val="FootnoteReference"/>
        </w:rPr>
        <w:footnoteRef/>
      </w:r>
      <w:r w:rsidRPr="00432867">
        <w:t xml:space="preserve"> </w:t>
      </w:r>
      <w:r w:rsidRPr="00432867">
        <w:rPr>
          <w:rFonts w:ascii="Work Sans" w:hAnsi="Work Sans"/>
          <w:sz w:val="16"/>
          <w:szCs w:val="16"/>
        </w:rPr>
        <w:t>The taxable</w:t>
      </w:r>
      <w:r w:rsidR="00895B6F" w:rsidRPr="00432867">
        <w:rPr>
          <w:rFonts w:ascii="Work Sans" w:hAnsi="Work Sans"/>
          <w:sz w:val="16"/>
          <w:szCs w:val="16"/>
        </w:rPr>
        <w:t xml:space="preserve"> proporti</w:t>
      </w:r>
      <w:r w:rsidR="00391CEE" w:rsidRPr="00432867">
        <w:rPr>
          <w:rFonts w:ascii="Work Sans" w:hAnsi="Work Sans"/>
          <w:sz w:val="16"/>
          <w:szCs w:val="16"/>
        </w:rPr>
        <w:t xml:space="preserve">on will include wages and salaries of ADF personnel and embassy employees in the denominator (total public sector </w:t>
      </w:r>
      <w:r w:rsidR="00350190" w:rsidRPr="00432867">
        <w:rPr>
          <w:rFonts w:ascii="Work Sans" w:hAnsi="Work Sans"/>
          <w:sz w:val="16"/>
          <w:szCs w:val="16"/>
        </w:rPr>
        <w:t>w</w:t>
      </w:r>
      <w:r w:rsidR="00391CEE" w:rsidRPr="00432867">
        <w:rPr>
          <w:rFonts w:ascii="Work Sans" w:hAnsi="Work Sans"/>
          <w:sz w:val="16"/>
          <w:szCs w:val="16"/>
        </w:rPr>
        <w:t>ages and salaries) but not in the numerator (taxable public sector wages and salaries</w:t>
      </w:r>
      <w:r w:rsidR="00EB6C69" w:rsidRPr="00432867">
        <w:rPr>
          <w:rFonts w:ascii="Work Sans" w:hAnsi="Work San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65EE" w14:textId="31361308" w:rsidR="00382669" w:rsidRDefault="00E15340">
    <w:pPr>
      <w:pStyle w:val="Header"/>
    </w:pPr>
    <w:r w:rsidRPr="009D2E84">
      <w:rPr>
        <w:rFonts w:ascii="Work Sans" w:hAnsi="Work Sans"/>
        <w:noProof/>
      </w:rPr>
      <w:drawing>
        <wp:anchor distT="0" distB="0" distL="114300" distR="114300" simplePos="0" relativeHeight="251658240" behindDoc="1" locked="1" layoutInCell="1" allowOverlap="1" wp14:anchorId="290EA28C" wp14:editId="317E8DE2">
          <wp:simplePos x="0" y="0"/>
          <wp:positionH relativeFrom="page">
            <wp:align>left</wp:align>
          </wp:positionH>
          <wp:positionV relativeFrom="page">
            <wp:align>top</wp:align>
          </wp:positionV>
          <wp:extent cx="7563485" cy="10691495"/>
          <wp:effectExtent l="0" t="0" r="0" b="0"/>
          <wp:wrapNone/>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7F3214" w:rsidRPr="009D2E84">
      <w:rPr>
        <w:rFonts w:ascii="Work Sans" w:hAnsi="Work Sans"/>
        <w:noProof/>
      </w:rPr>
      <w:drawing>
        <wp:anchor distT="0" distB="0" distL="114300" distR="114300" simplePos="0" relativeHeight="251658241" behindDoc="1" locked="1" layoutInCell="1" allowOverlap="1" wp14:anchorId="5E409258" wp14:editId="000739FC">
          <wp:simplePos x="0" y="0"/>
          <wp:positionH relativeFrom="page">
            <wp:posOffset>9525</wp:posOffset>
          </wp:positionH>
          <wp:positionV relativeFrom="page">
            <wp:posOffset>1270</wp:posOffset>
          </wp:positionV>
          <wp:extent cx="7563485" cy="10691495"/>
          <wp:effectExtent l="0" t="0" r="0" b="0"/>
          <wp:wrapNone/>
          <wp:docPr id="56" name="Picture 5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3CFD" w14:textId="2006BA20" w:rsidR="00FC0DDC" w:rsidRDefault="00FC0D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9F9C6" w14:textId="7DA25C84" w:rsidR="00FC0DDC" w:rsidRDefault="00FC0DDC">
    <w:pPr>
      <w:pStyle w:val="Header"/>
    </w:pPr>
  </w:p>
</w:hdr>
</file>

<file path=word/intelligence2.xml><?xml version="1.0" encoding="utf-8"?>
<int2:intelligence xmlns:int2="http://schemas.microsoft.com/office/intelligence/2020/intelligence" xmlns:oel="http://schemas.microsoft.com/office/2019/extlst">
  <int2:observations>
    <int2:textHash int2:hashCode="X74gMYMjJJjSdT" int2:id="KTUJqorJ">
      <int2:state int2:value="Rejected" int2:type="AugLoop_Text_Critique"/>
    </int2:textHash>
    <int2:textHash int2:hashCode="VlvYt95ITRtEHU" int2:id="NiR0tt69">
      <int2:state int2:value="Rejected" int2:type="AugLoop_Text_Critique"/>
    </int2:textHash>
    <int2:textHash int2:hashCode="a6aMzXkH4L3Yu/" int2:id="RgkWdW5U">
      <int2:state int2:value="Rejected" int2:type="AugLoop_Text_Critique"/>
    </int2:textHash>
    <int2:textHash int2:hashCode="iuS5sqF91GStF2" int2:id="XYvNq7sr">
      <int2:state int2:value="Rejected" int2:type="AugLoop_Text_Critique"/>
    </int2:textHash>
    <int2:textHash int2:hashCode="pIADjNak1yCzjD" int2:id="wBZiThdP">
      <int2:state int2:value="Rejected" int2:type="AugLoop_Text_Critique"/>
    </int2:textHash>
    <int2:bookmark int2:bookmarkName="_Int_wlCMDKtJ" int2:invalidationBookmarkName="" int2:hashCode="wf3MelLj21bA7j" int2:id="48YYggOh">
      <int2:state int2:value="Rejected" int2:type="AugLoop_Acronyms_AcronymsCritique"/>
    </int2:bookmark>
    <int2:bookmark int2:bookmarkName="_Int_ywTXwzjI" int2:invalidationBookmarkName="" int2:hashCode="0N+HDRFNgTvSyi" int2:id="CmNRVsl8">
      <int2:state int2:value="Rejected" int2:type="AugLoop_Text_Critique"/>
    </int2:bookmark>
    <int2:bookmark int2:bookmarkName="_Int_ukWToVgt" int2:invalidationBookmarkName="" int2:hashCode="PAqnXbWRY3ojLo" int2:id="DCCQsb6Y">
      <int2:state int2:value="Rejected" int2:type="AugLoop_Text_Critique"/>
    </int2:bookmark>
    <int2:bookmark int2:bookmarkName="_Int_HNx6fNM0" int2:invalidationBookmarkName="" int2:hashCode="bdDOmjtViSGjeK" int2:id="E6gEdZYq">
      <int2:state int2:value="Rejected" int2:type="AugLoop_Text_Critique"/>
    </int2:bookmark>
    <int2:bookmark int2:bookmarkName="_Int_knUz0uCa" int2:invalidationBookmarkName="" int2:hashCode="hkxC5IEhB1SQUc" int2:id="HeSvGLwA">
      <int2:state int2:value="Rejected" int2:type="AugLoop_Acronyms_AcronymsCritique"/>
    </int2:bookmark>
    <int2:bookmark int2:bookmarkName="_Int_n9LXVHN7" int2:invalidationBookmarkName="" int2:hashCode="LWRtR4qmeyDJEW" int2:id="JS64oyZ5">
      <int2:state int2:value="Rejected" int2:type="AugLoop_Text_Critique"/>
    </int2:bookmark>
    <int2:bookmark int2:bookmarkName="_Int_uqdt5c2m" int2:invalidationBookmarkName="" int2:hashCode="+7p7LwWodsq2fv" int2:id="M57ldQRQ">
      <int2:state int2:value="Rejected" int2:type="AugLoop_Text_Critique"/>
    </int2:bookmark>
    <int2:bookmark int2:bookmarkName="_Int_h5qktiYt" int2:invalidationBookmarkName="" int2:hashCode="Gnpt/FvJz+2PZ0" int2:id="N3bvHgYw">
      <int2:state int2:value="Rejected" int2:type="AugLoop_Text_Critique"/>
    </int2:bookmark>
    <int2:bookmark int2:bookmarkName="_Int_uoz0xtwB" int2:invalidationBookmarkName="" int2:hashCode="Ifsy7/JctlzCyM" int2:id="Q8zgvHN6">
      <int2:state int2:value="Rejected" int2:type="AugLoop_Text_Critique"/>
    </int2:bookmark>
    <int2:bookmark int2:bookmarkName="_Int_gNE0g68e" int2:invalidationBookmarkName="" int2:hashCode="cDkeu0xe4270md" int2:id="QRuG9zjg">
      <int2:state int2:value="Rejected" int2:type="AugLoop_Text_Critique"/>
    </int2:bookmark>
    <int2:bookmark int2:bookmarkName="_Int_PP2gNZV9" int2:invalidationBookmarkName="" int2:hashCode="cDkeu0xe4270md" int2:id="UU7zwDQ3">
      <int2:state int2:value="Rejected" int2:type="AugLoop_Text_Critique"/>
    </int2:bookmark>
    <int2:bookmark int2:bookmarkName="_Int_P6d3xNES" int2:invalidationBookmarkName="" int2:hashCode="Ahkp2yRIj4thmq" int2:id="arPXGgsg">
      <int2:state int2:value="Rejected" int2:type="AugLoop_Text_Critique"/>
    </int2:bookmark>
    <int2:bookmark int2:bookmarkName="_Int_WTtBODTz" int2:invalidationBookmarkName="" int2:hashCode="TBP8DsI4453KoT" int2:id="pIXUtTEB">
      <int2:state int2:value="Rejected" int2:type="AugLoop_Text_Critique"/>
    </int2:bookmark>
    <int2:bookmark int2:bookmarkName="_Int_Cp2QLbdT" int2:invalidationBookmarkName="" int2:hashCode="e8FlfQogBo30gI" int2:id="qpjCGYGW">
      <int2:state int2:value="Rejected" int2:type="AugLoop_Text_Critique"/>
    </int2:bookmark>
    <int2:bookmark int2:bookmarkName="_Int_JIO1jttG" int2:invalidationBookmarkName="" int2:hashCode="8NUhpdw3STkByG" int2:id="sa7Txqha">
      <int2:state int2:value="Rejected" int2:type="AugLoop_Text_Critique"/>
    </int2:bookmark>
    <int2:bookmark int2:bookmarkName="_Int_Sv7KbztH" int2:invalidationBookmarkName="" int2:hashCode="Gnpt/FvJz+2PZ0" int2:id="yeWUPp6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7E4A"/>
    <w:multiLevelType w:val="multilevel"/>
    <w:tmpl w:val="5288C4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597618"/>
    <w:multiLevelType w:val="hybridMultilevel"/>
    <w:tmpl w:val="8C2E2410"/>
    <w:lvl w:ilvl="0" w:tplc="BF8CDAA2">
      <w:start w:val="1"/>
      <w:numFmt w:val="decimal"/>
      <w:pStyle w:val="CGCParaNumber"/>
      <w:lvlText w:val="%1."/>
      <w:lvlJc w:val="left"/>
      <w:pPr>
        <w:ind w:left="360" w:hanging="360"/>
      </w:pPr>
    </w:lvl>
    <w:lvl w:ilvl="1" w:tplc="0C090019">
      <w:start w:val="1"/>
      <w:numFmt w:val="lowerLetter"/>
      <w:lvlText w:val="%2."/>
      <w:lvlJc w:val="left"/>
      <w:pPr>
        <w:ind w:left="-1820" w:hanging="360"/>
      </w:pPr>
    </w:lvl>
    <w:lvl w:ilvl="2" w:tplc="0C09001B" w:tentative="1">
      <w:start w:val="1"/>
      <w:numFmt w:val="lowerRoman"/>
      <w:lvlText w:val="%3."/>
      <w:lvlJc w:val="right"/>
      <w:pPr>
        <w:ind w:left="-1100" w:hanging="180"/>
      </w:pPr>
    </w:lvl>
    <w:lvl w:ilvl="3" w:tplc="0C09000F" w:tentative="1">
      <w:start w:val="1"/>
      <w:numFmt w:val="decimal"/>
      <w:lvlText w:val="%4."/>
      <w:lvlJc w:val="left"/>
      <w:pPr>
        <w:ind w:left="-380" w:hanging="360"/>
      </w:pPr>
    </w:lvl>
    <w:lvl w:ilvl="4" w:tplc="0C090019" w:tentative="1">
      <w:start w:val="1"/>
      <w:numFmt w:val="lowerLetter"/>
      <w:lvlText w:val="%5."/>
      <w:lvlJc w:val="left"/>
      <w:pPr>
        <w:ind w:left="340" w:hanging="360"/>
      </w:pPr>
    </w:lvl>
    <w:lvl w:ilvl="5" w:tplc="0C09001B" w:tentative="1">
      <w:start w:val="1"/>
      <w:numFmt w:val="lowerRoman"/>
      <w:lvlText w:val="%6."/>
      <w:lvlJc w:val="right"/>
      <w:pPr>
        <w:ind w:left="1060" w:hanging="180"/>
      </w:pPr>
    </w:lvl>
    <w:lvl w:ilvl="6" w:tplc="0C09000F" w:tentative="1">
      <w:start w:val="1"/>
      <w:numFmt w:val="decimal"/>
      <w:lvlText w:val="%7."/>
      <w:lvlJc w:val="left"/>
      <w:pPr>
        <w:ind w:left="1780" w:hanging="360"/>
      </w:pPr>
    </w:lvl>
    <w:lvl w:ilvl="7" w:tplc="0C090019" w:tentative="1">
      <w:start w:val="1"/>
      <w:numFmt w:val="lowerLetter"/>
      <w:lvlText w:val="%8."/>
      <w:lvlJc w:val="left"/>
      <w:pPr>
        <w:ind w:left="2500" w:hanging="360"/>
      </w:pPr>
    </w:lvl>
    <w:lvl w:ilvl="8" w:tplc="0C09001B" w:tentative="1">
      <w:start w:val="1"/>
      <w:numFmt w:val="lowerRoman"/>
      <w:lvlText w:val="%9."/>
      <w:lvlJc w:val="right"/>
      <w:pPr>
        <w:ind w:left="3220" w:hanging="180"/>
      </w:pPr>
    </w:lvl>
  </w:abstractNum>
  <w:abstractNum w:abstractNumId="2" w15:restartNumberingAfterBreak="0">
    <w:nsid w:val="1AC9430E"/>
    <w:multiLevelType w:val="multilevel"/>
    <w:tmpl w:val="6A3C1CE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DF6AEE"/>
    <w:multiLevelType w:val="multilevel"/>
    <w:tmpl w:val="DE108BC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5627B0"/>
    <w:multiLevelType w:val="hybridMultilevel"/>
    <w:tmpl w:val="AFDAF5B4"/>
    <w:lvl w:ilvl="0" w:tplc="0C090001">
      <w:start w:val="1"/>
      <w:numFmt w:val="bullet"/>
      <w:lvlText w:val=""/>
      <w:lvlJc w:val="left"/>
      <w:pPr>
        <w:ind w:left="1155" w:hanging="360"/>
      </w:pPr>
      <w:rPr>
        <w:rFonts w:ascii="Symbol" w:hAnsi="Symbol" w:hint="default"/>
      </w:rPr>
    </w:lvl>
    <w:lvl w:ilvl="1" w:tplc="0C090003">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5" w15:restartNumberingAfterBreak="0">
    <w:nsid w:val="23227F65"/>
    <w:multiLevelType w:val="multilevel"/>
    <w:tmpl w:val="2B326E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AA60EA"/>
    <w:multiLevelType w:val="multilevel"/>
    <w:tmpl w:val="74C40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F9240D"/>
    <w:multiLevelType w:val="multilevel"/>
    <w:tmpl w:val="89F288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80191F"/>
    <w:multiLevelType w:val="multilevel"/>
    <w:tmpl w:val="E10E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CE5936"/>
    <w:multiLevelType w:val="hybridMultilevel"/>
    <w:tmpl w:val="6FC09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511CFA"/>
    <w:multiLevelType w:val="hybridMultilevel"/>
    <w:tmpl w:val="27B2396C"/>
    <w:lvl w:ilvl="0" w:tplc="5866B8BC">
      <w:start w:val="1"/>
      <w:numFmt w:val="bullet"/>
      <w:pStyle w:val="CGC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2F43AF"/>
    <w:multiLevelType w:val="hybridMultilevel"/>
    <w:tmpl w:val="1624B262"/>
    <w:lvl w:ilvl="0" w:tplc="60586F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6E299B"/>
    <w:multiLevelType w:val="multilevel"/>
    <w:tmpl w:val="957C2ED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F5A9D"/>
    <w:multiLevelType w:val="multilevel"/>
    <w:tmpl w:val="FA820F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5C441C"/>
    <w:multiLevelType w:val="hybridMultilevel"/>
    <w:tmpl w:val="42226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1C2CF5"/>
    <w:multiLevelType w:val="multilevel"/>
    <w:tmpl w:val="02E2E94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A805E6"/>
    <w:multiLevelType w:val="multilevel"/>
    <w:tmpl w:val="D458EB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69204C5"/>
    <w:multiLevelType w:val="multilevel"/>
    <w:tmpl w:val="610459E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B76E85"/>
    <w:multiLevelType w:val="multilevel"/>
    <w:tmpl w:val="82DEF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16129673">
    <w:abstractNumId w:val="10"/>
  </w:num>
  <w:num w:numId="2" w16cid:durableId="2133862960">
    <w:abstractNumId w:val="1"/>
  </w:num>
  <w:num w:numId="3" w16cid:durableId="883981127">
    <w:abstractNumId w:val="9"/>
  </w:num>
  <w:num w:numId="4" w16cid:durableId="552469371">
    <w:abstractNumId w:val="10"/>
  </w:num>
  <w:num w:numId="5" w16cid:durableId="1159269709">
    <w:abstractNumId w:val="1"/>
  </w:num>
  <w:num w:numId="6" w16cid:durableId="1680504312">
    <w:abstractNumId w:val="1"/>
  </w:num>
  <w:num w:numId="7" w16cid:durableId="180630822">
    <w:abstractNumId w:val="1"/>
  </w:num>
  <w:num w:numId="8" w16cid:durableId="752505731">
    <w:abstractNumId w:val="1"/>
  </w:num>
  <w:num w:numId="9" w16cid:durableId="2114546499">
    <w:abstractNumId w:val="1"/>
  </w:num>
  <w:num w:numId="10" w16cid:durableId="868761731">
    <w:abstractNumId w:val="1"/>
  </w:num>
  <w:num w:numId="11" w16cid:durableId="161360512">
    <w:abstractNumId w:val="1"/>
  </w:num>
  <w:num w:numId="12" w16cid:durableId="1119101853">
    <w:abstractNumId w:val="1"/>
  </w:num>
  <w:num w:numId="13" w16cid:durableId="1868712917">
    <w:abstractNumId w:val="1"/>
  </w:num>
  <w:num w:numId="14" w16cid:durableId="210964296">
    <w:abstractNumId w:val="1"/>
  </w:num>
  <w:num w:numId="15" w16cid:durableId="952856673">
    <w:abstractNumId w:val="1"/>
  </w:num>
  <w:num w:numId="16" w16cid:durableId="756828879">
    <w:abstractNumId w:val="1"/>
  </w:num>
  <w:num w:numId="17" w16cid:durableId="47538849">
    <w:abstractNumId w:val="1"/>
  </w:num>
  <w:num w:numId="18" w16cid:durableId="1824932217">
    <w:abstractNumId w:val="1"/>
  </w:num>
  <w:num w:numId="19" w16cid:durableId="212499793">
    <w:abstractNumId w:val="1"/>
  </w:num>
  <w:num w:numId="20" w16cid:durableId="1522352069">
    <w:abstractNumId w:val="1"/>
  </w:num>
  <w:num w:numId="21" w16cid:durableId="773591861">
    <w:abstractNumId w:val="1"/>
  </w:num>
  <w:num w:numId="22" w16cid:durableId="1169759759">
    <w:abstractNumId w:val="1"/>
  </w:num>
  <w:num w:numId="23" w16cid:durableId="1752651901">
    <w:abstractNumId w:val="3"/>
  </w:num>
  <w:num w:numId="24" w16cid:durableId="228880096">
    <w:abstractNumId w:val="15"/>
  </w:num>
  <w:num w:numId="25" w16cid:durableId="1165439929">
    <w:abstractNumId w:val="8"/>
  </w:num>
  <w:num w:numId="26" w16cid:durableId="2040079065">
    <w:abstractNumId w:val="12"/>
  </w:num>
  <w:num w:numId="27" w16cid:durableId="706837139">
    <w:abstractNumId w:val="2"/>
  </w:num>
  <w:num w:numId="28" w16cid:durableId="859050306">
    <w:abstractNumId w:val="17"/>
  </w:num>
  <w:num w:numId="29" w16cid:durableId="1604996902">
    <w:abstractNumId w:val="1"/>
  </w:num>
  <w:num w:numId="30" w16cid:durableId="412824029">
    <w:abstractNumId w:val="1"/>
  </w:num>
  <w:num w:numId="31" w16cid:durableId="1569459625">
    <w:abstractNumId w:val="1"/>
  </w:num>
  <w:num w:numId="32" w16cid:durableId="741566661">
    <w:abstractNumId w:val="1"/>
  </w:num>
  <w:num w:numId="33" w16cid:durableId="384373849">
    <w:abstractNumId w:val="1"/>
  </w:num>
  <w:num w:numId="34" w16cid:durableId="1256133308">
    <w:abstractNumId w:val="4"/>
  </w:num>
  <w:num w:numId="35" w16cid:durableId="1589732913">
    <w:abstractNumId w:val="14"/>
  </w:num>
  <w:num w:numId="36" w16cid:durableId="684745512">
    <w:abstractNumId w:val="10"/>
  </w:num>
  <w:num w:numId="37" w16cid:durableId="974994654">
    <w:abstractNumId w:val="10"/>
  </w:num>
  <w:num w:numId="38" w16cid:durableId="850991002">
    <w:abstractNumId w:val="11"/>
  </w:num>
  <w:num w:numId="39" w16cid:durableId="565804876">
    <w:abstractNumId w:val="18"/>
  </w:num>
  <w:num w:numId="40" w16cid:durableId="1507867410">
    <w:abstractNumId w:val="6"/>
  </w:num>
  <w:num w:numId="41" w16cid:durableId="1561133691">
    <w:abstractNumId w:val="7"/>
  </w:num>
  <w:num w:numId="42" w16cid:durableId="1619219095">
    <w:abstractNumId w:val="5"/>
  </w:num>
  <w:num w:numId="43" w16cid:durableId="519395538">
    <w:abstractNumId w:val="13"/>
  </w:num>
  <w:num w:numId="44" w16cid:durableId="1207450310">
    <w:abstractNumId w:val="0"/>
  </w:num>
  <w:num w:numId="45" w16cid:durableId="17515397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46491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033115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303543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2516734">
    <w:abstractNumId w:val="16"/>
  </w:num>
  <w:num w:numId="50" w16cid:durableId="4268476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8192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653291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360356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25994398">
    <w:abstractNumId w:val="10"/>
  </w:num>
  <w:num w:numId="55" w16cid:durableId="727412855">
    <w:abstractNumId w:val="1"/>
  </w:num>
  <w:num w:numId="56" w16cid:durableId="1740127342">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09B"/>
    <w:rsid w:val="00000573"/>
    <w:rsid w:val="0000065A"/>
    <w:rsid w:val="00000789"/>
    <w:rsid w:val="00000960"/>
    <w:rsid w:val="00000F10"/>
    <w:rsid w:val="000010FC"/>
    <w:rsid w:val="00001452"/>
    <w:rsid w:val="00001542"/>
    <w:rsid w:val="00001557"/>
    <w:rsid w:val="000017E9"/>
    <w:rsid w:val="000018A5"/>
    <w:rsid w:val="00001AD7"/>
    <w:rsid w:val="00001D1F"/>
    <w:rsid w:val="00002242"/>
    <w:rsid w:val="0000255E"/>
    <w:rsid w:val="0000265B"/>
    <w:rsid w:val="0000269D"/>
    <w:rsid w:val="00002A03"/>
    <w:rsid w:val="00002BBD"/>
    <w:rsid w:val="00002FDE"/>
    <w:rsid w:val="00003076"/>
    <w:rsid w:val="0000308A"/>
    <w:rsid w:val="00003335"/>
    <w:rsid w:val="000035B8"/>
    <w:rsid w:val="000036D4"/>
    <w:rsid w:val="000037C7"/>
    <w:rsid w:val="00003AA6"/>
    <w:rsid w:val="00003ABC"/>
    <w:rsid w:val="00003EA5"/>
    <w:rsid w:val="0000417F"/>
    <w:rsid w:val="000042EB"/>
    <w:rsid w:val="00004328"/>
    <w:rsid w:val="0000468B"/>
    <w:rsid w:val="00004808"/>
    <w:rsid w:val="00004F00"/>
    <w:rsid w:val="000050B0"/>
    <w:rsid w:val="00005527"/>
    <w:rsid w:val="0000555F"/>
    <w:rsid w:val="00005BA1"/>
    <w:rsid w:val="00005CF6"/>
    <w:rsid w:val="00005F60"/>
    <w:rsid w:val="00006000"/>
    <w:rsid w:val="0000634C"/>
    <w:rsid w:val="0000643E"/>
    <w:rsid w:val="000066CD"/>
    <w:rsid w:val="00006721"/>
    <w:rsid w:val="000067CD"/>
    <w:rsid w:val="00006975"/>
    <w:rsid w:val="00006AF8"/>
    <w:rsid w:val="00006F67"/>
    <w:rsid w:val="00007068"/>
    <w:rsid w:val="000071DA"/>
    <w:rsid w:val="0000723B"/>
    <w:rsid w:val="000073AB"/>
    <w:rsid w:val="000073C2"/>
    <w:rsid w:val="000073C8"/>
    <w:rsid w:val="000073CB"/>
    <w:rsid w:val="00007440"/>
    <w:rsid w:val="00007741"/>
    <w:rsid w:val="0000791E"/>
    <w:rsid w:val="00007ADC"/>
    <w:rsid w:val="00007B0A"/>
    <w:rsid w:val="00007DE8"/>
    <w:rsid w:val="00007EF3"/>
    <w:rsid w:val="00010223"/>
    <w:rsid w:val="00010457"/>
    <w:rsid w:val="000104FF"/>
    <w:rsid w:val="000106B3"/>
    <w:rsid w:val="000107D9"/>
    <w:rsid w:val="00010C0F"/>
    <w:rsid w:val="00010E64"/>
    <w:rsid w:val="00011468"/>
    <w:rsid w:val="00011486"/>
    <w:rsid w:val="000114B5"/>
    <w:rsid w:val="000114C5"/>
    <w:rsid w:val="000115D1"/>
    <w:rsid w:val="000115F6"/>
    <w:rsid w:val="0001162D"/>
    <w:rsid w:val="00011694"/>
    <w:rsid w:val="0001176C"/>
    <w:rsid w:val="0001181D"/>
    <w:rsid w:val="000119BA"/>
    <w:rsid w:val="00011D32"/>
    <w:rsid w:val="00011D91"/>
    <w:rsid w:val="000120D1"/>
    <w:rsid w:val="000120D6"/>
    <w:rsid w:val="00012315"/>
    <w:rsid w:val="000123A0"/>
    <w:rsid w:val="000123CB"/>
    <w:rsid w:val="00012696"/>
    <w:rsid w:val="00012727"/>
    <w:rsid w:val="000127ED"/>
    <w:rsid w:val="00012D07"/>
    <w:rsid w:val="00012F2D"/>
    <w:rsid w:val="00012F63"/>
    <w:rsid w:val="00012F78"/>
    <w:rsid w:val="000132AD"/>
    <w:rsid w:val="000132C9"/>
    <w:rsid w:val="0001337D"/>
    <w:rsid w:val="000133E5"/>
    <w:rsid w:val="000139AA"/>
    <w:rsid w:val="00013A61"/>
    <w:rsid w:val="00013C0C"/>
    <w:rsid w:val="00013CA8"/>
    <w:rsid w:val="00013F83"/>
    <w:rsid w:val="00014183"/>
    <w:rsid w:val="00014627"/>
    <w:rsid w:val="00014628"/>
    <w:rsid w:val="00014789"/>
    <w:rsid w:val="0001480E"/>
    <w:rsid w:val="00014995"/>
    <w:rsid w:val="00014B11"/>
    <w:rsid w:val="00014D88"/>
    <w:rsid w:val="00014E5C"/>
    <w:rsid w:val="00015024"/>
    <w:rsid w:val="00015212"/>
    <w:rsid w:val="000152D7"/>
    <w:rsid w:val="000153BA"/>
    <w:rsid w:val="00015571"/>
    <w:rsid w:val="000158C2"/>
    <w:rsid w:val="000158C6"/>
    <w:rsid w:val="00015B03"/>
    <w:rsid w:val="00015B41"/>
    <w:rsid w:val="00015CAC"/>
    <w:rsid w:val="00015E94"/>
    <w:rsid w:val="00016082"/>
    <w:rsid w:val="00016451"/>
    <w:rsid w:val="00016657"/>
    <w:rsid w:val="0001693D"/>
    <w:rsid w:val="0001695D"/>
    <w:rsid w:val="00017075"/>
    <w:rsid w:val="000170F2"/>
    <w:rsid w:val="000171B3"/>
    <w:rsid w:val="00017410"/>
    <w:rsid w:val="0001746F"/>
    <w:rsid w:val="0001755A"/>
    <w:rsid w:val="000175B2"/>
    <w:rsid w:val="0001768A"/>
    <w:rsid w:val="0001775E"/>
    <w:rsid w:val="00017779"/>
    <w:rsid w:val="00017AD6"/>
    <w:rsid w:val="00017C94"/>
    <w:rsid w:val="00017CBF"/>
    <w:rsid w:val="00017E3D"/>
    <w:rsid w:val="00017E46"/>
    <w:rsid w:val="00020142"/>
    <w:rsid w:val="00020291"/>
    <w:rsid w:val="00020396"/>
    <w:rsid w:val="00020501"/>
    <w:rsid w:val="00020A88"/>
    <w:rsid w:val="00020AF5"/>
    <w:rsid w:val="00020CF7"/>
    <w:rsid w:val="00020D5B"/>
    <w:rsid w:val="00020D62"/>
    <w:rsid w:val="00021202"/>
    <w:rsid w:val="000216F0"/>
    <w:rsid w:val="00021704"/>
    <w:rsid w:val="00021880"/>
    <w:rsid w:val="00021C28"/>
    <w:rsid w:val="00021C39"/>
    <w:rsid w:val="00022002"/>
    <w:rsid w:val="000225C8"/>
    <w:rsid w:val="00022638"/>
    <w:rsid w:val="00022C0B"/>
    <w:rsid w:val="00022C6D"/>
    <w:rsid w:val="000230AC"/>
    <w:rsid w:val="00023832"/>
    <w:rsid w:val="000239E6"/>
    <w:rsid w:val="00023B43"/>
    <w:rsid w:val="00023BBD"/>
    <w:rsid w:val="00023C22"/>
    <w:rsid w:val="00023CB8"/>
    <w:rsid w:val="00024015"/>
    <w:rsid w:val="0002408C"/>
    <w:rsid w:val="00024145"/>
    <w:rsid w:val="00024173"/>
    <w:rsid w:val="000243A2"/>
    <w:rsid w:val="00024416"/>
    <w:rsid w:val="00024856"/>
    <w:rsid w:val="00024873"/>
    <w:rsid w:val="0002493D"/>
    <w:rsid w:val="00024CC5"/>
    <w:rsid w:val="00024CDC"/>
    <w:rsid w:val="00024D30"/>
    <w:rsid w:val="00024FF3"/>
    <w:rsid w:val="000251AD"/>
    <w:rsid w:val="0002544F"/>
    <w:rsid w:val="00025D8F"/>
    <w:rsid w:val="00025E88"/>
    <w:rsid w:val="00025FC8"/>
    <w:rsid w:val="000261DA"/>
    <w:rsid w:val="00026202"/>
    <w:rsid w:val="00026287"/>
    <w:rsid w:val="00026393"/>
    <w:rsid w:val="000264C9"/>
    <w:rsid w:val="00026B78"/>
    <w:rsid w:val="00026BE3"/>
    <w:rsid w:val="00026BF7"/>
    <w:rsid w:val="00026C9F"/>
    <w:rsid w:val="00026EC6"/>
    <w:rsid w:val="00026ED6"/>
    <w:rsid w:val="0002721D"/>
    <w:rsid w:val="0002733B"/>
    <w:rsid w:val="00027891"/>
    <w:rsid w:val="00027B40"/>
    <w:rsid w:val="00027BDA"/>
    <w:rsid w:val="00027BF9"/>
    <w:rsid w:val="00027C2E"/>
    <w:rsid w:val="00027D09"/>
    <w:rsid w:val="00027DF5"/>
    <w:rsid w:val="00027F0E"/>
    <w:rsid w:val="00027F2D"/>
    <w:rsid w:val="00027F9A"/>
    <w:rsid w:val="000301AF"/>
    <w:rsid w:val="000301E5"/>
    <w:rsid w:val="00030385"/>
    <w:rsid w:val="000303D1"/>
    <w:rsid w:val="00030667"/>
    <w:rsid w:val="000307DB"/>
    <w:rsid w:val="000309C8"/>
    <w:rsid w:val="00030B05"/>
    <w:rsid w:val="00030B39"/>
    <w:rsid w:val="00030CC5"/>
    <w:rsid w:val="00030DA3"/>
    <w:rsid w:val="00030EC9"/>
    <w:rsid w:val="00030F64"/>
    <w:rsid w:val="00030F7B"/>
    <w:rsid w:val="0003139A"/>
    <w:rsid w:val="00031723"/>
    <w:rsid w:val="0003188A"/>
    <w:rsid w:val="00031C4E"/>
    <w:rsid w:val="000329F4"/>
    <w:rsid w:val="00032B85"/>
    <w:rsid w:val="00032C47"/>
    <w:rsid w:val="000331F9"/>
    <w:rsid w:val="00033557"/>
    <w:rsid w:val="000336B3"/>
    <w:rsid w:val="000336B4"/>
    <w:rsid w:val="000336C7"/>
    <w:rsid w:val="00033720"/>
    <w:rsid w:val="0003385B"/>
    <w:rsid w:val="00033CF3"/>
    <w:rsid w:val="00033EF5"/>
    <w:rsid w:val="000341D6"/>
    <w:rsid w:val="000342AA"/>
    <w:rsid w:val="00034496"/>
    <w:rsid w:val="0003463B"/>
    <w:rsid w:val="000347A2"/>
    <w:rsid w:val="00034B50"/>
    <w:rsid w:val="00034BA6"/>
    <w:rsid w:val="00034F23"/>
    <w:rsid w:val="00035082"/>
    <w:rsid w:val="000350D7"/>
    <w:rsid w:val="0003511D"/>
    <w:rsid w:val="00035687"/>
    <w:rsid w:val="00035692"/>
    <w:rsid w:val="000357F3"/>
    <w:rsid w:val="00035825"/>
    <w:rsid w:val="000359F5"/>
    <w:rsid w:val="00035CD2"/>
    <w:rsid w:val="00035D5E"/>
    <w:rsid w:val="0003626B"/>
    <w:rsid w:val="0003654E"/>
    <w:rsid w:val="00036709"/>
    <w:rsid w:val="00036885"/>
    <w:rsid w:val="00036C34"/>
    <w:rsid w:val="00036E43"/>
    <w:rsid w:val="00037333"/>
    <w:rsid w:val="00037335"/>
    <w:rsid w:val="000375C0"/>
    <w:rsid w:val="000379C8"/>
    <w:rsid w:val="00037ECC"/>
    <w:rsid w:val="00037F49"/>
    <w:rsid w:val="0004020A"/>
    <w:rsid w:val="00040548"/>
    <w:rsid w:val="000407D5"/>
    <w:rsid w:val="000409C0"/>
    <w:rsid w:val="00040BF2"/>
    <w:rsid w:val="00040F0C"/>
    <w:rsid w:val="00041170"/>
    <w:rsid w:val="00041267"/>
    <w:rsid w:val="0004127B"/>
    <w:rsid w:val="00041504"/>
    <w:rsid w:val="00041653"/>
    <w:rsid w:val="0004173F"/>
    <w:rsid w:val="00041770"/>
    <w:rsid w:val="00041A3A"/>
    <w:rsid w:val="00041DA2"/>
    <w:rsid w:val="00042127"/>
    <w:rsid w:val="00042324"/>
    <w:rsid w:val="000423B9"/>
    <w:rsid w:val="000424B3"/>
    <w:rsid w:val="0004268D"/>
    <w:rsid w:val="000429FC"/>
    <w:rsid w:val="00042AAA"/>
    <w:rsid w:val="00042AC0"/>
    <w:rsid w:val="00042FFB"/>
    <w:rsid w:val="00043325"/>
    <w:rsid w:val="000434B9"/>
    <w:rsid w:val="00043B66"/>
    <w:rsid w:val="00043B73"/>
    <w:rsid w:val="00043E50"/>
    <w:rsid w:val="00044045"/>
    <w:rsid w:val="00044070"/>
    <w:rsid w:val="00044240"/>
    <w:rsid w:val="00044378"/>
    <w:rsid w:val="00044630"/>
    <w:rsid w:val="00044772"/>
    <w:rsid w:val="00044B43"/>
    <w:rsid w:val="00045070"/>
    <w:rsid w:val="000451B6"/>
    <w:rsid w:val="000451BB"/>
    <w:rsid w:val="00045219"/>
    <w:rsid w:val="00045488"/>
    <w:rsid w:val="000454A9"/>
    <w:rsid w:val="00045790"/>
    <w:rsid w:val="000458A6"/>
    <w:rsid w:val="00046029"/>
    <w:rsid w:val="0004611E"/>
    <w:rsid w:val="000462E8"/>
    <w:rsid w:val="000463FE"/>
    <w:rsid w:val="000467F9"/>
    <w:rsid w:val="00046F7B"/>
    <w:rsid w:val="00047420"/>
    <w:rsid w:val="00047A32"/>
    <w:rsid w:val="00047A82"/>
    <w:rsid w:val="00047B7D"/>
    <w:rsid w:val="000505E4"/>
    <w:rsid w:val="00050915"/>
    <w:rsid w:val="000509B1"/>
    <w:rsid w:val="00050ADE"/>
    <w:rsid w:val="00050C2D"/>
    <w:rsid w:val="00050FAD"/>
    <w:rsid w:val="00051014"/>
    <w:rsid w:val="00051018"/>
    <w:rsid w:val="000510CF"/>
    <w:rsid w:val="000513D5"/>
    <w:rsid w:val="0005143E"/>
    <w:rsid w:val="00051562"/>
    <w:rsid w:val="00051748"/>
    <w:rsid w:val="00051814"/>
    <w:rsid w:val="00051DAD"/>
    <w:rsid w:val="00051FFB"/>
    <w:rsid w:val="0005205C"/>
    <w:rsid w:val="00052674"/>
    <w:rsid w:val="0005270B"/>
    <w:rsid w:val="000528FD"/>
    <w:rsid w:val="00052986"/>
    <w:rsid w:val="00052BF5"/>
    <w:rsid w:val="00052DB7"/>
    <w:rsid w:val="00052E43"/>
    <w:rsid w:val="00052F04"/>
    <w:rsid w:val="00052F17"/>
    <w:rsid w:val="0005333A"/>
    <w:rsid w:val="000534EE"/>
    <w:rsid w:val="000536B7"/>
    <w:rsid w:val="00053709"/>
    <w:rsid w:val="00053EA5"/>
    <w:rsid w:val="000540B3"/>
    <w:rsid w:val="000544AF"/>
    <w:rsid w:val="00054582"/>
    <w:rsid w:val="000546A5"/>
    <w:rsid w:val="0005476D"/>
    <w:rsid w:val="000547FC"/>
    <w:rsid w:val="00054A14"/>
    <w:rsid w:val="00054A65"/>
    <w:rsid w:val="00054A70"/>
    <w:rsid w:val="00054C7F"/>
    <w:rsid w:val="00054E4B"/>
    <w:rsid w:val="000550CE"/>
    <w:rsid w:val="0005515D"/>
    <w:rsid w:val="00055517"/>
    <w:rsid w:val="000556D5"/>
    <w:rsid w:val="00055707"/>
    <w:rsid w:val="000558B8"/>
    <w:rsid w:val="000558E0"/>
    <w:rsid w:val="00055A5D"/>
    <w:rsid w:val="00055C2C"/>
    <w:rsid w:val="00056007"/>
    <w:rsid w:val="000560D1"/>
    <w:rsid w:val="00056104"/>
    <w:rsid w:val="0005614E"/>
    <w:rsid w:val="00056152"/>
    <w:rsid w:val="0005616C"/>
    <w:rsid w:val="0005642D"/>
    <w:rsid w:val="000565C8"/>
    <w:rsid w:val="0005671C"/>
    <w:rsid w:val="0005697E"/>
    <w:rsid w:val="00056B7E"/>
    <w:rsid w:val="00056BB2"/>
    <w:rsid w:val="00056C23"/>
    <w:rsid w:val="00056F0F"/>
    <w:rsid w:val="000577DD"/>
    <w:rsid w:val="00057A41"/>
    <w:rsid w:val="00057BFD"/>
    <w:rsid w:val="00057E2E"/>
    <w:rsid w:val="00057FAA"/>
    <w:rsid w:val="0006012B"/>
    <w:rsid w:val="000603EA"/>
    <w:rsid w:val="000604F4"/>
    <w:rsid w:val="00060682"/>
    <w:rsid w:val="00060734"/>
    <w:rsid w:val="000607C0"/>
    <w:rsid w:val="00060833"/>
    <w:rsid w:val="0006083B"/>
    <w:rsid w:val="00060D5E"/>
    <w:rsid w:val="00060D8C"/>
    <w:rsid w:val="0006105F"/>
    <w:rsid w:val="000614F7"/>
    <w:rsid w:val="000615BB"/>
    <w:rsid w:val="0006193F"/>
    <w:rsid w:val="00061971"/>
    <w:rsid w:val="000619EF"/>
    <w:rsid w:val="00061B21"/>
    <w:rsid w:val="00061B82"/>
    <w:rsid w:val="00061CBF"/>
    <w:rsid w:val="00061CE7"/>
    <w:rsid w:val="00061DBA"/>
    <w:rsid w:val="00062306"/>
    <w:rsid w:val="00062352"/>
    <w:rsid w:val="00062641"/>
    <w:rsid w:val="00062754"/>
    <w:rsid w:val="000627D3"/>
    <w:rsid w:val="00062979"/>
    <w:rsid w:val="00062996"/>
    <w:rsid w:val="00062A16"/>
    <w:rsid w:val="00062B2E"/>
    <w:rsid w:val="00062B31"/>
    <w:rsid w:val="00062B61"/>
    <w:rsid w:val="000630F3"/>
    <w:rsid w:val="00063118"/>
    <w:rsid w:val="00063296"/>
    <w:rsid w:val="000635B4"/>
    <w:rsid w:val="000637BD"/>
    <w:rsid w:val="0006384D"/>
    <w:rsid w:val="00063853"/>
    <w:rsid w:val="000638CD"/>
    <w:rsid w:val="00063906"/>
    <w:rsid w:val="00063F09"/>
    <w:rsid w:val="00064145"/>
    <w:rsid w:val="0006421B"/>
    <w:rsid w:val="000642F3"/>
    <w:rsid w:val="0006453C"/>
    <w:rsid w:val="00064776"/>
    <w:rsid w:val="00064861"/>
    <w:rsid w:val="000649DE"/>
    <w:rsid w:val="00064A2D"/>
    <w:rsid w:val="00064AA9"/>
    <w:rsid w:val="00064AD3"/>
    <w:rsid w:val="00064B92"/>
    <w:rsid w:val="00065205"/>
    <w:rsid w:val="00065646"/>
    <w:rsid w:val="0006572A"/>
    <w:rsid w:val="00065A70"/>
    <w:rsid w:val="00065AC1"/>
    <w:rsid w:val="00065C94"/>
    <w:rsid w:val="00065F21"/>
    <w:rsid w:val="00065F23"/>
    <w:rsid w:val="00065FAB"/>
    <w:rsid w:val="00066420"/>
    <w:rsid w:val="00066425"/>
    <w:rsid w:val="000664B6"/>
    <w:rsid w:val="00066A18"/>
    <w:rsid w:val="00066A2B"/>
    <w:rsid w:val="00066B96"/>
    <w:rsid w:val="00066E06"/>
    <w:rsid w:val="0006713B"/>
    <w:rsid w:val="00067154"/>
    <w:rsid w:val="00067873"/>
    <w:rsid w:val="000679A3"/>
    <w:rsid w:val="00067B02"/>
    <w:rsid w:val="00067BB3"/>
    <w:rsid w:val="00070149"/>
    <w:rsid w:val="000702D2"/>
    <w:rsid w:val="000707A3"/>
    <w:rsid w:val="00070816"/>
    <w:rsid w:val="00070867"/>
    <w:rsid w:val="00070895"/>
    <w:rsid w:val="00070896"/>
    <w:rsid w:val="000709CA"/>
    <w:rsid w:val="00070AC2"/>
    <w:rsid w:val="00070D7A"/>
    <w:rsid w:val="00070F2E"/>
    <w:rsid w:val="00071222"/>
    <w:rsid w:val="00071421"/>
    <w:rsid w:val="00071422"/>
    <w:rsid w:val="0007184F"/>
    <w:rsid w:val="00071868"/>
    <w:rsid w:val="00071CE5"/>
    <w:rsid w:val="00071FCE"/>
    <w:rsid w:val="00072121"/>
    <w:rsid w:val="000724FD"/>
    <w:rsid w:val="000725B1"/>
    <w:rsid w:val="0007264E"/>
    <w:rsid w:val="00072705"/>
    <w:rsid w:val="00072711"/>
    <w:rsid w:val="000727DE"/>
    <w:rsid w:val="00072B3B"/>
    <w:rsid w:val="00072CB2"/>
    <w:rsid w:val="00072F8B"/>
    <w:rsid w:val="00073129"/>
    <w:rsid w:val="00073156"/>
    <w:rsid w:val="00073179"/>
    <w:rsid w:val="000733AB"/>
    <w:rsid w:val="0007367C"/>
    <w:rsid w:val="00073862"/>
    <w:rsid w:val="00073ADC"/>
    <w:rsid w:val="00073B19"/>
    <w:rsid w:val="0007405D"/>
    <w:rsid w:val="0007407E"/>
    <w:rsid w:val="000741E2"/>
    <w:rsid w:val="000741FB"/>
    <w:rsid w:val="0007426F"/>
    <w:rsid w:val="00074551"/>
    <w:rsid w:val="000749FB"/>
    <w:rsid w:val="00074A0C"/>
    <w:rsid w:val="00074ADD"/>
    <w:rsid w:val="00074B1B"/>
    <w:rsid w:val="00074FAB"/>
    <w:rsid w:val="00074FF2"/>
    <w:rsid w:val="000750A5"/>
    <w:rsid w:val="000752AF"/>
    <w:rsid w:val="000754C8"/>
    <w:rsid w:val="000758C6"/>
    <w:rsid w:val="00075A56"/>
    <w:rsid w:val="000760B6"/>
    <w:rsid w:val="000762F1"/>
    <w:rsid w:val="00076788"/>
    <w:rsid w:val="000768C3"/>
    <w:rsid w:val="000768DE"/>
    <w:rsid w:val="000769E2"/>
    <w:rsid w:val="00076A29"/>
    <w:rsid w:val="00076B9E"/>
    <w:rsid w:val="00076DA8"/>
    <w:rsid w:val="0007712A"/>
    <w:rsid w:val="000772A3"/>
    <w:rsid w:val="000773A6"/>
    <w:rsid w:val="000774B5"/>
    <w:rsid w:val="000774BE"/>
    <w:rsid w:val="00077648"/>
    <w:rsid w:val="00077C84"/>
    <w:rsid w:val="00077D45"/>
    <w:rsid w:val="00077D7A"/>
    <w:rsid w:val="00080001"/>
    <w:rsid w:val="0008003A"/>
    <w:rsid w:val="000800CA"/>
    <w:rsid w:val="0008044E"/>
    <w:rsid w:val="0008046D"/>
    <w:rsid w:val="0008051D"/>
    <w:rsid w:val="000808B6"/>
    <w:rsid w:val="00080911"/>
    <w:rsid w:val="000809D8"/>
    <w:rsid w:val="00080A73"/>
    <w:rsid w:val="00080B81"/>
    <w:rsid w:val="00080C8C"/>
    <w:rsid w:val="000810CD"/>
    <w:rsid w:val="00081256"/>
    <w:rsid w:val="000812FC"/>
    <w:rsid w:val="0008139F"/>
    <w:rsid w:val="000813BB"/>
    <w:rsid w:val="0008149D"/>
    <w:rsid w:val="00081865"/>
    <w:rsid w:val="000818B9"/>
    <w:rsid w:val="00081938"/>
    <w:rsid w:val="00081B2C"/>
    <w:rsid w:val="00081CD5"/>
    <w:rsid w:val="00081D8E"/>
    <w:rsid w:val="00081D93"/>
    <w:rsid w:val="00081E73"/>
    <w:rsid w:val="00081F80"/>
    <w:rsid w:val="00081F88"/>
    <w:rsid w:val="0008206A"/>
    <w:rsid w:val="00082177"/>
    <w:rsid w:val="00082261"/>
    <w:rsid w:val="00082451"/>
    <w:rsid w:val="000824A8"/>
    <w:rsid w:val="00082B90"/>
    <w:rsid w:val="00082D55"/>
    <w:rsid w:val="0008302A"/>
    <w:rsid w:val="000831B0"/>
    <w:rsid w:val="000831E5"/>
    <w:rsid w:val="000833C1"/>
    <w:rsid w:val="0008361E"/>
    <w:rsid w:val="0008375B"/>
    <w:rsid w:val="00083C3E"/>
    <w:rsid w:val="000840A0"/>
    <w:rsid w:val="00084389"/>
    <w:rsid w:val="000843EE"/>
    <w:rsid w:val="00084418"/>
    <w:rsid w:val="00084420"/>
    <w:rsid w:val="0008461E"/>
    <w:rsid w:val="000846FB"/>
    <w:rsid w:val="00084FEB"/>
    <w:rsid w:val="0008522A"/>
    <w:rsid w:val="00085534"/>
    <w:rsid w:val="000858EB"/>
    <w:rsid w:val="000858F0"/>
    <w:rsid w:val="00085903"/>
    <w:rsid w:val="00085B62"/>
    <w:rsid w:val="000863E3"/>
    <w:rsid w:val="00086590"/>
    <w:rsid w:val="000865C9"/>
    <w:rsid w:val="00086787"/>
    <w:rsid w:val="00086938"/>
    <w:rsid w:val="00086B1C"/>
    <w:rsid w:val="00086F13"/>
    <w:rsid w:val="00086F15"/>
    <w:rsid w:val="00086FC2"/>
    <w:rsid w:val="000871DB"/>
    <w:rsid w:val="0008744F"/>
    <w:rsid w:val="0008746C"/>
    <w:rsid w:val="00087B40"/>
    <w:rsid w:val="00087CB4"/>
    <w:rsid w:val="00087CD6"/>
    <w:rsid w:val="00087D8E"/>
    <w:rsid w:val="00087E11"/>
    <w:rsid w:val="00087E34"/>
    <w:rsid w:val="00090014"/>
    <w:rsid w:val="00090161"/>
    <w:rsid w:val="000902B6"/>
    <w:rsid w:val="000907AB"/>
    <w:rsid w:val="0009085A"/>
    <w:rsid w:val="00090C88"/>
    <w:rsid w:val="00090E8C"/>
    <w:rsid w:val="00091074"/>
    <w:rsid w:val="00091308"/>
    <w:rsid w:val="000916EA"/>
    <w:rsid w:val="000917CA"/>
    <w:rsid w:val="0009197F"/>
    <w:rsid w:val="00091F0C"/>
    <w:rsid w:val="00091FCD"/>
    <w:rsid w:val="00092029"/>
    <w:rsid w:val="0009218C"/>
    <w:rsid w:val="000925EC"/>
    <w:rsid w:val="000929B8"/>
    <w:rsid w:val="00092A1E"/>
    <w:rsid w:val="00092C8F"/>
    <w:rsid w:val="00092EFB"/>
    <w:rsid w:val="00093149"/>
    <w:rsid w:val="000931F9"/>
    <w:rsid w:val="00093334"/>
    <w:rsid w:val="00093B83"/>
    <w:rsid w:val="000946F5"/>
    <w:rsid w:val="00094A15"/>
    <w:rsid w:val="00094AC7"/>
    <w:rsid w:val="00094AED"/>
    <w:rsid w:val="00094FDF"/>
    <w:rsid w:val="000955C8"/>
    <w:rsid w:val="000957EA"/>
    <w:rsid w:val="00095804"/>
    <w:rsid w:val="00095ABB"/>
    <w:rsid w:val="00095C45"/>
    <w:rsid w:val="00095ECF"/>
    <w:rsid w:val="00095EF2"/>
    <w:rsid w:val="000960FD"/>
    <w:rsid w:val="0009614D"/>
    <w:rsid w:val="00096489"/>
    <w:rsid w:val="00096642"/>
    <w:rsid w:val="00096781"/>
    <w:rsid w:val="00096812"/>
    <w:rsid w:val="00096A07"/>
    <w:rsid w:val="00096B12"/>
    <w:rsid w:val="000973C8"/>
    <w:rsid w:val="000974F4"/>
    <w:rsid w:val="0009752F"/>
    <w:rsid w:val="000977BB"/>
    <w:rsid w:val="000977F1"/>
    <w:rsid w:val="00097897"/>
    <w:rsid w:val="00097B12"/>
    <w:rsid w:val="00097BA0"/>
    <w:rsid w:val="00097C8D"/>
    <w:rsid w:val="00097CFF"/>
    <w:rsid w:val="00097E19"/>
    <w:rsid w:val="00097E6A"/>
    <w:rsid w:val="000A01AA"/>
    <w:rsid w:val="000A0444"/>
    <w:rsid w:val="000A0552"/>
    <w:rsid w:val="000A0BB8"/>
    <w:rsid w:val="000A0C19"/>
    <w:rsid w:val="000A0D22"/>
    <w:rsid w:val="000A0EAC"/>
    <w:rsid w:val="000A120A"/>
    <w:rsid w:val="000A146C"/>
    <w:rsid w:val="000A1A25"/>
    <w:rsid w:val="000A1CB1"/>
    <w:rsid w:val="000A1D73"/>
    <w:rsid w:val="000A1E85"/>
    <w:rsid w:val="000A272B"/>
    <w:rsid w:val="000A27C9"/>
    <w:rsid w:val="000A27F5"/>
    <w:rsid w:val="000A2CEC"/>
    <w:rsid w:val="000A3354"/>
    <w:rsid w:val="000A342C"/>
    <w:rsid w:val="000A3815"/>
    <w:rsid w:val="000A3F1A"/>
    <w:rsid w:val="000A3F90"/>
    <w:rsid w:val="000A4272"/>
    <w:rsid w:val="000A4331"/>
    <w:rsid w:val="000A457F"/>
    <w:rsid w:val="000A4757"/>
    <w:rsid w:val="000A519D"/>
    <w:rsid w:val="000A52E4"/>
    <w:rsid w:val="000A543A"/>
    <w:rsid w:val="000A54B9"/>
    <w:rsid w:val="000A54EF"/>
    <w:rsid w:val="000A5620"/>
    <w:rsid w:val="000A5647"/>
    <w:rsid w:val="000A5747"/>
    <w:rsid w:val="000A580F"/>
    <w:rsid w:val="000A5948"/>
    <w:rsid w:val="000A5A08"/>
    <w:rsid w:val="000A5A53"/>
    <w:rsid w:val="000A5AF4"/>
    <w:rsid w:val="000A5B6C"/>
    <w:rsid w:val="000A5D21"/>
    <w:rsid w:val="000A5D76"/>
    <w:rsid w:val="000A5D7D"/>
    <w:rsid w:val="000A6068"/>
    <w:rsid w:val="000A6159"/>
    <w:rsid w:val="000A6357"/>
    <w:rsid w:val="000A64DB"/>
    <w:rsid w:val="000A6677"/>
    <w:rsid w:val="000A6694"/>
    <w:rsid w:val="000A674A"/>
    <w:rsid w:val="000A68E5"/>
    <w:rsid w:val="000A6C12"/>
    <w:rsid w:val="000A6E16"/>
    <w:rsid w:val="000A6F93"/>
    <w:rsid w:val="000A70D1"/>
    <w:rsid w:val="000A72C6"/>
    <w:rsid w:val="000A75EB"/>
    <w:rsid w:val="000A78C5"/>
    <w:rsid w:val="000A7A3A"/>
    <w:rsid w:val="000A7AD6"/>
    <w:rsid w:val="000A7B13"/>
    <w:rsid w:val="000A7C95"/>
    <w:rsid w:val="000A7E69"/>
    <w:rsid w:val="000B021F"/>
    <w:rsid w:val="000B03A6"/>
    <w:rsid w:val="000B0442"/>
    <w:rsid w:val="000B053B"/>
    <w:rsid w:val="000B0590"/>
    <w:rsid w:val="000B0618"/>
    <w:rsid w:val="000B070A"/>
    <w:rsid w:val="000B087A"/>
    <w:rsid w:val="000B0906"/>
    <w:rsid w:val="000B0A49"/>
    <w:rsid w:val="000B0AB7"/>
    <w:rsid w:val="000B0C02"/>
    <w:rsid w:val="000B0D20"/>
    <w:rsid w:val="000B1236"/>
    <w:rsid w:val="000B13F5"/>
    <w:rsid w:val="000B1406"/>
    <w:rsid w:val="000B1589"/>
    <w:rsid w:val="000B1984"/>
    <w:rsid w:val="000B1C5E"/>
    <w:rsid w:val="000B1CB4"/>
    <w:rsid w:val="000B1F21"/>
    <w:rsid w:val="000B2777"/>
    <w:rsid w:val="000B2806"/>
    <w:rsid w:val="000B2A98"/>
    <w:rsid w:val="000B3246"/>
    <w:rsid w:val="000B32F5"/>
    <w:rsid w:val="000B3370"/>
    <w:rsid w:val="000B355C"/>
    <w:rsid w:val="000B36B3"/>
    <w:rsid w:val="000B370E"/>
    <w:rsid w:val="000B37FD"/>
    <w:rsid w:val="000B3815"/>
    <w:rsid w:val="000B3C38"/>
    <w:rsid w:val="000B408D"/>
    <w:rsid w:val="000B422E"/>
    <w:rsid w:val="000B44DD"/>
    <w:rsid w:val="000B456A"/>
    <w:rsid w:val="000B47BD"/>
    <w:rsid w:val="000B4825"/>
    <w:rsid w:val="000B48BF"/>
    <w:rsid w:val="000B48EC"/>
    <w:rsid w:val="000B4917"/>
    <w:rsid w:val="000B4A87"/>
    <w:rsid w:val="000B4B92"/>
    <w:rsid w:val="000B4C9F"/>
    <w:rsid w:val="000B4D19"/>
    <w:rsid w:val="000B4EFA"/>
    <w:rsid w:val="000B517A"/>
    <w:rsid w:val="000B523B"/>
    <w:rsid w:val="000B54D2"/>
    <w:rsid w:val="000B5946"/>
    <w:rsid w:val="000B5C93"/>
    <w:rsid w:val="000B5CBE"/>
    <w:rsid w:val="000B6078"/>
    <w:rsid w:val="000B6328"/>
    <w:rsid w:val="000B6C42"/>
    <w:rsid w:val="000B6C55"/>
    <w:rsid w:val="000B6CEF"/>
    <w:rsid w:val="000B6D4D"/>
    <w:rsid w:val="000B6D61"/>
    <w:rsid w:val="000B7202"/>
    <w:rsid w:val="000B74C0"/>
    <w:rsid w:val="000B7564"/>
    <w:rsid w:val="000B7755"/>
    <w:rsid w:val="000B7A1F"/>
    <w:rsid w:val="000B7AE9"/>
    <w:rsid w:val="000B7C07"/>
    <w:rsid w:val="000B7C9D"/>
    <w:rsid w:val="000B7D5E"/>
    <w:rsid w:val="000C000C"/>
    <w:rsid w:val="000C015B"/>
    <w:rsid w:val="000C01BD"/>
    <w:rsid w:val="000C0246"/>
    <w:rsid w:val="000C0257"/>
    <w:rsid w:val="000C0395"/>
    <w:rsid w:val="000C060A"/>
    <w:rsid w:val="000C0B17"/>
    <w:rsid w:val="000C0D42"/>
    <w:rsid w:val="000C0E8C"/>
    <w:rsid w:val="000C117F"/>
    <w:rsid w:val="000C11FC"/>
    <w:rsid w:val="000C1227"/>
    <w:rsid w:val="000C1448"/>
    <w:rsid w:val="000C176E"/>
    <w:rsid w:val="000C17BE"/>
    <w:rsid w:val="000C1815"/>
    <w:rsid w:val="000C1D33"/>
    <w:rsid w:val="000C2256"/>
    <w:rsid w:val="000C22EE"/>
    <w:rsid w:val="000C29DE"/>
    <w:rsid w:val="000C2B43"/>
    <w:rsid w:val="000C2CA4"/>
    <w:rsid w:val="000C2EB5"/>
    <w:rsid w:val="000C2F22"/>
    <w:rsid w:val="000C3013"/>
    <w:rsid w:val="000C3231"/>
    <w:rsid w:val="000C3822"/>
    <w:rsid w:val="000C389F"/>
    <w:rsid w:val="000C39E1"/>
    <w:rsid w:val="000C3CFB"/>
    <w:rsid w:val="000C3F0B"/>
    <w:rsid w:val="000C3F14"/>
    <w:rsid w:val="000C3F55"/>
    <w:rsid w:val="000C3F6B"/>
    <w:rsid w:val="000C3FCC"/>
    <w:rsid w:val="000C41A5"/>
    <w:rsid w:val="000C41A6"/>
    <w:rsid w:val="000C441A"/>
    <w:rsid w:val="000C4860"/>
    <w:rsid w:val="000C48A0"/>
    <w:rsid w:val="000C495A"/>
    <w:rsid w:val="000C4A5A"/>
    <w:rsid w:val="000C4AAE"/>
    <w:rsid w:val="000C4BC2"/>
    <w:rsid w:val="000C4BC6"/>
    <w:rsid w:val="000C4C5F"/>
    <w:rsid w:val="000C4DD6"/>
    <w:rsid w:val="000C509D"/>
    <w:rsid w:val="000C5309"/>
    <w:rsid w:val="000C549B"/>
    <w:rsid w:val="000C561C"/>
    <w:rsid w:val="000C5906"/>
    <w:rsid w:val="000C5AC1"/>
    <w:rsid w:val="000C5D0D"/>
    <w:rsid w:val="000C5D8E"/>
    <w:rsid w:val="000C5DC4"/>
    <w:rsid w:val="000C6162"/>
    <w:rsid w:val="000C6815"/>
    <w:rsid w:val="000C695D"/>
    <w:rsid w:val="000C69B2"/>
    <w:rsid w:val="000C6BD9"/>
    <w:rsid w:val="000C6CA6"/>
    <w:rsid w:val="000C6CF7"/>
    <w:rsid w:val="000C6D44"/>
    <w:rsid w:val="000C6E14"/>
    <w:rsid w:val="000C6EB5"/>
    <w:rsid w:val="000C6FF6"/>
    <w:rsid w:val="000C705E"/>
    <w:rsid w:val="000C71FE"/>
    <w:rsid w:val="000C753D"/>
    <w:rsid w:val="000C76B0"/>
    <w:rsid w:val="000C7AD6"/>
    <w:rsid w:val="000C7F06"/>
    <w:rsid w:val="000D004E"/>
    <w:rsid w:val="000D0561"/>
    <w:rsid w:val="000D08C9"/>
    <w:rsid w:val="000D08F8"/>
    <w:rsid w:val="000D0BAE"/>
    <w:rsid w:val="000D0BC6"/>
    <w:rsid w:val="000D1276"/>
    <w:rsid w:val="000D135C"/>
    <w:rsid w:val="000D1395"/>
    <w:rsid w:val="000D13A4"/>
    <w:rsid w:val="000D1422"/>
    <w:rsid w:val="000D1BB3"/>
    <w:rsid w:val="000D1CC7"/>
    <w:rsid w:val="000D1FC7"/>
    <w:rsid w:val="000D2288"/>
    <w:rsid w:val="000D22C2"/>
    <w:rsid w:val="000D249B"/>
    <w:rsid w:val="000D2577"/>
    <w:rsid w:val="000D25B6"/>
    <w:rsid w:val="000D2A15"/>
    <w:rsid w:val="000D2B24"/>
    <w:rsid w:val="000D2D05"/>
    <w:rsid w:val="000D3042"/>
    <w:rsid w:val="000D3479"/>
    <w:rsid w:val="000D3545"/>
    <w:rsid w:val="000D37CC"/>
    <w:rsid w:val="000D38E6"/>
    <w:rsid w:val="000D3B76"/>
    <w:rsid w:val="000D3B9A"/>
    <w:rsid w:val="000D3D07"/>
    <w:rsid w:val="000D3EDA"/>
    <w:rsid w:val="000D3F74"/>
    <w:rsid w:val="000D4374"/>
    <w:rsid w:val="000D4613"/>
    <w:rsid w:val="000D4706"/>
    <w:rsid w:val="000D47BA"/>
    <w:rsid w:val="000D4858"/>
    <w:rsid w:val="000D4974"/>
    <w:rsid w:val="000D4E61"/>
    <w:rsid w:val="000D55B8"/>
    <w:rsid w:val="000D578F"/>
    <w:rsid w:val="000D5BFA"/>
    <w:rsid w:val="000D5C8E"/>
    <w:rsid w:val="000D5D97"/>
    <w:rsid w:val="000D5E39"/>
    <w:rsid w:val="000D5FCA"/>
    <w:rsid w:val="000D5FFD"/>
    <w:rsid w:val="000D6259"/>
    <w:rsid w:val="000D6448"/>
    <w:rsid w:val="000D6730"/>
    <w:rsid w:val="000D6BD0"/>
    <w:rsid w:val="000D6BF0"/>
    <w:rsid w:val="000D6FE5"/>
    <w:rsid w:val="000D70CA"/>
    <w:rsid w:val="000D722B"/>
    <w:rsid w:val="000D742E"/>
    <w:rsid w:val="000D76C7"/>
    <w:rsid w:val="000D781B"/>
    <w:rsid w:val="000D783F"/>
    <w:rsid w:val="000D7AD5"/>
    <w:rsid w:val="000D7B0A"/>
    <w:rsid w:val="000D7B32"/>
    <w:rsid w:val="000D7CBA"/>
    <w:rsid w:val="000D7D4A"/>
    <w:rsid w:val="000D7E64"/>
    <w:rsid w:val="000D7FB9"/>
    <w:rsid w:val="000E0136"/>
    <w:rsid w:val="000E04F1"/>
    <w:rsid w:val="000E04FD"/>
    <w:rsid w:val="000E066E"/>
    <w:rsid w:val="000E0748"/>
    <w:rsid w:val="000E07BC"/>
    <w:rsid w:val="000E0A80"/>
    <w:rsid w:val="000E0C56"/>
    <w:rsid w:val="000E0E01"/>
    <w:rsid w:val="000E0E30"/>
    <w:rsid w:val="000E1393"/>
    <w:rsid w:val="000E145D"/>
    <w:rsid w:val="000E1658"/>
    <w:rsid w:val="000E1EF0"/>
    <w:rsid w:val="000E1F20"/>
    <w:rsid w:val="000E21D5"/>
    <w:rsid w:val="000E27D6"/>
    <w:rsid w:val="000E2999"/>
    <w:rsid w:val="000E2B1C"/>
    <w:rsid w:val="000E2F58"/>
    <w:rsid w:val="000E340A"/>
    <w:rsid w:val="000E34EE"/>
    <w:rsid w:val="000E364E"/>
    <w:rsid w:val="000E36BD"/>
    <w:rsid w:val="000E38AE"/>
    <w:rsid w:val="000E3B72"/>
    <w:rsid w:val="000E3CCD"/>
    <w:rsid w:val="000E3EF0"/>
    <w:rsid w:val="000E407E"/>
    <w:rsid w:val="000E41E6"/>
    <w:rsid w:val="000E4291"/>
    <w:rsid w:val="000E4388"/>
    <w:rsid w:val="000E441B"/>
    <w:rsid w:val="000E4914"/>
    <w:rsid w:val="000E4E25"/>
    <w:rsid w:val="000E4F16"/>
    <w:rsid w:val="000E5601"/>
    <w:rsid w:val="000E5664"/>
    <w:rsid w:val="000E5786"/>
    <w:rsid w:val="000E57C4"/>
    <w:rsid w:val="000E5826"/>
    <w:rsid w:val="000E5A19"/>
    <w:rsid w:val="000E5AEA"/>
    <w:rsid w:val="000E5B7C"/>
    <w:rsid w:val="000E5E86"/>
    <w:rsid w:val="000E5EBF"/>
    <w:rsid w:val="000E60AC"/>
    <w:rsid w:val="000E638C"/>
    <w:rsid w:val="000E6516"/>
    <w:rsid w:val="000E6663"/>
    <w:rsid w:val="000E6818"/>
    <w:rsid w:val="000E68F7"/>
    <w:rsid w:val="000E693C"/>
    <w:rsid w:val="000E69AA"/>
    <w:rsid w:val="000E6A7D"/>
    <w:rsid w:val="000E6AE5"/>
    <w:rsid w:val="000E6B05"/>
    <w:rsid w:val="000E6B0C"/>
    <w:rsid w:val="000E6C20"/>
    <w:rsid w:val="000E6FAF"/>
    <w:rsid w:val="000E70BC"/>
    <w:rsid w:val="000E7347"/>
    <w:rsid w:val="000E769E"/>
    <w:rsid w:val="000E7850"/>
    <w:rsid w:val="000F0153"/>
    <w:rsid w:val="000F034A"/>
    <w:rsid w:val="000F072F"/>
    <w:rsid w:val="000F0743"/>
    <w:rsid w:val="000F0D1F"/>
    <w:rsid w:val="000F0DFA"/>
    <w:rsid w:val="000F0E47"/>
    <w:rsid w:val="000F10E0"/>
    <w:rsid w:val="000F1113"/>
    <w:rsid w:val="000F17B7"/>
    <w:rsid w:val="000F1DE3"/>
    <w:rsid w:val="000F1E10"/>
    <w:rsid w:val="000F1F07"/>
    <w:rsid w:val="000F1F1F"/>
    <w:rsid w:val="000F1F75"/>
    <w:rsid w:val="000F2409"/>
    <w:rsid w:val="000F2690"/>
    <w:rsid w:val="000F2C1F"/>
    <w:rsid w:val="000F2CBA"/>
    <w:rsid w:val="000F2F26"/>
    <w:rsid w:val="000F3070"/>
    <w:rsid w:val="000F30A1"/>
    <w:rsid w:val="000F346F"/>
    <w:rsid w:val="000F382F"/>
    <w:rsid w:val="000F39B1"/>
    <w:rsid w:val="000F39D0"/>
    <w:rsid w:val="000F3B6A"/>
    <w:rsid w:val="000F3BAC"/>
    <w:rsid w:val="000F3BF4"/>
    <w:rsid w:val="000F3DFF"/>
    <w:rsid w:val="000F41B8"/>
    <w:rsid w:val="000F4343"/>
    <w:rsid w:val="000F43E0"/>
    <w:rsid w:val="000F4697"/>
    <w:rsid w:val="000F47C8"/>
    <w:rsid w:val="000F49A4"/>
    <w:rsid w:val="000F4E76"/>
    <w:rsid w:val="000F4E97"/>
    <w:rsid w:val="000F4FE3"/>
    <w:rsid w:val="000F522C"/>
    <w:rsid w:val="000F561E"/>
    <w:rsid w:val="000F577A"/>
    <w:rsid w:val="000F5791"/>
    <w:rsid w:val="000F596B"/>
    <w:rsid w:val="000F5A57"/>
    <w:rsid w:val="000F5A67"/>
    <w:rsid w:val="000F5B73"/>
    <w:rsid w:val="000F5DBF"/>
    <w:rsid w:val="000F62C1"/>
    <w:rsid w:val="000F63B9"/>
    <w:rsid w:val="000F646D"/>
    <w:rsid w:val="000F65CB"/>
    <w:rsid w:val="000F6721"/>
    <w:rsid w:val="000F6B3E"/>
    <w:rsid w:val="000F7153"/>
    <w:rsid w:val="000F716F"/>
    <w:rsid w:val="000F72D4"/>
    <w:rsid w:val="000F7364"/>
    <w:rsid w:val="000F7407"/>
    <w:rsid w:val="000F7408"/>
    <w:rsid w:val="000F7A36"/>
    <w:rsid w:val="00100063"/>
    <w:rsid w:val="001003BF"/>
    <w:rsid w:val="001005DA"/>
    <w:rsid w:val="00100663"/>
    <w:rsid w:val="001006FB"/>
    <w:rsid w:val="00100B92"/>
    <w:rsid w:val="00100E5E"/>
    <w:rsid w:val="00100F2F"/>
    <w:rsid w:val="001013AB"/>
    <w:rsid w:val="001015EE"/>
    <w:rsid w:val="001015F6"/>
    <w:rsid w:val="00101637"/>
    <w:rsid w:val="001017AF"/>
    <w:rsid w:val="00101894"/>
    <w:rsid w:val="001018A3"/>
    <w:rsid w:val="00101914"/>
    <w:rsid w:val="0010207C"/>
    <w:rsid w:val="00102122"/>
    <w:rsid w:val="001021B6"/>
    <w:rsid w:val="00102511"/>
    <w:rsid w:val="00102714"/>
    <w:rsid w:val="00102F25"/>
    <w:rsid w:val="00103157"/>
    <w:rsid w:val="00103225"/>
    <w:rsid w:val="00103381"/>
    <w:rsid w:val="00103437"/>
    <w:rsid w:val="00103766"/>
    <w:rsid w:val="001037A4"/>
    <w:rsid w:val="0010384F"/>
    <w:rsid w:val="00103AA5"/>
    <w:rsid w:val="00103C64"/>
    <w:rsid w:val="00103DB3"/>
    <w:rsid w:val="00103E55"/>
    <w:rsid w:val="00103E60"/>
    <w:rsid w:val="0010418F"/>
    <w:rsid w:val="00104192"/>
    <w:rsid w:val="00104812"/>
    <w:rsid w:val="001048AB"/>
    <w:rsid w:val="00104900"/>
    <w:rsid w:val="00104A26"/>
    <w:rsid w:val="0010522E"/>
    <w:rsid w:val="00105310"/>
    <w:rsid w:val="0010540F"/>
    <w:rsid w:val="001055B8"/>
    <w:rsid w:val="00105778"/>
    <w:rsid w:val="0010584A"/>
    <w:rsid w:val="001058F9"/>
    <w:rsid w:val="001059B3"/>
    <w:rsid w:val="001059CE"/>
    <w:rsid w:val="00105ACB"/>
    <w:rsid w:val="00105BE3"/>
    <w:rsid w:val="00105C1B"/>
    <w:rsid w:val="00105C63"/>
    <w:rsid w:val="00105DAD"/>
    <w:rsid w:val="00105FD6"/>
    <w:rsid w:val="00106093"/>
    <w:rsid w:val="0010615C"/>
    <w:rsid w:val="0010673B"/>
    <w:rsid w:val="0010683C"/>
    <w:rsid w:val="0010695C"/>
    <w:rsid w:val="00106BB2"/>
    <w:rsid w:val="00106BDD"/>
    <w:rsid w:val="00107055"/>
    <w:rsid w:val="001071DD"/>
    <w:rsid w:val="00107605"/>
    <w:rsid w:val="00107798"/>
    <w:rsid w:val="00107A65"/>
    <w:rsid w:val="00107B62"/>
    <w:rsid w:val="00107C48"/>
    <w:rsid w:val="00107F7E"/>
    <w:rsid w:val="00107FC2"/>
    <w:rsid w:val="0011005A"/>
    <w:rsid w:val="001100AD"/>
    <w:rsid w:val="00110219"/>
    <w:rsid w:val="0011042E"/>
    <w:rsid w:val="0011053B"/>
    <w:rsid w:val="00110628"/>
    <w:rsid w:val="00110795"/>
    <w:rsid w:val="00110D47"/>
    <w:rsid w:val="00110DAF"/>
    <w:rsid w:val="00110DB3"/>
    <w:rsid w:val="00110EEB"/>
    <w:rsid w:val="00111713"/>
    <w:rsid w:val="00111873"/>
    <w:rsid w:val="001119CE"/>
    <w:rsid w:val="00111A3C"/>
    <w:rsid w:val="00111BD6"/>
    <w:rsid w:val="00111D19"/>
    <w:rsid w:val="00111D68"/>
    <w:rsid w:val="00111D8E"/>
    <w:rsid w:val="00111F4C"/>
    <w:rsid w:val="00112111"/>
    <w:rsid w:val="00112251"/>
    <w:rsid w:val="00112585"/>
    <w:rsid w:val="0011258E"/>
    <w:rsid w:val="001125DC"/>
    <w:rsid w:val="00112C5C"/>
    <w:rsid w:val="00112CA2"/>
    <w:rsid w:val="00112D01"/>
    <w:rsid w:val="00112F9F"/>
    <w:rsid w:val="001130AB"/>
    <w:rsid w:val="001130D8"/>
    <w:rsid w:val="00113104"/>
    <w:rsid w:val="001131D0"/>
    <w:rsid w:val="001132B0"/>
    <w:rsid w:val="001135FF"/>
    <w:rsid w:val="00113791"/>
    <w:rsid w:val="00113C2C"/>
    <w:rsid w:val="00113C52"/>
    <w:rsid w:val="0011499A"/>
    <w:rsid w:val="00114AD8"/>
    <w:rsid w:val="00114B0A"/>
    <w:rsid w:val="00114FE8"/>
    <w:rsid w:val="0011505E"/>
    <w:rsid w:val="00115076"/>
    <w:rsid w:val="001156C7"/>
    <w:rsid w:val="00115A6F"/>
    <w:rsid w:val="00115A79"/>
    <w:rsid w:val="00115B44"/>
    <w:rsid w:val="00115B73"/>
    <w:rsid w:val="00115D4C"/>
    <w:rsid w:val="00115EC6"/>
    <w:rsid w:val="00116353"/>
    <w:rsid w:val="00116786"/>
    <w:rsid w:val="0011690F"/>
    <w:rsid w:val="00116B42"/>
    <w:rsid w:val="00116B62"/>
    <w:rsid w:val="00116D84"/>
    <w:rsid w:val="00116DDB"/>
    <w:rsid w:val="00116F6F"/>
    <w:rsid w:val="001170CB"/>
    <w:rsid w:val="001171BD"/>
    <w:rsid w:val="0011735B"/>
    <w:rsid w:val="001174FB"/>
    <w:rsid w:val="0011773F"/>
    <w:rsid w:val="001178D1"/>
    <w:rsid w:val="001178EF"/>
    <w:rsid w:val="00117998"/>
    <w:rsid w:val="00117E49"/>
    <w:rsid w:val="00117E8F"/>
    <w:rsid w:val="00117EA7"/>
    <w:rsid w:val="00117FAD"/>
    <w:rsid w:val="0012026A"/>
    <w:rsid w:val="001204C6"/>
    <w:rsid w:val="001204E2"/>
    <w:rsid w:val="00120670"/>
    <w:rsid w:val="0012070C"/>
    <w:rsid w:val="0012177F"/>
    <w:rsid w:val="00121954"/>
    <w:rsid w:val="00121EA4"/>
    <w:rsid w:val="001220D3"/>
    <w:rsid w:val="001221F3"/>
    <w:rsid w:val="00122520"/>
    <w:rsid w:val="00122649"/>
    <w:rsid w:val="001226ED"/>
    <w:rsid w:val="00122876"/>
    <w:rsid w:val="00122960"/>
    <w:rsid w:val="001229F2"/>
    <w:rsid w:val="00122C3E"/>
    <w:rsid w:val="00122C73"/>
    <w:rsid w:val="00122CD7"/>
    <w:rsid w:val="00122E0A"/>
    <w:rsid w:val="00122EEE"/>
    <w:rsid w:val="00122F1C"/>
    <w:rsid w:val="001230C2"/>
    <w:rsid w:val="001231E0"/>
    <w:rsid w:val="001232B8"/>
    <w:rsid w:val="001233EF"/>
    <w:rsid w:val="00123479"/>
    <w:rsid w:val="0012379A"/>
    <w:rsid w:val="001237C1"/>
    <w:rsid w:val="0012392F"/>
    <w:rsid w:val="00123B30"/>
    <w:rsid w:val="00123B4F"/>
    <w:rsid w:val="00123BEA"/>
    <w:rsid w:val="00123C83"/>
    <w:rsid w:val="00123E18"/>
    <w:rsid w:val="00124073"/>
    <w:rsid w:val="0012439B"/>
    <w:rsid w:val="0012440E"/>
    <w:rsid w:val="00124867"/>
    <w:rsid w:val="00124A84"/>
    <w:rsid w:val="00124F08"/>
    <w:rsid w:val="00125021"/>
    <w:rsid w:val="001250CF"/>
    <w:rsid w:val="00125198"/>
    <w:rsid w:val="0012561A"/>
    <w:rsid w:val="0012568F"/>
    <w:rsid w:val="00125853"/>
    <w:rsid w:val="00125960"/>
    <w:rsid w:val="00125B59"/>
    <w:rsid w:val="00125CFF"/>
    <w:rsid w:val="0012602C"/>
    <w:rsid w:val="0012605F"/>
    <w:rsid w:val="00126154"/>
    <w:rsid w:val="0012631D"/>
    <w:rsid w:val="001265DF"/>
    <w:rsid w:val="001266B1"/>
    <w:rsid w:val="001266FE"/>
    <w:rsid w:val="00126AF8"/>
    <w:rsid w:val="00126B51"/>
    <w:rsid w:val="00126D3D"/>
    <w:rsid w:val="00126F6B"/>
    <w:rsid w:val="001270D3"/>
    <w:rsid w:val="00127152"/>
    <w:rsid w:val="001272AF"/>
    <w:rsid w:val="001274E2"/>
    <w:rsid w:val="0012782F"/>
    <w:rsid w:val="0012792E"/>
    <w:rsid w:val="00127D67"/>
    <w:rsid w:val="00127EC4"/>
    <w:rsid w:val="00127EDC"/>
    <w:rsid w:val="00127EE8"/>
    <w:rsid w:val="0013006B"/>
    <w:rsid w:val="001304A7"/>
    <w:rsid w:val="001304C7"/>
    <w:rsid w:val="001305A2"/>
    <w:rsid w:val="00130656"/>
    <w:rsid w:val="00130691"/>
    <w:rsid w:val="0013078A"/>
    <w:rsid w:val="001309A0"/>
    <w:rsid w:val="00131705"/>
    <w:rsid w:val="0013175E"/>
    <w:rsid w:val="0013175F"/>
    <w:rsid w:val="00131A97"/>
    <w:rsid w:val="00131C09"/>
    <w:rsid w:val="00131CBD"/>
    <w:rsid w:val="00131DD9"/>
    <w:rsid w:val="00131DE5"/>
    <w:rsid w:val="0013214B"/>
    <w:rsid w:val="00132321"/>
    <w:rsid w:val="0013241F"/>
    <w:rsid w:val="001324CE"/>
    <w:rsid w:val="001325FC"/>
    <w:rsid w:val="00132600"/>
    <w:rsid w:val="0013275E"/>
    <w:rsid w:val="00132920"/>
    <w:rsid w:val="00132991"/>
    <w:rsid w:val="001329C3"/>
    <w:rsid w:val="00132AB3"/>
    <w:rsid w:val="00132D67"/>
    <w:rsid w:val="00132E28"/>
    <w:rsid w:val="001333BB"/>
    <w:rsid w:val="00133986"/>
    <w:rsid w:val="00133C8D"/>
    <w:rsid w:val="001344A6"/>
    <w:rsid w:val="0013450A"/>
    <w:rsid w:val="00134581"/>
    <w:rsid w:val="00134777"/>
    <w:rsid w:val="0013497B"/>
    <w:rsid w:val="00134AAD"/>
    <w:rsid w:val="00134CBF"/>
    <w:rsid w:val="00134DB0"/>
    <w:rsid w:val="00134FD0"/>
    <w:rsid w:val="00135188"/>
    <w:rsid w:val="001352CD"/>
    <w:rsid w:val="001353E2"/>
    <w:rsid w:val="001359A8"/>
    <w:rsid w:val="00135F66"/>
    <w:rsid w:val="0013616C"/>
    <w:rsid w:val="00136275"/>
    <w:rsid w:val="001364EF"/>
    <w:rsid w:val="001368DB"/>
    <w:rsid w:val="00136909"/>
    <w:rsid w:val="00136BCD"/>
    <w:rsid w:val="00136D0C"/>
    <w:rsid w:val="00136E59"/>
    <w:rsid w:val="001377BA"/>
    <w:rsid w:val="00137AF1"/>
    <w:rsid w:val="00137C71"/>
    <w:rsid w:val="00137DA0"/>
    <w:rsid w:val="00137E43"/>
    <w:rsid w:val="00137E4B"/>
    <w:rsid w:val="00137F89"/>
    <w:rsid w:val="001402E8"/>
    <w:rsid w:val="00140407"/>
    <w:rsid w:val="001404F3"/>
    <w:rsid w:val="0014054B"/>
    <w:rsid w:val="0014059C"/>
    <w:rsid w:val="0014059E"/>
    <w:rsid w:val="0014080D"/>
    <w:rsid w:val="001408F9"/>
    <w:rsid w:val="00140BC8"/>
    <w:rsid w:val="00140EB5"/>
    <w:rsid w:val="00141480"/>
    <w:rsid w:val="001416B7"/>
    <w:rsid w:val="0014184B"/>
    <w:rsid w:val="0014193F"/>
    <w:rsid w:val="00141DD6"/>
    <w:rsid w:val="00141E5E"/>
    <w:rsid w:val="00142256"/>
    <w:rsid w:val="00142331"/>
    <w:rsid w:val="00142368"/>
    <w:rsid w:val="00142391"/>
    <w:rsid w:val="001425B3"/>
    <w:rsid w:val="00142641"/>
    <w:rsid w:val="00142757"/>
    <w:rsid w:val="0014278F"/>
    <w:rsid w:val="00142A2D"/>
    <w:rsid w:val="00142C9A"/>
    <w:rsid w:val="00142CA2"/>
    <w:rsid w:val="00142CD5"/>
    <w:rsid w:val="00142E97"/>
    <w:rsid w:val="0014325C"/>
    <w:rsid w:val="001434EB"/>
    <w:rsid w:val="0014355D"/>
    <w:rsid w:val="00143836"/>
    <w:rsid w:val="001438D9"/>
    <w:rsid w:val="00143A28"/>
    <w:rsid w:val="00143CDC"/>
    <w:rsid w:val="00143E8B"/>
    <w:rsid w:val="00144131"/>
    <w:rsid w:val="0014446C"/>
    <w:rsid w:val="0014457F"/>
    <w:rsid w:val="00144708"/>
    <w:rsid w:val="0014497C"/>
    <w:rsid w:val="001449C8"/>
    <w:rsid w:val="00144A49"/>
    <w:rsid w:val="00144CD8"/>
    <w:rsid w:val="00144DF3"/>
    <w:rsid w:val="00144E70"/>
    <w:rsid w:val="00144EFA"/>
    <w:rsid w:val="00144FBA"/>
    <w:rsid w:val="00145124"/>
    <w:rsid w:val="00145271"/>
    <w:rsid w:val="00145430"/>
    <w:rsid w:val="001454BC"/>
    <w:rsid w:val="001454C3"/>
    <w:rsid w:val="00145503"/>
    <w:rsid w:val="0014568B"/>
    <w:rsid w:val="00145872"/>
    <w:rsid w:val="00145CE3"/>
    <w:rsid w:val="00145DB7"/>
    <w:rsid w:val="00146028"/>
    <w:rsid w:val="0014637E"/>
    <w:rsid w:val="0014644E"/>
    <w:rsid w:val="001464ED"/>
    <w:rsid w:val="001466D1"/>
    <w:rsid w:val="00146A1D"/>
    <w:rsid w:val="00147420"/>
    <w:rsid w:val="0014744A"/>
    <w:rsid w:val="0014764D"/>
    <w:rsid w:val="001477C7"/>
    <w:rsid w:val="00147894"/>
    <w:rsid w:val="00147ABB"/>
    <w:rsid w:val="00147B71"/>
    <w:rsid w:val="00147BE5"/>
    <w:rsid w:val="00147DD8"/>
    <w:rsid w:val="001501F2"/>
    <w:rsid w:val="00150274"/>
    <w:rsid w:val="001502D0"/>
    <w:rsid w:val="0015069D"/>
    <w:rsid w:val="00150747"/>
    <w:rsid w:val="00150D1C"/>
    <w:rsid w:val="00150D7D"/>
    <w:rsid w:val="00150F8D"/>
    <w:rsid w:val="0015122C"/>
    <w:rsid w:val="00151377"/>
    <w:rsid w:val="001516EE"/>
    <w:rsid w:val="00151B85"/>
    <w:rsid w:val="00151DA2"/>
    <w:rsid w:val="001525CD"/>
    <w:rsid w:val="001526DB"/>
    <w:rsid w:val="00152749"/>
    <w:rsid w:val="001529DE"/>
    <w:rsid w:val="00152B18"/>
    <w:rsid w:val="00152C1C"/>
    <w:rsid w:val="001530CD"/>
    <w:rsid w:val="0015311A"/>
    <w:rsid w:val="001533EF"/>
    <w:rsid w:val="00153716"/>
    <w:rsid w:val="00153BAA"/>
    <w:rsid w:val="0015413F"/>
    <w:rsid w:val="001541CA"/>
    <w:rsid w:val="001543BA"/>
    <w:rsid w:val="001543E9"/>
    <w:rsid w:val="00154577"/>
    <w:rsid w:val="00154667"/>
    <w:rsid w:val="001546E1"/>
    <w:rsid w:val="001549D2"/>
    <w:rsid w:val="00154A26"/>
    <w:rsid w:val="00154AE0"/>
    <w:rsid w:val="00154B54"/>
    <w:rsid w:val="00154B6B"/>
    <w:rsid w:val="00154BC8"/>
    <w:rsid w:val="00154F99"/>
    <w:rsid w:val="0015504D"/>
    <w:rsid w:val="00155145"/>
    <w:rsid w:val="0015521B"/>
    <w:rsid w:val="001558DC"/>
    <w:rsid w:val="00155950"/>
    <w:rsid w:val="001559CD"/>
    <w:rsid w:val="00155AE4"/>
    <w:rsid w:val="00155B55"/>
    <w:rsid w:val="00155D29"/>
    <w:rsid w:val="00155D79"/>
    <w:rsid w:val="00156055"/>
    <w:rsid w:val="0015670D"/>
    <w:rsid w:val="001569DB"/>
    <w:rsid w:val="00156B43"/>
    <w:rsid w:val="00156F91"/>
    <w:rsid w:val="0015710D"/>
    <w:rsid w:val="00157117"/>
    <w:rsid w:val="00157273"/>
    <w:rsid w:val="00157394"/>
    <w:rsid w:val="0015746F"/>
    <w:rsid w:val="001574C8"/>
    <w:rsid w:val="00157644"/>
    <w:rsid w:val="001579C0"/>
    <w:rsid w:val="00157C7C"/>
    <w:rsid w:val="0016003A"/>
    <w:rsid w:val="001604D0"/>
    <w:rsid w:val="001606C9"/>
    <w:rsid w:val="0016078A"/>
    <w:rsid w:val="001607A7"/>
    <w:rsid w:val="001607DA"/>
    <w:rsid w:val="001607F4"/>
    <w:rsid w:val="001608B0"/>
    <w:rsid w:val="00160B8D"/>
    <w:rsid w:val="00160E7D"/>
    <w:rsid w:val="00160ED2"/>
    <w:rsid w:val="00160F98"/>
    <w:rsid w:val="0016119C"/>
    <w:rsid w:val="001613CC"/>
    <w:rsid w:val="001614D9"/>
    <w:rsid w:val="0016166F"/>
    <w:rsid w:val="00161A8E"/>
    <w:rsid w:val="00161CB1"/>
    <w:rsid w:val="00161D12"/>
    <w:rsid w:val="00161F54"/>
    <w:rsid w:val="00161F5C"/>
    <w:rsid w:val="0016252A"/>
    <w:rsid w:val="00162550"/>
    <w:rsid w:val="0016264D"/>
    <w:rsid w:val="00162D4D"/>
    <w:rsid w:val="00162D5B"/>
    <w:rsid w:val="00162F1F"/>
    <w:rsid w:val="001631BA"/>
    <w:rsid w:val="00163305"/>
    <w:rsid w:val="001636C2"/>
    <w:rsid w:val="0016387F"/>
    <w:rsid w:val="00163935"/>
    <w:rsid w:val="00163DD9"/>
    <w:rsid w:val="00163DFD"/>
    <w:rsid w:val="00163E2F"/>
    <w:rsid w:val="00164217"/>
    <w:rsid w:val="0016461D"/>
    <w:rsid w:val="00164725"/>
    <w:rsid w:val="0016474A"/>
    <w:rsid w:val="00164D37"/>
    <w:rsid w:val="00164E56"/>
    <w:rsid w:val="001657AD"/>
    <w:rsid w:val="00165941"/>
    <w:rsid w:val="00165980"/>
    <w:rsid w:val="00165AC7"/>
    <w:rsid w:val="00165DA8"/>
    <w:rsid w:val="00165DF2"/>
    <w:rsid w:val="00165ED6"/>
    <w:rsid w:val="00165EF9"/>
    <w:rsid w:val="00166204"/>
    <w:rsid w:val="00166384"/>
    <w:rsid w:val="001665C7"/>
    <w:rsid w:val="00166939"/>
    <w:rsid w:val="001669AE"/>
    <w:rsid w:val="00166AE8"/>
    <w:rsid w:val="00166BBB"/>
    <w:rsid w:val="00166C26"/>
    <w:rsid w:val="0016707B"/>
    <w:rsid w:val="001672E7"/>
    <w:rsid w:val="00167632"/>
    <w:rsid w:val="001677AE"/>
    <w:rsid w:val="001679C7"/>
    <w:rsid w:val="00167AA4"/>
    <w:rsid w:val="00167F26"/>
    <w:rsid w:val="00170000"/>
    <w:rsid w:val="001704AB"/>
    <w:rsid w:val="001704F9"/>
    <w:rsid w:val="00170881"/>
    <w:rsid w:val="001709F2"/>
    <w:rsid w:val="00170B32"/>
    <w:rsid w:val="00170B48"/>
    <w:rsid w:val="00170BDF"/>
    <w:rsid w:val="00170E84"/>
    <w:rsid w:val="00170F22"/>
    <w:rsid w:val="001710C8"/>
    <w:rsid w:val="00171134"/>
    <w:rsid w:val="001712F6"/>
    <w:rsid w:val="001716D9"/>
    <w:rsid w:val="00171838"/>
    <w:rsid w:val="00171CD4"/>
    <w:rsid w:val="00171D0F"/>
    <w:rsid w:val="00171DD2"/>
    <w:rsid w:val="00171EDD"/>
    <w:rsid w:val="001723CE"/>
    <w:rsid w:val="001726E5"/>
    <w:rsid w:val="00172744"/>
    <w:rsid w:val="00172840"/>
    <w:rsid w:val="001729C3"/>
    <w:rsid w:val="00172A54"/>
    <w:rsid w:val="00172CEC"/>
    <w:rsid w:val="001732AE"/>
    <w:rsid w:val="001733A0"/>
    <w:rsid w:val="00173457"/>
    <w:rsid w:val="00173668"/>
    <w:rsid w:val="00173B15"/>
    <w:rsid w:val="00173BF7"/>
    <w:rsid w:val="00173CD0"/>
    <w:rsid w:val="00173ECE"/>
    <w:rsid w:val="00173FCE"/>
    <w:rsid w:val="00174146"/>
    <w:rsid w:val="00174156"/>
    <w:rsid w:val="001741FB"/>
    <w:rsid w:val="0017446E"/>
    <w:rsid w:val="00174A25"/>
    <w:rsid w:val="00174A50"/>
    <w:rsid w:val="00174C25"/>
    <w:rsid w:val="00174DBD"/>
    <w:rsid w:val="00174DCC"/>
    <w:rsid w:val="00175062"/>
    <w:rsid w:val="001750CD"/>
    <w:rsid w:val="001756F1"/>
    <w:rsid w:val="00175B01"/>
    <w:rsid w:val="00175D77"/>
    <w:rsid w:val="00175F82"/>
    <w:rsid w:val="00176068"/>
    <w:rsid w:val="00176147"/>
    <w:rsid w:val="001762B1"/>
    <w:rsid w:val="00176527"/>
    <w:rsid w:val="00176569"/>
    <w:rsid w:val="00176899"/>
    <w:rsid w:val="00176A64"/>
    <w:rsid w:val="00176B44"/>
    <w:rsid w:val="00176D97"/>
    <w:rsid w:val="00176FFA"/>
    <w:rsid w:val="00177028"/>
    <w:rsid w:val="0017706C"/>
    <w:rsid w:val="00177084"/>
    <w:rsid w:val="0017710B"/>
    <w:rsid w:val="0017726F"/>
    <w:rsid w:val="00177505"/>
    <w:rsid w:val="001777FC"/>
    <w:rsid w:val="0017780E"/>
    <w:rsid w:val="00177894"/>
    <w:rsid w:val="001778DA"/>
    <w:rsid w:val="00177BC5"/>
    <w:rsid w:val="00177D6D"/>
    <w:rsid w:val="00177F71"/>
    <w:rsid w:val="0018011B"/>
    <w:rsid w:val="001801C0"/>
    <w:rsid w:val="00180424"/>
    <w:rsid w:val="00180C9B"/>
    <w:rsid w:val="00180D0C"/>
    <w:rsid w:val="00180D90"/>
    <w:rsid w:val="001812EB"/>
    <w:rsid w:val="001813E1"/>
    <w:rsid w:val="00181462"/>
    <w:rsid w:val="00181614"/>
    <w:rsid w:val="00181676"/>
    <w:rsid w:val="00181935"/>
    <w:rsid w:val="00181B79"/>
    <w:rsid w:val="00181B85"/>
    <w:rsid w:val="00181D3A"/>
    <w:rsid w:val="00182276"/>
    <w:rsid w:val="0018235C"/>
    <w:rsid w:val="001824E5"/>
    <w:rsid w:val="00182500"/>
    <w:rsid w:val="001827A5"/>
    <w:rsid w:val="001828F3"/>
    <w:rsid w:val="00182948"/>
    <w:rsid w:val="00182A17"/>
    <w:rsid w:val="00182AE4"/>
    <w:rsid w:val="00182BB9"/>
    <w:rsid w:val="00182DA6"/>
    <w:rsid w:val="0018319F"/>
    <w:rsid w:val="00183361"/>
    <w:rsid w:val="0018351E"/>
    <w:rsid w:val="001835FC"/>
    <w:rsid w:val="001836B2"/>
    <w:rsid w:val="001837CF"/>
    <w:rsid w:val="0018380B"/>
    <w:rsid w:val="00183832"/>
    <w:rsid w:val="00183847"/>
    <w:rsid w:val="00183BCC"/>
    <w:rsid w:val="00183C2B"/>
    <w:rsid w:val="00183C54"/>
    <w:rsid w:val="00184129"/>
    <w:rsid w:val="00184277"/>
    <w:rsid w:val="00184452"/>
    <w:rsid w:val="00184473"/>
    <w:rsid w:val="00184533"/>
    <w:rsid w:val="00184689"/>
    <w:rsid w:val="001847FF"/>
    <w:rsid w:val="0018488E"/>
    <w:rsid w:val="00184942"/>
    <w:rsid w:val="00184E5C"/>
    <w:rsid w:val="00185146"/>
    <w:rsid w:val="001856E0"/>
    <w:rsid w:val="00185913"/>
    <w:rsid w:val="00185933"/>
    <w:rsid w:val="001859E6"/>
    <w:rsid w:val="00185C59"/>
    <w:rsid w:val="00185D33"/>
    <w:rsid w:val="00185F88"/>
    <w:rsid w:val="00186106"/>
    <w:rsid w:val="00186205"/>
    <w:rsid w:val="0018621D"/>
    <w:rsid w:val="00186457"/>
    <w:rsid w:val="001867C2"/>
    <w:rsid w:val="0018691E"/>
    <w:rsid w:val="00186988"/>
    <w:rsid w:val="00186A10"/>
    <w:rsid w:val="00186F2A"/>
    <w:rsid w:val="001875BD"/>
    <w:rsid w:val="00187861"/>
    <w:rsid w:val="00187B42"/>
    <w:rsid w:val="00187CA8"/>
    <w:rsid w:val="00187EF5"/>
    <w:rsid w:val="00187F0A"/>
    <w:rsid w:val="00187FD8"/>
    <w:rsid w:val="0019005F"/>
    <w:rsid w:val="001903EE"/>
    <w:rsid w:val="001906B3"/>
    <w:rsid w:val="00190727"/>
    <w:rsid w:val="00190905"/>
    <w:rsid w:val="00190AE8"/>
    <w:rsid w:val="00190CF0"/>
    <w:rsid w:val="00190E25"/>
    <w:rsid w:val="00190E78"/>
    <w:rsid w:val="00190EFD"/>
    <w:rsid w:val="001912E2"/>
    <w:rsid w:val="001913F2"/>
    <w:rsid w:val="001917C4"/>
    <w:rsid w:val="00191881"/>
    <w:rsid w:val="00191B05"/>
    <w:rsid w:val="00191DEB"/>
    <w:rsid w:val="00191DFA"/>
    <w:rsid w:val="00191E71"/>
    <w:rsid w:val="00191F78"/>
    <w:rsid w:val="00192001"/>
    <w:rsid w:val="00192200"/>
    <w:rsid w:val="0019256A"/>
    <w:rsid w:val="00192645"/>
    <w:rsid w:val="00192911"/>
    <w:rsid w:val="00192B65"/>
    <w:rsid w:val="00192BAB"/>
    <w:rsid w:val="00192DA0"/>
    <w:rsid w:val="00192E0D"/>
    <w:rsid w:val="00192E1C"/>
    <w:rsid w:val="00192E62"/>
    <w:rsid w:val="00192FB6"/>
    <w:rsid w:val="001931FD"/>
    <w:rsid w:val="00193313"/>
    <w:rsid w:val="00193A5E"/>
    <w:rsid w:val="00193B42"/>
    <w:rsid w:val="00193C01"/>
    <w:rsid w:val="00193CCA"/>
    <w:rsid w:val="00193D7E"/>
    <w:rsid w:val="001942A7"/>
    <w:rsid w:val="001943B4"/>
    <w:rsid w:val="0019442B"/>
    <w:rsid w:val="0019444B"/>
    <w:rsid w:val="0019449F"/>
    <w:rsid w:val="001946CC"/>
    <w:rsid w:val="001946D1"/>
    <w:rsid w:val="001947E8"/>
    <w:rsid w:val="001947F2"/>
    <w:rsid w:val="0019484D"/>
    <w:rsid w:val="00194A36"/>
    <w:rsid w:val="00194AC0"/>
    <w:rsid w:val="00194BA5"/>
    <w:rsid w:val="00194CCC"/>
    <w:rsid w:val="00194DF0"/>
    <w:rsid w:val="00194E2B"/>
    <w:rsid w:val="0019528B"/>
    <w:rsid w:val="001953A9"/>
    <w:rsid w:val="001955BC"/>
    <w:rsid w:val="00195693"/>
    <w:rsid w:val="00195798"/>
    <w:rsid w:val="001959EF"/>
    <w:rsid w:val="00195C31"/>
    <w:rsid w:val="00195DFA"/>
    <w:rsid w:val="00195FBC"/>
    <w:rsid w:val="00196065"/>
    <w:rsid w:val="0019623D"/>
    <w:rsid w:val="001963E1"/>
    <w:rsid w:val="001963E9"/>
    <w:rsid w:val="00196435"/>
    <w:rsid w:val="00196658"/>
    <w:rsid w:val="001966C8"/>
    <w:rsid w:val="0019686A"/>
    <w:rsid w:val="001969D7"/>
    <w:rsid w:val="00196EF7"/>
    <w:rsid w:val="00196F5E"/>
    <w:rsid w:val="001970BF"/>
    <w:rsid w:val="0019727E"/>
    <w:rsid w:val="001975F5"/>
    <w:rsid w:val="0019779B"/>
    <w:rsid w:val="00197ABC"/>
    <w:rsid w:val="00197BBD"/>
    <w:rsid w:val="00197CE3"/>
    <w:rsid w:val="00197EBB"/>
    <w:rsid w:val="00197F73"/>
    <w:rsid w:val="001A017E"/>
    <w:rsid w:val="001A0182"/>
    <w:rsid w:val="001A01E0"/>
    <w:rsid w:val="001A096A"/>
    <w:rsid w:val="001A0979"/>
    <w:rsid w:val="001A09AF"/>
    <w:rsid w:val="001A0A33"/>
    <w:rsid w:val="001A0A48"/>
    <w:rsid w:val="001A0C4C"/>
    <w:rsid w:val="001A0D9D"/>
    <w:rsid w:val="001A0E73"/>
    <w:rsid w:val="001A10F4"/>
    <w:rsid w:val="001A1390"/>
    <w:rsid w:val="001A157A"/>
    <w:rsid w:val="001A167D"/>
    <w:rsid w:val="001A17E5"/>
    <w:rsid w:val="001A1BE0"/>
    <w:rsid w:val="001A1C95"/>
    <w:rsid w:val="001A1E5F"/>
    <w:rsid w:val="001A20FE"/>
    <w:rsid w:val="001A22D2"/>
    <w:rsid w:val="001A232D"/>
    <w:rsid w:val="001A233B"/>
    <w:rsid w:val="001A2346"/>
    <w:rsid w:val="001A2451"/>
    <w:rsid w:val="001A257A"/>
    <w:rsid w:val="001A26E2"/>
    <w:rsid w:val="001A284D"/>
    <w:rsid w:val="001A28BD"/>
    <w:rsid w:val="001A2A83"/>
    <w:rsid w:val="001A2C57"/>
    <w:rsid w:val="001A31EF"/>
    <w:rsid w:val="001A3802"/>
    <w:rsid w:val="001A3830"/>
    <w:rsid w:val="001A387C"/>
    <w:rsid w:val="001A3B35"/>
    <w:rsid w:val="001A40C1"/>
    <w:rsid w:val="001A41A2"/>
    <w:rsid w:val="001A440A"/>
    <w:rsid w:val="001A4421"/>
    <w:rsid w:val="001A4729"/>
    <w:rsid w:val="001A4A98"/>
    <w:rsid w:val="001A4CB7"/>
    <w:rsid w:val="001A4D9A"/>
    <w:rsid w:val="001A4EDF"/>
    <w:rsid w:val="001A5339"/>
    <w:rsid w:val="001A546A"/>
    <w:rsid w:val="001A55CA"/>
    <w:rsid w:val="001A58FC"/>
    <w:rsid w:val="001A5AB2"/>
    <w:rsid w:val="001A5B1D"/>
    <w:rsid w:val="001A5C3A"/>
    <w:rsid w:val="001A5D4A"/>
    <w:rsid w:val="001A6063"/>
    <w:rsid w:val="001A6188"/>
    <w:rsid w:val="001A6432"/>
    <w:rsid w:val="001A6503"/>
    <w:rsid w:val="001A65CD"/>
    <w:rsid w:val="001A666E"/>
    <w:rsid w:val="001A6996"/>
    <w:rsid w:val="001A69AA"/>
    <w:rsid w:val="001A6A1D"/>
    <w:rsid w:val="001A6D2D"/>
    <w:rsid w:val="001A6E40"/>
    <w:rsid w:val="001A704B"/>
    <w:rsid w:val="001A7091"/>
    <w:rsid w:val="001A709F"/>
    <w:rsid w:val="001A72E6"/>
    <w:rsid w:val="001A740C"/>
    <w:rsid w:val="001A74A5"/>
    <w:rsid w:val="001A7600"/>
    <w:rsid w:val="001A7D7A"/>
    <w:rsid w:val="001B0143"/>
    <w:rsid w:val="001B0145"/>
    <w:rsid w:val="001B0207"/>
    <w:rsid w:val="001B0321"/>
    <w:rsid w:val="001B0375"/>
    <w:rsid w:val="001B0391"/>
    <w:rsid w:val="001B0435"/>
    <w:rsid w:val="001B0880"/>
    <w:rsid w:val="001B0A59"/>
    <w:rsid w:val="001B0B5F"/>
    <w:rsid w:val="001B0D3C"/>
    <w:rsid w:val="001B0DB0"/>
    <w:rsid w:val="001B0E46"/>
    <w:rsid w:val="001B0E47"/>
    <w:rsid w:val="001B0EEB"/>
    <w:rsid w:val="001B120A"/>
    <w:rsid w:val="001B1492"/>
    <w:rsid w:val="001B199A"/>
    <w:rsid w:val="001B19A6"/>
    <w:rsid w:val="001B19CA"/>
    <w:rsid w:val="001B1AA1"/>
    <w:rsid w:val="001B202D"/>
    <w:rsid w:val="001B2084"/>
    <w:rsid w:val="001B2285"/>
    <w:rsid w:val="001B2622"/>
    <w:rsid w:val="001B26CA"/>
    <w:rsid w:val="001B2802"/>
    <w:rsid w:val="001B2B9A"/>
    <w:rsid w:val="001B2C57"/>
    <w:rsid w:val="001B2C92"/>
    <w:rsid w:val="001B2E8C"/>
    <w:rsid w:val="001B30BE"/>
    <w:rsid w:val="001B3400"/>
    <w:rsid w:val="001B35F6"/>
    <w:rsid w:val="001B3662"/>
    <w:rsid w:val="001B36CE"/>
    <w:rsid w:val="001B37F1"/>
    <w:rsid w:val="001B4029"/>
    <w:rsid w:val="001B40C0"/>
    <w:rsid w:val="001B4140"/>
    <w:rsid w:val="001B427B"/>
    <w:rsid w:val="001B4309"/>
    <w:rsid w:val="001B4A24"/>
    <w:rsid w:val="001B4FE9"/>
    <w:rsid w:val="001B50D0"/>
    <w:rsid w:val="001B510B"/>
    <w:rsid w:val="001B511F"/>
    <w:rsid w:val="001B5341"/>
    <w:rsid w:val="001B5A6A"/>
    <w:rsid w:val="001B5E4D"/>
    <w:rsid w:val="001B6315"/>
    <w:rsid w:val="001B65B2"/>
    <w:rsid w:val="001B6924"/>
    <w:rsid w:val="001B6B99"/>
    <w:rsid w:val="001B6BD4"/>
    <w:rsid w:val="001B6C3A"/>
    <w:rsid w:val="001B6D82"/>
    <w:rsid w:val="001B7234"/>
    <w:rsid w:val="001B7376"/>
    <w:rsid w:val="001B7652"/>
    <w:rsid w:val="001B7713"/>
    <w:rsid w:val="001B7913"/>
    <w:rsid w:val="001B7A2A"/>
    <w:rsid w:val="001B7A4C"/>
    <w:rsid w:val="001B7EFD"/>
    <w:rsid w:val="001C001F"/>
    <w:rsid w:val="001C012A"/>
    <w:rsid w:val="001C03D2"/>
    <w:rsid w:val="001C06E0"/>
    <w:rsid w:val="001C08F9"/>
    <w:rsid w:val="001C0A99"/>
    <w:rsid w:val="001C0AC5"/>
    <w:rsid w:val="001C0D82"/>
    <w:rsid w:val="001C0E2E"/>
    <w:rsid w:val="001C0F31"/>
    <w:rsid w:val="001C126A"/>
    <w:rsid w:val="001C12E6"/>
    <w:rsid w:val="001C1331"/>
    <w:rsid w:val="001C13DC"/>
    <w:rsid w:val="001C16CC"/>
    <w:rsid w:val="001C18BC"/>
    <w:rsid w:val="001C1926"/>
    <w:rsid w:val="001C1A37"/>
    <w:rsid w:val="001C204F"/>
    <w:rsid w:val="001C21BB"/>
    <w:rsid w:val="001C2305"/>
    <w:rsid w:val="001C2443"/>
    <w:rsid w:val="001C2499"/>
    <w:rsid w:val="001C2715"/>
    <w:rsid w:val="001C2907"/>
    <w:rsid w:val="001C2916"/>
    <w:rsid w:val="001C2B69"/>
    <w:rsid w:val="001C2D2D"/>
    <w:rsid w:val="001C2D45"/>
    <w:rsid w:val="001C2F20"/>
    <w:rsid w:val="001C3266"/>
    <w:rsid w:val="001C32AE"/>
    <w:rsid w:val="001C350A"/>
    <w:rsid w:val="001C3779"/>
    <w:rsid w:val="001C3847"/>
    <w:rsid w:val="001C385A"/>
    <w:rsid w:val="001C397F"/>
    <w:rsid w:val="001C3AFC"/>
    <w:rsid w:val="001C3B05"/>
    <w:rsid w:val="001C3C17"/>
    <w:rsid w:val="001C3D25"/>
    <w:rsid w:val="001C3EEF"/>
    <w:rsid w:val="001C3F0D"/>
    <w:rsid w:val="001C4454"/>
    <w:rsid w:val="001C44E5"/>
    <w:rsid w:val="001C4740"/>
    <w:rsid w:val="001C4946"/>
    <w:rsid w:val="001C4B18"/>
    <w:rsid w:val="001C4C87"/>
    <w:rsid w:val="001C4F46"/>
    <w:rsid w:val="001C5287"/>
    <w:rsid w:val="001C536C"/>
    <w:rsid w:val="001C538F"/>
    <w:rsid w:val="001C548C"/>
    <w:rsid w:val="001C557E"/>
    <w:rsid w:val="001C5AA6"/>
    <w:rsid w:val="001C5D65"/>
    <w:rsid w:val="001C5E18"/>
    <w:rsid w:val="001C5E70"/>
    <w:rsid w:val="001C6060"/>
    <w:rsid w:val="001C6496"/>
    <w:rsid w:val="001C66BA"/>
    <w:rsid w:val="001C6958"/>
    <w:rsid w:val="001C6A93"/>
    <w:rsid w:val="001C708D"/>
    <w:rsid w:val="001C70C9"/>
    <w:rsid w:val="001C73C5"/>
    <w:rsid w:val="001C747C"/>
    <w:rsid w:val="001C748A"/>
    <w:rsid w:val="001C7566"/>
    <w:rsid w:val="001C75CC"/>
    <w:rsid w:val="001C7706"/>
    <w:rsid w:val="001C7910"/>
    <w:rsid w:val="001C7A53"/>
    <w:rsid w:val="001C7A82"/>
    <w:rsid w:val="001C7B67"/>
    <w:rsid w:val="001C7D37"/>
    <w:rsid w:val="001C7D52"/>
    <w:rsid w:val="001C7DEE"/>
    <w:rsid w:val="001C7DFA"/>
    <w:rsid w:val="001C7E57"/>
    <w:rsid w:val="001C7F6B"/>
    <w:rsid w:val="001D0083"/>
    <w:rsid w:val="001D009A"/>
    <w:rsid w:val="001D0163"/>
    <w:rsid w:val="001D0388"/>
    <w:rsid w:val="001D05A1"/>
    <w:rsid w:val="001D0987"/>
    <w:rsid w:val="001D0ACA"/>
    <w:rsid w:val="001D0CFC"/>
    <w:rsid w:val="001D0D47"/>
    <w:rsid w:val="001D0EC6"/>
    <w:rsid w:val="001D11FF"/>
    <w:rsid w:val="001D14D5"/>
    <w:rsid w:val="001D15D3"/>
    <w:rsid w:val="001D1784"/>
    <w:rsid w:val="001D1855"/>
    <w:rsid w:val="001D20F5"/>
    <w:rsid w:val="001D2241"/>
    <w:rsid w:val="001D27E0"/>
    <w:rsid w:val="001D292E"/>
    <w:rsid w:val="001D2A46"/>
    <w:rsid w:val="001D2BF3"/>
    <w:rsid w:val="001D2CBD"/>
    <w:rsid w:val="001D2E72"/>
    <w:rsid w:val="001D2EF5"/>
    <w:rsid w:val="001D3035"/>
    <w:rsid w:val="001D315B"/>
    <w:rsid w:val="001D3204"/>
    <w:rsid w:val="001D32D0"/>
    <w:rsid w:val="001D33E3"/>
    <w:rsid w:val="001D3631"/>
    <w:rsid w:val="001D3720"/>
    <w:rsid w:val="001D3968"/>
    <w:rsid w:val="001D3A63"/>
    <w:rsid w:val="001D3CE1"/>
    <w:rsid w:val="001D3E42"/>
    <w:rsid w:val="001D3EEF"/>
    <w:rsid w:val="001D3F33"/>
    <w:rsid w:val="001D4068"/>
    <w:rsid w:val="001D40C0"/>
    <w:rsid w:val="001D40EB"/>
    <w:rsid w:val="001D4118"/>
    <w:rsid w:val="001D4218"/>
    <w:rsid w:val="001D46DC"/>
    <w:rsid w:val="001D4931"/>
    <w:rsid w:val="001D4A0A"/>
    <w:rsid w:val="001D4ADD"/>
    <w:rsid w:val="001D4E15"/>
    <w:rsid w:val="001D516F"/>
    <w:rsid w:val="001D56C9"/>
    <w:rsid w:val="001D56E7"/>
    <w:rsid w:val="001D5876"/>
    <w:rsid w:val="001D5A8A"/>
    <w:rsid w:val="001D5B20"/>
    <w:rsid w:val="001D6120"/>
    <w:rsid w:val="001D62B3"/>
    <w:rsid w:val="001D638C"/>
    <w:rsid w:val="001D63A4"/>
    <w:rsid w:val="001D63E5"/>
    <w:rsid w:val="001D649A"/>
    <w:rsid w:val="001D6536"/>
    <w:rsid w:val="001D659C"/>
    <w:rsid w:val="001D6902"/>
    <w:rsid w:val="001D6A52"/>
    <w:rsid w:val="001D6BBA"/>
    <w:rsid w:val="001D6D95"/>
    <w:rsid w:val="001D6DCE"/>
    <w:rsid w:val="001D705E"/>
    <w:rsid w:val="001D713C"/>
    <w:rsid w:val="001D7165"/>
    <w:rsid w:val="001D742D"/>
    <w:rsid w:val="001D754D"/>
    <w:rsid w:val="001D7B6F"/>
    <w:rsid w:val="001D7E67"/>
    <w:rsid w:val="001D7E83"/>
    <w:rsid w:val="001E0077"/>
    <w:rsid w:val="001E0114"/>
    <w:rsid w:val="001E0169"/>
    <w:rsid w:val="001E0237"/>
    <w:rsid w:val="001E0330"/>
    <w:rsid w:val="001E0581"/>
    <w:rsid w:val="001E06D6"/>
    <w:rsid w:val="001E0856"/>
    <w:rsid w:val="001E0B45"/>
    <w:rsid w:val="001E0B75"/>
    <w:rsid w:val="001E0CB9"/>
    <w:rsid w:val="001E0CFC"/>
    <w:rsid w:val="001E0F49"/>
    <w:rsid w:val="001E1039"/>
    <w:rsid w:val="001E107A"/>
    <w:rsid w:val="001E1118"/>
    <w:rsid w:val="001E1341"/>
    <w:rsid w:val="001E14F4"/>
    <w:rsid w:val="001E15D3"/>
    <w:rsid w:val="001E179F"/>
    <w:rsid w:val="001E19B6"/>
    <w:rsid w:val="001E1A55"/>
    <w:rsid w:val="001E1AAE"/>
    <w:rsid w:val="001E1B0C"/>
    <w:rsid w:val="001E2046"/>
    <w:rsid w:val="001E22A9"/>
    <w:rsid w:val="001E233C"/>
    <w:rsid w:val="001E2361"/>
    <w:rsid w:val="001E2378"/>
    <w:rsid w:val="001E2A3B"/>
    <w:rsid w:val="001E2DDD"/>
    <w:rsid w:val="001E2E70"/>
    <w:rsid w:val="001E2F9F"/>
    <w:rsid w:val="001E33C9"/>
    <w:rsid w:val="001E350D"/>
    <w:rsid w:val="001E3558"/>
    <w:rsid w:val="001E358B"/>
    <w:rsid w:val="001E36CF"/>
    <w:rsid w:val="001E370F"/>
    <w:rsid w:val="001E385C"/>
    <w:rsid w:val="001E3A56"/>
    <w:rsid w:val="001E3B97"/>
    <w:rsid w:val="001E3CBD"/>
    <w:rsid w:val="001E3F9A"/>
    <w:rsid w:val="001E401B"/>
    <w:rsid w:val="001E407E"/>
    <w:rsid w:val="001E4180"/>
    <w:rsid w:val="001E4237"/>
    <w:rsid w:val="001E42A5"/>
    <w:rsid w:val="001E4B3D"/>
    <w:rsid w:val="001E5013"/>
    <w:rsid w:val="001E51B5"/>
    <w:rsid w:val="001E51F1"/>
    <w:rsid w:val="001E5263"/>
    <w:rsid w:val="001E58CB"/>
    <w:rsid w:val="001E5ACC"/>
    <w:rsid w:val="001E5B5B"/>
    <w:rsid w:val="001E5C2D"/>
    <w:rsid w:val="001E5D60"/>
    <w:rsid w:val="001E5E38"/>
    <w:rsid w:val="001E61A7"/>
    <w:rsid w:val="001E62E8"/>
    <w:rsid w:val="001E65CD"/>
    <w:rsid w:val="001E67B7"/>
    <w:rsid w:val="001E6AFA"/>
    <w:rsid w:val="001E70A7"/>
    <w:rsid w:val="001E7360"/>
    <w:rsid w:val="001E7392"/>
    <w:rsid w:val="001E74F3"/>
    <w:rsid w:val="001E7545"/>
    <w:rsid w:val="001E78A8"/>
    <w:rsid w:val="001E7976"/>
    <w:rsid w:val="001E7AD2"/>
    <w:rsid w:val="001E7BEA"/>
    <w:rsid w:val="001E7F81"/>
    <w:rsid w:val="001F01D0"/>
    <w:rsid w:val="001F0630"/>
    <w:rsid w:val="001F06F0"/>
    <w:rsid w:val="001F0771"/>
    <w:rsid w:val="001F0A33"/>
    <w:rsid w:val="001F0AD0"/>
    <w:rsid w:val="001F0C56"/>
    <w:rsid w:val="001F0D8B"/>
    <w:rsid w:val="001F0DA7"/>
    <w:rsid w:val="001F0F8E"/>
    <w:rsid w:val="001F1008"/>
    <w:rsid w:val="001F1059"/>
    <w:rsid w:val="001F1183"/>
    <w:rsid w:val="001F1194"/>
    <w:rsid w:val="001F1219"/>
    <w:rsid w:val="001F128A"/>
    <w:rsid w:val="001F131F"/>
    <w:rsid w:val="001F172F"/>
    <w:rsid w:val="001F1981"/>
    <w:rsid w:val="001F1A06"/>
    <w:rsid w:val="001F1AC7"/>
    <w:rsid w:val="001F1C10"/>
    <w:rsid w:val="001F1C2E"/>
    <w:rsid w:val="001F1CBB"/>
    <w:rsid w:val="001F1CDC"/>
    <w:rsid w:val="001F1F0C"/>
    <w:rsid w:val="001F2045"/>
    <w:rsid w:val="001F23FC"/>
    <w:rsid w:val="001F2780"/>
    <w:rsid w:val="001F28FA"/>
    <w:rsid w:val="001F293A"/>
    <w:rsid w:val="001F2A88"/>
    <w:rsid w:val="001F2B05"/>
    <w:rsid w:val="001F2BA7"/>
    <w:rsid w:val="001F2BFF"/>
    <w:rsid w:val="001F2C60"/>
    <w:rsid w:val="001F2D2C"/>
    <w:rsid w:val="001F30EC"/>
    <w:rsid w:val="001F3443"/>
    <w:rsid w:val="001F3615"/>
    <w:rsid w:val="001F3AD4"/>
    <w:rsid w:val="001F3B4B"/>
    <w:rsid w:val="001F3EB5"/>
    <w:rsid w:val="001F40F0"/>
    <w:rsid w:val="001F41B1"/>
    <w:rsid w:val="001F443D"/>
    <w:rsid w:val="001F44AC"/>
    <w:rsid w:val="001F4534"/>
    <w:rsid w:val="001F45B2"/>
    <w:rsid w:val="001F4605"/>
    <w:rsid w:val="001F4752"/>
    <w:rsid w:val="001F475C"/>
    <w:rsid w:val="001F4B00"/>
    <w:rsid w:val="001F4D43"/>
    <w:rsid w:val="001F4E1C"/>
    <w:rsid w:val="001F4EA8"/>
    <w:rsid w:val="001F523F"/>
    <w:rsid w:val="001F559D"/>
    <w:rsid w:val="001F5608"/>
    <w:rsid w:val="001F56AC"/>
    <w:rsid w:val="001F586C"/>
    <w:rsid w:val="001F58B2"/>
    <w:rsid w:val="001F58EA"/>
    <w:rsid w:val="001F5ABF"/>
    <w:rsid w:val="001F5B43"/>
    <w:rsid w:val="001F5DC5"/>
    <w:rsid w:val="001F5ECD"/>
    <w:rsid w:val="001F62EC"/>
    <w:rsid w:val="001F647F"/>
    <w:rsid w:val="001F65A6"/>
    <w:rsid w:val="001F699E"/>
    <w:rsid w:val="001F6A2D"/>
    <w:rsid w:val="001F6A71"/>
    <w:rsid w:val="001F6AA2"/>
    <w:rsid w:val="001F6AEF"/>
    <w:rsid w:val="001F6C8D"/>
    <w:rsid w:val="001F72C6"/>
    <w:rsid w:val="001F7A72"/>
    <w:rsid w:val="001F7B74"/>
    <w:rsid w:val="001F7C8A"/>
    <w:rsid w:val="001F7D52"/>
    <w:rsid w:val="0020048C"/>
    <w:rsid w:val="002004F4"/>
    <w:rsid w:val="0020050B"/>
    <w:rsid w:val="0020081F"/>
    <w:rsid w:val="002008EC"/>
    <w:rsid w:val="00200A4F"/>
    <w:rsid w:val="00200C7C"/>
    <w:rsid w:val="00200DE0"/>
    <w:rsid w:val="00200F40"/>
    <w:rsid w:val="0020119F"/>
    <w:rsid w:val="002011BD"/>
    <w:rsid w:val="00201201"/>
    <w:rsid w:val="00201357"/>
    <w:rsid w:val="00201864"/>
    <w:rsid w:val="00201A7B"/>
    <w:rsid w:val="00201BAF"/>
    <w:rsid w:val="00201C00"/>
    <w:rsid w:val="00201CF3"/>
    <w:rsid w:val="00201EEE"/>
    <w:rsid w:val="00201EF6"/>
    <w:rsid w:val="00202005"/>
    <w:rsid w:val="00202162"/>
    <w:rsid w:val="002024E3"/>
    <w:rsid w:val="002029FD"/>
    <w:rsid w:val="00202BB9"/>
    <w:rsid w:val="00202F1A"/>
    <w:rsid w:val="00203120"/>
    <w:rsid w:val="00203171"/>
    <w:rsid w:val="00203690"/>
    <w:rsid w:val="002038E8"/>
    <w:rsid w:val="00203900"/>
    <w:rsid w:val="00203AD0"/>
    <w:rsid w:val="00203AEE"/>
    <w:rsid w:val="00203D57"/>
    <w:rsid w:val="0020409C"/>
    <w:rsid w:val="002043B2"/>
    <w:rsid w:val="00204567"/>
    <w:rsid w:val="00204630"/>
    <w:rsid w:val="002046D9"/>
    <w:rsid w:val="0020471D"/>
    <w:rsid w:val="0020481D"/>
    <w:rsid w:val="00204A9A"/>
    <w:rsid w:val="00204B4B"/>
    <w:rsid w:val="00204BC7"/>
    <w:rsid w:val="00204DAC"/>
    <w:rsid w:val="00204E81"/>
    <w:rsid w:val="00205077"/>
    <w:rsid w:val="00205087"/>
    <w:rsid w:val="00205616"/>
    <w:rsid w:val="00205891"/>
    <w:rsid w:val="00205A14"/>
    <w:rsid w:val="00205CCF"/>
    <w:rsid w:val="00205D1B"/>
    <w:rsid w:val="00205D26"/>
    <w:rsid w:val="00205E67"/>
    <w:rsid w:val="0020618D"/>
    <w:rsid w:val="002062B1"/>
    <w:rsid w:val="0020683A"/>
    <w:rsid w:val="002068BA"/>
    <w:rsid w:val="002068F4"/>
    <w:rsid w:val="00206951"/>
    <w:rsid w:val="0020697D"/>
    <w:rsid w:val="00206BDC"/>
    <w:rsid w:val="00206FB3"/>
    <w:rsid w:val="0020736B"/>
    <w:rsid w:val="00207737"/>
    <w:rsid w:val="002077B2"/>
    <w:rsid w:val="002077C9"/>
    <w:rsid w:val="00207A05"/>
    <w:rsid w:val="00207A83"/>
    <w:rsid w:val="00207CFC"/>
    <w:rsid w:val="00210046"/>
    <w:rsid w:val="00210137"/>
    <w:rsid w:val="00210169"/>
    <w:rsid w:val="00210293"/>
    <w:rsid w:val="00210403"/>
    <w:rsid w:val="00210839"/>
    <w:rsid w:val="00210980"/>
    <w:rsid w:val="00210B0F"/>
    <w:rsid w:val="00210FDC"/>
    <w:rsid w:val="002112C8"/>
    <w:rsid w:val="002113BF"/>
    <w:rsid w:val="002113D9"/>
    <w:rsid w:val="00211690"/>
    <w:rsid w:val="00211ABA"/>
    <w:rsid w:val="00211E36"/>
    <w:rsid w:val="002129F7"/>
    <w:rsid w:val="00212CBE"/>
    <w:rsid w:val="00212CFF"/>
    <w:rsid w:val="00212D1F"/>
    <w:rsid w:val="00212D21"/>
    <w:rsid w:val="002130EA"/>
    <w:rsid w:val="002132D6"/>
    <w:rsid w:val="002139B9"/>
    <w:rsid w:val="00213A01"/>
    <w:rsid w:val="00213ABB"/>
    <w:rsid w:val="00213BEC"/>
    <w:rsid w:val="00213EA9"/>
    <w:rsid w:val="00213EBF"/>
    <w:rsid w:val="00214067"/>
    <w:rsid w:val="0021457B"/>
    <w:rsid w:val="00214612"/>
    <w:rsid w:val="0021465A"/>
    <w:rsid w:val="00214838"/>
    <w:rsid w:val="00214989"/>
    <w:rsid w:val="002149EC"/>
    <w:rsid w:val="00214C7A"/>
    <w:rsid w:val="00214D49"/>
    <w:rsid w:val="002151AC"/>
    <w:rsid w:val="002151F5"/>
    <w:rsid w:val="0021550C"/>
    <w:rsid w:val="00215553"/>
    <w:rsid w:val="002156DC"/>
    <w:rsid w:val="0021594A"/>
    <w:rsid w:val="00215A54"/>
    <w:rsid w:val="00215DD5"/>
    <w:rsid w:val="00215F7E"/>
    <w:rsid w:val="00216012"/>
    <w:rsid w:val="00216068"/>
    <w:rsid w:val="0021679A"/>
    <w:rsid w:val="00216C35"/>
    <w:rsid w:val="00216E38"/>
    <w:rsid w:val="00217207"/>
    <w:rsid w:val="002173B9"/>
    <w:rsid w:val="00217821"/>
    <w:rsid w:val="00217AAF"/>
    <w:rsid w:val="00217BE0"/>
    <w:rsid w:val="00217D2A"/>
    <w:rsid w:val="00217F1A"/>
    <w:rsid w:val="00220054"/>
    <w:rsid w:val="0022022A"/>
    <w:rsid w:val="00220399"/>
    <w:rsid w:val="002205F6"/>
    <w:rsid w:val="00220961"/>
    <w:rsid w:val="00220C37"/>
    <w:rsid w:val="00220C43"/>
    <w:rsid w:val="00220CFC"/>
    <w:rsid w:val="00220D27"/>
    <w:rsid w:val="00220D9D"/>
    <w:rsid w:val="00220DDE"/>
    <w:rsid w:val="00220F02"/>
    <w:rsid w:val="00221481"/>
    <w:rsid w:val="00221586"/>
    <w:rsid w:val="00221C68"/>
    <w:rsid w:val="00221DE5"/>
    <w:rsid w:val="00222015"/>
    <w:rsid w:val="0022216B"/>
    <w:rsid w:val="002221A0"/>
    <w:rsid w:val="002221E3"/>
    <w:rsid w:val="00222495"/>
    <w:rsid w:val="00222660"/>
    <w:rsid w:val="00222839"/>
    <w:rsid w:val="00222B43"/>
    <w:rsid w:val="00223048"/>
    <w:rsid w:val="00223289"/>
    <w:rsid w:val="0022334C"/>
    <w:rsid w:val="0022349B"/>
    <w:rsid w:val="002236BE"/>
    <w:rsid w:val="00223B2C"/>
    <w:rsid w:val="00224651"/>
    <w:rsid w:val="0022496F"/>
    <w:rsid w:val="002249FC"/>
    <w:rsid w:val="00224A74"/>
    <w:rsid w:val="00224E29"/>
    <w:rsid w:val="00224FF6"/>
    <w:rsid w:val="002251E9"/>
    <w:rsid w:val="002252BD"/>
    <w:rsid w:val="002257B3"/>
    <w:rsid w:val="0022584B"/>
    <w:rsid w:val="00225B18"/>
    <w:rsid w:val="00225CE0"/>
    <w:rsid w:val="00225EB7"/>
    <w:rsid w:val="002260CF"/>
    <w:rsid w:val="002262D1"/>
    <w:rsid w:val="00226480"/>
    <w:rsid w:val="00226553"/>
    <w:rsid w:val="002266CF"/>
    <w:rsid w:val="00226805"/>
    <w:rsid w:val="002268A5"/>
    <w:rsid w:val="00226B95"/>
    <w:rsid w:val="00226EDF"/>
    <w:rsid w:val="00226F37"/>
    <w:rsid w:val="0022742C"/>
    <w:rsid w:val="00227924"/>
    <w:rsid w:val="00227BC7"/>
    <w:rsid w:val="00227D44"/>
    <w:rsid w:val="00227F5F"/>
    <w:rsid w:val="0023000B"/>
    <w:rsid w:val="002301FF"/>
    <w:rsid w:val="002304E0"/>
    <w:rsid w:val="002305FE"/>
    <w:rsid w:val="0023077F"/>
    <w:rsid w:val="00230809"/>
    <w:rsid w:val="00230A5F"/>
    <w:rsid w:val="00230F25"/>
    <w:rsid w:val="002312A7"/>
    <w:rsid w:val="0023142D"/>
    <w:rsid w:val="00231684"/>
    <w:rsid w:val="002317C7"/>
    <w:rsid w:val="002319B6"/>
    <w:rsid w:val="002319FF"/>
    <w:rsid w:val="00231A0B"/>
    <w:rsid w:val="00231A26"/>
    <w:rsid w:val="00231A84"/>
    <w:rsid w:val="00231C36"/>
    <w:rsid w:val="00231CFE"/>
    <w:rsid w:val="00231D70"/>
    <w:rsid w:val="002321A2"/>
    <w:rsid w:val="002323AA"/>
    <w:rsid w:val="002324C1"/>
    <w:rsid w:val="00232631"/>
    <w:rsid w:val="00232741"/>
    <w:rsid w:val="002328C4"/>
    <w:rsid w:val="00232AD4"/>
    <w:rsid w:val="00232BFC"/>
    <w:rsid w:val="00232D09"/>
    <w:rsid w:val="00232E9B"/>
    <w:rsid w:val="00232ECD"/>
    <w:rsid w:val="0023304B"/>
    <w:rsid w:val="00233096"/>
    <w:rsid w:val="00233185"/>
    <w:rsid w:val="002331AB"/>
    <w:rsid w:val="002331E1"/>
    <w:rsid w:val="002332AF"/>
    <w:rsid w:val="0023334F"/>
    <w:rsid w:val="002333A3"/>
    <w:rsid w:val="002333C0"/>
    <w:rsid w:val="00233449"/>
    <w:rsid w:val="002335C4"/>
    <w:rsid w:val="002338F2"/>
    <w:rsid w:val="00233A2A"/>
    <w:rsid w:val="0023401A"/>
    <w:rsid w:val="00234253"/>
    <w:rsid w:val="0023425E"/>
    <w:rsid w:val="00234467"/>
    <w:rsid w:val="0023453E"/>
    <w:rsid w:val="00234A4D"/>
    <w:rsid w:val="00234E4C"/>
    <w:rsid w:val="00234FEF"/>
    <w:rsid w:val="00235021"/>
    <w:rsid w:val="00235094"/>
    <w:rsid w:val="00235276"/>
    <w:rsid w:val="002352A1"/>
    <w:rsid w:val="0023545F"/>
    <w:rsid w:val="00235463"/>
    <w:rsid w:val="0023546C"/>
    <w:rsid w:val="002356D0"/>
    <w:rsid w:val="002357B4"/>
    <w:rsid w:val="002359D9"/>
    <w:rsid w:val="00235A20"/>
    <w:rsid w:val="00235AC3"/>
    <w:rsid w:val="00235B0B"/>
    <w:rsid w:val="00235D21"/>
    <w:rsid w:val="00235F66"/>
    <w:rsid w:val="00236003"/>
    <w:rsid w:val="00236188"/>
    <w:rsid w:val="0023630E"/>
    <w:rsid w:val="00236428"/>
    <w:rsid w:val="00236692"/>
    <w:rsid w:val="0023676D"/>
    <w:rsid w:val="002367E6"/>
    <w:rsid w:val="00236883"/>
    <w:rsid w:val="0023689C"/>
    <w:rsid w:val="002369BE"/>
    <w:rsid w:val="00236AD7"/>
    <w:rsid w:val="00236B8E"/>
    <w:rsid w:val="00236C22"/>
    <w:rsid w:val="00236CFE"/>
    <w:rsid w:val="00236DD1"/>
    <w:rsid w:val="00237183"/>
    <w:rsid w:val="002372EC"/>
    <w:rsid w:val="00237417"/>
    <w:rsid w:val="0023753F"/>
    <w:rsid w:val="00237713"/>
    <w:rsid w:val="00237908"/>
    <w:rsid w:val="00237985"/>
    <w:rsid w:val="00237A11"/>
    <w:rsid w:val="00237AD7"/>
    <w:rsid w:val="00237C45"/>
    <w:rsid w:val="00237D62"/>
    <w:rsid w:val="00240065"/>
    <w:rsid w:val="002409F4"/>
    <w:rsid w:val="00240A1A"/>
    <w:rsid w:val="00240C03"/>
    <w:rsid w:val="00240CD2"/>
    <w:rsid w:val="00240EAC"/>
    <w:rsid w:val="002410D1"/>
    <w:rsid w:val="00241283"/>
    <w:rsid w:val="0024154A"/>
    <w:rsid w:val="00241796"/>
    <w:rsid w:val="0024181B"/>
    <w:rsid w:val="0024185A"/>
    <w:rsid w:val="00241888"/>
    <w:rsid w:val="00241944"/>
    <w:rsid w:val="002419BD"/>
    <w:rsid w:val="00241A89"/>
    <w:rsid w:val="00241DDB"/>
    <w:rsid w:val="00241E2A"/>
    <w:rsid w:val="00241F61"/>
    <w:rsid w:val="0024233C"/>
    <w:rsid w:val="002424C7"/>
    <w:rsid w:val="0024258D"/>
    <w:rsid w:val="002425EB"/>
    <w:rsid w:val="00242887"/>
    <w:rsid w:val="00242A18"/>
    <w:rsid w:val="00242A4E"/>
    <w:rsid w:val="00242A9B"/>
    <w:rsid w:val="00242AF7"/>
    <w:rsid w:val="00242BB1"/>
    <w:rsid w:val="00242C62"/>
    <w:rsid w:val="00242D50"/>
    <w:rsid w:val="00243131"/>
    <w:rsid w:val="002432C4"/>
    <w:rsid w:val="00243545"/>
    <w:rsid w:val="00243724"/>
    <w:rsid w:val="00243790"/>
    <w:rsid w:val="00243864"/>
    <w:rsid w:val="002438B7"/>
    <w:rsid w:val="002439C5"/>
    <w:rsid w:val="00243A2A"/>
    <w:rsid w:val="00243B14"/>
    <w:rsid w:val="00243C7A"/>
    <w:rsid w:val="00243D9D"/>
    <w:rsid w:val="00243F27"/>
    <w:rsid w:val="00244085"/>
    <w:rsid w:val="002445B8"/>
    <w:rsid w:val="00244891"/>
    <w:rsid w:val="00244915"/>
    <w:rsid w:val="00244EC6"/>
    <w:rsid w:val="00244F42"/>
    <w:rsid w:val="0024546E"/>
    <w:rsid w:val="00245592"/>
    <w:rsid w:val="0024560F"/>
    <w:rsid w:val="0024562F"/>
    <w:rsid w:val="002456DC"/>
    <w:rsid w:val="0024598E"/>
    <w:rsid w:val="00245F2A"/>
    <w:rsid w:val="0024612B"/>
    <w:rsid w:val="0024630A"/>
    <w:rsid w:val="0024631A"/>
    <w:rsid w:val="00246565"/>
    <w:rsid w:val="002467B3"/>
    <w:rsid w:val="002468B0"/>
    <w:rsid w:val="00246935"/>
    <w:rsid w:val="00246938"/>
    <w:rsid w:val="00246C74"/>
    <w:rsid w:val="00246CE0"/>
    <w:rsid w:val="00246D8E"/>
    <w:rsid w:val="00247074"/>
    <w:rsid w:val="0024723B"/>
    <w:rsid w:val="00247420"/>
    <w:rsid w:val="002478F4"/>
    <w:rsid w:val="00247C19"/>
    <w:rsid w:val="00247E49"/>
    <w:rsid w:val="00247E8B"/>
    <w:rsid w:val="00247EA2"/>
    <w:rsid w:val="00247F38"/>
    <w:rsid w:val="00250055"/>
    <w:rsid w:val="00250176"/>
    <w:rsid w:val="00250460"/>
    <w:rsid w:val="002508DE"/>
    <w:rsid w:val="00250A2F"/>
    <w:rsid w:val="00250D69"/>
    <w:rsid w:val="00250EB0"/>
    <w:rsid w:val="00250FFE"/>
    <w:rsid w:val="00251276"/>
    <w:rsid w:val="00251282"/>
    <w:rsid w:val="00251420"/>
    <w:rsid w:val="00251605"/>
    <w:rsid w:val="002518AB"/>
    <w:rsid w:val="00251BA7"/>
    <w:rsid w:val="00251DC2"/>
    <w:rsid w:val="00252058"/>
    <w:rsid w:val="002520C4"/>
    <w:rsid w:val="002523A9"/>
    <w:rsid w:val="002525EE"/>
    <w:rsid w:val="0025275D"/>
    <w:rsid w:val="0025289A"/>
    <w:rsid w:val="002529C5"/>
    <w:rsid w:val="00252AD3"/>
    <w:rsid w:val="00252B66"/>
    <w:rsid w:val="00252BFF"/>
    <w:rsid w:val="00252E38"/>
    <w:rsid w:val="00252E59"/>
    <w:rsid w:val="002535ED"/>
    <w:rsid w:val="00253689"/>
    <w:rsid w:val="00253818"/>
    <w:rsid w:val="00253A29"/>
    <w:rsid w:val="00253AE2"/>
    <w:rsid w:val="00253BD2"/>
    <w:rsid w:val="00253D1B"/>
    <w:rsid w:val="002540CE"/>
    <w:rsid w:val="00254123"/>
    <w:rsid w:val="00254256"/>
    <w:rsid w:val="002543A0"/>
    <w:rsid w:val="002548D7"/>
    <w:rsid w:val="00254A7B"/>
    <w:rsid w:val="00254CD9"/>
    <w:rsid w:val="00254D26"/>
    <w:rsid w:val="00254D5A"/>
    <w:rsid w:val="00254F22"/>
    <w:rsid w:val="0025531A"/>
    <w:rsid w:val="0025563B"/>
    <w:rsid w:val="002556C7"/>
    <w:rsid w:val="00255833"/>
    <w:rsid w:val="00255878"/>
    <w:rsid w:val="00255B9D"/>
    <w:rsid w:val="00255BB8"/>
    <w:rsid w:val="00255C60"/>
    <w:rsid w:val="00255E1F"/>
    <w:rsid w:val="00255E4B"/>
    <w:rsid w:val="00255F29"/>
    <w:rsid w:val="0025625C"/>
    <w:rsid w:val="0025638D"/>
    <w:rsid w:val="002563F2"/>
    <w:rsid w:val="002565B8"/>
    <w:rsid w:val="002565C3"/>
    <w:rsid w:val="0025676B"/>
    <w:rsid w:val="0025682C"/>
    <w:rsid w:val="00256B80"/>
    <w:rsid w:val="00256B9E"/>
    <w:rsid w:val="00256BEA"/>
    <w:rsid w:val="00256C5A"/>
    <w:rsid w:val="00256F16"/>
    <w:rsid w:val="00256F89"/>
    <w:rsid w:val="002571F0"/>
    <w:rsid w:val="002573C2"/>
    <w:rsid w:val="002578BC"/>
    <w:rsid w:val="002579D9"/>
    <w:rsid w:val="00257A8D"/>
    <w:rsid w:val="00257B2D"/>
    <w:rsid w:val="00257B76"/>
    <w:rsid w:val="00257D56"/>
    <w:rsid w:val="00257FDD"/>
    <w:rsid w:val="002601CC"/>
    <w:rsid w:val="002603D3"/>
    <w:rsid w:val="0026087A"/>
    <w:rsid w:val="00261369"/>
    <w:rsid w:val="00261A00"/>
    <w:rsid w:val="00261E5E"/>
    <w:rsid w:val="002622C6"/>
    <w:rsid w:val="00262552"/>
    <w:rsid w:val="00262624"/>
    <w:rsid w:val="00262658"/>
    <w:rsid w:val="002626D2"/>
    <w:rsid w:val="002627C5"/>
    <w:rsid w:val="0026281C"/>
    <w:rsid w:val="002628A3"/>
    <w:rsid w:val="0026290E"/>
    <w:rsid w:val="0026299C"/>
    <w:rsid w:val="002629C9"/>
    <w:rsid w:val="00262AE0"/>
    <w:rsid w:val="00262C88"/>
    <w:rsid w:val="00262D25"/>
    <w:rsid w:val="00263013"/>
    <w:rsid w:val="00263258"/>
    <w:rsid w:val="002633E5"/>
    <w:rsid w:val="00263571"/>
    <w:rsid w:val="00263BDD"/>
    <w:rsid w:val="00263C69"/>
    <w:rsid w:val="00263CDC"/>
    <w:rsid w:val="00263E31"/>
    <w:rsid w:val="0026451C"/>
    <w:rsid w:val="00264675"/>
    <w:rsid w:val="002647C7"/>
    <w:rsid w:val="002648D6"/>
    <w:rsid w:val="00264D4C"/>
    <w:rsid w:val="00264D98"/>
    <w:rsid w:val="0026504F"/>
    <w:rsid w:val="002655FE"/>
    <w:rsid w:val="002656B2"/>
    <w:rsid w:val="002656D7"/>
    <w:rsid w:val="002657BC"/>
    <w:rsid w:val="0026589E"/>
    <w:rsid w:val="00265A76"/>
    <w:rsid w:val="00265B3F"/>
    <w:rsid w:val="00265D06"/>
    <w:rsid w:val="0026603E"/>
    <w:rsid w:val="002661F3"/>
    <w:rsid w:val="00266233"/>
    <w:rsid w:val="0026628E"/>
    <w:rsid w:val="002663E9"/>
    <w:rsid w:val="002665CC"/>
    <w:rsid w:val="00266661"/>
    <w:rsid w:val="00266688"/>
    <w:rsid w:val="002668E5"/>
    <w:rsid w:val="00266945"/>
    <w:rsid w:val="00266C09"/>
    <w:rsid w:val="00266C67"/>
    <w:rsid w:val="00266F02"/>
    <w:rsid w:val="002673F0"/>
    <w:rsid w:val="0026745C"/>
    <w:rsid w:val="00267489"/>
    <w:rsid w:val="002674D7"/>
    <w:rsid w:val="00267650"/>
    <w:rsid w:val="002679CF"/>
    <w:rsid w:val="00267B94"/>
    <w:rsid w:val="00267D06"/>
    <w:rsid w:val="00267D8D"/>
    <w:rsid w:val="00270001"/>
    <w:rsid w:val="0027016B"/>
    <w:rsid w:val="00270242"/>
    <w:rsid w:val="00270381"/>
    <w:rsid w:val="002704E4"/>
    <w:rsid w:val="00270747"/>
    <w:rsid w:val="002708EF"/>
    <w:rsid w:val="00270AEB"/>
    <w:rsid w:val="00270F90"/>
    <w:rsid w:val="0027112B"/>
    <w:rsid w:val="002712BB"/>
    <w:rsid w:val="002712E3"/>
    <w:rsid w:val="002719F6"/>
    <w:rsid w:val="00271D42"/>
    <w:rsid w:val="00271E2F"/>
    <w:rsid w:val="00272064"/>
    <w:rsid w:val="00272113"/>
    <w:rsid w:val="00272303"/>
    <w:rsid w:val="0027233E"/>
    <w:rsid w:val="00272498"/>
    <w:rsid w:val="00272539"/>
    <w:rsid w:val="00272613"/>
    <w:rsid w:val="00272894"/>
    <w:rsid w:val="0027291C"/>
    <w:rsid w:val="002729A6"/>
    <w:rsid w:val="00272B23"/>
    <w:rsid w:val="00272DA1"/>
    <w:rsid w:val="00272F86"/>
    <w:rsid w:val="00272FB7"/>
    <w:rsid w:val="002732F5"/>
    <w:rsid w:val="0027353F"/>
    <w:rsid w:val="00273548"/>
    <w:rsid w:val="00273564"/>
    <w:rsid w:val="002735D9"/>
    <w:rsid w:val="00273637"/>
    <w:rsid w:val="00273A0A"/>
    <w:rsid w:val="00273B82"/>
    <w:rsid w:val="00273CA5"/>
    <w:rsid w:val="00273D95"/>
    <w:rsid w:val="00273E5D"/>
    <w:rsid w:val="00274044"/>
    <w:rsid w:val="0027409B"/>
    <w:rsid w:val="0027419C"/>
    <w:rsid w:val="00274286"/>
    <w:rsid w:val="0027448D"/>
    <w:rsid w:val="00274531"/>
    <w:rsid w:val="00274636"/>
    <w:rsid w:val="00274B56"/>
    <w:rsid w:val="00274E1B"/>
    <w:rsid w:val="00274E20"/>
    <w:rsid w:val="0027516A"/>
    <w:rsid w:val="002751C0"/>
    <w:rsid w:val="00275359"/>
    <w:rsid w:val="002753A7"/>
    <w:rsid w:val="0027564A"/>
    <w:rsid w:val="002758A0"/>
    <w:rsid w:val="00275A82"/>
    <w:rsid w:val="0027615C"/>
    <w:rsid w:val="0027628C"/>
    <w:rsid w:val="0027634C"/>
    <w:rsid w:val="0027641B"/>
    <w:rsid w:val="002766E6"/>
    <w:rsid w:val="002767A1"/>
    <w:rsid w:val="0027685C"/>
    <w:rsid w:val="00276EF4"/>
    <w:rsid w:val="00276FD6"/>
    <w:rsid w:val="00276FE5"/>
    <w:rsid w:val="002771B4"/>
    <w:rsid w:val="002772C0"/>
    <w:rsid w:val="002772CC"/>
    <w:rsid w:val="002774C9"/>
    <w:rsid w:val="00277575"/>
    <w:rsid w:val="002775F2"/>
    <w:rsid w:val="00277A8B"/>
    <w:rsid w:val="00277CC7"/>
    <w:rsid w:val="00277D8B"/>
    <w:rsid w:val="00280233"/>
    <w:rsid w:val="00280235"/>
    <w:rsid w:val="00280513"/>
    <w:rsid w:val="002805F1"/>
    <w:rsid w:val="00280706"/>
    <w:rsid w:val="00280788"/>
    <w:rsid w:val="00280835"/>
    <w:rsid w:val="00280AE6"/>
    <w:rsid w:val="00280C41"/>
    <w:rsid w:val="00280CF3"/>
    <w:rsid w:val="00280E21"/>
    <w:rsid w:val="0028105C"/>
    <w:rsid w:val="0028106A"/>
    <w:rsid w:val="002811E1"/>
    <w:rsid w:val="002812AE"/>
    <w:rsid w:val="002814F1"/>
    <w:rsid w:val="00281532"/>
    <w:rsid w:val="00281823"/>
    <w:rsid w:val="002818B6"/>
    <w:rsid w:val="002819E9"/>
    <w:rsid w:val="002819F3"/>
    <w:rsid w:val="00281D8B"/>
    <w:rsid w:val="00281E9B"/>
    <w:rsid w:val="00282012"/>
    <w:rsid w:val="002821F5"/>
    <w:rsid w:val="00282A91"/>
    <w:rsid w:val="00282EB2"/>
    <w:rsid w:val="00282FC7"/>
    <w:rsid w:val="00282FEF"/>
    <w:rsid w:val="00283886"/>
    <w:rsid w:val="002839FD"/>
    <w:rsid w:val="00283CF7"/>
    <w:rsid w:val="00283DD8"/>
    <w:rsid w:val="00283EB7"/>
    <w:rsid w:val="00283EC9"/>
    <w:rsid w:val="002840A5"/>
    <w:rsid w:val="0028410B"/>
    <w:rsid w:val="00284235"/>
    <w:rsid w:val="0028426A"/>
    <w:rsid w:val="002843A5"/>
    <w:rsid w:val="0028481C"/>
    <w:rsid w:val="00284BEE"/>
    <w:rsid w:val="0028533C"/>
    <w:rsid w:val="00285616"/>
    <w:rsid w:val="002856DB"/>
    <w:rsid w:val="00285C6F"/>
    <w:rsid w:val="00285D29"/>
    <w:rsid w:val="00285D41"/>
    <w:rsid w:val="00285FF6"/>
    <w:rsid w:val="002860E5"/>
    <w:rsid w:val="0028629C"/>
    <w:rsid w:val="00286415"/>
    <w:rsid w:val="00286453"/>
    <w:rsid w:val="0028699B"/>
    <w:rsid w:val="00286E17"/>
    <w:rsid w:val="00286E60"/>
    <w:rsid w:val="00287155"/>
    <w:rsid w:val="00287585"/>
    <w:rsid w:val="00287B41"/>
    <w:rsid w:val="00287B8F"/>
    <w:rsid w:val="00287FAB"/>
    <w:rsid w:val="002901AB"/>
    <w:rsid w:val="00290201"/>
    <w:rsid w:val="00290248"/>
    <w:rsid w:val="0029032E"/>
    <w:rsid w:val="0029099B"/>
    <w:rsid w:val="00290B48"/>
    <w:rsid w:val="002910A6"/>
    <w:rsid w:val="002917F2"/>
    <w:rsid w:val="00291B59"/>
    <w:rsid w:val="00291BDB"/>
    <w:rsid w:val="00291E7D"/>
    <w:rsid w:val="00291F14"/>
    <w:rsid w:val="00292093"/>
    <w:rsid w:val="002926C0"/>
    <w:rsid w:val="00292716"/>
    <w:rsid w:val="002927C2"/>
    <w:rsid w:val="002928A3"/>
    <w:rsid w:val="00292B20"/>
    <w:rsid w:val="0029310D"/>
    <w:rsid w:val="0029341C"/>
    <w:rsid w:val="0029349C"/>
    <w:rsid w:val="00293577"/>
    <w:rsid w:val="002935CA"/>
    <w:rsid w:val="0029360A"/>
    <w:rsid w:val="00293615"/>
    <w:rsid w:val="002940A8"/>
    <w:rsid w:val="00294484"/>
    <w:rsid w:val="002944B2"/>
    <w:rsid w:val="00294638"/>
    <w:rsid w:val="002946AF"/>
    <w:rsid w:val="00294958"/>
    <w:rsid w:val="00294A1F"/>
    <w:rsid w:val="00294A97"/>
    <w:rsid w:val="00294CE7"/>
    <w:rsid w:val="00294D7D"/>
    <w:rsid w:val="00294D7F"/>
    <w:rsid w:val="002950A9"/>
    <w:rsid w:val="00295380"/>
    <w:rsid w:val="002953E9"/>
    <w:rsid w:val="0029554B"/>
    <w:rsid w:val="002955E2"/>
    <w:rsid w:val="00295D3A"/>
    <w:rsid w:val="00295D54"/>
    <w:rsid w:val="00295EED"/>
    <w:rsid w:val="00296094"/>
    <w:rsid w:val="002963A9"/>
    <w:rsid w:val="00296690"/>
    <w:rsid w:val="00296B7D"/>
    <w:rsid w:val="00296BD9"/>
    <w:rsid w:val="00296D1A"/>
    <w:rsid w:val="00296E5D"/>
    <w:rsid w:val="00296EE1"/>
    <w:rsid w:val="0029753B"/>
    <w:rsid w:val="002976F4"/>
    <w:rsid w:val="00297B09"/>
    <w:rsid w:val="00297D3C"/>
    <w:rsid w:val="00297DEF"/>
    <w:rsid w:val="00297E76"/>
    <w:rsid w:val="00297EF3"/>
    <w:rsid w:val="002A0036"/>
    <w:rsid w:val="002A00BD"/>
    <w:rsid w:val="002A017F"/>
    <w:rsid w:val="002A03B0"/>
    <w:rsid w:val="002A0573"/>
    <w:rsid w:val="002A08B8"/>
    <w:rsid w:val="002A0D90"/>
    <w:rsid w:val="002A0FD6"/>
    <w:rsid w:val="002A1132"/>
    <w:rsid w:val="002A11B7"/>
    <w:rsid w:val="002A1356"/>
    <w:rsid w:val="002A16BF"/>
    <w:rsid w:val="002A17E9"/>
    <w:rsid w:val="002A1AB5"/>
    <w:rsid w:val="002A1ADA"/>
    <w:rsid w:val="002A1D4F"/>
    <w:rsid w:val="002A1F57"/>
    <w:rsid w:val="002A2036"/>
    <w:rsid w:val="002A2187"/>
    <w:rsid w:val="002A23E3"/>
    <w:rsid w:val="002A2745"/>
    <w:rsid w:val="002A29DC"/>
    <w:rsid w:val="002A2A3D"/>
    <w:rsid w:val="002A2B10"/>
    <w:rsid w:val="002A2E0F"/>
    <w:rsid w:val="002A2EAC"/>
    <w:rsid w:val="002A2EF9"/>
    <w:rsid w:val="002A33DB"/>
    <w:rsid w:val="002A3792"/>
    <w:rsid w:val="002A395C"/>
    <w:rsid w:val="002A3E41"/>
    <w:rsid w:val="002A3FED"/>
    <w:rsid w:val="002A4110"/>
    <w:rsid w:val="002A45B7"/>
    <w:rsid w:val="002A471D"/>
    <w:rsid w:val="002A4982"/>
    <w:rsid w:val="002A4A53"/>
    <w:rsid w:val="002A4A65"/>
    <w:rsid w:val="002A4A89"/>
    <w:rsid w:val="002A4C7D"/>
    <w:rsid w:val="002A53EA"/>
    <w:rsid w:val="002A59A1"/>
    <w:rsid w:val="002A5A96"/>
    <w:rsid w:val="002A5E78"/>
    <w:rsid w:val="002A5F74"/>
    <w:rsid w:val="002A5FA3"/>
    <w:rsid w:val="002A62F1"/>
    <w:rsid w:val="002A6753"/>
    <w:rsid w:val="002A6A0E"/>
    <w:rsid w:val="002A6CB9"/>
    <w:rsid w:val="002A6DAF"/>
    <w:rsid w:val="002A6E5A"/>
    <w:rsid w:val="002A6F47"/>
    <w:rsid w:val="002A718F"/>
    <w:rsid w:val="002A79DD"/>
    <w:rsid w:val="002A7B4B"/>
    <w:rsid w:val="002A7BDA"/>
    <w:rsid w:val="002A7D30"/>
    <w:rsid w:val="002B016E"/>
    <w:rsid w:val="002B024A"/>
    <w:rsid w:val="002B0273"/>
    <w:rsid w:val="002B051E"/>
    <w:rsid w:val="002B0AC4"/>
    <w:rsid w:val="002B0AC8"/>
    <w:rsid w:val="002B0BE2"/>
    <w:rsid w:val="002B0BE8"/>
    <w:rsid w:val="002B0D19"/>
    <w:rsid w:val="002B0EC8"/>
    <w:rsid w:val="002B1407"/>
    <w:rsid w:val="002B188C"/>
    <w:rsid w:val="002B1B70"/>
    <w:rsid w:val="002B1DC0"/>
    <w:rsid w:val="002B1E22"/>
    <w:rsid w:val="002B1E51"/>
    <w:rsid w:val="002B1E8D"/>
    <w:rsid w:val="002B1F63"/>
    <w:rsid w:val="002B1F76"/>
    <w:rsid w:val="002B21BC"/>
    <w:rsid w:val="002B21DB"/>
    <w:rsid w:val="002B2434"/>
    <w:rsid w:val="002B2EA1"/>
    <w:rsid w:val="002B2F9A"/>
    <w:rsid w:val="002B3063"/>
    <w:rsid w:val="002B30B9"/>
    <w:rsid w:val="002B36D9"/>
    <w:rsid w:val="002B3A89"/>
    <w:rsid w:val="002B3B7D"/>
    <w:rsid w:val="002B3C8E"/>
    <w:rsid w:val="002B3D53"/>
    <w:rsid w:val="002B3F8B"/>
    <w:rsid w:val="002B4036"/>
    <w:rsid w:val="002B40A9"/>
    <w:rsid w:val="002B41A8"/>
    <w:rsid w:val="002B44DE"/>
    <w:rsid w:val="002B461D"/>
    <w:rsid w:val="002B48C4"/>
    <w:rsid w:val="002B48D6"/>
    <w:rsid w:val="002B4924"/>
    <w:rsid w:val="002B4B4A"/>
    <w:rsid w:val="002B4BF0"/>
    <w:rsid w:val="002B4F68"/>
    <w:rsid w:val="002B5103"/>
    <w:rsid w:val="002B53BA"/>
    <w:rsid w:val="002B543A"/>
    <w:rsid w:val="002B549B"/>
    <w:rsid w:val="002B58D7"/>
    <w:rsid w:val="002B5B61"/>
    <w:rsid w:val="002B5D0C"/>
    <w:rsid w:val="002B5D76"/>
    <w:rsid w:val="002B5DB6"/>
    <w:rsid w:val="002B5EF9"/>
    <w:rsid w:val="002B60F6"/>
    <w:rsid w:val="002B6211"/>
    <w:rsid w:val="002B623E"/>
    <w:rsid w:val="002B62B0"/>
    <w:rsid w:val="002B6328"/>
    <w:rsid w:val="002B64EA"/>
    <w:rsid w:val="002B655E"/>
    <w:rsid w:val="002B66A1"/>
    <w:rsid w:val="002B6967"/>
    <w:rsid w:val="002B696A"/>
    <w:rsid w:val="002B6BA9"/>
    <w:rsid w:val="002B6DBD"/>
    <w:rsid w:val="002B6E48"/>
    <w:rsid w:val="002B6EE2"/>
    <w:rsid w:val="002B6F82"/>
    <w:rsid w:val="002B700C"/>
    <w:rsid w:val="002B702F"/>
    <w:rsid w:val="002B7187"/>
    <w:rsid w:val="002B73B7"/>
    <w:rsid w:val="002B76BA"/>
    <w:rsid w:val="002B7814"/>
    <w:rsid w:val="002B79FD"/>
    <w:rsid w:val="002B7C28"/>
    <w:rsid w:val="002B7E6C"/>
    <w:rsid w:val="002B7F44"/>
    <w:rsid w:val="002C012D"/>
    <w:rsid w:val="002C024C"/>
    <w:rsid w:val="002C02B7"/>
    <w:rsid w:val="002C0411"/>
    <w:rsid w:val="002C0628"/>
    <w:rsid w:val="002C0B4F"/>
    <w:rsid w:val="002C0C43"/>
    <w:rsid w:val="002C0C57"/>
    <w:rsid w:val="002C0D8D"/>
    <w:rsid w:val="002C0EAF"/>
    <w:rsid w:val="002C0FA6"/>
    <w:rsid w:val="002C1054"/>
    <w:rsid w:val="002C1064"/>
    <w:rsid w:val="002C1270"/>
    <w:rsid w:val="002C13DC"/>
    <w:rsid w:val="002C1795"/>
    <w:rsid w:val="002C17CE"/>
    <w:rsid w:val="002C1900"/>
    <w:rsid w:val="002C1D82"/>
    <w:rsid w:val="002C1E35"/>
    <w:rsid w:val="002C2172"/>
    <w:rsid w:val="002C2192"/>
    <w:rsid w:val="002C2259"/>
    <w:rsid w:val="002C22FC"/>
    <w:rsid w:val="002C2588"/>
    <w:rsid w:val="002C2681"/>
    <w:rsid w:val="002C270A"/>
    <w:rsid w:val="002C2A40"/>
    <w:rsid w:val="002C2DCF"/>
    <w:rsid w:val="002C2F25"/>
    <w:rsid w:val="002C3259"/>
    <w:rsid w:val="002C351A"/>
    <w:rsid w:val="002C3553"/>
    <w:rsid w:val="002C3665"/>
    <w:rsid w:val="002C3709"/>
    <w:rsid w:val="002C3A3B"/>
    <w:rsid w:val="002C447B"/>
    <w:rsid w:val="002C4742"/>
    <w:rsid w:val="002C4AD4"/>
    <w:rsid w:val="002C4B30"/>
    <w:rsid w:val="002C4BB0"/>
    <w:rsid w:val="002C51E0"/>
    <w:rsid w:val="002C5B58"/>
    <w:rsid w:val="002C5C5E"/>
    <w:rsid w:val="002C5CBE"/>
    <w:rsid w:val="002C5E72"/>
    <w:rsid w:val="002C5E91"/>
    <w:rsid w:val="002C5FC9"/>
    <w:rsid w:val="002C6147"/>
    <w:rsid w:val="002C61E7"/>
    <w:rsid w:val="002C62FC"/>
    <w:rsid w:val="002C6831"/>
    <w:rsid w:val="002C6845"/>
    <w:rsid w:val="002C6A68"/>
    <w:rsid w:val="002C709B"/>
    <w:rsid w:val="002C710B"/>
    <w:rsid w:val="002C718A"/>
    <w:rsid w:val="002C719D"/>
    <w:rsid w:val="002C71C1"/>
    <w:rsid w:val="002C7435"/>
    <w:rsid w:val="002C7742"/>
    <w:rsid w:val="002C7776"/>
    <w:rsid w:val="002C781D"/>
    <w:rsid w:val="002C78A4"/>
    <w:rsid w:val="002C78BA"/>
    <w:rsid w:val="002C7ADE"/>
    <w:rsid w:val="002D0039"/>
    <w:rsid w:val="002D02C2"/>
    <w:rsid w:val="002D04DE"/>
    <w:rsid w:val="002D05F5"/>
    <w:rsid w:val="002D0A53"/>
    <w:rsid w:val="002D0B02"/>
    <w:rsid w:val="002D0D38"/>
    <w:rsid w:val="002D0E0F"/>
    <w:rsid w:val="002D0E7E"/>
    <w:rsid w:val="002D1115"/>
    <w:rsid w:val="002D1260"/>
    <w:rsid w:val="002D15B5"/>
    <w:rsid w:val="002D165A"/>
    <w:rsid w:val="002D16CA"/>
    <w:rsid w:val="002D173E"/>
    <w:rsid w:val="002D17F0"/>
    <w:rsid w:val="002D18B9"/>
    <w:rsid w:val="002D19C7"/>
    <w:rsid w:val="002D1FD9"/>
    <w:rsid w:val="002D216F"/>
    <w:rsid w:val="002D2610"/>
    <w:rsid w:val="002D2714"/>
    <w:rsid w:val="002D2990"/>
    <w:rsid w:val="002D2D1C"/>
    <w:rsid w:val="002D2D98"/>
    <w:rsid w:val="002D306B"/>
    <w:rsid w:val="002D3198"/>
    <w:rsid w:val="002D3384"/>
    <w:rsid w:val="002D344C"/>
    <w:rsid w:val="002D357B"/>
    <w:rsid w:val="002D37F0"/>
    <w:rsid w:val="002D38BF"/>
    <w:rsid w:val="002D395B"/>
    <w:rsid w:val="002D3CC7"/>
    <w:rsid w:val="002D3CFF"/>
    <w:rsid w:val="002D4071"/>
    <w:rsid w:val="002D41C3"/>
    <w:rsid w:val="002D497D"/>
    <w:rsid w:val="002D4A3E"/>
    <w:rsid w:val="002D4A5A"/>
    <w:rsid w:val="002D4B71"/>
    <w:rsid w:val="002D4B82"/>
    <w:rsid w:val="002D4BCE"/>
    <w:rsid w:val="002D4DCE"/>
    <w:rsid w:val="002D4F9C"/>
    <w:rsid w:val="002D5047"/>
    <w:rsid w:val="002D50B3"/>
    <w:rsid w:val="002D53A4"/>
    <w:rsid w:val="002D5B17"/>
    <w:rsid w:val="002D5B84"/>
    <w:rsid w:val="002D5C86"/>
    <w:rsid w:val="002D5D12"/>
    <w:rsid w:val="002D5DBB"/>
    <w:rsid w:val="002D6314"/>
    <w:rsid w:val="002D63A5"/>
    <w:rsid w:val="002D63F8"/>
    <w:rsid w:val="002D6823"/>
    <w:rsid w:val="002D6928"/>
    <w:rsid w:val="002D6ADE"/>
    <w:rsid w:val="002D6D42"/>
    <w:rsid w:val="002D6E27"/>
    <w:rsid w:val="002D6E67"/>
    <w:rsid w:val="002D70CF"/>
    <w:rsid w:val="002D711C"/>
    <w:rsid w:val="002D713E"/>
    <w:rsid w:val="002D7A38"/>
    <w:rsid w:val="002D7C70"/>
    <w:rsid w:val="002D7DBA"/>
    <w:rsid w:val="002D7E9D"/>
    <w:rsid w:val="002E0140"/>
    <w:rsid w:val="002E02FA"/>
    <w:rsid w:val="002E037F"/>
    <w:rsid w:val="002E0698"/>
    <w:rsid w:val="002E0942"/>
    <w:rsid w:val="002E0971"/>
    <w:rsid w:val="002E0AB2"/>
    <w:rsid w:val="002E0C63"/>
    <w:rsid w:val="002E0D19"/>
    <w:rsid w:val="002E1033"/>
    <w:rsid w:val="002E124D"/>
    <w:rsid w:val="002E139C"/>
    <w:rsid w:val="002E1785"/>
    <w:rsid w:val="002E1A9E"/>
    <w:rsid w:val="002E1ACB"/>
    <w:rsid w:val="002E1D2B"/>
    <w:rsid w:val="002E1EEE"/>
    <w:rsid w:val="002E1F3A"/>
    <w:rsid w:val="002E209A"/>
    <w:rsid w:val="002E22BC"/>
    <w:rsid w:val="002E240A"/>
    <w:rsid w:val="002E26DE"/>
    <w:rsid w:val="002E26DF"/>
    <w:rsid w:val="002E271A"/>
    <w:rsid w:val="002E2B69"/>
    <w:rsid w:val="002E2BE1"/>
    <w:rsid w:val="002E2C2E"/>
    <w:rsid w:val="002E2DB9"/>
    <w:rsid w:val="002E2E1A"/>
    <w:rsid w:val="002E2EC2"/>
    <w:rsid w:val="002E2F39"/>
    <w:rsid w:val="002E2F7E"/>
    <w:rsid w:val="002E3110"/>
    <w:rsid w:val="002E3117"/>
    <w:rsid w:val="002E3121"/>
    <w:rsid w:val="002E31A0"/>
    <w:rsid w:val="002E32B7"/>
    <w:rsid w:val="002E3309"/>
    <w:rsid w:val="002E3676"/>
    <w:rsid w:val="002E36D0"/>
    <w:rsid w:val="002E36F9"/>
    <w:rsid w:val="002E37B1"/>
    <w:rsid w:val="002E37C7"/>
    <w:rsid w:val="002E3AAF"/>
    <w:rsid w:val="002E3B31"/>
    <w:rsid w:val="002E3D33"/>
    <w:rsid w:val="002E3DA0"/>
    <w:rsid w:val="002E455B"/>
    <w:rsid w:val="002E4734"/>
    <w:rsid w:val="002E49E3"/>
    <w:rsid w:val="002E4A49"/>
    <w:rsid w:val="002E4AEE"/>
    <w:rsid w:val="002E4B86"/>
    <w:rsid w:val="002E4FAF"/>
    <w:rsid w:val="002E504D"/>
    <w:rsid w:val="002E576B"/>
    <w:rsid w:val="002E57B8"/>
    <w:rsid w:val="002E592F"/>
    <w:rsid w:val="002E5DA5"/>
    <w:rsid w:val="002E5F22"/>
    <w:rsid w:val="002E60F5"/>
    <w:rsid w:val="002E6121"/>
    <w:rsid w:val="002E614A"/>
    <w:rsid w:val="002E620F"/>
    <w:rsid w:val="002E6361"/>
    <w:rsid w:val="002E66A3"/>
    <w:rsid w:val="002E67DC"/>
    <w:rsid w:val="002E6DC2"/>
    <w:rsid w:val="002E73A2"/>
    <w:rsid w:val="002E73F7"/>
    <w:rsid w:val="002E766F"/>
    <w:rsid w:val="002E77E5"/>
    <w:rsid w:val="002E7815"/>
    <w:rsid w:val="002E7838"/>
    <w:rsid w:val="002E7A28"/>
    <w:rsid w:val="002E7B64"/>
    <w:rsid w:val="002E7F5F"/>
    <w:rsid w:val="002E7F78"/>
    <w:rsid w:val="002E7F7C"/>
    <w:rsid w:val="002F0474"/>
    <w:rsid w:val="002F056E"/>
    <w:rsid w:val="002F06BF"/>
    <w:rsid w:val="002F086E"/>
    <w:rsid w:val="002F1416"/>
    <w:rsid w:val="002F1B0E"/>
    <w:rsid w:val="002F1C02"/>
    <w:rsid w:val="002F1C59"/>
    <w:rsid w:val="002F1CAE"/>
    <w:rsid w:val="002F21C8"/>
    <w:rsid w:val="002F2214"/>
    <w:rsid w:val="002F2327"/>
    <w:rsid w:val="002F2826"/>
    <w:rsid w:val="002F2835"/>
    <w:rsid w:val="002F298E"/>
    <w:rsid w:val="002F2A66"/>
    <w:rsid w:val="002F2C2E"/>
    <w:rsid w:val="002F2EB3"/>
    <w:rsid w:val="002F3009"/>
    <w:rsid w:val="002F3260"/>
    <w:rsid w:val="002F3F8F"/>
    <w:rsid w:val="002F40A0"/>
    <w:rsid w:val="002F40EC"/>
    <w:rsid w:val="002F4237"/>
    <w:rsid w:val="002F42EF"/>
    <w:rsid w:val="002F43EC"/>
    <w:rsid w:val="002F442B"/>
    <w:rsid w:val="002F4818"/>
    <w:rsid w:val="002F499E"/>
    <w:rsid w:val="002F4A4A"/>
    <w:rsid w:val="002F4CD8"/>
    <w:rsid w:val="002F4EA5"/>
    <w:rsid w:val="002F4F4A"/>
    <w:rsid w:val="002F4F7C"/>
    <w:rsid w:val="002F4FED"/>
    <w:rsid w:val="002F50BA"/>
    <w:rsid w:val="002F511E"/>
    <w:rsid w:val="002F5133"/>
    <w:rsid w:val="002F525A"/>
    <w:rsid w:val="002F530E"/>
    <w:rsid w:val="002F5494"/>
    <w:rsid w:val="002F5582"/>
    <w:rsid w:val="002F563D"/>
    <w:rsid w:val="002F5958"/>
    <w:rsid w:val="002F5A08"/>
    <w:rsid w:val="002F5B72"/>
    <w:rsid w:val="002F5BEF"/>
    <w:rsid w:val="002F5D5F"/>
    <w:rsid w:val="002F5DB8"/>
    <w:rsid w:val="002F5E39"/>
    <w:rsid w:val="002F5EDF"/>
    <w:rsid w:val="002F62EB"/>
    <w:rsid w:val="002F63B0"/>
    <w:rsid w:val="002F6411"/>
    <w:rsid w:val="002F6535"/>
    <w:rsid w:val="002F66DC"/>
    <w:rsid w:val="002F6910"/>
    <w:rsid w:val="002F6A74"/>
    <w:rsid w:val="002F6B69"/>
    <w:rsid w:val="002F6B9E"/>
    <w:rsid w:val="002F6CA7"/>
    <w:rsid w:val="002F6D52"/>
    <w:rsid w:val="002F6F54"/>
    <w:rsid w:val="002F70DD"/>
    <w:rsid w:val="002F7199"/>
    <w:rsid w:val="002F776C"/>
    <w:rsid w:val="002F7792"/>
    <w:rsid w:val="002F77EE"/>
    <w:rsid w:val="002F78AC"/>
    <w:rsid w:val="002F7961"/>
    <w:rsid w:val="002F7A28"/>
    <w:rsid w:val="002F7A64"/>
    <w:rsid w:val="002F7E0F"/>
    <w:rsid w:val="002F7E5B"/>
    <w:rsid w:val="00300148"/>
    <w:rsid w:val="00300424"/>
    <w:rsid w:val="00300488"/>
    <w:rsid w:val="00300870"/>
    <w:rsid w:val="003008D7"/>
    <w:rsid w:val="003009E5"/>
    <w:rsid w:val="00300A58"/>
    <w:rsid w:val="00300BD6"/>
    <w:rsid w:val="00300C1A"/>
    <w:rsid w:val="00300C2A"/>
    <w:rsid w:val="00300E0E"/>
    <w:rsid w:val="00300E75"/>
    <w:rsid w:val="0030130E"/>
    <w:rsid w:val="0030138A"/>
    <w:rsid w:val="0030167B"/>
    <w:rsid w:val="003018A7"/>
    <w:rsid w:val="00301914"/>
    <w:rsid w:val="00301B75"/>
    <w:rsid w:val="00301E28"/>
    <w:rsid w:val="00301EAB"/>
    <w:rsid w:val="00301FDB"/>
    <w:rsid w:val="003021DC"/>
    <w:rsid w:val="0030230D"/>
    <w:rsid w:val="0030271F"/>
    <w:rsid w:val="003027AF"/>
    <w:rsid w:val="0030289A"/>
    <w:rsid w:val="00302AB8"/>
    <w:rsid w:val="00302C32"/>
    <w:rsid w:val="00302C37"/>
    <w:rsid w:val="00302D16"/>
    <w:rsid w:val="00302D88"/>
    <w:rsid w:val="00302E91"/>
    <w:rsid w:val="00302E97"/>
    <w:rsid w:val="00302FB1"/>
    <w:rsid w:val="00303163"/>
    <w:rsid w:val="00303210"/>
    <w:rsid w:val="00303A38"/>
    <w:rsid w:val="00303C41"/>
    <w:rsid w:val="00303DF2"/>
    <w:rsid w:val="00303EF8"/>
    <w:rsid w:val="003041FA"/>
    <w:rsid w:val="0030420B"/>
    <w:rsid w:val="0030434D"/>
    <w:rsid w:val="003045D6"/>
    <w:rsid w:val="003046CA"/>
    <w:rsid w:val="003049C7"/>
    <w:rsid w:val="00304ABA"/>
    <w:rsid w:val="00304C95"/>
    <w:rsid w:val="00305AD5"/>
    <w:rsid w:val="00305F5D"/>
    <w:rsid w:val="00305F7D"/>
    <w:rsid w:val="003060FA"/>
    <w:rsid w:val="0030661C"/>
    <w:rsid w:val="003066A6"/>
    <w:rsid w:val="003066C1"/>
    <w:rsid w:val="00306791"/>
    <w:rsid w:val="00306AAF"/>
    <w:rsid w:val="00306D5B"/>
    <w:rsid w:val="00306D74"/>
    <w:rsid w:val="00306E01"/>
    <w:rsid w:val="00306E93"/>
    <w:rsid w:val="003071BB"/>
    <w:rsid w:val="003071F7"/>
    <w:rsid w:val="00307276"/>
    <w:rsid w:val="003072C3"/>
    <w:rsid w:val="0030734F"/>
    <w:rsid w:val="00307507"/>
    <w:rsid w:val="00307724"/>
    <w:rsid w:val="003077AC"/>
    <w:rsid w:val="00307BAF"/>
    <w:rsid w:val="00307D68"/>
    <w:rsid w:val="00307DB3"/>
    <w:rsid w:val="00307E3B"/>
    <w:rsid w:val="00307F37"/>
    <w:rsid w:val="003105B1"/>
    <w:rsid w:val="0031061B"/>
    <w:rsid w:val="0031062E"/>
    <w:rsid w:val="003108D5"/>
    <w:rsid w:val="003108F6"/>
    <w:rsid w:val="00310D7C"/>
    <w:rsid w:val="00310E77"/>
    <w:rsid w:val="00310EF5"/>
    <w:rsid w:val="00310FB2"/>
    <w:rsid w:val="00311252"/>
    <w:rsid w:val="003113F1"/>
    <w:rsid w:val="00311B71"/>
    <w:rsid w:val="00311F07"/>
    <w:rsid w:val="00311F5B"/>
    <w:rsid w:val="00311FED"/>
    <w:rsid w:val="003120B2"/>
    <w:rsid w:val="00312212"/>
    <w:rsid w:val="003124F4"/>
    <w:rsid w:val="0031291D"/>
    <w:rsid w:val="00312E37"/>
    <w:rsid w:val="00312EF6"/>
    <w:rsid w:val="00313187"/>
    <w:rsid w:val="003134C0"/>
    <w:rsid w:val="003135DE"/>
    <w:rsid w:val="003135E0"/>
    <w:rsid w:val="0031377A"/>
    <w:rsid w:val="003138DE"/>
    <w:rsid w:val="00313CED"/>
    <w:rsid w:val="00314075"/>
    <w:rsid w:val="00314357"/>
    <w:rsid w:val="00314401"/>
    <w:rsid w:val="0031454D"/>
    <w:rsid w:val="00314A4D"/>
    <w:rsid w:val="00314B34"/>
    <w:rsid w:val="00314B63"/>
    <w:rsid w:val="00314E14"/>
    <w:rsid w:val="00314E35"/>
    <w:rsid w:val="00314E3E"/>
    <w:rsid w:val="00314F98"/>
    <w:rsid w:val="00314FE1"/>
    <w:rsid w:val="0031553A"/>
    <w:rsid w:val="00315634"/>
    <w:rsid w:val="00315656"/>
    <w:rsid w:val="00315663"/>
    <w:rsid w:val="0031568F"/>
    <w:rsid w:val="003157D6"/>
    <w:rsid w:val="00315C91"/>
    <w:rsid w:val="00315D04"/>
    <w:rsid w:val="00316389"/>
    <w:rsid w:val="003163B5"/>
    <w:rsid w:val="0031653D"/>
    <w:rsid w:val="0031676A"/>
    <w:rsid w:val="00316790"/>
    <w:rsid w:val="00316D09"/>
    <w:rsid w:val="00317080"/>
    <w:rsid w:val="00317490"/>
    <w:rsid w:val="003175B3"/>
    <w:rsid w:val="003175CD"/>
    <w:rsid w:val="0031760A"/>
    <w:rsid w:val="0031793C"/>
    <w:rsid w:val="0032018B"/>
    <w:rsid w:val="00320250"/>
    <w:rsid w:val="00320335"/>
    <w:rsid w:val="00320618"/>
    <w:rsid w:val="0032069B"/>
    <w:rsid w:val="00320815"/>
    <w:rsid w:val="0032087C"/>
    <w:rsid w:val="003208D9"/>
    <w:rsid w:val="00320ADD"/>
    <w:rsid w:val="00320C5F"/>
    <w:rsid w:val="00320D24"/>
    <w:rsid w:val="00320ECD"/>
    <w:rsid w:val="0032118D"/>
    <w:rsid w:val="003212F4"/>
    <w:rsid w:val="00321936"/>
    <w:rsid w:val="00321AAA"/>
    <w:rsid w:val="00322421"/>
    <w:rsid w:val="00322497"/>
    <w:rsid w:val="003225C6"/>
    <w:rsid w:val="00322685"/>
    <w:rsid w:val="00322758"/>
    <w:rsid w:val="00322874"/>
    <w:rsid w:val="00322A11"/>
    <w:rsid w:val="00322B2D"/>
    <w:rsid w:val="00322BB5"/>
    <w:rsid w:val="00322D6D"/>
    <w:rsid w:val="00322FD1"/>
    <w:rsid w:val="003233B8"/>
    <w:rsid w:val="0032346B"/>
    <w:rsid w:val="003236AE"/>
    <w:rsid w:val="00323A78"/>
    <w:rsid w:val="00324085"/>
    <w:rsid w:val="00324088"/>
    <w:rsid w:val="00324127"/>
    <w:rsid w:val="00324132"/>
    <w:rsid w:val="00324644"/>
    <w:rsid w:val="003246E6"/>
    <w:rsid w:val="003248B0"/>
    <w:rsid w:val="003249AA"/>
    <w:rsid w:val="00324BFB"/>
    <w:rsid w:val="00324E9C"/>
    <w:rsid w:val="0032509C"/>
    <w:rsid w:val="00325395"/>
    <w:rsid w:val="0032540B"/>
    <w:rsid w:val="003255AC"/>
    <w:rsid w:val="003256DC"/>
    <w:rsid w:val="003258A9"/>
    <w:rsid w:val="003259A0"/>
    <w:rsid w:val="00325B23"/>
    <w:rsid w:val="00325EFE"/>
    <w:rsid w:val="00325F07"/>
    <w:rsid w:val="00325F4C"/>
    <w:rsid w:val="0032629D"/>
    <w:rsid w:val="0032631B"/>
    <w:rsid w:val="003265AA"/>
    <w:rsid w:val="003265B8"/>
    <w:rsid w:val="003267B7"/>
    <w:rsid w:val="00326994"/>
    <w:rsid w:val="00326AFE"/>
    <w:rsid w:val="00326FA8"/>
    <w:rsid w:val="003276C3"/>
    <w:rsid w:val="003276FB"/>
    <w:rsid w:val="00327773"/>
    <w:rsid w:val="0032780D"/>
    <w:rsid w:val="003278DF"/>
    <w:rsid w:val="0032791B"/>
    <w:rsid w:val="003279AA"/>
    <w:rsid w:val="00327C60"/>
    <w:rsid w:val="00327D28"/>
    <w:rsid w:val="00327D97"/>
    <w:rsid w:val="00330343"/>
    <w:rsid w:val="0033056F"/>
    <w:rsid w:val="00330652"/>
    <w:rsid w:val="003306E6"/>
    <w:rsid w:val="0033075A"/>
    <w:rsid w:val="00330904"/>
    <w:rsid w:val="00330D16"/>
    <w:rsid w:val="00330FD4"/>
    <w:rsid w:val="00330FFA"/>
    <w:rsid w:val="003312E5"/>
    <w:rsid w:val="0033131D"/>
    <w:rsid w:val="0033144B"/>
    <w:rsid w:val="0033168C"/>
    <w:rsid w:val="00331CAE"/>
    <w:rsid w:val="00331D3E"/>
    <w:rsid w:val="00331DA9"/>
    <w:rsid w:val="00332151"/>
    <w:rsid w:val="00332272"/>
    <w:rsid w:val="00332279"/>
    <w:rsid w:val="0033232B"/>
    <w:rsid w:val="00332438"/>
    <w:rsid w:val="00332508"/>
    <w:rsid w:val="0033255A"/>
    <w:rsid w:val="003326DA"/>
    <w:rsid w:val="003326ED"/>
    <w:rsid w:val="00332797"/>
    <w:rsid w:val="00332D58"/>
    <w:rsid w:val="00332D9C"/>
    <w:rsid w:val="00332E3D"/>
    <w:rsid w:val="00333072"/>
    <w:rsid w:val="0033319B"/>
    <w:rsid w:val="003331D2"/>
    <w:rsid w:val="003332AF"/>
    <w:rsid w:val="0033336E"/>
    <w:rsid w:val="003333D0"/>
    <w:rsid w:val="00333496"/>
    <w:rsid w:val="00333890"/>
    <w:rsid w:val="00333D2D"/>
    <w:rsid w:val="00333DB5"/>
    <w:rsid w:val="00333FC4"/>
    <w:rsid w:val="003341EC"/>
    <w:rsid w:val="003346E4"/>
    <w:rsid w:val="003349B1"/>
    <w:rsid w:val="00334ABC"/>
    <w:rsid w:val="00334CC6"/>
    <w:rsid w:val="00334FC0"/>
    <w:rsid w:val="00335153"/>
    <w:rsid w:val="00335341"/>
    <w:rsid w:val="003358FA"/>
    <w:rsid w:val="00335ABB"/>
    <w:rsid w:val="00335B5D"/>
    <w:rsid w:val="0033603B"/>
    <w:rsid w:val="003362B5"/>
    <w:rsid w:val="003362B6"/>
    <w:rsid w:val="003366CE"/>
    <w:rsid w:val="003369E1"/>
    <w:rsid w:val="00336D45"/>
    <w:rsid w:val="00337066"/>
    <w:rsid w:val="00337080"/>
    <w:rsid w:val="003370E3"/>
    <w:rsid w:val="00337239"/>
    <w:rsid w:val="003373BC"/>
    <w:rsid w:val="0033745B"/>
    <w:rsid w:val="00337524"/>
    <w:rsid w:val="0033754E"/>
    <w:rsid w:val="00337582"/>
    <w:rsid w:val="003376D1"/>
    <w:rsid w:val="00337784"/>
    <w:rsid w:val="003377DB"/>
    <w:rsid w:val="003379B2"/>
    <w:rsid w:val="00337AC9"/>
    <w:rsid w:val="00337FA9"/>
    <w:rsid w:val="0034009D"/>
    <w:rsid w:val="00340247"/>
    <w:rsid w:val="00340267"/>
    <w:rsid w:val="0034032F"/>
    <w:rsid w:val="003403FF"/>
    <w:rsid w:val="00340969"/>
    <w:rsid w:val="00340B66"/>
    <w:rsid w:val="00340C64"/>
    <w:rsid w:val="00340E00"/>
    <w:rsid w:val="00340E15"/>
    <w:rsid w:val="0034144B"/>
    <w:rsid w:val="00341820"/>
    <w:rsid w:val="003418FC"/>
    <w:rsid w:val="00341963"/>
    <w:rsid w:val="0034198C"/>
    <w:rsid w:val="00341BE5"/>
    <w:rsid w:val="00341EF3"/>
    <w:rsid w:val="00341FE4"/>
    <w:rsid w:val="00342084"/>
    <w:rsid w:val="00342367"/>
    <w:rsid w:val="00342457"/>
    <w:rsid w:val="0034257D"/>
    <w:rsid w:val="00342796"/>
    <w:rsid w:val="003427F1"/>
    <w:rsid w:val="00342CE0"/>
    <w:rsid w:val="00343299"/>
    <w:rsid w:val="0034359F"/>
    <w:rsid w:val="0034379D"/>
    <w:rsid w:val="0034383F"/>
    <w:rsid w:val="00343D81"/>
    <w:rsid w:val="00343EE6"/>
    <w:rsid w:val="00343FD0"/>
    <w:rsid w:val="003442CC"/>
    <w:rsid w:val="00344583"/>
    <w:rsid w:val="00344759"/>
    <w:rsid w:val="0034494E"/>
    <w:rsid w:val="003449E3"/>
    <w:rsid w:val="00344B89"/>
    <w:rsid w:val="00344CAC"/>
    <w:rsid w:val="00344DB5"/>
    <w:rsid w:val="00344DFD"/>
    <w:rsid w:val="00344F7D"/>
    <w:rsid w:val="00345084"/>
    <w:rsid w:val="003450FC"/>
    <w:rsid w:val="00345176"/>
    <w:rsid w:val="00345314"/>
    <w:rsid w:val="0034548B"/>
    <w:rsid w:val="0034557D"/>
    <w:rsid w:val="0034560A"/>
    <w:rsid w:val="00345692"/>
    <w:rsid w:val="003459C0"/>
    <w:rsid w:val="00345BE6"/>
    <w:rsid w:val="00345D37"/>
    <w:rsid w:val="00345DE2"/>
    <w:rsid w:val="003463EA"/>
    <w:rsid w:val="003468D8"/>
    <w:rsid w:val="003468F5"/>
    <w:rsid w:val="003469FE"/>
    <w:rsid w:val="00346B20"/>
    <w:rsid w:val="00346B27"/>
    <w:rsid w:val="00346E3C"/>
    <w:rsid w:val="00346ECD"/>
    <w:rsid w:val="00346FBE"/>
    <w:rsid w:val="0034709F"/>
    <w:rsid w:val="0034724D"/>
    <w:rsid w:val="0034725B"/>
    <w:rsid w:val="003474D5"/>
    <w:rsid w:val="003474F5"/>
    <w:rsid w:val="0034789E"/>
    <w:rsid w:val="00347DBC"/>
    <w:rsid w:val="00347DD0"/>
    <w:rsid w:val="00347E36"/>
    <w:rsid w:val="00350124"/>
    <w:rsid w:val="00350190"/>
    <w:rsid w:val="003502DA"/>
    <w:rsid w:val="00350448"/>
    <w:rsid w:val="0035066D"/>
    <w:rsid w:val="0035067F"/>
    <w:rsid w:val="003507BE"/>
    <w:rsid w:val="0035090C"/>
    <w:rsid w:val="00350A92"/>
    <w:rsid w:val="00350C3E"/>
    <w:rsid w:val="00350F90"/>
    <w:rsid w:val="003510B4"/>
    <w:rsid w:val="0035115F"/>
    <w:rsid w:val="003515EF"/>
    <w:rsid w:val="00351611"/>
    <w:rsid w:val="0035167E"/>
    <w:rsid w:val="00351957"/>
    <w:rsid w:val="00351B9F"/>
    <w:rsid w:val="00351DA5"/>
    <w:rsid w:val="0035233E"/>
    <w:rsid w:val="003523F0"/>
    <w:rsid w:val="003524A6"/>
    <w:rsid w:val="00352513"/>
    <w:rsid w:val="00352693"/>
    <w:rsid w:val="00352745"/>
    <w:rsid w:val="00352BA3"/>
    <w:rsid w:val="00352CD7"/>
    <w:rsid w:val="00352F8F"/>
    <w:rsid w:val="0035307C"/>
    <w:rsid w:val="0035312D"/>
    <w:rsid w:val="003531C0"/>
    <w:rsid w:val="00353499"/>
    <w:rsid w:val="003534C8"/>
    <w:rsid w:val="003535A7"/>
    <w:rsid w:val="00353642"/>
    <w:rsid w:val="00353AF9"/>
    <w:rsid w:val="00353C0A"/>
    <w:rsid w:val="00353C3C"/>
    <w:rsid w:val="00353C52"/>
    <w:rsid w:val="00353E22"/>
    <w:rsid w:val="0035400C"/>
    <w:rsid w:val="0035416B"/>
    <w:rsid w:val="003543EA"/>
    <w:rsid w:val="003545E0"/>
    <w:rsid w:val="0035460C"/>
    <w:rsid w:val="003549EE"/>
    <w:rsid w:val="00354D8F"/>
    <w:rsid w:val="00354FE5"/>
    <w:rsid w:val="00355370"/>
    <w:rsid w:val="00355400"/>
    <w:rsid w:val="00355922"/>
    <w:rsid w:val="00355D87"/>
    <w:rsid w:val="00356261"/>
    <w:rsid w:val="00356435"/>
    <w:rsid w:val="0035645A"/>
    <w:rsid w:val="00356476"/>
    <w:rsid w:val="00356585"/>
    <w:rsid w:val="0035674F"/>
    <w:rsid w:val="00356783"/>
    <w:rsid w:val="0035680C"/>
    <w:rsid w:val="00356D76"/>
    <w:rsid w:val="00356E1F"/>
    <w:rsid w:val="0035728B"/>
    <w:rsid w:val="0035748B"/>
    <w:rsid w:val="003574AE"/>
    <w:rsid w:val="0035771E"/>
    <w:rsid w:val="003578DD"/>
    <w:rsid w:val="00357BE8"/>
    <w:rsid w:val="00357CDC"/>
    <w:rsid w:val="00357CDF"/>
    <w:rsid w:val="0036028E"/>
    <w:rsid w:val="00360825"/>
    <w:rsid w:val="003608DA"/>
    <w:rsid w:val="0036090D"/>
    <w:rsid w:val="00360A39"/>
    <w:rsid w:val="00360A46"/>
    <w:rsid w:val="00360A79"/>
    <w:rsid w:val="00360BC3"/>
    <w:rsid w:val="00360E6E"/>
    <w:rsid w:val="003610B8"/>
    <w:rsid w:val="00361280"/>
    <w:rsid w:val="0036171A"/>
    <w:rsid w:val="003617DA"/>
    <w:rsid w:val="00361965"/>
    <w:rsid w:val="00361A73"/>
    <w:rsid w:val="00361BBC"/>
    <w:rsid w:val="00361F00"/>
    <w:rsid w:val="00361FE2"/>
    <w:rsid w:val="003625DF"/>
    <w:rsid w:val="0036266C"/>
    <w:rsid w:val="00362898"/>
    <w:rsid w:val="00362A36"/>
    <w:rsid w:val="00362AF3"/>
    <w:rsid w:val="00362B26"/>
    <w:rsid w:val="00362CB6"/>
    <w:rsid w:val="00362E69"/>
    <w:rsid w:val="00362F1A"/>
    <w:rsid w:val="00363048"/>
    <w:rsid w:val="003635BA"/>
    <w:rsid w:val="003635ED"/>
    <w:rsid w:val="00363A05"/>
    <w:rsid w:val="00363ACA"/>
    <w:rsid w:val="00363CB8"/>
    <w:rsid w:val="00363FD4"/>
    <w:rsid w:val="003640BB"/>
    <w:rsid w:val="0036445C"/>
    <w:rsid w:val="003645F7"/>
    <w:rsid w:val="00364769"/>
    <w:rsid w:val="00364B83"/>
    <w:rsid w:val="00364F32"/>
    <w:rsid w:val="00364FCC"/>
    <w:rsid w:val="00364FF5"/>
    <w:rsid w:val="00365042"/>
    <w:rsid w:val="00365065"/>
    <w:rsid w:val="003650F3"/>
    <w:rsid w:val="00365109"/>
    <w:rsid w:val="00365427"/>
    <w:rsid w:val="00365437"/>
    <w:rsid w:val="00365A0A"/>
    <w:rsid w:val="00365DD9"/>
    <w:rsid w:val="00365F5D"/>
    <w:rsid w:val="00366028"/>
    <w:rsid w:val="003661D0"/>
    <w:rsid w:val="003665ED"/>
    <w:rsid w:val="003666B8"/>
    <w:rsid w:val="00366707"/>
    <w:rsid w:val="00366815"/>
    <w:rsid w:val="00366C26"/>
    <w:rsid w:val="00366E84"/>
    <w:rsid w:val="00366F29"/>
    <w:rsid w:val="00367089"/>
    <w:rsid w:val="0036731D"/>
    <w:rsid w:val="003674CF"/>
    <w:rsid w:val="003674DC"/>
    <w:rsid w:val="003675AD"/>
    <w:rsid w:val="003675DD"/>
    <w:rsid w:val="0036761F"/>
    <w:rsid w:val="0036762B"/>
    <w:rsid w:val="003678B1"/>
    <w:rsid w:val="00367955"/>
    <w:rsid w:val="003679A7"/>
    <w:rsid w:val="00367A5D"/>
    <w:rsid w:val="00367BF4"/>
    <w:rsid w:val="00367E36"/>
    <w:rsid w:val="00367F27"/>
    <w:rsid w:val="00367F66"/>
    <w:rsid w:val="00370393"/>
    <w:rsid w:val="00370588"/>
    <w:rsid w:val="003705E4"/>
    <w:rsid w:val="003706BF"/>
    <w:rsid w:val="003706D3"/>
    <w:rsid w:val="00370762"/>
    <w:rsid w:val="00370A41"/>
    <w:rsid w:val="00370B6A"/>
    <w:rsid w:val="00370B9B"/>
    <w:rsid w:val="00370DCC"/>
    <w:rsid w:val="00371117"/>
    <w:rsid w:val="003717BC"/>
    <w:rsid w:val="003718FE"/>
    <w:rsid w:val="00371A78"/>
    <w:rsid w:val="00371C3A"/>
    <w:rsid w:val="003720AA"/>
    <w:rsid w:val="00372487"/>
    <w:rsid w:val="0037265F"/>
    <w:rsid w:val="00372694"/>
    <w:rsid w:val="00372BAB"/>
    <w:rsid w:val="00372C5B"/>
    <w:rsid w:val="00372F54"/>
    <w:rsid w:val="00372FEF"/>
    <w:rsid w:val="003731A9"/>
    <w:rsid w:val="0037325B"/>
    <w:rsid w:val="0037344B"/>
    <w:rsid w:val="003736E0"/>
    <w:rsid w:val="00373764"/>
    <w:rsid w:val="003737D3"/>
    <w:rsid w:val="00373865"/>
    <w:rsid w:val="0037387A"/>
    <w:rsid w:val="00373C30"/>
    <w:rsid w:val="00373CA2"/>
    <w:rsid w:val="00373D1D"/>
    <w:rsid w:val="003740A7"/>
    <w:rsid w:val="00374137"/>
    <w:rsid w:val="003741D5"/>
    <w:rsid w:val="0037437F"/>
    <w:rsid w:val="003746AD"/>
    <w:rsid w:val="00374867"/>
    <w:rsid w:val="00374999"/>
    <w:rsid w:val="00374A01"/>
    <w:rsid w:val="00374C37"/>
    <w:rsid w:val="00374E2C"/>
    <w:rsid w:val="00374E31"/>
    <w:rsid w:val="0037513C"/>
    <w:rsid w:val="00375161"/>
    <w:rsid w:val="0037548B"/>
    <w:rsid w:val="00375606"/>
    <w:rsid w:val="00375617"/>
    <w:rsid w:val="00375754"/>
    <w:rsid w:val="003757F3"/>
    <w:rsid w:val="003758DB"/>
    <w:rsid w:val="00375AFC"/>
    <w:rsid w:val="00375BD1"/>
    <w:rsid w:val="00375C75"/>
    <w:rsid w:val="00375D1F"/>
    <w:rsid w:val="00376186"/>
    <w:rsid w:val="00376472"/>
    <w:rsid w:val="0037664F"/>
    <w:rsid w:val="003766BE"/>
    <w:rsid w:val="0037675D"/>
    <w:rsid w:val="003769E4"/>
    <w:rsid w:val="00376E42"/>
    <w:rsid w:val="00376E87"/>
    <w:rsid w:val="00376F18"/>
    <w:rsid w:val="00376F20"/>
    <w:rsid w:val="00376F73"/>
    <w:rsid w:val="003770F8"/>
    <w:rsid w:val="003772F7"/>
    <w:rsid w:val="0037742D"/>
    <w:rsid w:val="00377730"/>
    <w:rsid w:val="00377856"/>
    <w:rsid w:val="003779D8"/>
    <w:rsid w:val="00377A5C"/>
    <w:rsid w:val="00377CB3"/>
    <w:rsid w:val="00377CD3"/>
    <w:rsid w:val="0038009E"/>
    <w:rsid w:val="003802BE"/>
    <w:rsid w:val="00380405"/>
    <w:rsid w:val="0038046F"/>
    <w:rsid w:val="0038047B"/>
    <w:rsid w:val="003806CC"/>
    <w:rsid w:val="0038091F"/>
    <w:rsid w:val="00380A00"/>
    <w:rsid w:val="00380A8F"/>
    <w:rsid w:val="00380AE5"/>
    <w:rsid w:val="00380B1B"/>
    <w:rsid w:val="00380DEE"/>
    <w:rsid w:val="00380ED1"/>
    <w:rsid w:val="003815B8"/>
    <w:rsid w:val="0038198A"/>
    <w:rsid w:val="00381AEC"/>
    <w:rsid w:val="00381D20"/>
    <w:rsid w:val="003822C8"/>
    <w:rsid w:val="0038246F"/>
    <w:rsid w:val="00382476"/>
    <w:rsid w:val="003824C7"/>
    <w:rsid w:val="00382617"/>
    <w:rsid w:val="00382669"/>
    <w:rsid w:val="00382F8E"/>
    <w:rsid w:val="00383037"/>
    <w:rsid w:val="0038382A"/>
    <w:rsid w:val="003839B8"/>
    <w:rsid w:val="00383A74"/>
    <w:rsid w:val="00383C2D"/>
    <w:rsid w:val="00383C87"/>
    <w:rsid w:val="00383D69"/>
    <w:rsid w:val="00383EC3"/>
    <w:rsid w:val="00383FF5"/>
    <w:rsid w:val="003843BA"/>
    <w:rsid w:val="00384650"/>
    <w:rsid w:val="003849A3"/>
    <w:rsid w:val="00384C5E"/>
    <w:rsid w:val="00384F85"/>
    <w:rsid w:val="003852C3"/>
    <w:rsid w:val="003856AE"/>
    <w:rsid w:val="00385A5C"/>
    <w:rsid w:val="00385B53"/>
    <w:rsid w:val="00385C49"/>
    <w:rsid w:val="00385E26"/>
    <w:rsid w:val="00385E5C"/>
    <w:rsid w:val="00385F5E"/>
    <w:rsid w:val="00385FA9"/>
    <w:rsid w:val="0038602A"/>
    <w:rsid w:val="00386143"/>
    <w:rsid w:val="003867DA"/>
    <w:rsid w:val="003867E2"/>
    <w:rsid w:val="0038698B"/>
    <w:rsid w:val="00386A35"/>
    <w:rsid w:val="00386A70"/>
    <w:rsid w:val="00386D74"/>
    <w:rsid w:val="00386E36"/>
    <w:rsid w:val="00386E98"/>
    <w:rsid w:val="003870B6"/>
    <w:rsid w:val="003874E7"/>
    <w:rsid w:val="00387923"/>
    <w:rsid w:val="00387A05"/>
    <w:rsid w:val="00387A75"/>
    <w:rsid w:val="00387AED"/>
    <w:rsid w:val="00387B5B"/>
    <w:rsid w:val="00387EED"/>
    <w:rsid w:val="00387EEE"/>
    <w:rsid w:val="00387F0D"/>
    <w:rsid w:val="003903F0"/>
    <w:rsid w:val="003906A9"/>
    <w:rsid w:val="003906E1"/>
    <w:rsid w:val="00390920"/>
    <w:rsid w:val="003909E1"/>
    <w:rsid w:val="00390B0A"/>
    <w:rsid w:val="003913A2"/>
    <w:rsid w:val="00391483"/>
    <w:rsid w:val="003915D4"/>
    <w:rsid w:val="0039168B"/>
    <w:rsid w:val="003916C2"/>
    <w:rsid w:val="003917B2"/>
    <w:rsid w:val="00391828"/>
    <w:rsid w:val="003919CE"/>
    <w:rsid w:val="00391C06"/>
    <w:rsid w:val="00391CEE"/>
    <w:rsid w:val="00391D5B"/>
    <w:rsid w:val="00391D68"/>
    <w:rsid w:val="00392251"/>
    <w:rsid w:val="00392491"/>
    <w:rsid w:val="00392504"/>
    <w:rsid w:val="00392548"/>
    <w:rsid w:val="003925AA"/>
    <w:rsid w:val="003926D1"/>
    <w:rsid w:val="00392803"/>
    <w:rsid w:val="0039288A"/>
    <w:rsid w:val="00392A15"/>
    <w:rsid w:val="00392B96"/>
    <w:rsid w:val="00392BAD"/>
    <w:rsid w:val="00392DBE"/>
    <w:rsid w:val="00392E80"/>
    <w:rsid w:val="00392EB5"/>
    <w:rsid w:val="00393521"/>
    <w:rsid w:val="003936F2"/>
    <w:rsid w:val="00393D4C"/>
    <w:rsid w:val="00393D98"/>
    <w:rsid w:val="00393EF2"/>
    <w:rsid w:val="00393FA8"/>
    <w:rsid w:val="003941F5"/>
    <w:rsid w:val="00394380"/>
    <w:rsid w:val="003944A8"/>
    <w:rsid w:val="003944EA"/>
    <w:rsid w:val="003947B3"/>
    <w:rsid w:val="003947C3"/>
    <w:rsid w:val="00394873"/>
    <w:rsid w:val="003948BB"/>
    <w:rsid w:val="00394900"/>
    <w:rsid w:val="003949D6"/>
    <w:rsid w:val="00394A0B"/>
    <w:rsid w:val="00394AC7"/>
    <w:rsid w:val="00394C14"/>
    <w:rsid w:val="00394D97"/>
    <w:rsid w:val="00394E64"/>
    <w:rsid w:val="00395166"/>
    <w:rsid w:val="00395296"/>
    <w:rsid w:val="00395625"/>
    <w:rsid w:val="003956F8"/>
    <w:rsid w:val="00395703"/>
    <w:rsid w:val="00395944"/>
    <w:rsid w:val="00395D4B"/>
    <w:rsid w:val="00395E1A"/>
    <w:rsid w:val="00395F8B"/>
    <w:rsid w:val="00395FE4"/>
    <w:rsid w:val="00395FEC"/>
    <w:rsid w:val="00396339"/>
    <w:rsid w:val="003963FF"/>
    <w:rsid w:val="00396964"/>
    <w:rsid w:val="00396CDD"/>
    <w:rsid w:val="00396DCF"/>
    <w:rsid w:val="00396E8B"/>
    <w:rsid w:val="00396F39"/>
    <w:rsid w:val="00397124"/>
    <w:rsid w:val="003973EE"/>
    <w:rsid w:val="00397590"/>
    <w:rsid w:val="0039760A"/>
    <w:rsid w:val="00397662"/>
    <w:rsid w:val="0039777F"/>
    <w:rsid w:val="003A0070"/>
    <w:rsid w:val="003A0655"/>
    <w:rsid w:val="003A0F09"/>
    <w:rsid w:val="003A0FF8"/>
    <w:rsid w:val="003A123E"/>
    <w:rsid w:val="003A1357"/>
    <w:rsid w:val="003A13F8"/>
    <w:rsid w:val="003A1416"/>
    <w:rsid w:val="003A1528"/>
    <w:rsid w:val="003A163F"/>
    <w:rsid w:val="003A169E"/>
    <w:rsid w:val="003A18C1"/>
    <w:rsid w:val="003A1BA1"/>
    <w:rsid w:val="003A1FB9"/>
    <w:rsid w:val="003A218E"/>
    <w:rsid w:val="003A229F"/>
    <w:rsid w:val="003A2322"/>
    <w:rsid w:val="003A241F"/>
    <w:rsid w:val="003A265A"/>
    <w:rsid w:val="003A26F7"/>
    <w:rsid w:val="003A27A4"/>
    <w:rsid w:val="003A286B"/>
    <w:rsid w:val="003A2886"/>
    <w:rsid w:val="003A29EC"/>
    <w:rsid w:val="003A2BBD"/>
    <w:rsid w:val="003A2D66"/>
    <w:rsid w:val="003A2F4E"/>
    <w:rsid w:val="003A309A"/>
    <w:rsid w:val="003A31B8"/>
    <w:rsid w:val="003A3208"/>
    <w:rsid w:val="003A32C7"/>
    <w:rsid w:val="003A3D9C"/>
    <w:rsid w:val="003A3DFC"/>
    <w:rsid w:val="003A3F51"/>
    <w:rsid w:val="003A4309"/>
    <w:rsid w:val="003A43B8"/>
    <w:rsid w:val="003A4438"/>
    <w:rsid w:val="003A449B"/>
    <w:rsid w:val="003A4588"/>
    <w:rsid w:val="003A472C"/>
    <w:rsid w:val="003A4ABE"/>
    <w:rsid w:val="003A4BE3"/>
    <w:rsid w:val="003A4DC3"/>
    <w:rsid w:val="003A4DFA"/>
    <w:rsid w:val="003A4F41"/>
    <w:rsid w:val="003A50E5"/>
    <w:rsid w:val="003A529E"/>
    <w:rsid w:val="003A529F"/>
    <w:rsid w:val="003A5423"/>
    <w:rsid w:val="003A54BA"/>
    <w:rsid w:val="003A5525"/>
    <w:rsid w:val="003A5658"/>
    <w:rsid w:val="003A5AFD"/>
    <w:rsid w:val="003A5CFE"/>
    <w:rsid w:val="003A5F1A"/>
    <w:rsid w:val="003A5F4C"/>
    <w:rsid w:val="003A62B4"/>
    <w:rsid w:val="003A6324"/>
    <w:rsid w:val="003A6342"/>
    <w:rsid w:val="003A6AF3"/>
    <w:rsid w:val="003A6BFD"/>
    <w:rsid w:val="003A6D7E"/>
    <w:rsid w:val="003A6F94"/>
    <w:rsid w:val="003A727F"/>
    <w:rsid w:val="003A748E"/>
    <w:rsid w:val="003A785D"/>
    <w:rsid w:val="003A788E"/>
    <w:rsid w:val="003A78D8"/>
    <w:rsid w:val="003A7DEF"/>
    <w:rsid w:val="003B00C0"/>
    <w:rsid w:val="003B0477"/>
    <w:rsid w:val="003B053D"/>
    <w:rsid w:val="003B07A0"/>
    <w:rsid w:val="003B0A00"/>
    <w:rsid w:val="003B0DAD"/>
    <w:rsid w:val="003B10C8"/>
    <w:rsid w:val="003B1169"/>
    <w:rsid w:val="003B13DE"/>
    <w:rsid w:val="003B1449"/>
    <w:rsid w:val="003B1502"/>
    <w:rsid w:val="003B19A3"/>
    <w:rsid w:val="003B1BDF"/>
    <w:rsid w:val="003B1DBC"/>
    <w:rsid w:val="003B1F7B"/>
    <w:rsid w:val="003B1FDE"/>
    <w:rsid w:val="003B20A6"/>
    <w:rsid w:val="003B2198"/>
    <w:rsid w:val="003B2359"/>
    <w:rsid w:val="003B2444"/>
    <w:rsid w:val="003B2493"/>
    <w:rsid w:val="003B2522"/>
    <w:rsid w:val="003B273F"/>
    <w:rsid w:val="003B2BF1"/>
    <w:rsid w:val="003B2C09"/>
    <w:rsid w:val="003B2C28"/>
    <w:rsid w:val="003B2E57"/>
    <w:rsid w:val="003B2E8E"/>
    <w:rsid w:val="003B309D"/>
    <w:rsid w:val="003B322E"/>
    <w:rsid w:val="003B365E"/>
    <w:rsid w:val="003B37D1"/>
    <w:rsid w:val="003B3A27"/>
    <w:rsid w:val="003B3AE4"/>
    <w:rsid w:val="003B3AED"/>
    <w:rsid w:val="003B3B85"/>
    <w:rsid w:val="003B3E2A"/>
    <w:rsid w:val="003B3EBC"/>
    <w:rsid w:val="003B3F1F"/>
    <w:rsid w:val="003B40F8"/>
    <w:rsid w:val="003B42F3"/>
    <w:rsid w:val="003B4421"/>
    <w:rsid w:val="003B4819"/>
    <w:rsid w:val="003B4973"/>
    <w:rsid w:val="003B497D"/>
    <w:rsid w:val="003B4C12"/>
    <w:rsid w:val="003B5137"/>
    <w:rsid w:val="003B54D3"/>
    <w:rsid w:val="003B5668"/>
    <w:rsid w:val="003B57C1"/>
    <w:rsid w:val="003B580E"/>
    <w:rsid w:val="003B5989"/>
    <w:rsid w:val="003B5B04"/>
    <w:rsid w:val="003B5B45"/>
    <w:rsid w:val="003B5E6F"/>
    <w:rsid w:val="003B63B7"/>
    <w:rsid w:val="003B640B"/>
    <w:rsid w:val="003B652E"/>
    <w:rsid w:val="003B6693"/>
    <w:rsid w:val="003B670D"/>
    <w:rsid w:val="003B67B9"/>
    <w:rsid w:val="003B67DC"/>
    <w:rsid w:val="003B68FD"/>
    <w:rsid w:val="003B6A30"/>
    <w:rsid w:val="003B6A31"/>
    <w:rsid w:val="003B6B79"/>
    <w:rsid w:val="003B6BC7"/>
    <w:rsid w:val="003B6CA0"/>
    <w:rsid w:val="003B6CD6"/>
    <w:rsid w:val="003B72D4"/>
    <w:rsid w:val="003B759B"/>
    <w:rsid w:val="003B774A"/>
    <w:rsid w:val="003B78EB"/>
    <w:rsid w:val="003B795A"/>
    <w:rsid w:val="003B7A01"/>
    <w:rsid w:val="003B7A94"/>
    <w:rsid w:val="003B7ACE"/>
    <w:rsid w:val="003B7DB9"/>
    <w:rsid w:val="003C00BE"/>
    <w:rsid w:val="003C03A6"/>
    <w:rsid w:val="003C0493"/>
    <w:rsid w:val="003C04A4"/>
    <w:rsid w:val="003C0981"/>
    <w:rsid w:val="003C0ADB"/>
    <w:rsid w:val="003C0FC6"/>
    <w:rsid w:val="003C107B"/>
    <w:rsid w:val="003C109B"/>
    <w:rsid w:val="003C1108"/>
    <w:rsid w:val="003C1169"/>
    <w:rsid w:val="003C1199"/>
    <w:rsid w:val="003C120A"/>
    <w:rsid w:val="003C12A7"/>
    <w:rsid w:val="003C135F"/>
    <w:rsid w:val="003C137C"/>
    <w:rsid w:val="003C1A3E"/>
    <w:rsid w:val="003C1ABD"/>
    <w:rsid w:val="003C1BF8"/>
    <w:rsid w:val="003C1CC9"/>
    <w:rsid w:val="003C1CCE"/>
    <w:rsid w:val="003C1CDD"/>
    <w:rsid w:val="003C1EDD"/>
    <w:rsid w:val="003C2004"/>
    <w:rsid w:val="003C2192"/>
    <w:rsid w:val="003C2389"/>
    <w:rsid w:val="003C262C"/>
    <w:rsid w:val="003C2A32"/>
    <w:rsid w:val="003C2B07"/>
    <w:rsid w:val="003C2B36"/>
    <w:rsid w:val="003C2D83"/>
    <w:rsid w:val="003C2E58"/>
    <w:rsid w:val="003C2F86"/>
    <w:rsid w:val="003C30B6"/>
    <w:rsid w:val="003C3453"/>
    <w:rsid w:val="003C360A"/>
    <w:rsid w:val="003C3652"/>
    <w:rsid w:val="003C3700"/>
    <w:rsid w:val="003C381E"/>
    <w:rsid w:val="003C38D9"/>
    <w:rsid w:val="003C39F5"/>
    <w:rsid w:val="003C4011"/>
    <w:rsid w:val="003C4028"/>
    <w:rsid w:val="003C409F"/>
    <w:rsid w:val="003C426D"/>
    <w:rsid w:val="003C48B4"/>
    <w:rsid w:val="003C4C63"/>
    <w:rsid w:val="003C5257"/>
    <w:rsid w:val="003C5491"/>
    <w:rsid w:val="003C5524"/>
    <w:rsid w:val="003C5674"/>
    <w:rsid w:val="003C56FC"/>
    <w:rsid w:val="003C583E"/>
    <w:rsid w:val="003C59A5"/>
    <w:rsid w:val="003C5AC1"/>
    <w:rsid w:val="003C5B26"/>
    <w:rsid w:val="003C5C5E"/>
    <w:rsid w:val="003C5CB4"/>
    <w:rsid w:val="003C61A2"/>
    <w:rsid w:val="003C62E7"/>
    <w:rsid w:val="003C6756"/>
    <w:rsid w:val="003C6763"/>
    <w:rsid w:val="003C6856"/>
    <w:rsid w:val="003C6C20"/>
    <w:rsid w:val="003C6C28"/>
    <w:rsid w:val="003C6C9C"/>
    <w:rsid w:val="003C6D91"/>
    <w:rsid w:val="003C6F2F"/>
    <w:rsid w:val="003C7043"/>
    <w:rsid w:val="003C71E3"/>
    <w:rsid w:val="003C7328"/>
    <w:rsid w:val="003C73C0"/>
    <w:rsid w:val="003C750B"/>
    <w:rsid w:val="003C756E"/>
    <w:rsid w:val="003C79E6"/>
    <w:rsid w:val="003C7C4D"/>
    <w:rsid w:val="003C7D34"/>
    <w:rsid w:val="003C7E96"/>
    <w:rsid w:val="003D01FB"/>
    <w:rsid w:val="003D0241"/>
    <w:rsid w:val="003D05B5"/>
    <w:rsid w:val="003D0829"/>
    <w:rsid w:val="003D0909"/>
    <w:rsid w:val="003D0944"/>
    <w:rsid w:val="003D0AB2"/>
    <w:rsid w:val="003D0B9B"/>
    <w:rsid w:val="003D0BE0"/>
    <w:rsid w:val="003D0E2A"/>
    <w:rsid w:val="003D0E5E"/>
    <w:rsid w:val="003D0FEF"/>
    <w:rsid w:val="003D1070"/>
    <w:rsid w:val="003D116A"/>
    <w:rsid w:val="003D119A"/>
    <w:rsid w:val="003D12DD"/>
    <w:rsid w:val="003D137C"/>
    <w:rsid w:val="003D13BA"/>
    <w:rsid w:val="003D168F"/>
    <w:rsid w:val="003D1A82"/>
    <w:rsid w:val="003D1BA2"/>
    <w:rsid w:val="003D1D2E"/>
    <w:rsid w:val="003D1FA1"/>
    <w:rsid w:val="003D24D9"/>
    <w:rsid w:val="003D2B1C"/>
    <w:rsid w:val="003D317C"/>
    <w:rsid w:val="003D3196"/>
    <w:rsid w:val="003D324C"/>
    <w:rsid w:val="003D360F"/>
    <w:rsid w:val="003D37FD"/>
    <w:rsid w:val="003D3932"/>
    <w:rsid w:val="003D3B35"/>
    <w:rsid w:val="003D3C85"/>
    <w:rsid w:val="003D3D27"/>
    <w:rsid w:val="003D3D63"/>
    <w:rsid w:val="003D4160"/>
    <w:rsid w:val="003D4189"/>
    <w:rsid w:val="003D426D"/>
    <w:rsid w:val="003D468C"/>
    <w:rsid w:val="003D4A09"/>
    <w:rsid w:val="003D4C0A"/>
    <w:rsid w:val="003D4C54"/>
    <w:rsid w:val="003D4D30"/>
    <w:rsid w:val="003D4DFC"/>
    <w:rsid w:val="003D5467"/>
    <w:rsid w:val="003D549F"/>
    <w:rsid w:val="003D57AF"/>
    <w:rsid w:val="003D5A03"/>
    <w:rsid w:val="003D5D5F"/>
    <w:rsid w:val="003D5E1F"/>
    <w:rsid w:val="003D6205"/>
    <w:rsid w:val="003D64F6"/>
    <w:rsid w:val="003D6512"/>
    <w:rsid w:val="003D68D5"/>
    <w:rsid w:val="003D68F4"/>
    <w:rsid w:val="003D69AF"/>
    <w:rsid w:val="003D6BD9"/>
    <w:rsid w:val="003D6DB3"/>
    <w:rsid w:val="003D709F"/>
    <w:rsid w:val="003D70B8"/>
    <w:rsid w:val="003D7259"/>
    <w:rsid w:val="003D72BF"/>
    <w:rsid w:val="003D73E2"/>
    <w:rsid w:val="003D77CD"/>
    <w:rsid w:val="003D7A24"/>
    <w:rsid w:val="003D7AA9"/>
    <w:rsid w:val="003D7B75"/>
    <w:rsid w:val="003D7D49"/>
    <w:rsid w:val="003D7F23"/>
    <w:rsid w:val="003D7F6E"/>
    <w:rsid w:val="003E03AF"/>
    <w:rsid w:val="003E072E"/>
    <w:rsid w:val="003E094A"/>
    <w:rsid w:val="003E0983"/>
    <w:rsid w:val="003E0A07"/>
    <w:rsid w:val="003E0A6C"/>
    <w:rsid w:val="003E0B38"/>
    <w:rsid w:val="003E0B69"/>
    <w:rsid w:val="003E1259"/>
    <w:rsid w:val="003E15BD"/>
    <w:rsid w:val="003E1606"/>
    <w:rsid w:val="003E16C5"/>
    <w:rsid w:val="003E17BE"/>
    <w:rsid w:val="003E1A68"/>
    <w:rsid w:val="003E1B42"/>
    <w:rsid w:val="003E1C5A"/>
    <w:rsid w:val="003E1E27"/>
    <w:rsid w:val="003E1E7E"/>
    <w:rsid w:val="003E1F63"/>
    <w:rsid w:val="003E2154"/>
    <w:rsid w:val="003E21C4"/>
    <w:rsid w:val="003E239C"/>
    <w:rsid w:val="003E255C"/>
    <w:rsid w:val="003E25C2"/>
    <w:rsid w:val="003E268B"/>
    <w:rsid w:val="003E295A"/>
    <w:rsid w:val="003E2BC0"/>
    <w:rsid w:val="003E2C5E"/>
    <w:rsid w:val="003E2CD2"/>
    <w:rsid w:val="003E2DE4"/>
    <w:rsid w:val="003E2ECA"/>
    <w:rsid w:val="003E301D"/>
    <w:rsid w:val="003E311D"/>
    <w:rsid w:val="003E325E"/>
    <w:rsid w:val="003E32DD"/>
    <w:rsid w:val="003E3479"/>
    <w:rsid w:val="003E3605"/>
    <w:rsid w:val="003E38CE"/>
    <w:rsid w:val="003E38F5"/>
    <w:rsid w:val="003E3967"/>
    <w:rsid w:val="003E39BD"/>
    <w:rsid w:val="003E421E"/>
    <w:rsid w:val="003E42EA"/>
    <w:rsid w:val="003E4312"/>
    <w:rsid w:val="003E43B1"/>
    <w:rsid w:val="003E44F9"/>
    <w:rsid w:val="003E454A"/>
    <w:rsid w:val="003E473C"/>
    <w:rsid w:val="003E48A8"/>
    <w:rsid w:val="003E495C"/>
    <w:rsid w:val="003E49F6"/>
    <w:rsid w:val="003E4AB4"/>
    <w:rsid w:val="003E4AF6"/>
    <w:rsid w:val="003E4C03"/>
    <w:rsid w:val="003E4C8A"/>
    <w:rsid w:val="003E5054"/>
    <w:rsid w:val="003E51FA"/>
    <w:rsid w:val="003E54E8"/>
    <w:rsid w:val="003E558E"/>
    <w:rsid w:val="003E5810"/>
    <w:rsid w:val="003E591C"/>
    <w:rsid w:val="003E5BB4"/>
    <w:rsid w:val="003E5D0C"/>
    <w:rsid w:val="003E5E5F"/>
    <w:rsid w:val="003E60B3"/>
    <w:rsid w:val="003E60D3"/>
    <w:rsid w:val="003E6270"/>
    <w:rsid w:val="003E6819"/>
    <w:rsid w:val="003E6B78"/>
    <w:rsid w:val="003E6BCD"/>
    <w:rsid w:val="003E6CB6"/>
    <w:rsid w:val="003E6D8F"/>
    <w:rsid w:val="003E6E16"/>
    <w:rsid w:val="003E6EA5"/>
    <w:rsid w:val="003E761F"/>
    <w:rsid w:val="003E7832"/>
    <w:rsid w:val="003E79DC"/>
    <w:rsid w:val="003E7BAA"/>
    <w:rsid w:val="003E7C46"/>
    <w:rsid w:val="003E7D49"/>
    <w:rsid w:val="003E7D4F"/>
    <w:rsid w:val="003E7F67"/>
    <w:rsid w:val="003F01A9"/>
    <w:rsid w:val="003F0209"/>
    <w:rsid w:val="003F0327"/>
    <w:rsid w:val="003F03BA"/>
    <w:rsid w:val="003F099C"/>
    <w:rsid w:val="003F1037"/>
    <w:rsid w:val="003F1379"/>
    <w:rsid w:val="003F1526"/>
    <w:rsid w:val="003F1560"/>
    <w:rsid w:val="003F189E"/>
    <w:rsid w:val="003F1A07"/>
    <w:rsid w:val="003F1AD7"/>
    <w:rsid w:val="003F1B50"/>
    <w:rsid w:val="003F1DDF"/>
    <w:rsid w:val="003F1EC4"/>
    <w:rsid w:val="003F1FBF"/>
    <w:rsid w:val="003F2173"/>
    <w:rsid w:val="003F2276"/>
    <w:rsid w:val="003F22E8"/>
    <w:rsid w:val="003F26DF"/>
    <w:rsid w:val="003F28D0"/>
    <w:rsid w:val="003F2CAB"/>
    <w:rsid w:val="003F2D7F"/>
    <w:rsid w:val="003F2E0E"/>
    <w:rsid w:val="003F2FE1"/>
    <w:rsid w:val="003F32BF"/>
    <w:rsid w:val="003F3407"/>
    <w:rsid w:val="003F396F"/>
    <w:rsid w:val="003F3AEF"/>
    <w:rsid w:val="003F3B9D"/>
    <w:rsid w:val="003F3C8A"/>
    <w:rsid w:val="003F3CD1"/>
    <w:rsid w:val="003F3FE7"/>
    <w:rsid w:val="003F40C5"/>
    <w:rsid w:val="003F426E"/>
    <w:rsid w:val="003F4303"/>
    <w:rsid w:val="003F4350"/>
    <w:rsid w:val="003F4382"/>
    <w:rsid w:val="003F4553"/>
    <w:rsid w:val="003F4649"/>
    <w:rsid w:val="003F4661"/>
    <w:rsid w:val="003F4854"/>
    <w:rsid w:val="003F48D0"/>
    <w:rsid w:val="003F4AC8"/>
    <w:rsid w:val="003F4F81"/>
    <w:rsid w:val="003F55DE"/>
    <w:rsid w:val="003F5A84"/>
    <w:rsid w:val="003F5B7C"/>
    <w:rsid w:val="003F5E29"/>
    <w:rsid w:val="003F6166"/>
    <w:rsid w:val="003F644D"/>
    <w:rsid w:val="003F645F"/>
    <w:rsid w:val="003F6530"/>
    <w:rsid w:val="003F655F"/>
    <w:rsid w:val="003F6612"/>
    <w:rsid w:val="003F677B"/>
    <w:rsid w:val="003F679C"/>
    <w:rsid w:val="003F67B4"/>
    <w:rsid w:val="003F6955"/>
    <w:rsid w:val="003F6B7C"/>
    <w:rsid w:val="003F6BE5"/>
    <w:rsid w:val="003F6C52"/>
    <w:rsid w:val="003F6D59"/>
    <w:rsid w:val="003F6E0E"/>
    <w:rsid w:val="003F72A3"/>
    <w:rsid w:val="003F758F"/>
    <w:rsid w:val="003F75B3"/>
    <w:rsid w:val="003F75C0"/>
    <w:rsid w:val="003F75FA"/>
    <w:rsid w:val="003F7685"/>
    <w:rsid w:val="003F7767"/>
    <w:rsid w:val="003F77FF"/>
    <w:rsid w:val="003F798F"/>
    <w:rsid w:val="003F79EA"/>
    <w:rsid w:val="003F7C78"/>
    <w:rsid w:val="003F7D10"/>
    <w:rsid w:val="003F7EC5"/>
    <w:rsid w:val="003F7F53"/>
    <w:rsid w:val="0040010C"/>
    <w:rsid w:val="00400186"/>
    <w:rsid w:val="0040019D"/>
    <w:rsid w:val="004003A2"/>
    <w:rsid w:val="004003A4"/>
    <w:rsid w:val="004003B5"/>
    <w:rsid w:val="00400469"/>
    <w:rsid w:val="00400534"/>
    <w:rsid w:val="0040057B"/>
    <w:rsid w:val="004005D0"/>
    <w:rsid w:val="00400601"/>
    <w:rsid w:val="00400901"/>
    <w:rsid w:val="00400936"/>
    <w:rsid w:val="00400A77"/>
    <w:rsid w:val="00400EDB"/>
    <w:rsid w:val="00401059"/>
    <w:rsid w:val="00401075"/>
    <w:rsid w:val="0040123F"/>
    <w:rsid w:val="00401968"/>
    <w:rsid w:val="00401B2F"/>
    <w:rsid w:val="00401EF3"/>
    <w:rsid w:val="004021EA"/>
    <w:rsid w:val="00402531"/>
    <w:rsid w:val="004025E7"/>
    <w:rsid w:val="00402643"/>
    <w:rsid w:val="0040294B"/>
    <w:rsid w:val="00402AC6"/>
    <w:rsid w:val="00402ED7"/>
    <w:rsid w:val="00403166"/>
    <w:rsid w:val="004039A6"/>
    <w:rsid w:val="00403A60"/>
    <w:rsid w:val="00403E9E"/>
    <w:rsid w:val="00403F25"/>
    <w:rsid w:val="004040C1"/>
    <w:rsid w:val="00404154"/>
    <w:rsid w:val="00404213"/>
    <w:rsid w:val="00404818"/>
    <w:rsid w:val="00404834"/>
    <w:rsid w:val="00404E22"/>
    <w:rsid w:val="00404E2F"/>
    <w:rsid w:val="00404FC6"/>
    <w:rsid w:val="004051D3"/>
    <w:rsid w:val="00405454"/>
    <w:rsid w:val="0040547D"/>
    <w:rsid w:val="004055A4"/>
    <w:rsid w:val="004055BE"/>
    <w:rsid w:val="00405708"/>
    <w:rsid w:val="00405AC5"/>
    <w:rsid w:val="00405F79"/>
    <w:rsid w:val="00406159"/>
    <w:rsid w:val="00406181"/>
    <w:rsid w:val="0040620F"/>
    <w:rsid w:val="004063D0"/>
    <w:rsid w:val="004063DE"/>
    <w:rsid w:val="0040644C"/>
    <w:rsid w:val="0040650A"/>
    <w:rsid w:val="0040687E"/>
    <w:rsid w:val="004068A6"/>
    <w:rsid w:val="00406944"/>
    <w:rsid w:val="00406ACA"/>
    <w:rsid w:val="00407225"/>
    <w:rsid w:val="00407415"/>
    <w:rsid w:val="0040774E"/>
    <w:rsid w:val="004079EC"/>
    <w:rsid w:val="00407B48"/>
    <w:rsid w:val="00410579"/>
    <w:rsid w:val="00410876"/>
    <w:rsid w:val="004108C8"/>
    <w:rsid w:val="00410A13"/>
    <w:rsid w:val="00410A7B"/>
    <w:rsid w:val="00410C93"/>
    <w:rsid w:val="00410FCF"/>
    <w:rsid w:val="00411259"/>
    <w:rsid w:val="00411821"/>
    <w:rsid w:val="004118F7"/>
    <w:rsid w:val="0041195F"/>
    <w:rsid w:val="004119CC"/>
    <w:rsid w:val="00411CEF"/>
    <w:rsid w:val="00411E9D"/>
    <w:rsid w:val="00411FD5"/>
    <w:rsid w:val="00412187"/>
    <w:rsid w:val="00412236"/>
    <w:rsid w:val="004122C5"/>
    <w:rsid w:val="00412739"/>
    <w:rsid w:val="004127F5"/>
    <w:rsid w:val="00412B3B"/>
    <w:rsid w:val="00412DD7"/>
    <w:rsid w:val="00412FFE"/>
    <w:rsid w:val="00413212"/>
    <w:rsid w:val="00413558"/>
    <w:rsid w:val="00413795"/>
    <w:rsid w:val="00413AA4"/>
    <w:rsid w:val="00413CCA"/>
    <w:rsid w:val="00413EE7"/>
    <w:rsid w:val="004140CE"/>
    <w:rsid w:val="00414528"/>
    <w:rsid w:val="004146CF"/>
    <w:rsid w:val="004146EA"/>
    <w:rsid w:val="004146F8"/>
    <w:rsid w:val="00414CDA"/>
    <w:rsid w:val="00414DE2"/>
    <w:rsid w:val="00414EE4"/>
    <w:rsid w:val="00414F82"/>
    <w:rsid w:val="004156CA"/>
    <w:rsid w:val="00415887"/>
    <w:rsid w:val="0041593F"/>
    <w:rsid w:val="004159CF"/>
    <w:rsid w:val="00415A20"/>
    <w:rsid w:val="00415A43"/>
    <w:rsid w:val="00415ACF"/>
    <w:rsid w:val="00415B53"/>
    <w:rsid w:val="00415BCC"/>
    <w:rsid w:val="00415DA2"/>
    <w:rsid w:val="00415E5B"/>
    <w:rsid w:val="00415F1B"/>
    <w:rsid w:val="0041622F"/>
    <w:rsid w:val="00416369"/>
    <w:rsid w:val="0041638B"/>
    <w:rsid w:val="004164F9"/>
    <w:rsid w:val="0041659A"/>
    <w:rsid w:val="0041672A"/>
    <w:rsid w:val="004168F7"/>
    <w:rsid w:val="00416A68"/>
    <w:rsid w:val="00416B47"/>
    <w:rsid w:val="00416B91"/>
    <w:rsid w:val="00416E5E"/>
    <w:rsid w:val="00417077"/>
    <w:rsid w:val="004170B3"/>
    <w:rsid w:val="00417199"/>
    <w:rsid w:val="004172A6"/>
    <w:rsid w:val="004174AA"/>
    <w:rsid w:val="004174F2"/>
    <w:rsid w:val="0041753D"/>
    <w:rsid w:val="004178C1"/>
    <w:rsid w:val="00417AEF"/>
    <w:rsid w:val="00417B63"/>
    <w:rsid w:val="0042015F"/>
    <w:rsid w:val="00420194"/>
    <w:rsid w:val="0042051C"/>
    <w:rsid w:val="0042082A"/>
    <w:rsid w:val="00420939"/>
    <w:rsid w:val="00420A08"/>
    <w:rsid w:val="00420E2A"/>
    <w:rsid w:val="00420E67"/>
    <w:rsid w:val="00420E93"/>
    <w:rsid w:val="0042101A"/>
    <w:rsid w:val="00421027"/>
    <w:rsid w:val="00421C23"/>
    <w:rsid w:val="00421DEF"/>
    <w:rsid w:val="00422510"/>
    <w:rsid w:val="00422988"/>
    <w:rsid w:val="00422C14"/>
    <w:rsid w:val="00422E93"/>
    <w:rsid w:val="0042332B"/>
    <w:rsid w:val="00423376"/>
    <w:rsid w:val="00423440"/>
    <w:rsid w:val="00423545"/>
    <w:rsid w:val="004235A2"/>
    <w:rsid w:val="00423677"/>
    <w:rsid w:val="004236F3"/>
    <w:rsid w:val="004237CE"/>
    <w:rsid w:val="00423890"/>
    <w:rsid w:val="004238CC"/>
    <w:rsid w:val="00423927"/>
    <w:rsid w:val="00423AE2"/>
    <w:rsid w:val="00423B98"/>
    <w:rsid w:val="00423CB3"/>
    <w:rsid w:val="00424291"/>
    <w:rsid w:val="00424389"/>
    <w:rsid w:val="004243D1"/>
    <w:rsid w:val="00424556"/>
    <w:rsid w:val="0042487F"/>
    <w:rsid w:val="0042503F"/>
    <w:rsid w:val="00425054"/>
    <w:rsid w:val="004253C4"/>
    <w:rsid w:val="004258D7"/>
    <w:rsid w:val="00425B72"/>
    <w:rsid w:val="00425BA0"/>
    <w:rsid w:val="00425BF1"/>
    <w:rsid w:val="00425D2C"/>
    <w:rsid w:val="00425D43"/>
    <w:rsid w:val="00425DAE"/>
    <w:rsid w:val="00425DEB"/>
    <w:rsid w:val="00425E0D"/>
    <w:rsid w:val="004265AD"/>
    <w:rsid w:val="004265AE"/>
    <w:rsid w:val="004266D4"/>
    <w:rsid w:val="00426D86"/>
    <w:rsid w:val="00426DFA"/>
    <w:rsid w:val="0042719B"/>
    <w:rsid w:val="0042740C"/>
    <w:rsid w:val="0042748A"/>
    <w:rsid w:val="004274DB"/>
    <w:rsid w:val="004274E1"/>
    <w:rsid w:val="00427659"/>
    <w:rsid w:val="00427CF5"/>
    <w:rsid w:val="00427CF9"/>
    <w:rsid w:val="00427EF2"/>
    <w:rsid w:val="00430289"/>
    <w:rsid w:val="004304A7"/>
    <w:rsid w:val="00430C17"/>
    <w:rsid w:val="00430C41"/>
    <w:rsid w:val="00430E83"/>
    <w:rsid w:val="00431019"/>
    <w:rsid w:val="0043127F"/>
    <w:rsid w:val="00431441"/>
    <w:rsid w:val="00431627"/>
    <w:rsid w:val="00431A26"/>
    <w:rsid w:val="00431ADF"/>
    <w:rsid w:val="00431D7B"/>
    <w:rsid w:val="00431ED7"/>
    <w:rsid w:val="004320E8"/>
    <w:rsid w:val="0043210F"/>
    <w:rsid w:val="00432245"/>
    <w:rsid w:val="004325BA"/>
    <w:rsid w:val="004326A1"/>
    <w:rsid w:val="004326A6"/>
    <w:rsid w:val="00432867"/>
    <w:rsid w:val="0043294E"/>
    <w:rsid w:val="00432A2B"/>
    <w:rsid w:val="00432B40"/>
    <w:rsid w:val="00432CE5"/>
    <w:rsid w:val="0043300D"/>
    <w:rsid w:val="0043306D"/>
    <w:rsid w:val="00433143"/>
    <w:rsid w:val="0043315B"/>
    <w:rsid w:val="004333B9"/>
    <w:rsid w:val="00433419"/>
    <w:rsid w:val="004335D7"/>
    <w:rsid w:val="004335E5"/>
    <w:rsid w:val="00433A0F"/>
    <w:rsid w:val="00433A27"/>
    <w:rsid w:val="00433C72"/>
    <w:rsid w:val="00433E27"/>
    <w:rsid w:val="00433E56"/>
    <w:rsid w:val="00433EDF"/>
    <w:rsid w:val="00433F7C"/>
    <w:rsid w:val="00434039"/>
    <w:rsid w:val="00434206"/>
    <w:rsid w:val="004345F3"/>
    <w:rsid w:val="004349A6"/>
    <w:rsid w:val="00434A10"/>
    <w:rsid w:val="00434ACE"/>
    <w:rsid w:val="00434BA5"/>
    <w:rsid w:val="00434BD8"/>
    <w:rsid w:val="00434F2E"/>
    <w:rsid w:val="004352A3"/>
    <w:rsid w:val="004352B2"/>
    <w:rsid w:val="004354D2"/>
    <w:rsid w:val="0043573C"/>
    <w:rsid w:val="004357A6"/>
    <w:rsid w:val="0043584A"/>
    <w:rsid w:val="004359D8"/>
    <w:rsid w:val="00435E82"/>
    <w:rsid w:val="00435F33"/>
    <w:rsid w:val="00435F6B"/>
    <w:rsid w:val="00435FF8"/>
    <w:rsid w:val="00436285"/>
    <w:rsid w:val="004363D8"/>
    <w:rsid w:val="00436667"/>
    <w:rsid w:val="004367DF"/>
    <w:rsid w:val="0043694B"/>
    <w:rsid w:val="004369C5"/>
    <w:rsid w:val="004369FE"/>
    <w:rsid w:val="00436AD4"/>
    <w:rsid w:val="00436AE6"/>
    <w:rsid w:val="00436B6E"/>
    <w:rsid w:val="00436E30"/>
    <w:rsid w:val="00436FDB"/>
    <w:rsid w:val="00437079"/>
    <w:rsid w:val="0043714A"/>
    <w:rsid w:val="00437452"/>
    <w:rsid w:val="004377CD"/>
    <w:rsid w:val="0043784C"/>
    <w:rsid w:val="00437987"/>
    <w:rsid w:val="00437B47"/>
    <w:rsid w:val="00437BA9"/>
    <w:rsid w:val="00437CB7"/>
    <w:rsid w:val="00437CCA"/>
    <w:rsid w:val="00437D0C"/>
    <w:rsid w:val="00440318"/>
    <w:rsid w:val="00440380"/>
    <w:rsid w:val="00440496"/>
    <w:rsid w:val="00440658"/>
    <w:rsid w:val="004406CB"/>
    <w:rsid w:val="004406EC"/>
    <w:rsid w:val="00440788"/>
    <w:rsid w:val="00440809"/>
    <w:rsid w:val="00440852"/>
    <w:rsid w:val="004408BB"/>
    <w:rsid w:val="00440917"/>
    <w:rsid w:val="00440CEC"/>
    <w:rsid w:val="004414E4"/>
    <w:rsid w:val="0044156E"/>
    <w:rsid w:val="0044190A"/>
    <w:rsid w:val="004421B6"/>
    <w:rsid w:val="004422AD"/>
    <w:rsid w:val="0044233A"/>
    <w:rsid w:val="00442398"/>
    <w:rsid w:val="00442449"/>
    <w:rsid w:val="004424D2"/>
    <w:rsid w:val="00442B6F"/>
    <w:rsid w:val="00442FF9"/>
    <w:rsid w:val="004431AE"/>
    <w:rsid w:val="004435D1"/>
    <w:rsid w:val="00443644"/>
    <w:rsid w:val="00443707"/>
    <w:rsid w:val="00443FD9"/>
    <w:rsid w:val="00444456"/>
    <w:rsid w:val="00444470"/>
    <w:rsid w:val="004446E5"/>
    <w:rsid w:val="00444738"/>
    <w:rsid w:val="0044475E"/>
    <w:rsid w:val="0044481A"/>
    <w:rsid w:val="0044482E"/>
    <w:rsid w:val="00444923"/>
    <w:rsid w:val="004449C7"/>
    <w:rsid w:val="00444D8A"/>
    <w:rsid w:val="00444F54"/>
    <w:rsid w:val="0044501A"/>
    <w:rsid w:val="00445020"/>
    <w:rsid w:val="00445319"/>
    <w:rsid w:val="00445384"/>
    <w:rsid w:val="004455BA"/>
    <w:rsid w:val="004456FA"/>
    <w:rsid w:val="00445816"/>
    <w:rsid w:val="00445A73"/>
    <w:rsid w:val="00445C47"/>
    <w:rsid w:val="00446267"/>
    <w:rsid w:val="00446482"/>
    <w:rsid w:val="00446521"/>
    <w:rsid w:val="00446588"/>
    <w:rsid w:val="00446685"/>
    <w:rsid w:val="0044679E"/>
    <w:rsid w:val="0044690E"/>
    <w:rsid w:val="00446937"/>
    <w:rsid w:val="00446C2C"/>
    <w:rsid w:val="00446C39"/>
    <w:rsid w:val="00446EC2"/>
    <w:rsid w:val="00446F39"/>
    <w:rsid w:val="00447041"/>
    <w:rsid w:val="00447273"/>
    <w:rsid w:val="0044792D"/>
    <w:rsid w:val="0044796B"/>
    <w:rsid w:val="00447ADE"/>
    <w:rsid w:val="00447C99"/>
    <w:rsid w:val="0045003D"/>
    <w:rsid w:val="00450327"/>
    <w:rsid w:val="004506D5"/>
    <w:rsid w:val="0045075F"/>
    <w:rsid w:val="00450794"/>
    <w:rsid w:val="00450983"/>
    <w:rsid w:val="00450B84"/>
    <w:rsid w:val="00450C56"/>
    <w:rsid w:val="00450CCF"/>
    <w:rsid w:val="00450DF2"/>
    <w:rsid w:val="00450E12"/>
    <w:rsid w:val="00450F5A"/>
    <w:rsid w:val="0045105E"/>
    <w:rsid w:val="0045112C"/>
    <w:rsid w:val="004513AC"/>
    <w:rsid w:val="004515BA"/>
    <w:rsid w:val="004516A5"/>
    <w:rsid w:val="004516EA"/>
    <w:rsid w:val="00451A0F"/>
    <w:rsid w:val="00451A82"/>
    <w:rsid w:val="00451D43"/>
    <w:rsid w:val="00451E51"/>
    <w:rsid w:val="00451F97"/>
    <w:rsid w:val="00452068"/>
    <w:rsid w:val="004521BF"/>
    <w:rsid w:val="00452245"/>
    <w:rsid w:val="004524C5"/>
    <w:rsid w:val="00452568"/>
    <w:rsid w:val="00452879"/>
    <w:rsid w:val="0045287C"/>
    <w:rsid w:val="00452B7E"/>
    <w:rsid w:val="00452BF5"/>
    <w:rsid w:val="00452C10"/>
    <w:rsid w:val="00452C2F"/>
    <w:rsid w:val="00452F8F"/>
    <w:rsid w:val="00453243"/>
    <w:rsid w:val="00453643"/>
    <w:rsid w:val="0045379B"/>
    <w:rsid w:val="004537A0"/>
    <w:rsid w:val="004538D5"/>
    <w:rsid w:val="00453927"/>
    <w:rsid w:val="00453A37"/>
    <w:rsid w:val="00453A8C"/>
    <w:rsid w:val="00453B20"/>
    <w:rsid w:val="00453BD0"/>
    <w:rsid w:val="00453DFA"/>
    <w:rsid w:val="00454164"/>
    <w:rsid w:val="0045429F"/>
    <w:rsid w:val="00454446"/>
    <w:rsid w:val="004547EA"/>
    <w:rsid w:val="00454B52"/>
    <w:rsid w:val="00454E47"/>
    <w:rsid w:val="0045503D"/>
    <w:rsid w:val="004551A0"/>
    <w:rsid w:val="004551E3"/>
    <w:rsid w:val="0045537C"/>
    <w:rsid w:val="0045557B"/>
    <w:rsid w:val="004556E6"/>
    <w:rsid w:val="00455CC1"/>
    <w:rsid w:val="00455DBE"/>
    <w:rsid w:val="00455E0A"/>
    <w:rsid w:val="00455E44"/>
    <w:rsid w:val="0045610C"/>
    <w:rsid w:val="00456210"/>
    <w:rsid w:val="0045632F"/>
    <w:rsid w:val="0045652E"/>
    <w:rsid w:val="0045693D"/>
    <w:rsid w:val="00456AF8"/>
    <w:rsid w:val="00456C07"/>
    <w:rsid w:val="00456D45"/>
    <w:rsid w:val="004573B5"/>
    <w:rsid w:val="00457481"/>
    <w:rsid w:val="004575F8"/>
    <w:rsid w:val="00457753"/>
    <w:rsid w:val="00457A81"/>
    <w:rsid w:val="00457E55"/>
    <w:rsid w:val="00457EA0"/>
    <w:rsid w:val="00457F2E"/>
    <w:rsid w:val="0046051A"/>
    <w:rsid w:val="00460891"/>
    <w:rsid w:val="0046097C"/>
    <w:rsid w:val="004609D1"/>
    <w:rsid w:val="00460BC5"/>
    <w:rsid w:val="00460D30"/>
    <w:rsid w:val="00460FCB"/>
    <w:rsid w:val="004610D0"/>
    <w:rsid w:val="00461197"/>
    <w:rsid w:val="004611BC"/>
    <w:rsid w:val="00461350"/>
    <w:rsid w:val="004613B3"/>
    <w:rsid w:val="004614A0"/>
    <w:rsid w:val="0046153E"/>
    <w:rsid w:val="0046159E"/>
    <w:rsid w:val="00461A41"/>
    <w:rsid w:val="00461F91"/>
    <w:rsid w:val="00462683"/>
    <w:rsid w:val="00462805"/>
    <w:rsid w:val="00462851"/>
    <w:rsid w:val="0046286B"/>
    <w:rsid w:val="00462BBA"/>
    <w:rsid w:val="00462C1D"/>
    <w:rsid w:val="00462D26"/>
    <w:rsid w:val="0046342B"/>
    <w:rsid w:val="00463458"/>
    <w:rsid w:val="00463A08"/>
    <w:rsid w:val="00463B56"/>
    <w:rsid w:val="00463BEA"/>
    <w:rsid w:val="00463C66"/>
    <w:rsid w:val="00463C7B"/>
    <w:rsid w:val="00463CD2"/>
    <w:rsid w:val="00463ED6"/>
    <w:rsid w:val="00463F12"/>
    <w:rsid w:val="00463F77"/>
    <w:rsid w:val="00464047"/>
    <w:rsid w:val="004640B8"/>
    <w:rsid w:val="004649EB"/>
    <w:rsid w:val="00464A41"/>
    <w:rsid w:val="00464C14"/>
    <w:rsid w:val="00464CD3"/>
    <w:rsid w:val="00464D9A"/>
    <w:rsid w:val="00464DED"/>
    <w:rsid w:val="00464E3C"/>
    <w:rsid w:val="00465014"/>
    <w:rsid w:val="00465051"/>
    <w:rsid w:val="00465329"/>
    <w:rsid w:val="00465384"/>
    <w:rsid w:val="00465414"/>
    <w:rsid w:val="00465609"/>
    <w:rsid w:val="0046580D"/>
    <w:rsid w:val="00465828"/>
    <w:rsid w:val="004659BC"/>
    <w:rsid w:val="00465BEC"/>
    <w:rsid w:val="00465C0F"/>
    <w:rsid w:val="00465C95"/>
    <w:rsid w:val="00465DCE"/>
    <w:rsid w:val="00466024"/>
    <w:rsid w:val="004662B8"/>
    <w:rsid w:val="004663E5"/>
    <w:rsid w:val="004665F9"/>
    <w:rsid w:val="0046666A"/>
    <w:rsid w:val="00466885"/>
    <w:rsid w:val="00466C96"/>
    <w:rsid w:val="00466D10"/>
    <w:rsid w:val="00466FDF"/>
    <w:rsid w:val="0046701A"/>
    <w:rsid w:val="00467264"/>
    <w:rsid w:val="0046734D"/>
    <w:rsid w:val="00467382"/>
    <w:rsid w:val="00467792"/>
    <w:rsid w:val="00467AF1"/>
    <w:rsid w:val="00467D9A"/>
    <w:rsid w:val="00467DAB"/>
    <w:rsid w:val="004700A0"/>
    <w:rsid w:val="00470163"/>
    <w:rsid w:val="004702D3"/>
    <w:rsid w:val="00470489"/>
    <w:rsid w:val="00470653"/>
    <w:rsid w:val="004706CD"/>
    <w:rsid w:val="004706DC"/>
    <w:rsid w:val="004709B5"/>
    <w:rsid w:val="004709EF"/>
    <w:rsid w:val="004709FE"/>
    <w:rsid w:val="00470D9E"/>
    <w:rsid w:val="00470ED0"/>
    <w:rsid w:val="00470FB8"/>
    <w:rsid w:val="00471185"/>
    <w:rsid w:val="004712FD"/>
    <w:rsid w:val="00471865"/>
    <w:rsid w:val="00471987"/>
    <w:rsid w:val="00471AD4"/>
    <w:rsid w:val="00472075"/>
    <w:rsid w:val="00472207"/>
    <w:rsid w:val="0047221A"/>
    <w:rsid w:val="004723B4"/>
    <w:rsid w:val="004723B5"/>
    <w:rsid w:val="0047244D"/>
    <w:rsid w:val="004729D1"/>
    <w:rsid w:val="00472ABA"/>
    <w:rsid w:val="00472B4E"/>
    <w:rsid w:val="00472B66"/>
    <w:rsid w:val="00472CC7"/>
    <w:rsid w:val="00472ED6"/>
    <w:rsid w:val="00472F44"/>
    <w:rsid w:val="00473256"/>
    <w:rsid w:val="00473608"/>
    <w:rsid w:val="004736C0"/>
    <w:rsid w:val="0047380A"/>
    <w:rsid w:val="00473849"/>
    <w:rsid w:val="00473C0C"/>
    <w:rsid w:val="00473F87"/>
    <w:rsid w:val="00474005"/>
    <w:rsid w:val="0047404A"/>
    <w:rsid w:val="004741D5"/>
    <w:rsid w:val="004741DB"/>
    <w:rsid w:val="0047437C"/>
    <w:rsid w:val="0047457E"/>
    <w:rsid w:val="004749AD"/>
    <w:rsid w:val="004749D8"/>
    <w:rsid w:val="00474B3B"/>
    <w:rsid w:val="00474B7B"/>
    <w:rsid w:val="00474BF7"/>
    <w:rsid w:val="00474CD3"/>
    <w:rsid w:val="00474F43"/>
    <w:rsid w:val="0047524F"/>
    <w:rsid w:val="004754B3"/>
    <w:rsid w:val="00475574"/>
    <w:rsid w:val="004758EC"/>
    <w:rsid w:val="00475AD4"/>
    <w:rsid w:val="00475B88"/>
    <w:rsid w:val="00475C9B"/>
    <w:rsid w:val="00475CE1"/>
    <w:rsid w:val="00475F0F"/>
    <w:rsid w:val="00476046"/>
    <w:rsid w:val="00476309"/>
    <w:rsid w:val="0047683A"/>
    <w:rsid w:val="0047688B"/>
    <w:rsid w:val="00476CED"/>
    <w:rsid w:val="00476DB6"/>
    <w:rsid w:val="00477047"/>
    <w:rsid w:val="004772DB"/>
    <w:rsid w:val="004775AD"/>
    <w:rsid w:val="0047760D"/>
    <w:rsid w:val="00477D46"/>
    <w:rsid w:val="00477D57"/>
    <w:rsid w:val="00477DFB"/>
    <w:rsid w:val="00480156"/>
    <w:rsid w:val="0048036F"/>
    <w:rsid w:val="004804F5"/>
    <w:rsid w:val="0048058A"/>
    <w:rsid w:val="004805B5"/>
    <w:rsid w:val="004808AB"/>
    <w:rsid w:val="004808FB"/>
    <w:rsid w:val="00480A29"/>
    <w:rsid w:val="00480BD3"/>
    <w:rsid w:val="00480C5F"/>
    <w:rsid w:val="00480FBB"/>
    <w:rsid w:val="0048107F"/>
    <w:rsid w:val="004810D2"/>
    <w:rsid w:val="00481572"/>
    <w:rsid w:val="0048179D"/>
    <w:rsid w:val="0048195D"/>
    <w:rsid w:val="00481C4A"/>
    <w:rsid w:val="00481E95"/>
    <w:rsid w:val="004821D1"/>
    <w:rsid w:val="0048287F"/>
    <w:rsid w:val="004829F2"/>
    <w:rsid w:val="00482B24"/>
    <w:rsid w:val="00482E59"/>
    <w:rsid w:val="0048313E"/>
    <w:rsid w:val="004832BF"/>
    <w:rsid w:val="00483929"/>
    <w:rsid w:val="00483985"/>
    <w:rsid w:val="00483BDF"/>
    <w:rsid w:val="00483D6C"/>
    <w:rsid w:val="00483EE9"/>
    <w:rsid w:val="00484126"/>
    <w:rsid w:val="00484226"/>
    <w:rsid w:val="00484514"/>
    <w:rsid w:val="0048451F"/>
    <w:rsid w:val="00484549"/>
    <w:rsid w:val="0048467C"/>
    <w:rsid w:val="004846B0"/>
    <w:rsid w:val="00484985"/>
    <w:rsid w:val="0048513F"/>
    <w:rsid w:val="00485161"/>
    <w:rsid w:val="00485163"/>
    <w:rsid w:val="004852D4"/>
    <w:rsid w:val="00485357"/>
    <w:rsid w:val="00485569"/>
    <w:rsid w:val="00485625"/>
    <w:rsid w:val="004856CB"/>
    <w:rsid w:val="004858BD"/>
    <w:rsid w:val="00485938"/>
    <w:rsid w:val="00485AE6"/>
    <w:rsid w:val="00485B46"/>
    <w:rsid w:val="00485BC4"/>
    <w:rsid w:val="00485FBF"/>
    <w:rsid w:val="00486749"/>
    <w:rsid w:val="00486882"/>
    <w:rsid w:val="0048696D"/>
    <w:rsid w:val="00486C09"/>
    <w:rsid w:val="00486C2B"/>
    <w:rsid w:val="00486CD0"/>
    <w:rsid w:val="00486E3B"/>
    <w:rsid w:val="004871DF"/>
    <w:rsid w:val="004876C5"/>
    <w:rsid w:val="0048781B"/>
    <w:rsid w:val="00487EB1"/>
    <w:rsid w:val="0049024F"/>
    <w:rsid w:val="00490285"/>
    <w:rsid w:val="004903FB"/>
    <w:rsid w:val="004905E0"/>
    <w:rsid w:val="0049061E"/>
    <w:rsid w:val="00490741"/>
    <w:rsid w:val="00490757"/>
    <w:rsid w:val="0049078A"/>
    <w:rsid w:val="00490932"/>
    <w:rsid w:val="00490AA2"/>
    <w:rsid w:val="00490AFA"/>
    <w:rsid w:val="00490B53"/>
    <w:rsid w:val="00490C52"/>
    <w:rsid w:val="0049108B"/>
    <w:rsid w:val="00491124"/>
    <w:rsid w:val="004913DB"/>
    <w:rsid w:val="0049151A"/>
    <w:rsid w:val="0049154F"/>
    <w:rsid w:val="0049173E"/>
    <w:rsid w:val="004919E0"/>
    <w:rsid w:val="00491CE9"/>
    <w:rsid w:val="00491F1D"/>
    <w:rsid w:val="00491FA2"/>
    <w:rsid w:val="0049207B"/>
    <w:rsid w:val="004921E6"/>
    <w:rsid w:val="00492329"/>
    <w:rsid w:val="0049234F"/>
    <w:rsid w:val="0049241E"/>
    <w:rsid w:val="00492664"/>
    <w:rsid w:val="00492741"/>
    <w:rsid w:val="0049283F"/>
    <w:rsid w:val="00492878"/>
    <w:rsid w:val="00492D08"/>
    <w:rsid w:val="004934DA"/>
    <w:rsid w:val="004935B1"/>
    <w:rsid w:val="004936E0"/>
    <w:rsid w:val="00493781"/>
    <w:rsid w:val="00493B8B"/>
    <w:rsid w:val="00493CC3"/>
    <w:rsid w:val="0049443E"/>
    <w:rsid w:val="00494700"/>
    <w:rsid w:val="0049470E"/>
    <w:rsid w:val="0049471D"/>
    <w:rsid w:val="0049479C"/>
    <w:rsid w:val="0049489B"/>
    <w:rsid w:val="004948BD"/>
    <w:rsid w:val="0049501C"/>
    <w:rsid w:val="00495032"/>
    <w:rsid w:val="0049520B"/>
    <w:rsid w:val="0049522A"/>
    <w:rsid w:val="00495233"/>
    <w:rsid w:val="004952FD"/>
    <w:rsid w:val="00495696"/>
    <w:rsid w:val="004958B9"/>
    <w:rsid w:val="00495A29"/>
    <w:rsid w:val="00495AAD"/>
    <w:rsid w:val="00495AB8"/>
    <w:rsid w:val="00495BAE"/>
    <w:rsid w:val="00495C53"/>
    <w:rsid w:val="00496156"/>
    <w:rsid w:val="0049615E"/>
    <w:rsid w:val="00496356"/>
    <w:rsid w:val="00496655"/>
    <w:rsid w:val="004969A8"/>
    <w:rsid w:val="00496B02"/>
    <w:rsid w:val="00496CCC"/>
    <w:rsid w:val="00496D3C"/>
    <w:rsid w:val="00496DE7"/>
    <w:rsid w:val="00496DFF"/>
    <w:rsid w:val="004970ED"/>
    <w:rsid w:val="004973E1"/>
    <w:rsid w:val="0049759F"/>
    <w:rsid w:val="004975FE"/>
    <w:rsid w:val="004976B8"/>
    <w:rsid w:val="004A0039"/>
    <w:rsid w:val="004A05F2"/>
    <w:rsid w:val="004A0657"/>
    <w:rsid w:val="004A0693"/>
    <w:rsid w:val="004A092E"/>
    <w:rsid w:val="004A0950"/>
    <w:rsid w:val="004A0972"/>
    <w:rsid w:val="004A0BCF"/>
    <w:rsid w:val="004A0BE7"/>
    <w:rsid w:val="004A10BB"/>
    <w:rsid w:val="004A12D3"/>
    <w:rsid w:val="004A1543"/>
    <w:rsid w:val="004A15B5"/>
    <w:rsid w:val="004A1633"/>
    <w:rsid w:val="004A1865"/>
    <w:rsid w:val="004A193F"/>
    <w:rsid w:val="004A19CE"/>
    <w:rsid w:val="004A1D86"/>
    <w:rsid w:val="004A2279"/>
    <w:rsid w:val="004A23A7"/>
    <w:rsid w:val="004A28C3"/>
    <w:rsid w:val="004A293F"/>
    <w:rsid w:val="004A2A42"/>
    <w:rsid w:val="004A2B9A"/>
    <w:rsid w:val="004A2E0B"/>
    <w:rsid w:val="004A2FD1"/>
    <w:rsid w:val="004A333B"/>
    <w:rsid w:val="004A3389"/>
    <w:rsid w:val="004A3999"/>
    <w:rsid w:val="004A399B"/>
    <w:rsid w:val="004A3DA3"/>
    <w:rsid w:val="004A3E8A"/>
    <w:rsid w:val="004A42BD"/>
    <w:rsid w:val="004A4A16"/>
    <w:rsid w:val="004A4C71"/>
    <w:rsid w:val="004A4D4D"/>
    <w:rsid w:val="004A4E97"/>
    <w:rsid w:val="004A5259"/>
    <w:rsid w:val="004A5476"/>
    <w:rsid w:val="004A553E"/>
    <w:rsid w:val="004A57A7"/>
    <w:rsid w:val="004A58DC"/>
    <w:rsid w:val="004A5BB9"/>
    <w:rsid w:val="004A5BCF"/>
    <w:rsid w:val="004A5D41"/>
    <w:rsid w:val="004A5EFF"/>
    <w:rsid w:val="004A6852"/>
    <w:rsid w:val="004A6B2E"/>
    <w:rsid w:val="004A6B56"/>
    <w:rsid w:val="004A6CCE"/>
    <w:rsid w:val="004A6D94"/>
    <w:rsid w:val="004A6E5C"/>
    <w:rsid w:val="004A73D5"/>
    <w:rsid w:val="004A73DC"/>
    <w:rsid w:val="004A73F0"/>
    <w:rsid w:val="004A7528"/>
    <w:rsid w:val="004A7E07"/>
    <w:rsid w:val="004A7F69"/>
    <w:rsid w:val="004A7FDF"/>
    <w:rsid w:val="004B0233"/>
    <w:rsid w:val="004B08CA"/>
    <w:rsid w:val="004B0939"/>
    <w:rsid w:val="004B0E29"/>
    <w:rsid w:val="004B0FBD"/>
    <w:rsid w:val="004B0FFF"/>
    <w:rsid w:val="004B1170"/>
    <w:rsid w:val="004B1358"/>
    <w:rsid w:val="004B13CE"/>
    <w:rsid w:val="004B13DC"/>
    <w:rsid w:val="004B13EF"/>
    <w:rsid w:val="004B13FA"/>
    <w:rsid w:val="004B14C2"/>
    <w:rsid w:val="004B158C"/>
    <w:rsid w:val="004B17C3"/>
    <w:rsid w:val="004B17E8"/>
    <w:rsid w:val="004B17F1"/>
    <w:rsid w:val="004B1894"/>
    <w:rsid w:val="004B1A6E"/>
    <w:rsid w:val="004B1B8B"/>
    <w:rsid w:val="004B1F4C"/>
    <w:rsid w:val="004B1F78"/>
    <w:rsid w:val="004B200C"/>
    <w:rsid w:val="004B21AC"/>
    <w:rsid w:val="004B2238"/>
    <w:rsid w:val="004B26A7"/>
    <w:rsid w:val="004B29D8"/>
    <w:rsid w:val="004B2A5E"/>
    <w:rsid w:val="004B2BE1"/>
    <w:rsid w:val="004B3057"/>
    <w:rsid w:val="004B3097"/>
    <w:rsid w:val="004B3270"/>
    <w:rsid w:val="004B36C9"/>
    <w:rsid w:val="004B36E0"/>
    <w:rsid w:val="004B3905"/>
    <w:rsid w:val="004B3930"/>
    <w:rsid w:val="004B3AA6"/>
    <w:rsid w:val="004B3AF3"/>
    <w:rsid w:val="004B3F91"/>
    <w:rsid w:val="004B4283"/>
    <w:rsid w:val="004B478C"/>
    <w:rsid w:val="004B483F"/>
    <w:rsid w:val="004B48E7"/>
    <w:rsid w:val="004B49D6"/>
    <w:rsid w:val="004B4A40"/>
    <w:rsid w:val="004B4AFE"/>
    <w:rsid w:val="004B4B13"/>
    <w:rsid w:val="004B4CCD"/>
    <w:rsid w:val="004B4D54"/>
    <w:rsid w:val="004B4D91"/>
    <w:rsid w:val="004B4DDB"/>
    <w:rsid w:val="004B4E79"/>
    <w:rsid w:val="004B4FD4"/>
    <w:rsid w:val="004B5038"/>
    <w:rsid w:val="004B50B8"/>
    <w:rsid w:val="004B5295"/>
    <w:rsid w:val="004B55B9"/>
    <w:rsid w:val="004B55CC"/>
    <w:rsid w:val="004B560B"/>
    <w:rsid w:val="004B5653"/>
    <w:rsid w:val="004B59F2"/>
    <w:rsid w:val="004B5A0E"/>
    <w:rsid w:val="004B5AEA"/>
    <w:rsid w:val="004B5E3B"/>
    <w:rsid w:val="004B5F92"/>
    <w:rsid w:val="004B601F"/>
    <w:rsid w:val="004B6186"/>
    <w:rsid w:val="004B636D"/>
    <w:rsid w:val="004B64A3"/>
    <w:rsid w:val="004B677D"/>
    <w:rsid w:val="004B6991"/>
    <w:rsid w:val="004B69C0"/>
    <w:rsid w:val="004B6B04"/>
    <w:rsid w:val="004B6E55"/>
    <w:rsid w:val="004B6FC8"/>
    <w:rsid w:val="004B71C6"/>
    <w:rsid w:val="004B72DF"/>
    <w:rsid w:val="004B735E"/>
    <w:rsid w:val="004B7428"/>
    <w:rsid w:val="004B776D"/>
    <w:rsid w:val="004B7BB0"/>
    <w:rsid w:val="004B7D17"/>
    <w:rsid w:val="004B7F79"/>
    <w:rsid w:val="004C0162"/>
    <w:rsid w:val="004C024E"/>
    <w:rsid w:val="004C0550"/>
    <w:rsid w:val="004C06EE"/>
    <w:rsid w:val="004C06F3"/>
    <w:rsid w:val="004C086F"/>
    <w:rsid w:val="004C08D4"/>
    <w:rsid w:val="004C0A6B"/>
    <w:rsid w:val="004C0CEC"/>
    <w:rsid w:val="004C0DE0"/>
    <w:rsid w:val="004C0F11"/>
    <w:rsid w:val="004C162B"/>
    <w:rsid w:val="004C19C2"/>
    <w:rsid w:val="004C19CD"/>
    <w:rsid w:val="004C1DBD"/>
    <w:rsid w:val="004C1E39"/>
    <w:rsid w:val="004C1E5A"/>
    <w:rsid w:val="004C22B5"/>
    <w:rsid w:val="004C26B5"/>
    <w:rsid w:val="004C29F7"/>
    <w:rsid w:val="004C2DD9"/>
    <w:rsid w:val="004C2ED9"/>
    <w:rsid w:val="004C3133"/>
    <w:rsid w:val="004C31AB"/>
    <w:rsid w:val="004C329E"/>
    <w:rsid w:val="004C33C0"/>
    <w:rsid w:val="004C33CF"/>
    <w:rsid w:val="004C34B0"/>
    <w:rsid w:val="004C3678"/>
    <w:rsid w:val="004C36B0"/>
    <w:rsid w:val="004C3899"/>
    <w:rsid w:val="004C398A"/>
    <w:rsid w:val="004C39EC"/>
    <w:rsid w:val="004C3AE6"/>
    <w:rsid w:val="004C446E"/>
    <w:rsid w:val="004C4515"/>
    <w:rsid w:val="004C4629"/>
    <w:rsid w:val="004C47A3"/>
    <w:rsid w:val="004C47EE"/>
    <w:rsid w:val="004C4931"/>
    <w:rsid w:val="004C4A02"/>
    <w:rsid w:val="004C4B0F"/>
    <w:rsid w:val="004C4F2D"/>
    <w:rsid w:val="004C5260"/>
    <w:rsid w:val="004C538A"/>
    <w:rsid w:val="004C53B3"/>
    <w:rsid w:val="004C54CD"/>
    <w:rsid w:val="004C55A1"/>
    <w:rsid w:val="004C57EC"/>
    <w:rsid w:val="004C5828"/>
    <w:rsid w:val="004C5910"/>
    <w:rsid w:val="004C59D9"/>
    <w:rsid w:val="004C5D21"/>
    <w:rsid w:val="004C5F8B"/>
    <w:rsid w:val="004C6023"/>
    <w:rsid w:val="004C60AD"/>
    <w:rsid w:val="004C6288"/>
    <w:rsid w:val="004C6535"/>
    <w:rsid w:val="004C679F"/>
    <w:rsid w:val="004C685D"/>
    <w:rsid w:val="004C6958"/>
    <w:rsid w:val="004C6999"/>
    <w:rsid w:val="004C6C25"/>
    <w:rsid w:val="004C6CF0"/>
    <w:rsid w:val="004C70C0"/>
    <w:rsid w:val="004C70C1"/>
    <w:rsid w:val="004C7146"/>
    <w:rsid w:val="004C7537"/>
    <w:rsid w:val="004C7734"/>
    <w:rsid w:val="004C7CEA"/>
    <w:rsid w:val="004C7E87"/>
    <w:rsid w:val="004D00D4"/>
    <w:rsid w:val="004D00E0"/>
    <w:rsid w:val="004D00E8"/>
    <w:rsid w:val="004D023B"/>
    <w:rsid w:val="004D06DA"/>
    <w:rsid w:val="004D07A2"/>
    <w:rsid w:val="004D0E35"/>
    <w:rsid w:val="004D0E6F"/>
    <w:rsid w:val="004D0F22"/>
    <w:rsid w:val="004D0F6E"/>
    <w:rsid w:val="004D1029"/>
    <w:rsid w:val="004D1031"/>
    <w:rsid w:val="004D1137"/>
    <w:rsid w:val="004D1320"/>
    <w:rsid w:val="004D180E"/>
    <w:rsid w:val="004D1C6A"/>
    <w:rsid w:val="004D1EAD"/>
    <w:rsid w:val="004D21D1"/>
    <w:rsid w:val="004D22D8"/>
    <w:rsid w:val="004D2325"/>
    <w:rsid w:val="004D2888"/>
    <w:rsid w:val="004D2BDF"/>
    <w:rsid w:val="004D2C4B"/>
    <w:rsid w:val="004D2FC9"/>
    <w:rsid w:val="004D3019"/>
    <w:rsid w:val="004D3168"/>
    <w:rsid w:val="004D3208"/>
    <w:rsid w:val="004D3230"/>
    <w:rsid w:val="004D3278"/>
    <w:rsid w:val="004D32DB"/>
    <w:rsid w:val="004D34A1"/>
    <w:rsid w:val="004D3529"/>
    <w:rsid w:val="004D3542"/>
    <w:rsid w:val="004D3627"/>
    <w:rsid w:val="004D374D"/>
    <w:rsid w:val="004D3803"/>
    <w:rsid w:val="004D3AD5"/>
    <w:rsid w:val="004D3E52"/>
    <w:rsid w:val="004D400C"/>
    <w:rsid w:val="004D41CA"/>
    <w:rsid w:val="004D45CB"/>
    <w:rsid w:val="004D45E7"/>
    <w:rsid w:val="004D4A15"/>
    <w:rsid w:val="004D4A8C"/>
    <w:rsid w:val="004D4B5A"/>
    <w:rsid w:val="004D5132"/>
    <w:rsid w:val="004D54D8"/>
    <w:rsid w:val="004D58EE"/>
    <w:rsid w:val="004D594C"/>
    <w:rsid w:val="004D594F"/>
    <w:rsid w:val="004D613D"/>
    <w:rsid w:val="004D61FC"/>
    <w:rsid w:val="004D628E"/>
    <w:rsid w:val="004D666A"/>
    <w:rsid w:val="004D6BF6"/>
    <w:rsid w:val="004D6F6F"/>
    <w:rsid w:val="004D7555"/>
    <w:rsid w:val="004D75B3"/>
    <w:rsid w:val="004D773D"/>
    <w:rsid w:val="004D786B"/>
    <w:rsid w:val="004D7A89"/>
    <w:rsid w:val="004D7E49"/>
    <w:rsid w:val="004D7EB0"/>
    <w:rsid w:val="004D7EE3"/>
    <w:rsid w:val="004E0087"/>
    <w:rsid w:val="004E02E2"/>
    <w:rsid w:val="004E08E1"/>
    <w:rsid w:val="004E08E9"/>
    <w:rsid w:val="004E0E2A"/>
    <w:rsid w:val="004E121D"/>
    <w:rsid w:val="004E1282"/>
    <w:rsid w:val="004E139D"/>
    <w:rsid w:val="004E1414"/>
    <w:rsid w:val="004E1458"/>
    <w:rsid w:val="004E15AF"/>
    <w:rsid w:val="004E1720"/>
    <w:rsid w:val="004E18D2"/>
    <w:rsid w:val="004E1A04"/>
    <w:rsid w:val="004E1B77"/>
    <w:rsid w:val="004E1E4D"/>
    <w:rsid w:val="004E1EF7"/>
    <w:rsid w:val="004E1F74"/>
    <w:rsid w:val="004E209C"/>
    <w:rsid w:val="004E227D"/>
    <w:rsid w:val="004E22B8"/>
    <w:rsid w:val="004E2404"/>
    <w:rsid w:val="004E247E"/>
    <w:rsid w:val="004E2984"/>
    <w:rsid w:val="004E2A8A"/>
    <w:rsid w:val="004E2C61"/>
    <w:rsid w:val="004E2DFF"/>
    <w:rsid w:val="004E2FAD"/>
    <w:rsid w:val="004E2FD2"/>
    <w:rsid w:val="004E342D"/>
    <w:rsid w:val="004E3603"/>
    <w:rsid w:val="004E360F"/>
    <w:rsid w:val="004E397A"/>
    <w:rsid w:val="004E3A13"/>
    <w:rsid w:val="004E3A40"/>
    <w:rsid w:val="004E3DAB"/>
    <w:rsid w:val="004E3F26"/>
    <w:rsid w:val="004E432A"/>
    <w:rsid w:val="004E4413"/>
    <w:rsid w:val="004E44B5"/>
    <w:rsid w:val="004E4554"/>
    <w:rsid w:val="004E472C"/>
    <w:rsid w:val="004E4843"/>
    <w:rsid w:val="004E53D4"/>
    <w:rsid w:val="004E596E"/>
    <w:rsid w:val="004E5ED3"/>
    <w:rsid w:val="004E5F2C"/>
    <w:rsid w:val="004E616C"/>
    <w:rsid w:val="004E636A"/>
    <w:rsid w:val="004E6971"/>
    <w:rsid w:val="004E6B54"/>
    <w:rsid w:val="004E6BEE"/>
    <w:rsid w:val="004E6C4D"/>
    <w:rsid w:val="004E6E64"/>
    <w:rsid w:val="004E70E2"/>
    <w:rsid w:val="004E70EE"/>
    <w:rsid w:val="004E72B1"/>
    <w:rsid w:val="004E75C1"/>
    <w:rsid w:val="004E7833"/>
    <w:rsid w:val="004F079B"/>
    <w:rsid w:val="004F0D6A"/>
    <w:rsid w:val="004F0EBB"/>
    <w:rsid w:val="004F1102"/>
    <w:rsid w:val="004F12C5"/>
    <w:rsid w:val="004F12E3"/>
    <w:rsid w:val="004F131A"/>
    <w:rsid w:val="004F1541"/>
    <w:rsid w:val="004F1639"/>
    <w:rsid w:val="004F1872"/>
    <w:rsid w:val="004F1B76"/>
    <w:rsid w:val="004F1C50"/>
    <w:rsid w:val="004F1DA4"/>
    <w:rsid w:val="004F1E9B"/>
    <w:rsid w:val="004F1EA3"/>
    <w:rsid w:val="004F23F9"/>
    <w:rsid w:val="004F2874"/>
    <w:rsid w:val="004F2976"/>
    <w:rsid w:val="004F2BC0"/>
    <w:rsid w:val="004F2BE9"/>
    <w:rsid w:val="004F2DE3"/>
    <w:rsid w:val="004F32BA"/>
    <w:rsid w:val="004F33C5"/>
    <w:rsid w:val="004F3625"/>
    <w:rsid w:val="004F411A"/>
    <w:rsid w:val="004F42ED"/>
    <w:rsid w:val="004F44A4"/>
    <w:rsid w:val="004F47BD"/>
    <w:rsid w:val="004F47D8"/>
    <w:rsid w:val="004F4921"/>
    <w:rsid w:val="004F4C95"/>
    <w:rsid w:val="004F519C"/>
    <w:rsid w:val="004F5275"/>
    <w:rsid w:val="004F54E9"/>
    <w:rsid w:val="004F566E"/>
    <w:rsid w:val="004F5981"/>
    <w:rsid w:val="004F5C1B"/>
    <w:rsid w:val="004F5D6D"/>
    <w:rsid w:val="004F5E24"/>
    <w:rsid w:val="004F6332"/>
    <w:rsid w:val="004F63FF"/>
    <w:rsid w:val="004F65B8"/>
    <w:rsid w:val="004F6741"/>
    <w:rsid w:val="004F6858"/>
    <w:rsid w:val="004F6EBC"/>
    <w:rsid w:val="004F6FDB"/>
    <w:rsid w:val="004F7254"/>
    <w:rsid w:val="004F72D0"/>
    <w:rsid w:val="004F750F"/>
    <w:rsid w:val="004F756F"/>
    <w:rsid w:val="004F77F1"/>
    <w:rsid w:val="004F7948"/>
    <w:rsid w:val="004F799C"/>
    <w:rsid w:val="004F7B62"/>
    <w:rsid w:val="004F7C7C"/>
    <w:rsid w:val="004F7C7D"/>
    <w:rsid w:val="004F7D9A"/>
    <w:rsid w:val="004F7E33"/>
    <w:rsid w:val="005000EC"/>
    <w:rsid w:val="00500113"/>
    <w:rsid w:val="005002F2"/>
    <w:rsid w:val="0050038C"/>
    <w:rsid w:val="00500595"/>
    <w:rsid w:val="00500806"/>
    <w:rsid w:val="0050086A"/>
    <w:rsid w:val="00500968"/>
    <w:rsid w:val="00500D9E"/>
    <w:rsid w:val="00500F15"/>
    <w:rsid w:val="005011EF"/>
    <w:rsid w:val="00501235"/>
    <w:rsid w:val="00501296"/>
    <w:rsid w:val="005012C7"/>
    <w:rsid w:val="005013C4"/>
    <w:rsid w:val="005014DE"/>
    <w:rsid w:val="005014F5"/>
    <w:rsid w:val="0050169E"/>
    <w:rsid w:val="00501735"/>
    <w:rsid w:val="00501919"/>
    <w:rsid w:val="00501E95"/>
    <w:rsid w:val="00501EFF"/>
    <w:rsid w:val="00501FE7"/>
    <w:rsid w:val="005022BF"/>
    <w:rsid w:val="0050236F"/>
    <w:rsid w:val="00502545"/>
    <w:rsid w:val="00502864"/>
    <w:rsid w:val="00502AAB"/>
    <w:rsid w:val="00502E56"/>
    <w:rsid w:val="00502FFA"/>
    <w:rsid w:val="00503006"/>
    <w:rsid w:val="005031CC"/>
    <w:rsid w:val="005031E6"/>
    <w:rsid w:val="005032F9"/>
    <w:rsid w:val="00503655"/>
    <w:rsid w:val="00503EEF"/>
    <w:rsid w:val="005042A2"/>
    <w:rsid w:val="0050445A"/>
    <w:rsid w:val="00504BF2"/>
    <w:rsid w:val="00504FB5"/>
    <w:rsid w:val="00505215"/>
    <w:rsid w:val="0050522F"/>
    <w:rsid w:val="005057C7"/>
    <w:rsid w:val="00505875"/>
    <w:rsid w:val="00505913"/>
    <w:rsid w:val="00505ECF"/>
    <w:rsid w:val="005062E0"/>
    <w:rsid w:val="00506459"/>
    <w:rsid w:val="00506C4A"/>
    <w:rsid w:val="00506D9E"/>
    <w:rsid w:val="00506DC2"/>
    <w:rsid w:val="00506EC2"/>
    <w:rsid w:val="0050704C"/>
    <w:rsid w:val="005076BF"/>
    <w:rsid w:val="00507925"/>
    <w:rsid w:val="00507985"/>
    <w:rsid w:val="00507A0F"/>
    <w:rsid w:val="00507B69"/>
    <w:rsid w:val="00507DD1"/>
    <w:rsid w:val="00507F71"/>
    <w:rsid w:val="005100AA"/>
    <w:rsid w:val="0051028C"/>
    <w:rsid w:val="00510344"/>
    <w:rsid w:val="005103B3"/>
    <w:rsid w:val="00510506"/>
    <w:rsid w:val="005105E8"/>
    <w:rsid w:val="0051077F"/>
    <w:rsid w:val="005107AB"/>
    <w:rsid w:val="005108BE"/>
    <w:rsid w:val="00510AE5"/>
    <w:rsid w:val="00510B6C"/>
    <w:rsid w:val="00510BDD"/>
    <w:rsid w:val="0051102E"/>
    <w:rsid w:val="0051117F"/>
    <w:rsid w:val="0051146E"/>
    <w:rsid w:val="005118F0"/>
    <w:rsid w:val="00511914"/>
    <w:rsid w:val="0051193D"/>
    <w:rsid w:val="00511B2E"/>
    <w:rsid w:val="00511B72"/>
    <w:rsid w:val="0051210C"/>
    <w:rsid w:val="00512120"/>
    <w:rsid w:val="005123D3"/>
    <w:rsid w:val="00512496"/>
    <w:rsid w:val="00512626"/>
    <w:rsid w:val="005129A6"/>
    <w:rsid w:val="00512BAC"/>
    <w:rsid w:val="00512C4C"/>
    <w:rsid w:val="00512C5C"/>
    <w:rsid w:val="00512EAD"/>
    <w:rsid w:val="005131B6"/>
    <w:rsid w:val="00513332"/>
    <w:rsid w:val="005133B1"/>
    <w:rsid w:val="00513851"/>
    <w:rsid w:val="005139DC"/>
    <w:rsid w:val="00513A80"/>
    <w:rsid w:val="00513B79"/>
    <w:rsid w:val="00513B9E"/>
    <w:rsid w:val="00513C04"/>
    <w:rsid w:val="00513C41"/>
    <w:rsid w:val="00513D5D"/>
    <w:rsid w:val="00514028"/>
    <w:rsid w:val="00514394"/>
    <w:rsid w:val="005147D4"/>
    <w:rsid w:val="005148CE"/>
    <w:rsid w:val="005149C1"/>
    <w:rsid w:val="00514CB6"/>
    <w:rsid w:val="00514D71"/>
    <w:rsid w:val="00514F18"/>
    <w:rsid w:val="00514F2D"/>
    <w:rsid w:val="00515082"/>
    <w:rsid w:val="005153AA"/>
    <w:rsid w:val="00515577"/>
    <w:rsid w:val="005155B8"/>
    <w:rsid w:val="005155D5"/>
    <w:rsid w:val="005156ED"/>
    <w:rsid w:val="005157D6"/>
    <w:rsid w:val="005157E8"/>
    <w:rsid w:val="005157FF"/>
    <w:rsid w:val="005159AC"/>
    <w:rsid w:val="005159BD"/>
    <w:rsid w:val="00515DF3"/>
    <w:rsid w:val="00515E92"/>
    <w:rsid w:val="00515F36"/>
    <w:rsid w:val="00515FAA"/>
    <w:rsid w:val="00515FBA"/>
    <w:rsid w:val="005162A8"/>
    <w:rsid w:val="005162F1"/>
    <w:rsid w:val="0051642C"/>
    <w:rsid w:val="00516483"/>
    <w:rsid w:val="005164B3"/>
    <w:rsid w:val="0051658E"/>
    <w:rsid w:val="0051659E"/>
    <w:rsid w:val="005165BE"/>
    <w:rsid w:val="005166EA"/>
    <w:rsid w:val="0051688C"/>
    <w:rsid w:val="00516AF3"/>
    <w:rsid w:val="00516DC0"/>
    <w:rsid w:val="00516EE5"/>
    <w:rsid w:val="00517083"/>
    <w:rsid w:val="005170EE"/>
    <w:rsid w:val="00517251"/>
    <w:rsid w:val="00517337"/>
    <w:rsid w:val="0051756A"/>
    <w:rsid w:val="00517796"/>
    <w:rsid w:val="00517AED"/>
    <w:rsid w:val="00517CFF"/>
    <w:rsid w:val="00517E13"/>
    <w:rsid w:val="005202C5"/>
    <w:rsid w:val="005203C2"/>
    <w:rsid w:val="00520705"/>
    <w:rsid w:val="00520B7A"/>
    <w:rsid w:val="00520BD5"/>
    <w:rsid w:val="00520D25"/>
    <w:rsid w:val="00520D4D"/>
    <w:rsid w:val="00520DEC"/>
    <w:rsid w:val="00520E7C"/>
    <w:rsid w:val="00520F83"/>
    <w:rsid w:val="005210F7"/>
    <w:rsid w:val="005211AC"/>
    <w:rsid w:val="00521302"/>
    <w:rsid w:val="00521405"/>
    <w:rsid w:val="00521666"/>
    <w:rsid w:val="00521670"/>
    <w:rsid w:val="00521A11"/>
    <w:rsid w:val="00522342"/>
    <w:rsid w:val="00522941"/>
    <w:rsid w:val="00522E0D"/>
    <w:rsid w:val="00522EA6"/>
    <w:rsid w:val="00523064"/>
    <w:rsid w:val="0052306C"/>
    <w:rsid w:val="00523291"/>
    <w:rsid w:val="005233BF"/>
    <w:rsid w:val="005233EE"/>
    <w:rsid w:val="0052343E"/>
    <w:rsid w:val="005235C0"/>
    <w:rsid w:val="005237B2"/>
    <w:rsid w:val="00523BE6"/>
    <w:rsid w:val="00524252"/>
    <w:rsid w:val="005242DC"/>
    <w:rsid w:val="00524521"/>
    <w:rsid w:val="005248B5"/>
    <w:rsid w:val="005248C4"/>
    <w:rsid w:val="005249D7"/>
    <w:rsid w:val="00524A12"/>
    <w:rsid w:val="00524A66"/>
    <w:rsid w:val="00524F3A"/>
    <w:rsid w:val="0052513C"/>
    <w:rsid w:val="00525217"/>
    <w:rsid w:val="00525442"/>
    <w:rsid w:val="0052559A"/>
    <w:rsid w:val="00525770"/>
    <w:rsid w:val="00525855"/>
    <w:rsid w:val="00525B10"/>
    <w:rsid w:val="00525BA9"/>
    <w:rsid w:val="00525D84"/>
    <w:rsid w:val="00525E33"/>
    <w:rsid w:val="00525F66"/>
    <w:rsid w:val="005260D9"/>
    <w:rsid w:val="005264E9"/>
    <w:rsid w:val="005265E8"/>
    <w:rsid w:val="005267DE"/>
    <w:rsid w:val="00526BC4"/>
    <w:rsid w:val="00526EAD"/>
    <w:rsid w:val="00526EB7"/>
    <w:rsid w:val="00526ED1"/>
    <w:rsid w:val="00526EDE"/>
    <w:rsid w:val="00526EEC"/>
    <w:rsid w:val="00527469"/>
    <w:rsid w:val="005275AF"/>
    <w:rsid w:val="005275E6"/>
    <w:rsid w:val="005276B2"/>
    <w:rsid w:val="005278E7"/>
    <w:rsid w:val="0052796C"/>
    <w:rsid w:val="00527AC4"/>
    <w:rsid w:val="00527BCD"/>
    <w:rsid w:val="00527C53"/>
    <w:rsid w:val="00530199"/>
    <w:rsid w:val="00530206"/>
    <w:rsid w:val="00530275"/>
    <w:rsid w:val="005305FB"/>
    <w:rsid w:val="005308D5"/>
    <w:rsid w:val="00530A99"/>
    <w:rsid w:val="00530D29"/>
    <w:rsid w:val="00530E1E"/>
    <w:rsid w:val="00530FCA"/>
    <w:rsid w:val="00531324"/>
    <w:rsid w:val="005313CB"/>
    <w:rsid w:val="005315C7"/>
    <w:rsid w:val="00531772"/>
    <w:rsid w:val="005318CA"/>
    <w:rsid w:val="005319DC"/>
    <w:rsid w:val="00531B8C"/>
    <w:rsid w:val="00531BCF"/>
    <w:rsid w:val="00531DE9"/>
    <w:rsid w:val="005320EF"/>
    <w:rsid w:val="0053226D"/>
    <w:rsid w:val="00532721"/>
    <w:rsid w:val="00532AEE"/>
    <w:rsid w:val="00532DBA"/>
    <w:rsid w:val="00532E0E"/>
    <w:rsid w:val="005331FE"/>
    <w:rsid w:val="0053334E"/>
    <w:rsid w:val="00533574"/>
    <w:rsid w:val="005337BE"/>
    <w:rsid w:val="00533A90"/>
    <w:rsid w:val="00533C00"/>
    <w:rsid w:val="00533D8C"/>
    <w:rsid w:val="00533D9D"/>
    <w:rsid w:val="0053406A"/>
    <w:rsid w:val="005345A9"/>
    <w:rsid w:val="00534807"/>
    <w:rsid w:val="005348B9"/>
    <w:rsid w:val="00534A2B"/>
    <w:rsid w:val="00534A6A"/>
    <w:rsid w:val="00534E65"/>
    <w:rsid w:val="00535043"/>
    <w:rsid w:val="00535308"/>
    <w:rsid w:val="005354D7"/>
    <w:rsid w:val="005355AE"/>
    <w:rsid w:val="00535717"/>
    <w:rsid w:val="005358C1"/>
    <w:rsid w:val="00535915"/>
    <w:rsid w:val="00535B74"/>
    <w:rsid w:val="00535F38"/>
    <w:rsid w:val="00536118"/>
    <w:rsid w:val="00536158"/>
    <w:rsid w:val="00536216"/>
    <w:rsid w:val="005363F9"/>
    <w:rsid w:val="005365C7"/>
    <w:rsid w:val="00536BE7"/>
    <w:rsid w:val="005377C4"/>
    <w:rsid w:val="0053780C"/>
    <w:rsid w:val="00537895"/>
    <w:rsid w:val="00537914"/>
    <w:rsid w:val="00537ABB"/>
    <w:rsid w:val="00537C0C"/>
    <w:rsid w:val="00537D58"/>
    <w:rsid w:val="00537DE0"/>
    <w:rsid w:val="005403E3"/>
    <w:rsid w:val="00540601"/>
    <w:rsid w:val="00540676"/>
    <w:rsid w:val="005406F6"/>
    <w:rsid w:val="00540810"/>
    <w:rsid w:val="0054082B"/>
    <w:rsid w:val="00540843"/>
    <w:rsid w:val="00540C78"/>
    <w:rsid w:val="005412D1"/>
    <w:rsid w:val="00541725"/>
    <w:rsid w:val="005417E2"/>
    <w:rsid w:val="005419EF"/>
    <w:rsid w:val="00541A4B"/>
    <w:rsid w:val="00541ADB"/>
    <w:rsid w:val="005421A5"/>
    <w:rsid w:val="00542434"/>
    <w:rsid w:val="005424A4"/>
    <w:rsid w:val="005424B4"/>
    <w:rsid w:val="00542790"/>
    <w:rsid w:val="00542799"/>
    <w:rsid w:val="005429B6"/>
    <w:rsid w:val="005429FB"/>
    <w:rsid w:val="00542A22"/>
    <w:rsid w:val="00542C6C"/>
    <w:rsid w:val="00542CAD"/>
    <w:rsid w:val="00542CD1"/>
    <w:rsid w:val="00542D45"/>
    <w:rsid w:val="00542E82"/>
    <w:rsid w:val="00543395"/>
    <w:rsid w:val="0054339E"/>
    <w:rsid w:val="005433B7"/>
    <w:rsid w:val="005435BC"/>
    <w:rsid w:val="0054393F"/>
    <w:rsid w:val="00543ABE"/>
    <w:rsid w:val="005440E6"/>
    <w:rsid w:val="005444A1"/>
    <w:rsid w:val="0054471B"/>
    <w:rsid w:val="005448F9"/>
    <w:rsid w:val="00544ED6"/>
    <w:rsid w:val="00544F9F"/>
    <w:rsid w:val="0054506A"/>
    <w:rsid w:val="005450C9"/>
    <w:rsid w:val="005452CB"/>
    <w:rsid w:val="0054543B"/>
    <w:rsid w:val="00545470"/>
    <w:rsid w:val="0054548C"/>
    <w:rsid w:val="0054558A"/>
    <w:rsid w:val="00545675"/>
    <w:rsid w:val="00545814"/>
    <w:rsid w:val="00545825"/>
    <w:rsid w:val="005459A0"/>
    <w:rsid w:val="005459EE"/>
    <w:rsid w:val="00545D92"/>
    <w:rsid w:val="00545D97"/>
    <w:rsid w:val="0054627B"/>
    <w:rsid w:val="00546988"/>
    <w:rsid w:val="00546A7F"/>
    <w:rsid w:val="00546D2B"/>
    <w:rsid w:val="00546DD0"/>
    <w:rsid w:val="00546EF4"/>
    <w:rsid w:val="0054731F"/>
    <w:rsid w:val="00547439"/>
    <w:rsid w:val="00547651"/>
    <w:rsid w:val="0054777F"/>
    <w:rsid w:val="0054787A"/>
    <w:rsid w:val="00547973"/>
    <w:rsid w:val="00547B31"/>
    <w:rsid w:val="00547B7C"/>
    <w:rsid w:val="005505B9"/>
    <w:rsid w:val="005505D7"/>
    <w:rsid w:val="00550B0A"/>
    <w:rsid w:val="00550BDF"/>
    <w:rsid w:val="00550EF5"/>
    <w:rsid w:val="00551014"/>
    <w:rsid w:val="00551122"/>
    <w:rsid w:val="0055137F"/>
    <w:rsid w:val="005513DD"/>
    <w:rsid w:val="005515B3"/>
    <w:rsid w:val="005517AA"/>
    <w:rsid w:val="005517D1"/>
    <w:rsid w:val="00551AF8"/>
    <w:rsid w:val="00551B6F"/>
    <w:rsid w:val="00551D0B"/>
    <w:rsid w:val="00551DB6"/>
    <w:rsid w:val="00551DC0"/>
    <w:rsid w:val="0055205D"/>
    <w:rsid w:val="005521B1"/>
    <w:rsid w:val="00552232"/>
    <w:rsid w:val="0055256F"/>
    <w:rsid w:val="005526A8"/>
    <w:rsid w:val="005526D3"/>
    <w:rsid w:val="005527DB"/>
    <w:rsid w:val="0055294B"/>
    <w:rsid w:val="00552CE8"/>
    <w:rsid w:val="00552F82"/>
    <w:rsid w:val="00553045"/>
    <w:rsid w:val="00553090"/>
    <w:rsid w:val="00553423"/>
    <w:rsid w:val="00553474"/>
    <w:rsid w:val="005534AC"/>
    <w:rsid w:val="0055357E"/>
    <w:rsid w:val="005536CB"/>
    <w:rsid w:val="005537B2"/>
    <w:rsid w:val="005537F3"/>
    <w:rsid w:val="00553F8A"/>
    <w:rsid w:val="00553FA5"/>
    <w:rsid w:val="00554266"/>
    <w:rsid w:val="0055427F"/>
    <w:rsid w:val="00554379"/>
    <w:rsid w:val="00554444"/>
    <w:rsid w:val="00554497"/>
    <w:rsid w:val="005546A6"/>
    <w:rsid w:val="00554ABF"/>
    <w:rsid w:val="00554CA2"/>
    <w:rsid w:val="00554CC4"/>
    <w:rsid w:val="0055527D"/>
    <w:rsid w:val="0055532B"/>
    <w:rsid w:val="0055542F"/>
    <w:rsid w:val="005554E1"/>
    <w:rsid w:val="0055550B"/>
    <w:rsid w:val="0055571E"/>
    <w:rsid w:val="00555858"/>
    <w:rsid w:val="00555AA0"/>
    <w:rsid w:val="00555DAB"/>
    <w:rsid w:val="00555DE0"/>
    <w:rsid w:val="00555E04"/>
    <w:rsid w:val="00555ED2"/>
    <w:rsid w:val="00556119"/>
    <w:rsid w:val="005562F1"/>
    <w:rsid w:val="0055663F"/>
    <w:rsid w:val="005567A9"/>
    <w:rsid w:val="00556AAA"/>
    <w:rsid w:val="00556AB5"/>
    <w:rsid w:val="00556EC1"/>
    <w:rsid w:val="00556FE9"/>
    <w:rsid w:val="00557138"/>
    <w:rsid w:val="00557248"/>
    <w:rsid w:val="00557434"/>
    <w:rsid w:val="0055788D"/>
    <w:rsid w:val="00557A8A"/>
    <w:rsid w:val="00557C51"/>
    <w:rsid w:val="00557CC6"/>
    <w:rsid w:val="00557CF4"/>
    <w:rsid w:val="00557DD7"/>
    <w:rsid w:val="00557E13"/>
    <w:rsid w:val="00557ED7"/>
    <w:rsid w:val="0056008F"/>
    <w:rsid w:val="0056018F"/>
    <w:rsid w:val="00560420"/>
    <w:rsid w:val="0056045A"/>
    <w:rsid w:val="00560644"/>
    <w:rsid w:val="00560739"/>
    <w:rsid w:val="00560C94"/>
    <w:rsid w:val="00560CF7"/>
    <w:rsid w:val="00560D47"/>
    <w:rsid w:val="00560DEE"/>
    <w:rsid w:val="00560E42"/>
    <w:rsid w:val="00560E63"/>
    <w:rsid w:val="00560FFD"/>
    <w:rsid w:val="00561091"/>
    <w:rsid w:val="005610FA"/>
    <w:rsid w:val="00561243"/>
    <w:rsid w:val="005614F9"/>
    <w:rsid w:val="005615FD"/>
    <w:rsid w:val="00561683"/>
    <w:rsid w:val="0056177A"/>
    <w:rsid w:val="00561A0E"/>
    <w:rsid w:val="00561B6A"/>
    <w:rsid w:val="00562037"/>
    <w:rsid w:val="005621FC"/>
    <w:rsid w:val="0056249A"/>
    <w:rsid w:val="0056253D"/>
    <w:rsid w:val="00562576"/>
    <w:rsid w:val="005625F9"/>
    <w:rsid w:val="00562666"/>
    <w:rsid w:val="0056299D"/>
    <w:rsid w:val="005629D1"/>
    <w:rsid w:val="005629EB"/>
    <w:rsid w:val="00562B92"/>
    <w:rsid w:val="00562CA0"/>
    <w:rsid w:val="00562D0B"/>
    <w:rsid w:val="00562D8E"/>
    <w:rsid w:val="00562FC1"/>
    <w:rsid w:val="0056335A"/>
    <w:rsid w:val="00563497"/>
    <w:rsid w:val="00563737"/>
    <w:rsid w:val="00563AC6"/>
    <w:rsid w:val="00563D27"/>
    <w:rsid w:val="00563D2A"/>
    <w:rsid w:val="00563DE6"/>
    <w:rsid w:val="00563E1D"/>
    <w:rsid w:val="00563E57"/>
    <w:rsid w:val="0056400B"/>
    <w:rsid w:val="0056404A"/>
    <w:rsid w:val="005641A9"/>
    <w:rsid w:val="0056425B"/>
    <w:rsid w:val="005642CA"/>
    <w:rsid w:val="00564420"/>
    <w:rsid w:val="00564440"/>
    <w:rsid w:val="00564671"/>
    <w:rsid w:val="005646D1"/>
    <w:rsid w:val="005647B4"/>
    <w:rsid w:val="0056493D"/>
    <w:rsid w:val="00564A5B"/>
    <w:rsid w:val="00564C56"/>
    <w:rsid w:val="00564D05"/>
    <w:rsid w:val="00564F13"/>
    <w:rsid w:val="005652A4"/>
    <w:rsid w:val="0056547D"/>
    <w:rsid w:val="0056551A"/>
    <w:rsid w:val="00565581"/>
    <w:rsid w:val="005655BC"/>
    <w:rsid w:val="005659C5"/>
    <w:rsid w:val="00565E0F"/>
    <w:rsid w:val="005660DC"/>
    <w:rsid w:val="00566256"/>
    <w:rsid w:val="005662B3"/>
    <w:rsid w:val="005663BB"/>
    <w:rsid w:val="0056654E"/>
    <w:rsid w:val="005665DC"/>
    <w:rsid w:val="00566813"/>
    <w:rsid w:val="0056686F"/>
    <w:rsid w:val="00566C73"/>
    <w:rsid w:val="00566E99"/>
    <w:rsid w:val="00566F3D"/>
    <w:rsid w:val="0056725D"/>
    <w:rsid w:val="0056748A"/>
    <w:rsid w:val="00567634"/>
    <w:rsid w:val="00567645"/>
    <w:rsid w:val="00567693"/>
    <w:rsid w:val="0056791B"/>
    <w:rsid w:val="005679DF"/>
    <w:rsid w:val="00567A51"/>
    <w:rsid w:val="00567B0E"/>
    <w:rsid w:val="00567C1B"/>
    <w:rsid w:val="00567C9E"/>
    <w:rsid w:val="00567E6B"/>
    <w:rsid w:val="00567FC9"/>
    <w:rsid w:val="0057007E"/>
    <w:rsid w:val="00570247"/>
    <w:rsid w:val="0057025A"/>
    <w:rsid w:val="00570426"/>
    <w:rsid w:val="005706C7"/>
    <w:rsid w:val="00570798"/>
    <w:rsid w:val="00570876"/>
    <w:rsid w:val="005709AA"/>
    <w:rsid w:val="005709DB"/>
    <w:rsid w:val="00570B28"/>
    <w:rsid w:val="00570B46"/>
    <w:rsid w:val="00570E61"/>
    <w:rsid w:val="00570EFF"/>
    <w:rsid w:val="005710B6"/>
    <w:rsid w:val="00571244"/>
    <w:rsid w:val="00571311"/>
    <w:rsid w:val="00571526"/>
    <w:rsid w:val="00571718"/>
    <w:rsid w:val="0057180B"/>
    <w:rsid w:val="00571BF4"/>
    <w:rsid w:val="00571CD3"/>
    <w:rsid w:val="0057205B"/>
    <w:rsid w:val="005722A1"/>
    <w:rsid w:val="00572322"/>
    <w:rsid w:val="00572353"/>
    <w:rsid w:val="005723C8"/>
    <w:rsid w:val="00572926"/>
    <w:rsid w:val="00572955"/>
    <w:rsid w:val="005729F7"/>
    <w:rsid w:val="00572A97"/>
    <w:rsid w:val="00572B8E"/>
    <w:rsid w:val="00572BD2"/>
    <w:rsid w:val="00572BFC"/>
    <w:rsid w:val="0057310C"/>
    <w:rsid w:val="00573549"/>
    <w:rsid w:val="0057360D"/>
    <w:rsid w:val="005738EA"/>
    <w:rsid w:val="0057397A"/>
    <w:rsid w:val="00573A16"/>
    <w:rsid w:val="00573D0A"/>
    <w:rsid w:val="00573D7B"/>
    <w:rsid w:val="00573F18"/>
    <w:rsid w:val="0057422F"/>
    <w:rsid w:val="005742A5"/>
    <w:rsid w:val="0057431F"/>
    <w:rsid w:val="00574409"/>
    <w:rsid w:val="00574BA1"/>
    <w:rsid w:val="00574FB9"/>
    <w:rsid w:val="005753CF"/>
    <w:rsid w:val="0057580D"/>
    <w:rsid w:val="00575C19"/>
    <w:rsid w:val="00575C7D"/>
    <w:rsid w:val="00575F13"/>
    <w:rsid w:val="00576414"/>
    <w:rsid w:val="00576435"/>
    <w:rsid w:val="00576620"/>
    <w:rsid w:val="0057666D"/>
    <w:rsid w:val="00577039"/>
    <w:rsid w:val="005770D7"/>
    <w:rsid w:val="00577408"/>
    <w:rsid w:val="0057747F"/>
    <w:rsid w:val="0057760E"/>
    <w:rsid w:val="0057764C"/>
    <w:rsid w:val="00577944"/>
    <w:rsid w:val="0057794A"/>
    <w:rsid w:val="005779DF"/>
    <w:rsid w:val="00577A86"/>
    <w:rsid w:val="00577BD2"/>
    <w:rsid w:val="00577D62"/>
    <w:rsid w:val="00577F38"/>
    <w:rsid w:val="00577FCC"/>
    <w:rsid w:val="00580019"/>
    <w:rsid w:val="0058017F"/>
    <w:rsid w:val="005803CD"/>
    <w:rsid w:val="005807AE"/>
    <w:rsid w:val="005808C5"/>
    <w:rsid w:val="00580974"/>
    <w:rsid w:val="00580A1C"/>
    <w:rsid w:val="00580B0C"/>
    <w:rsid w:val="00580B58"/>
    <w:rsid w:val="00580C68"/>
    <w:rsid w:val="00580DE4"/>
    <w:rsid w:val="00581232"/>
    <w:rsid w:val="00581261"/>
    <w:rsid w:val="00581286"/>
    <w:rsid w:val="005812F7"/>
    <w:rsid w:val="00581619"/>
    <w:rsid w:val="00581E04"/>
    <w:rsid w:val="00582017"/>
    <w:rsid w:val="00582028"/>
    <w:rsid w:val="005824D9"/>
    <w:rsid w:val="005825A3"/>
    <w:rsid w:val="005827A1"/>
    <w:rsid w:val="005827D2"/>
    <w:rsid w:val="00582841"/>
    <w:rsid w:val="005829FA"/>
    <w:rsid w:val="00582B79"/>
    <w:rsid w:val="00582C71"/>
    <w:rsid w:val="00582CB5"/>
    <w:rsid w:val="00582DEA"/>
    <w:rsid w:val="00582F90"/>
    <w:rsid w:val="00582FF2"/>
    <w:rsid w:val="00583298"/>
    <w:rsid w:val="005838A6"/>
    <w:rsid w:val="00583F55"/>
    <w:rsid w:val="00584329"/>
    <w:rsid w:val="00584E94"/>
    <w:rsid w:val="005851AB"/>
    <w:rsid w:val="00585500"/>
    <w:rsid w:val="005858C0"/>
    <w:rsid w:val="00585A87"/>
    <w:rsid w:val="00585BDE"/>
    <w:rsid w:val="00585CD2"/>
    <w:rsid w:val="00586078"/>
    <w:rsid w:val="00586299"/>
    <w:rsid w:val="005864F7"/>
    <w:rsid w:val="00586544"/>
    <w:rsid w:val="005868E5"/>
    <w:rsid w:val="00586992"/>
    <w:rsid w:val="00586C13"/>
    <w:rsid w:val="00586CC4"/>
    <w:rsid w:val="00586DAD"/>
    <w:rsid w:val="00586E5E"/>
    <w:rsid w:val="005879E9"/>
    <w:rsid w:val="00587E35"/>
    <w:rsid w:val="00587FB5"/>
    <w:rsid w:val="0059005C"/>
    <w:rsid w:val="005904BF"/>
    <w:rsid w:val="005904D7"/>
    <w:rsid w:val="00590558"/>
    <w:rsid w:val="00590B52"/>
    <w:rsid w:val="00590EE7"/>
    <w:rsid w:val="005913DD"/>
    <w:rsid w:val="00591542"/>
    <w:rsid w:val="005916A3"/>
    <w:rsid w:val="00591A20"/>
    <w:rsid w:val="00591CC0"/>
    <w:rsid w:val="00591DA5"/>
    <w:rsid w:val="00592061"/>
    <w:rsid w:val="00592177"/>
    <w:rsid w:val="005921C3"/>
    <w:rsid w:val="00592281"/>
    <w:rsid w:val="005922E8"/>
    <w:rsid w:val="00592546"/>
    <w:rsid w:val="00592B79"/>
    <w:rsid w:val="00592D68"/>
    <w:rsid w:val="00592DE7"/>
    <w:rsid w:val="00593210"/>
    <w:rsid w:val="00593440"/>
    <w:rsid w:val="00593ADE"/>
    <w:rsid w:val="005940B4"/>
    <w:rsid w:val="0059474D"/>
    <w:rsid w:val="005948EA"/>
    <w:rsid w:val="005949A8"/>
    <w:rsid w:val="005949BE"/>
    <w:rsid w:val="00594C27"/>
    <w:rsid w:val="00594CA0"/>
    <w:rsid w:val="0059582F"/>
    <w:rsid w:val="00595F2A"/>
    <w:rsid w:val="0059620D"/>
    <w:rsid w:val="005962A6"/>
    <w:rsid w:val="005963B2"/>
    <w:rsid w:val="00596573"/>
    <w:rsid w:val="00596957"/>
    <w:rsid w:val="00596A45"/>
    <w:rsid w:val="00596B81"/>
    <w:rsid w:val="00596EEF"/>
    <w:rsid w:val="00596F24"/>
    <w:rsid w:val="005970D5"/>
    <w:rsid w:val="00597141"/>
    <w:rsid w:val="00597364"/>
    <w:rsid w:val="00597B7F"/>
    <w:rsid w:val="00597D54"/>
    <w:rsid w:val="00597E3F"/>
    <w:rsid w:val="00597F1C"/>
    <w:rsid w:val="005A04C1"/>
    <w:rsid w:val="005A0579"/>
    <w:rsid w:val="005A07BF"/>
    <w:rsid w:val="005A07FE"/>
    <w:rsid w:val="005A0A98"/>
    <w:rsid w:val="005A0B2D"/>
    <w:rsid w:val="005A0B33"/>
    <w:rsid w:val="005A0C6B"/>
    <w:rsid w:val="005A0C9D"/>
    <w:rsid w:val="005A0EAE"/>
    <w:rsid w:val="005A0F24"/>
    <w:rsid w:val="005A108A"/>
    <w:rsid w:val="005A14E4"/>
    <w:rsid w:val="005A15AC"/>
    <w:rsid w:val="005A182C"/>
    <w:rsid w:val="005A18B5"/>
    <w:rsid w:val="005A1914"/>
    <w:rsid w:val="005A1945"/>
    <w:rsid w:val="005A1972"/>
    <w:rsid w:val="005A1AA3"/>
    <w:rsid w:val="005A1AFC"/>
    <w:rsid w:val="005A1E55"/>
    <w:rsid w:val="005A1F20"/>
    <w:rsid w:val="005A1F94"/>
    <w:rsid w:val="005A2428"/>
    <w:rsid w:val="005A2D42"/>
    <w:rsid w:val="005A2DC7"/>
    <w:rsid w:val="005A2FC9"/>
    <w:rsid w:val="005A3032"/>
    <w:rsid w:val="005A3169"/>
    <w:rsid w:val="005A31B8"/>
    <w:rsid w:val="005A31D5"/>
    <w:rsid w:val="005A3582"/>
    <w:rsid w:val="005A3905"/>
    <w:rsid w:val="005A3BA9"/>
    <w:rsid w:val="005A3BC7"/>
    <w:rsid w:val="005A3CC9"/>
    <w:rsid w:val="005A4257"/>
    <w:rsid w:val="005A47E8"/>
    <w:rsid w:val="005A48E1"/>
    <w:rsid w:val="005A4ADA"/>
    <w:rsid w:val="005A4AFF"/>
    <w:rsid w:val="005A4BB6"/>
    <w:rsid w:val="005A4CE3"/>
    <w:rsid w:val="005A4D77"/>
    <w:rsid w:val="005A4E5C"/>
    <w:rsid w:val="005A5031"/>
    <w:rsid w:val="005A5077"/>
    <w:rsid w:val="005A53DB"/>
    <w:rsid w:val="005A58F7"/>
    <w:rsid w:val="005A5BFE"/>
    <w:rsid w:val="005A6107"/>
    <w:rsid w:val="005A62CC"/>
    <w:rsid w:val="005A634E"/>
    <w:rsid w:val="005A6602"/>
    <w:rsid w:val="005A683C"/>
    <w:rsid w:val="005A6A2A"/>
    <w:rsid w:val="005A7251"/>
    <w:rsid w:val="005A746B"/>
    <w:rsid w:val="005A747C"/>
    <w:rsid w:val="005A74BC"/>
    <w:rsid w:val="005A7574"/>
    <w:rsid w:val="005A771E"/>
    <w:rsid w:val="005A781D"/>
    <w:rsid w:val="005A7CD2"/>
    <w:rsid w:val="005A7EE3"/>
    <w:rsid w:val="005B004E"/>
    <w:rsid w:val="005B0174"/>
    <w:rsid w:val="005B0371"/>
    <w:rsid w:val="005B03EB"/>
    <w:rsid w:val="005B067B"/>
    <w:rsid w:val="005B0F40"/>
    <w:rsid w:val="005B102E"/>
    <w:rsid w:val="005B10D7"/>
    <w:rsid w:val="005B151C"/>
    <w:rsid w:val="005B1520"/>
    <w:rsid w:val="005B1578"/>
    <w:rsid w:val="005B1678"/>
    <w:rsid w:val="005B18B4"/>
    <w:rsid w:val="005B18E3"/>
    <w:rsid w:val="005B19AB"/>
    <w:rsid w:val="005B1CF9"/>
    <w:rsid w:val="005B1DB4"/>
    <w:rsid w:val="005B21A2"/>
    <w:rsid w:val="005B2357"/>
    <w:rsid w:val="005B25AB"/>
    <w:rsid w:val="005B2652"/>
    <w:rsid w:val="005B288B"/>
    <w:rsid w:val="005B28EB"/>
    <w:rsid w:val="005B2A0B"/>
    <w:rsid w:val="005B2A10"/>
    <w:rsid w:val="005B2C2C"/>
    <w:rsid w:val="005B2DC6"/>
    <w:rsid w:val="005B2F64"/>
    <w:rsid w:val="005B31B8"/>
    <w:rsid w:val="005B33CD"/>
    <w:rsid w:val="005B355A"/>
    <w:rsid w:val="005B3673"/>
    <w:rsid w:val="005B3CD1"/>
    <w:rsid w:val="005B3E31"/>
    <w:rsid w:val="005B3EA3"/>
    <w:rsid w:val="005B3EBE"/>
    <w:rsid w:val="005B3F4A"/>
    <w:rsid w:val="005B41DB"/>
    <w:rsid w:val="005B43B6"/>
    <w:rsid w:val="005B4533"/>
    <w:rsid w:val="005B461F"/>
    <w:rsid w:val="005B4642"/>
    <w:rsid w:val="005B48C1"/>
    <w:rsid w:val="005B48E8"/>
    <w:rsid w:val="005B4D54"/>
    <w:rsid w:val="005B5018"/>
    <w:rsid w:val="005B5287"/>
    <w:rsid w:val="005B5302"/>
    <w:rsid w:val="005B55C5"/>
    <w:rsid w:val="005B568B"/>
    <w:rsid w:val="005B59E1"/>
    <w:rsid w:val="005B5C8F"/>
    <w:rsid w:val="005B5E06"/>
    <w:rsid w:val="005B5E87"/>
    <w:rsid w:val="005B5F85"/>
    <w:rsid w:val="005B5FF6"/>
    <w:rsid w:val="005B61E8"/>
    <w:rsid w:val="005B63AE"/>
    <w:rsid w:val="005B63AF"/>
    <w:rsid w:val="005B69B4"/>
    <w:rsid w:val="005B6BCE"/>
    <w:rsid w:val="005B6C13"/>
    <w:rsid w:val="005B6F34"/>
    <w:rsid w:val="005B6F68"/>
    <w:rsid w:val="005B7B0A"/>
    <w:rsid w:val="005B7BFD"/>
    <w:rsid w:val="005B7C7F"/>
    <w:rsid w:val="005B7DB3"/>
    <w:rsid w:val="005B7E1F"/>
    <w:rsid w:val="005B7FAA"/>
    <w:rsid w:val="005C031B"/>
    <w:rsid w:val="005C03C3"/>
    <w:rsid w:val="005C07A7"/>
    <w:rsid w:val="005C090D"/>
    <w:rsid w:val="005C0AAB"/>
    <w:rsid w:val="005C0CCE"/>
    <w:rsid w:val="005C0E67"/>
    <w:rsid w:val="005C10AE"/>
    <w:rsid w:val="005C128C"/>
    <w:rsid w:val="005C15AE"/>
    <w:rsid w:val="005C1A47"/>
    <w:rsid w:val="005C1B1D"/>
    <w:rsid w:val="005C1DEA"/>
    <w:rsid w:val="005C21CE"/>
    <w:rsid w:val="005C227F"/>
    <w:rsid w:val="005C22BE"/>
    <w:rsid w:val="005C23D2"/>
    <w:rsid w:val="005C2428"/>
    <w:rsid w:val="005C2538"/>
    <w:rsid w:val="005C25DC"/>
    <w:rsid w:val="005C287C"/>
    <w:rsid w:val="005C2B84"/>
    <w:rsid w:val="005C2D7A"/>
    <w:rsid w:val="005C2E2C"/>
    <w:rsid w:val="005C2F78"/>
    <w:rsid w:val="005C2F7F"/>
    <w:rsid w:val="005C32E7"/>
    <w:rsid w:val="005C33B8"/>
    <w:rsid w:val="005C356A"/>
    <w:rsid w:val="005C3871"/>
    <w:rsid w:val="005C3884"/>
    <w:rsid w:val="005C38C9"/>
    <w:rsid w:val="005C398F"/>
    <w:rsid w:val="005C3D34"/>
    <w:rsid w:val="005C3E21"/>
    <w:rsid w:val="005C3EA4"/>
    <w:rsid w:val="005C3F76"/>
    <w:rsid w:val="005C4546"/>
    <w:rsid w:val="005C4780"/>
    <w:rsid w:val="005C48DE"/>
    <w:rsid w:val="005C4A43"/>
    <w:rsid w:val="005C4A4D"/>
    <w:rsid w:val="005C4B22"/>
    <w:rsid w:val="005C4D5C"/>
    <w:rsid w:val="005C4E42"/>
    <w:rsid w:val="005C4F9F"/>
    <w:rsid w:val="005C5665"/>
    <w:rsid w:val="005C58D5"/>
    <w:rsid w:val="005C5FAA"/>
    <w:rsid w:val="005C6071"/>
    <w:rsid w:val="005C6089"/>
    <w:rsid w:val="005C6284"/>
    <w:rsid w:val="005C63BE"/>
    <w:rsid w:val="005C64C8"/>
    <w:rsid w:val="005C66A5"/>
    <w:rsid w:val="005C67B3"/>
    <w:rsid w:val="005C6A8D"/>
    <w:rsid w:val="005C6ACF"/>
    <w:rsid w:val="005C6AF1"/>
    <w:rsid w:val="005C70DD"/>
    <w:rsid w:val="005C71A0"/>
    <w:rsid w:val="005C71A9"/>
    <w:rsid w:val="005C733A"/>
    <w:rsid w:val="005C77EE"/>
    <w:rsid w:val="005C7876"/>
    <w:rsid w:val="005C79D3"/>
    <w:rsid w:val="005C79F1"/>
    <w:rsid w:val="005C7FE1"/>
    <w:rsid w:val="005D0095"/>
    <w:rsid w:val="005D09E5"/>
    <w:rsid w:val="005D0E00"/>
    <w:rsid w:val="005D0E6B"/>
    <w:rsid w:val="005D0FB8"/>
    <w:rsid w:val="005D11D7"/>
    <w:rsid w:val="005D1318"/>
    <w:rsid w:val="005D137B"/>
    <w:rsid w:val="005D15C9"/>
    <w:rsid w:val="005D19CE"/>
    <w:rsid w:val="005D1A23"/>
    <w:rsid w:val="005D1A41"/>
    <w:rsid w:val="005D1C7B"/>
    <w:rsid w:val="005D1CA4"/>
    <w:rsid w:val="005D1E14"/>
    <w:rsid w:val="005D1E19"/>
    <w:rsid w:val="005D216C"/>
    <w:rsid w:val="005D2400"/>
    <w:rsid w:val="005D24D9"/>
    <w:rsid w:val="005D26D1"/>
    <w:rsid w:val="005D26DC"/>
    <w:rsid w:val="005D26EF"/>
    <w:rsid w:val="005D2D56"/>
    <w:rsid w:val="005D2E5F"/>
    <w:rsid w:val="005D317A"/>
    <w:rsid w:val="005D33DE"/>
    <w:rsid w:val="005D350B"/>
    <w:rsid w:val="005D35C8"/>
    <w:rsid w:val="005D361C"/>
    <w:rsid w:val="005D3644"/>
    <w:rsid w:val="005D3A23"/>
    <w:rsid w:val="005D3A73"/>
    <w:rsid w:val="005D3D01"/>
    <w:rsid w:val="005D3EBF"/>
    <w:rsid w:val="005D40EF"/>
    <w:rsid w:val="005D42E8"/>
    <w:rsid w:val="005D442D"/>
    <w:rsid w:val="005D4755"/>
    <w:rsid w:val="005D4AA8"/>
    <w:rsid w:val="005D4CE3"/>
    <w:rsid w:val="005D4FDE"/>
    <w:rsid w:val="005D5101"/>
    <w:rsid w:val="005D54AE"/>
    <w:rsid w:val="005D5699"/>
    <w:rsid w:val="005D5863"/>
    <w:rsid w:val="005D5929"/>
    <w:rsid w:val="005D5FC5"/>
    <w:rsid w:val="005D5FCF"/>
    <w:rsid w:val="005D60D8"/>
    <w:rsid w:val="005D69A6"/>
    <w:rsid w:val="005D6A18"/>
    <w:rsid w:val="005D6A3A"/>
    <w:rsid w:val="005D6C1D"/>
    <w:rsid w:val="005D6DA4"/>
    <w:rsid w:val="005D6E76"/>
    <w:rsid w:val="005D7552"/>
    <w:rsid w:val="005D75D3"/>
    <w:rsid w:val="005D789D"/>
    <w:rsid w:val="005D7A41"/>
    <w:rsid w:val="005D7A5E"/>
    <w:rsid w:val="005D7B3F"/>
    <w:rsid w:val="005D7E4A"/>
    <w:rsid w:val="005D7E6C"/>
    <w:rsid w:val="005D7F2D"/>
    <w:rsid w:val="005D7F5F"/>
    <w:rsid w:val="005D7FF5"/>
    <w:rsid w:val="005E016B"/>
    <w:rsid w:val="005E01E0"/>
    <w:rsid w:val="005E0211"/>
    <w:rsid w:val="005E03E5"/>
    <w:rsid w:val="005E04C2"/>
    <w:rsid w:val="005E054A"/>
    <w:rsid w:val="005E0552"/>
    <w:rsid w:val="005E0719"/>
    <w:rsid w:val="005E0ACB"/>
    <w:rsid w:val="005E0CEC"/>
    <w:rsid w:val="005E0EA5"/>
    <w:rsid w:val="005E154E"/>
    <w:rsid w:val="005E1567"/>
    <w:rsid w:val="005E1639"/>
    <w:rsid w:val="005E172F"/>
    <w:rsid w:val="005E1A3A"/>
    <w:rsid w:val="005E217D"/>
    <w:rsid w:val="005E221B"/>
    <w:rsid w:val="005E22A5"/>
    <w:rsid w:val="005E2668"/>
    <w:rsid w:val="005E2A3A"/>
    <w:rsid w:val="005E30BE"/>
    <w:rsid w:val="005E3450"/>
    <w:rsid w:val="005E34FA"/>
    <w:rsid w:val="005E37CE"/>
    <w:rsid w:val="005E3B1E"/>
    <w:rsid w:val="005E3E98"/>
    <w:rsid w:val="005E3FE2"/>
    <w:rsid w:val="005E4049"/>
    <w:rsid w:val="005E467D"/>
    <w:rsid w:val="005E47A5"/>
    <w:rsid w:val="005E47DC"/>
    <w:rsid w:val="005E47FE"/>
    <w:rsid w:val="005E4884"/>
    <w:rsid w:val="005E4BF9"/>
    <w:rsid w:val="005E4C45"/>
    <w:rsid w:val="005E512B"/>
    <w:rsid w:val="005E5385"/>
    <w:rsid w:val="005E5B8E"/>
    <w:rsid w:val="005E5FA5"/>
    <w:rsid w:val="005E5FEF"/>
    <w:rsid w:val="005E603B"/>
    <w:rsid w:val="005E6110"/>
    <w:rsid w:val="005E613E"/>
    <w:rsid w:val="005E61A1"/>
    <w:rsid w:val="005E61EF"/>
    <w:rsid w:val="005E66E1"/>
    <w:rsid w:val="005E683B"/>
    <w:rsid w:val="005E6950"/>
    <w:rsid w:val="005E6A3B"/>
    <w:rsid w:val="005E6CC2"/>
    <w:rsid w:val="005E6DEA"/>
    <w:rsid w:val="005E7572"/>
    <w:rsid w:val="005E7849"/>
    <w:rsid w:val="005E7968"/>
    <w:rsid w:val="005E7A3B"/>
    <w:rsid w:val="005E7BB9"/>
    <w:rsid w:val="005E7E33"/>
    <w:rsid w:val="005E7F9D"/>
    <w:rsid w:val="005F03D0"/>
    <w:rsid w:val="005F0C53"/>
    <w:rsid w:val="005F0F52"/>
    <w:rsid w:val="005F0F59"/>
    <w:rsid w:val="005F0FB0"/>
    <w:rsid w:val="005F10A2"/>
    <w:rsid w:val="005F1366"/>
    <w:rsid w:val="005F1379"/>
    <w:rsid w:val="005F139D"/>
    <w:rsid w:val="005F144E"/>
    <w:rsid w:val="005F158F"/>
    <w:rsid w:val="005F1742"/>
    <w:rsid w:val="005F1925"/>
    <w:rsid w:val="005F194C"/>
    <w:rsid w:val="005F1C14"/>
    <w:rsid w:val="005F1C85"/>
    <w:rsid w:val="005F1FAB"/>
    <w:rsid w:val="005F22B5"/>
    <w:rsid w:val="005F28BC"/>
    <w:rsid w:val="005F2ED9"/>
    <w:rsid w:val="005F352B"/>
    <w:rsid w:val="005F362D"/>
    <w:rsid w:val="005F3979"/>
    <w:rsid w:val="005F3BAE"/>
    <w:rsid w:val="005F3C4D"/>
    <w:rsid w:val="005F3C71"/>
    <w:rsid w:val="005F3C9B"/>
    <w:rsid w:val="005F3D85"/>
    <w:rsid w:val="005F3DC4"/>
    <w:rsid w:val="005F3EA5"/>
    <w:rsid w:val="005F3F45"/>
    <w:rsid w:val="005F40BD"/>
    <w:rsid w:val="005F4211"/>
    <w:rsid w:val="005F42D4"/>
    <w:rsid w:val="005F45BD"/>
    <w:rsid w:val="005F4D3B"/>
    <w:rsid w:val="005F4EAF"/>
    <w:rsid w:val="005F4EF5"/>
    <w:rsid w:val="005F4F3C"/>
    <w:rsid w:val="005F541A"/>
    <w:rsid w:val="005F585E"/>
    <w:rsid w:val="005F5A07"/>
    <w:rsid w:val="005F5ACF"/>
    <w:rsid w:val="005F5B3D"/>
    <w:rsid w:val="005F5C35"/>
    <w:rsid w:val="005F632B"/>
    <w:rsid w:val="005F63A4"/>
    <w:rsid w:val="005F63C0"/>
    <w:rsid w:val="005F640D"/>
    <w:rsid w:val="005F6B4B"/>
    <w:rsid w:val="005F6D4F"/>
    <w:rsid w:val="005F6E59"/>
    <w:rsid w:val="005F6EF2"/>
    <w:rsid w:val="005F7316"/>
    <w:rsid w:val="005F7644"/>
    <w:rsid w:val="005F77F4"/>
    <w:rsid w:val="005F78A5"/>
    <w:rsid w:val="005F7AB9"/>
    <w:rsid w:val="005F7AC7"/>
    <w:rsid w:val="005F7C01"/>
    <w:rsid w:val="005F7CBE"/>
    <w:rsid w:val="005F7CD0"/>
    <w:rsid w:val="005F7DBD"/>
    <w:rsid w:val="005F7E20"/>
    <w:rsid w:val="006005B4"/>
    <w:rsid w:val="00600663"/>
    <w:rsid w:val="006006A0"/>
    <w:rsid w:val="00600751"/>
    <w:rsid w:val="00600E33"/>
    <w:rsid w:val="00600F22"/>
    <w:rsid w:val="00600F75"/>
    <w:rsid w:val="00600F97"/>
    <w:rsid w:val="00601309"/>
    <w:rsid w:val="006013CD"/>
    <w:rsid w:val="00601DA3"/>
    <w:rsid w:val="006021FC"/>
    <w:rsid w:val="006025DC"/>
    <w:rsid w:val="006026E7"/>
    <w:rsid w:val="006028BA"/>
    <w:rsid w:val="00602B0B"/>
    <w:rsid w:val="00602B50"/>
    <w:rsid w:val="00602CC8"/>
    <w:rsid w:val="00602F0A"/>
    <w:rsid w:val="0060302F"/>
    <w:rsid w:val="00603083"/>
    <w:rsid w:val="00603303"/>
    <w:rsid w:val="00603307"/>
    <w:rsid w:val="006033E4"/>
    <w:rsid w:val="00603805"/>
    <w:rsid w:val="00603852"/>
    <w:rsid w:val="00603D6E"/>
    <w:rsid w:val="00603EB4"/>
    <w:rsid w:val="006042E8"/>
    <w:rsid w:val="0060442D"/>
    <w:rsid w:val="00604434"/>
    <w:rsid w:val="00604548"/>
    <w:rsid w:val="00604909"/>
    <w:rsid w:val="00604B5E"/>
    <w:rsid w:val="00604F81"/>
    <w:rsid w:val="00605060"/>
    <w:rsid w:val="006050D5"/>
    <w:rsid w:val="006050D9"/>
    <w:rsid w:val="006050F0"/>
    <w:rsid w:val="006051A8"/>
    <w:rsid w:val="0060530F"/>
    <w:rsid w:val="00605454"/>
    <w:rsid w:val="0060580B"/>
    <w:rsid w:val="006058FC"/>
    <w:rsid w:val="006059EC"/>
    <w:rsid w:val="00605AAA"/>
    <w:rsid w:val="00605B53"/>
    <w:rsid w:val="00605C59"/>
    <w:rsid w:val="00605EDC"/>
    <w:rsid w:val="00606029"/>
    <w:rsid w:val="0060611C"/>
    <w:rsid w:val="006061A5"/>
    <w:rsid w:val="00606261"/>
    <w:rsid w:val="006062A7"/>
    <w:rsid w:val="0060632A"/>
    <w:rsid w:val="00606551"/>
    <w:rsid w:val="00606746"/>
    <w:rsid w:val="0060699D"/>
    <w:rsid w:val="006069C0"/>
    <w:rsid w:val="00606C36"/>
    <w:rsid w:val="00606EA7"/>
    <w:rsid w:val="0060704B"/>
    <w:rsid w:val="006070B1"/>
    <w:rsid w:val="00607141"/>
    <w:rsid w:val="006072FE"/>
    <w:rsid w:val="006079FE"/>
    <w:rsid w:val="00607AB6"/>
    <w:rsid w:val="00607F39"/>
    <w:rsid w:val="00607F72"/>
    <w:rsid w:val="00610194"/>
    <w:rsid w:val="0061027E"/>
    <w:rsid w:val="00610570"/>
    <w:rsid w:val="006105A9"/>
    <w:rsid w:val="0061082B"/>
    <w:rsid w:val="0061083C"/>
    <w:rsid w:val="00610AF1"/>
    <w:rsid w:val="00610ED8"/>
    <w:rsid w:val="00611426"/>
    <w:rsid w:val="00611429"/>
    <w:rsid w:val="006114D6"/>
    <w:rsid w:val="00611875"/>
    <w:rsid w:val="006118DA"/>
    <w:rsid w:val="00611A2D"/>
    <w:rsid w:val="00611C5B"/>
    <w:rsid w:val="00611F8F"/>
    <w:rsid w:val="006122A4"/>
    <w:rsid w:val="00612698"/>
    <w:rsid w:val="006128B5"/>
    <w:rsid w:val="00612D34"/>
    <w:rsid w:val="006130EC"/>
    <w:rsid w:val="006132E1"/>
    <w:rsid w:val="006132E7"/>
    <w:rsid w:val="00613325"/>
    <w:rsid w:val="00613471"/>
    <w:rsid w:val="0061361C"/>
    <w:rsid w:val="00613657"/>
    <w:rsid w:val="006139B0"/>
    <w:rsid w:val="00613C28"/>
    <w:rsid w:val="00613DEE"/>
    <w:rsid w:val="0061441D"/>
    <w:rsid w:val="006144B3"/>
    <w:rsid w:val="006145D5"/>
    <w:rsid w:val="006149A0"/>
    <w:rsid w:val="00614D60"/>
    <w:rsid w:val="00614F13"/>
    <w:rsid w:val="006153A0"/>
    <w:rsid w:val="00615865"/>
    <w:rsid w:val="00615905"/>
    <w:rsid w:val="00615AA4"/>
    <w:rsid w:val="00615FC4"/>
    <w:rsid w:val="00615FF0"/>
    <w:rsid w:val="006160C8"/>
    <w:rsid w:val="00616103"/>
    <w:rsid w:val="006161CE"/>
    <w:rsid w:val="0061630E"/>
    <w:rsid w:val="0061680B"/>
    <w:rsid w:val="00616B22"/>
    <w:rsid w:val="00616C2C"/>
    <w:rsid w:val="00616C42"/>
    <w:rsid w:val="00616CDB"/>
    <w:rsid w:val="00616D64"/>
    <w:rsid w:val="00616DE2"/>
    <w:rsid w:val="00616F92"/>
    <w:rsid w:val="0061705B"/>
    <w:rsid w:val="00617321"/>
    <w:rsid w:val="00617512"/>
    <w:rsid w:val="006176EB"/>
    <w:rsid w:val="00617738"/>
    <w:rsid w:val="00617B70"/>
    <w:rsid w:val="00617C7C"/>
    <w:rsid w:val="00617CA7"/>
    <w:rsid w:val="00617EBB"/>
    <w:rsid w:val="0062022C"/>
    <w:rsid w:val="00620381"/>
    <w:rsid w:val="00620BE5"/>
    <w:rsid w:val="00620C5D"/>
    <w:rsid w:val="00620C81"/>
    <w:rsid w:val="00620D09"/>
    <w:rsid w:val="00620D2F"/>
    <w:rsid w:val="00620E74"/>
    <w:rsid w:val="00621085"/>
    <w:rsid w:val="006210D4"/>
    <w:rsid w:val="0062138F"/>
    <w:rsid w:val="00621554"/>
    <w:rsid w:val="00621586"/>
    <w:rsid w:val="006218C4"/>
    <w:rsid w:val="006218EC"/>
    <w:rsid w:val="00621ABC"/>
    <w:rsid w:val="00621FAE"/>
    <w:rsid w:val="00622162"/>
    <w:rsid w:val="00622203"/>
    <w:rsid w:val="00622286"/>
    <w:rsid w:val="0062241D"/>
    <w:rsid w:val="00622465"/>
    <w:rsid w:val="006228EB"/>
    <w:rsid w:val="0062292A"/>
    <w:rsid w:val="006229CB"/>
    <w:rsid w:val="00622C36"/>
    <w:rsid w:val="00622D9B"/>
    <w:rsid w:val="00622E23"/>
    <w:rsid w:val="0062306C"/>
    <w:rsid w:val="0062320F"/>
    <w:rsid w:val="006232C1"/>
    <w:rsid w:val="00623410"/>
    <w:rsid w:val="00623580"/>
    <w:rsid w:val="006235A9"/>
    <w:rsid w:val="00623687"/>
    <w:rsid w:val="0062381F"/>
    <w:rsid w:val="00623825"/>
    <w:rsid w:val="006239AC"/>
    <w:rsid w:val="00623AB5"/>
    <w:rsid w:val="00623C5C"/>
    <w:rsid w:val="00623D98"/>
    <w:rsid w:val="00623EEA"/>
    <w:rsid w:val="00624073"/>
    <w:rsid w:val="006245E5"/>
    <w:rsid w:val="0062479E"/>
    <w:rsid w:val="0062497C"/>
    <w:rsid w:val="00624B1D"/>
    <w:rsid w:val="00624B3C"/>
    <w:rsid w:val="00624CD8"/>
    <w:rsid w:val="00624E66"/>
    <w:rsid w:val="0062504C"/>
    <w:rsid w:val="00625105"/>
    <w:rsid w:val="00625476"/>
    <w:rsid w:val="00625617"/>
    <w:rsid w:val="00625655"/>
    <w:rsid w:val="00625AA3"/>
    <w:rsid w:val="00625C90"/>
    <w:rsid w:val="00625D15"/>
    <w:rsid w:val="00625D6C"/>
    <w:rsid w:val="006263F5"/>
    <w:rsid w:val="0062650F"/>
    <w:rsid w:val="00626605"/>
    <w:rsid w:val="0062661B"/>
    <w:rsid w:val="00626688"/>
    <w:rsid w:val="0062678F"/>
    <w:rsid w:val="006268E5"/>
    <w:rsid w:val="00626B29"/>
    <w:rsid w:val="0062759A"/>
    <w:rsid w:val="006275FB"/>
    <w:rsid w:val="006276B3"/>
    <w:rsid w:val="006279DC"/>
    <w:rsid w:val="00627B14"/>
    <w:rsid w:val="006300E6"/>
    <w:rsid w:val="00630405"/>
    <w:rsid w:val="0063061F"/>
    <w:rsid w:val="006306A0"/>
    <w:rsid w:val="00630BB9"/>
    <w:rsid w:val="00630CE7"/>
    <w:rsid w:val="00630F35"/>
    <w:rsid w:val="00631211"/>
    <w:rsid w:val="006312AD"/>
    <w:rsid w:val="00631497"/>
    <w:rsid w:val="006314DF"/>
    <w:rsid w:val="006316B8"/>
    <w:rsid w:val="00631CA8"/>
    <w:rsid w:val="00631D6E"/>
    <w:rsid w:val="00631DB5"/>
    <w:rsid w:val="006322D0"/>
    <w:rsid w:val="00632320"/>
    <w:rsid w:val="006327C8"/>
    <w:rsid w:val="006328F1"/>
    <w:rsid w:val="0063291F"/>
    <w:rsid w:val="0063299F"/>
    <w:rsid w:val="00632B5D"/>
    <w:rsid w:val="00632BA5"/>
    <w:rsid w:val="00632CF5"/>
    <w:rsid w:val="00632E40"/>
    <w:rsid w:val="00633000"/>
    <w:rsid w:val="006330DB"/>
    <w:rsid w:val="006330DF"/>
    <w:rsid w:val="00633348"/>
    <w:rsid w:val="00633658"/>
    <w:rsid w:val="006337B4"/>
    <w:rsid w:val="00633EA2"/>
    <w:rsid w:val="0063406F"/>
    <w:rsid w:val="006341E2"/>
    <w:rsid w:val="0063427D"/>
    <w:rsid w:val="006342D3"/>
    <w:rsid w:val="0063435E"/>
    <w:rsid w:val="006344B4"/>
    <w:rsid w:val="00634591"/>
    <w:rsid w:val="006348F7"/>
    <w:rsid w:val="00634B2A"/>
    <w:rsid w:val="00634BAD"/>
    <w:rsid w:val="00634CAC"/>
    <w:rsid w:val="00634E33"/>
    <w:rsid w:val="00634FCD"/>
    <w:rsid w:val="0063507F"/>
    <w:rsid w:val="006351B1"/>
    <w:rsid w:val="00635949"/>
    <w:rsid w:val="0063594F"/>
    <w:rsid w:val="00635B6B"/>
    <w:rsid w:val="00635C78"/>
    <w:rsid w:val="00635CB3"/>
    <w:rsid w:val="00635CBC"/>
    <w:rsid w:val="00635EE1"/>
    <w:rsid w:val="00636171"/>
    <w:rsid w:val="006361F8"/>
    <w:rsid w:val="0063643F"/>
    <w:rsid w:val="0063649B"/>
    <w:rsid w:val="00636605"/>
    <w:rsid w:val="006366B7"/>
    <w:rsid w:val="006367A6"/>
    <w:rsid w:val="0063687C"/>
    <w:rsid w:val="00636B28"/>
    <w:rsid w:val="00636B3F"/>
    <w:rsid w:val="00636BEF"/>
    <w:rsid w:val="00636C8F"/>
    <w:rsid w:val="00636F81"/>
    <w:rsid w:val="0063715F"/>
    <w:rsid w:val="0063718D"/>
    <w:rsid w:val="006374F8"/>
    <w:rsid w:val="00637703"/>
    <w:rsid w:val="006378A3"/>
    <w:rsid w:val="006379C9"/>
    <w:rsid w:val="00637A0A"/>
    <w:rsid w:val="00637F49"/>
    <w:rsid w:val="00640EF6"/>
    <w:rsid w:val="006414F7"/>
    <w:rsid w:val="0064194A"/>
    <w:rsid w:val="00641A95"/>
    <w:rsid w:val="00641F13"/>
    <w:rsid w:val="0064203F"/>
    <w:rsid w:val="00642053"/>
    <w:rsid w:val="0064223C"/>
    <w:rsid w:val="0064228D"/>
    <w:rsid w:val="006423A9"/>
    <w:rsid w:val="00642449"/>
    <w:rsid w:val="00642779"/>
    <w:rsid w:val="00642F96"/>
    <w:rsid w:val="00643021"/>
    <w:rsid w:val="00643145"/>
    <w:rsid w:val="006435C3"/>
    <w:rsid w:val="006438BE"/>
    <w:rsid w:val="00643A81"/>
    <w:rsid w:val="00643C37"/>
    <w:rsid w:val="00643C8B"/>
    <w:rsid w:val="00643CF9"/>
    <w:rsid w:val="00643ED8"/>
    <w:rsid w:val="0064442C"/>
    <w:rsid w:val="00644473"/>
    <w:rsid w:val="00644668"/>
    <w:rsid w:val="006447F6"/>
    <w:rsid w:val="006448AA"/>
    <w:rsid w:val="00644F56"/>
    <w:rsid w:val="006450BE"/>
    <w:rsid w:val="00645186"/>
    <w:rsid w:val="006452F9"/>
    <w:rsid w:val="006453D3"/>
    <w:rsid w:val="00645494"/>
    <w:rsid w:val="0064582B"/>
    <w:rsid w:val="006459EF"/>
    <w:rsid w:val="00645A6A"/>
    <w:rsid w:val="00645AAF"/>
    <w:rsid w:val="00645E85"/>
    <w:rsid w:val="00645EDE"/>
    <w:rsid w:val="0064612D"/>
    <w:rsid w:val="006465E2"/>
    <w:rsid w:val="0064689C"/>
    <w:rsid w:val="006468D7"/>
    <w:rsid w:val="006468F6"/>
    <w:rsid w:val="00646BF2"/>
    <w:rsid w:val="00646D30"/>
    <w:rsid w:val="0064721E"/>
    <w:rsid w:val="006474FE"/>
    <w:rsid w:val="00647550"/>
    <w:rsid w:val="00647595"/>
    <w:rsid w:val="00647604"/>
    <w:rsid w:val="0064780D"/>
    <w:rsid w:val="00647A5F"/>
    <w:rsid w:val="00647A61"/>
    <w:rsid w:val="00647AD2"/>
    <w:rsid w:val="00647C8F"/>
    <w:rsid w:val="006500C6"/>
    <w:rsid w:val="0065038F"/>
    <w:rsid w:val="00650463"/>
    <w:rsid w:val="00650467"/>
    <w:rsid w:val="00650C14"/>
    <w:rsid w:val="00650D9C"/>
    <w:rsid w:val="00650DC0"/>
    <w:rsid w:val="00650DDB"/>
    <w:rsid w:val="0065100F"/>
    <w:rsid w:val="0065101F"/>
    <w:rsid w:val="0065132E"/>
    <w:rsid w:val="0065136C"/>
    <w:rsid w:val="00651492"/>
    <w:rsid w:val="006515A6"/>
    <w:rsid w:val="006516DE"/>
    <w:rsid w:val="00651770"/>
    <w:rsid w:val="0065190A"/>
    <w:rsid w:val="00651A67"/>
    <w:rsid w:val="00651B22"/>
    <w:rsid w:val="00651D3E"/>
    <w:rsid w:val="00651F9E"/>
    <w:rsid w:val="00652125"/>
    <w:rsid w:val="006521BE"/>
    <w:rsid w:val="00652288"/>
    <w:rsid w:val="006523D5"/>
    <w:rsid w:val="006523EE"/>
    <w:rsid w:val="0065242B"/>
    <w:rsid w:val="0065277F"/>
    <w:rsid w:val="00652F29"/>
    <w:rsid w:val="0065304E"/>
    <w:rsid w:val="00653202"/>
    <w:rsid w:val="00653954"/>
    <w:rsid w:val="00653D88"/>
    <w:rsid w:val="00653DA7"/>
    <w:rsid w:val="00654117"/>
    <w:rsid w:val="00654337"/>
    <w:rsid w:val="0065440C"/>
    <w:rsid w:val="0065449C"/>
    <w:rsid w:val="00654574"/>
    <w:rsid w:val="00654707"/>
    <w:rsid w:val="0065470C"/>
    <w:rsid w:val="006548CD"/>
    <w:rsid w:val="00654CC8"/>
    <w:rsid w:val="00655120"/>
    <w:rsid w:val="00655386"/>
    <w:rsid w:val="006554B9"/>
    <w:rsid w:val="00655897"/>
    <w:rsid w:val="006559EC"/>
    <w:rsid w:val="00655A6C"/>
    <w:rsid w:val="00655B4E"/>
    <w:rsid w:val="00655F06"/>
    <w:rsid w:val="00655FD9"/>
    <w:rsid w:val="0065641F"/>
    <w:rsid w:val="006564BA"/>
    <w:rsid w:val="00656A97"/>
    <w:rsid w:val="00656B7E"/>
    <w:rsid w:val="00656C70"/>
    <w:rsid w:val="00656D03"/>
    <w:rsid w:val="00656F62"/>
    <w:rsid w:val="0065724B"/>
    <w:rsid w:val="006574B5"/>
    <w:rsid w:val="006579EC"/>
    <w:rsid w:val="00657D28"/>
    <w:rsid w:val="00657DCA"/>
    <w:rsid w:val="00657E7F"/>
    <w:rsid w:val="006600DE"/>
    <w:rsid w:val="006600F1"/>
    <w:rsid w:val="0066058E"/>
    <w:rsid w:val="006607E5"/>
    <w:rsid w:val="00660B47"/>
    <w:rsid w:val="00660F32"/>
    <w:rsid w:val="00661100"/>
    <w:rsid w:val="0066159A"/>
    <w:rsid w:val="006617B7"/>
    <w:rsid w:val="006618BF"/>
    <w:rsid w:val="00661A73"/>
    <w:rsid w:val="00661DA0"/>
    <w:rsid w:val="00661DD2"/>
    <w:rsid w:val="00661DE2"/>
    <w:rsid w:val="00661EA5"/>
    <w:rsid w:val="00662310"/>
    <w:rsid w:val="006624F0"/>
    <w:rsid w:val="006626B1"/>
    <w:rsid w:val="00662724"/>
    <w:rsid w:val="0066279D"/>
    <w:rsid w:val="006628A7"/>
    <w:rsid w:val="00662AF2"/>
    <w:rsid w:val="00662B04"/>
    <w:rsid w:val="00662D1B"/>
    <w:rsid w:val="00662F8B"/>
    <w:rsid w:val="00662FD9"/>
    <w:rsid w:val="00663193"/>
    <w:rsid w:val="00663462"/>
    <w:rsid w:val="0066355C"/>
    <w:rsid w:val="00663623"/>
    <w:rsid w:val="006637F0"/>
    <w:rsid w:val="0066388D"/>
    <w:rsid w:val="006638A4"/>
    <w:rsid w:val="006638F2"/>
    <w:rsid w:val="0066393B"/>
    <w:rsid w:val="00663942"/>
    <w:rsid w:val="00663B4A"/>
    <w:rsid w:val="00663C62"/>
    <w:rsid w:val="0066402E"/>
    <w:rsid w:val="006640CE"/>
    <w:rsid w:val="006644DC"/>
    <w:rsid w:val="0066526A"/>
    <w:rsid w:val="0066544C"/>
    <w:rsid w:val="00665859"/>
    <w:rsid w:val="00665A02"/>
    <w:rsid w:val="00665E75"/>
    <w:rsid w:val="00665F15"/>
    <w:rsid w:val="0066605A"/>
    <w:rsid w:val="00666191"/>
    <w:rsid w:val="0066688E"/>
    <w:rsid w:val="00666F99"/>
    <w:rsid w:val="006671C1"/>
    <w:rsid w:val="00667352"/>
    <w:rsid w:val="00667680"/>
    <w:rsid w:val="006678F2"/>
    <w:rsid w:val="00670008"/>
    <w:rsid w:val="006703FF"/>
    <w:rsid w:val="006704CC"/>
    <w:rsid w:val="0067085E"/>
    <w:rsid w:val="00670CAB"/>
    <w:rsid w:val="00670E6C"/>
    <w:rsid w:val="0067136D"/>
    <w:rsid w:val="00671375"/>
    <w:rsid w:val="00671472"/>
    <w:rsid w:val="00671822"/>
    <w:rsid w:val="0067190F"/>
    <w:rsid w:val="00671BEB"/>
    <w:rsid w:val="00671C62"/>
    <w:rsid w:val="00671DF2"/>
    <w:rsid w:val="006721A9"/>
    <w:rsid w:val="006724D9"/>
    <w:rsid w:val="006725E9"/>
    <w:rsid w:val="006725EF"/>
    <w:rsid w:val="0067284E"/>
    <w:rsid w:val="00672888"/>
    <w:rsid w:val="00672995"/>
    <w:rsid w:val="006729B3"/>
    <w:rsid w:val="00672B1C"/>
    <w:rsid w:val="00672BCC"/>
    <w:rsid w:val="00672D26"/>
    <w:rsid w:val="00672ED6"/>
    <w:rsid w:val="0067349B"/>
    <w:rsid w:val="00673856"/>
    <w:rsid w:val="00673925"/>
    <w:rsid w:val="00673AAF"/>
    <w:rsid w:val="00673CCE"/>
    <w:rsid w:val="00673D99"/>
    <w:rsid w:val="0067418C"/>
    <w:rsid w:val="0067437E"/>
    <w:rsid w:val="00674A49"/>
    <w:rsid w:val="00674B39"/>
    <w:rsid w:val="00674EDA"/>
    <w:rsid w:val="00674F22"/>
    <w:rsid w:val="00675260"/>
    <w:rsid w:val="00675492"/>
    <w:rsid w:val="006758F6"/>
    <w:rsid w:val="00675A26"/>
    <w:rsid w:val="00675B24"/>
    <w:rsid w:val="00675C45"/>
    <w:rsid w:val="00675C52"/>
    <w:rsid w:val="00675E7B"/>
    <w:rsid w:val="00675F63"/>
    <w:rsid w:val="0067617F"/>
    <w:rsid w:val="006761D1"/>
    <w:rsid w:val="00676279"/>
    <w:rsid w:val="0067632B"/>
    <w:rsid w:val="006764B0"/>
    <w:rsid w:val="006764EF"/>
    <w:rsid w:val="0067670C"/>
    <w:rsid w:val="006769BC"/>
    <w:rsid w:val="00676BC6"/>
    <w:rsid w:val="00676CD4"/>
    <w:rsid w:val="00676FA2"/>
    <w:rsid w:val="006770B9"/>
    <w:rsid w:val="0067725F"/>
    <w:rsid w:val="00677271"/>
    <w:rsid w:val="006778E6"/>
    <w:rsid w:val="00677993"/>
    <w:rsid w:val="00677AB4"/>
    <w:rsid w:val="00677B50"/>
    <w:rsid w:val="00677B9D"/>
    <w:rsid w:val="00677C05"/>
    <w:rsid w:val="00677C7B"/>
    <w:rsid w:val="00677D3B"/>
    <w:rsid w:val="00677F5F"/>
    <w:rsid w:val="006804B9"/>
    <w:rsid w:val="0068091B"/>
    <w:rsid w:val="00680C73"/>
    <w:rsid w:val="00680CAB"/>
    <w:rsid w:val="00680E3C"/>
    <w:rsid w:val="006811FE"/>
    <w:rsid w:val="006814DB"/>
    <w:rsid w:val="006816CB"/>
    <w:rsid w:val="006817FD"/>
    <w:rsid w:val="006819D7"/>
    <w:rsid w:val="00681BC4"/>
    <w:rsid w:val="00681D42"/>
    <w:rsid w:val="00681D7C"/>
    <w:rsid w:val="00681DDE"/>
    <w:rsid w:val="00681E82"/>
    <w:rsid w:val="00681F8B"/>
    <w:rsid w:val="00682480"/>
    <w:rsid w:val="0068265A"/>
    <w:rsid w:val="00682906"/>
    <w:rsid w:val="006829D6"/>
    <w:rsid w:val="00682A69"/>
    <w:rsid w:val="00682C5F"/>
    <w:rsid w:val="00682CB2"/>
    <w:rsid w:val="00682F1E"/>
    <w:rsid w:val="00683087"/>
    <w:rsid w:val="0068342C"/>
    <w:rsid w:val="006834CD"/>
    <w:rsid w:val="006837C9"/>
    <w:rsid w:val="00683819"/>
    <w:rsid w:val="00683A39"/>
    <w:rsid w:val="00683C3E"/>
    <w:rsid w:val="00683D33"/>
    <w:rsid w:val="00683F58"/>
    <w:rsid w:val="00684172"/>
    <w:rsid w:val="0068420A"/>
    <w:rsid w:val="006845F2"/>
    <w:rsid w:val="0068476D"/>
    <w:rsid w:val="00684809"/>
    <w:rsid w:val="006848C3"/>
    <w:rsid w:val="006848F3"/>
    <w:rsid w:val="00684955"/>
    <w:rsid w:val="00684AA1"/>
    <w:rsid w:val="00684D8E"/>
    <w:rsid w:val="0068516E"/>
    <w:rsid w:val="006851AF"/>
    <w:rsid w:val="0068524D"/>
    <w:rsid w:val="0068530E"/>
    <w:rsid w:val="00685447"/>
    <w:rsid w:val="00685492"/>
    <w:rsid w:val="0068597D"/>
    <w:rsid w:val="00685E29"/>
    <w:rsid w:val="006860BC"/>
    <w:rsid w:val="00686163"/>
    <w:rsid w:val="0068629A"/>
    <w:rsid w:val="006862DA"/>
    <w:rsid w:val="00686414"/>
    <w:rsid w:val="006864B2"/>
    <w:rsid w:val="006865CC"/>
    <w:rsid w:val="006865EF"/>
    <w:rsid w:val="00686AA7"/>
    <w:rsid w:val="00686B94"/>
    <w:rsid w:val="00686CBE"/>
    <w:rsid w:val="00687086"/>
    <w:rsid w:val="006870C3"/>
    <w:rsid w:val="00687289"/>
    <w:rsid w:val="00687679"/>
    <w:rsid w:val="00687711"/>
    <w:rsid w:val="0068779B"/>
    <w:rsid w:val="0068792C"/>
    <w:rsid w:val="00687FA0"/>
    <w:rsid w:val="0069009D"/>
    <w:rsid w:val="0069018B"/>
    <w:rsid w:val="00690461"/>
    <w:rsid w:val="00690560"/>
    <w:rsid w:val="006906FA"/>
    <w:rsid w:val="006907DE"/>
    <w:rsid w:val="00690ADD"/>
    <w:rsid w:val="00690B08"/>
    <w:rsid w:val="00690B41"/>
    <w:rsid w:val="00690D33"/>
    <w:rsid w:val="00690DB0"/>
    <w:rsid w:val="00690F05"/>
    <w:rsid w:val="006910A2"/>
    <w:rsid w:val="00691160"/>
    <w:rsid w:val="006911DB"/>
    <w:rsid w:val="006913BC"/>
    <w:rsid w:val="006915D7"/>
    <w:rsid w:val="00691627"/>
    <w:rsid w:val="00691677"/>
    <w:rsid w:val="006916B6"/>
    <w:rsid w:val="00691740"/>
    <w:rsid w:val="00691ADC"/>
    <w:rsid w:val="00691BF3"/>
    <w:rsid w:val="00691C04"/>
    <w:rsid w:val="00691F0B"/>
    <w:rsid w:val="0069255A"/>
    <w:rsid w:val="00692C1B"/>
    <w:rsid w:val="00692D22"/>
    <w:rsid w:val="00692D3A"/>
    <w:rsid w:val="00692D8E"/>
    <w:rsid w:val="00692F6E"/>
    <w:rsid w:val="00692FBA"/>
    <w:rsid w:val="0069331C"/>
    <w:rsid w:val="0069369D"/>
    <w:rsid w:val="006938A8"/>
    <w:rsid w:val="006938F0"/>
    <w:rsid w:val="006939B5"/>
    <w:rsid w:val="006939E7"/>
    <w:rsid w:val="00693A10"/>
    <w:rsid w:val="00693B3D"/>
    <w:rsid w:val="00693BC8"/>
    <w:rsid w:val="00693C16"/>
    <w:rsid w:val="00693CF0"/>
    <w:rsid w:val="00693D1C"/>
    <w:rsid w:val="00693F76"/>
    <w:rsid w:val="006940F3"/>
    <w:rsid w:val="006944DA"/>
    <w:rsid w:val="006945A6"/>
    <w:rsid w:val="00694659"/>
    <w:rsid w:val="00694740"/>
    <w:rsid w:val="006949CC"/>
    <w:rsid w:val="00694AB2"/>
    <w:rsid w:val="00694C31"/>
    <w:rsid w:val="00694D74"/>
    <w:rsid w:val="006950F6"/>
    <w:rsid w:val="00695104"/>
    <w:rsid w:val="00695360"/>
    <w:rsid w:val="00695625"/>
    <w:rsid w:val="00695645"/>
    <w:rsid w:val="00695687"/>
    <w:rsid w:val="006958B2"/>
    <w:rsid w:val="00695AA2"/>
    <w:rsid w:val="00695AEB"/>
    <w:rsid w:val="00695E41"/>
    <w:rsid w:val="006960A3"/>
    <w:rsid w:val="0069633E"/>
    <w:rsid w:val="006963DD"/>
    <w:rsid w:val="00696472"/>
    <w:rsid w:val="006965E3"/>
    <w:rsid w:val="006966DD"/>
    <w:rsid w:val="00696812"/>
    <w:rsid w:val="00696BEF"/>
    <w:rsid w:val="00696BFC"/>
    <w:rsid w:val="00696D5F"/>
    <w:rsid w:val="006971DF"/>
    <w:rsid w:val="006972EC"/>
    <w:rsid w:val="006979F7"/>
    <w:rsid w:val="00697D53"/>
    <w:rsid w:val="00697EA5"/>
    <w:rsid w:val="006A011C"/>
    <w:rsid w:val="006A03C9"/>
    <w:rsid w:val="006A0695"/>
    <w:rsid w:val="006A073D"/>
    <w:rsid w:val="006A09DB"/>
    <w:rsid w:val="006A0BA5"/>
    <w:rsid w:val="006A0C9E"/>
    <w:rsid w:val="006A1071"/>
    <w:rsid w:val="006A10F6"/>
    <w:rsid w:val="006A1179"/>
    <w:rsid w:val="006A14B0"/>
    <w:rsid w:val="006A1718"/>
    <w:rsid w:val="006A187B"/>
    <w:rsid w:val="006A19EB"/>
    <w:rsid w:val="006A1A30"/>
    <w:rsid w:val="006A1EE5"/>
    <w:rsid w:val="006A1FF9"/>
    <w:rsid w:val="006A20F6"/>
    <w:rsid w:val="006A2192"/>
    <w:rsid w:val="006A226F"/>
    <w:rsid w:val="006A247E"/>
    <w:rsid w:val="006A24B0"/>
    <w:rsid w:val="006A2531"/>
    <w:rsid w:val="006A296D"/>
    <w:rsid w:val="006A2991"/>
    <w:rsid w:val="006A2AB5"/>
    <w:rsid w:val="006A2D4E"/>
    <w:rsid w:val="006A30F5"/>
    <w:rsid w:val="006A32AE"/>
    <w:rsid w:val="006A36EF"/>
    <w:rsid w:val="006A37F1"/>
    <w:rsid w:val="006A382E"/>
    <w:rsid w:val="006A393B"/>
    <w:rsid w:val="006A3A48"/>
    <w:rsid w:val="006A3E24"/>
    <w:rsid w:val="006A3E30"/>
    <w:rsid w:val="006A3F70"/>
    <w:rsid w:val="006A3FCE"/>
    <w:rsid w:val="006A4044"/>
    <w:rsid w:val="006A4360"/>
    <w:rsid w:val="006A48C3"/>
    <w:rsid w:val="006A50FE"/>
    <w:rsid w:val="006A5147"/>
    <w:rsid w:val="006A542B"/>
    <w:rsid w:val="006A5CFE"/>
    <w:rsid w:val="006A5D43"/>
    <w:rsid w:val="006A5E92"/>
    <w:rsid w:val="006A5FA6"/>
    <w:rsid w:val="006A6428"/>
    <w:rsid w:val="006A6497"/>
    <w:rsid w:val="006A65A9"/>
    <w:rsid w:val="006A69B8"/>
    <w:rsid w:val="006A6AD6"/>
    <w:rsid w:val="006A6E4F"/>
    <w:rsid w:val="006A6E62"/>
    <w:rsid w:val="006A6E8F"/>
    <w:rsid w:val="006A6FF7"/>
    <w:rsid w:val="006A7208"/>
    <w:rsid w:val="006A725D"/>
    <w:rsid w:val="006A7420"/>
    <w:rsid w:val="006A765B"/>
    <w:rsid w:val="006A7AC0"/>
    <w:rsid w:val="006A7D29"/>
    <w:rsid w:val="006A7E99"/>
    <w:rsid w:val="006B043B"/>
    <w:rsid w:val="006B07BD"/>
    <w:rsid w:val="006B083E"/>
    <w:rsid w:val="006B0E00"/>
    <w:rsid w:val="006B0E21"/>
    <w:rsid w:val="006B1023"/>
    <w:rsid w:val="006B1366"/>
    <w:rsid w:val="006B1524"/>
    <w:rsid w:val="006B15BC"/>
    <w:rsid w:val="006B1628"/>
    <w:rsid w:val="006B1801"/>
    <w:rsid w:val="006B1A0F"/>
    <w:rsid w:val="006B1AA5"/>
    <w:rsid w:val="006B1BBE"/>
    <w:rsid w:val="006B1D53"/>
    <w:rsid w:val="006B203E"/>
    <w:rsid w:val="006B2260"/>
    <w:rsid w:val="006B23D7"/>
    <w:rsid w:val="006B23E3"/>
    <w:rsid w:val="006B25C1"/>
    <w:rsid w:val="006B26EB"/>
    <w:rsid w:val="006B26F5"/>
    <w:rsid w:val="006B27C2"/>
    <w:rsid w:val="006B2861"/>
    <w:rsid w:val="006B2863"/>
    <w:rsid w:val="006B2C0C"/>
    <w:rsid w:val="006B2F03"/>
    <w:rsid w:val="006B2F32"/>
    <w:rsid w:val="006B323E"/>
    <w:rsid w:val="006B34F5"/>
    <w:rsid w:val="006B3665"/>
    <w:rsid w:val="006B3712"/>
    <w:rsid w:val="006B37FB"/>
    <w:rsid w:val="006B393B"/>
    <w:rsid w:val="006B3B8E"/>
    <w:rsid w:val="006B3C2D"/>
    <w:rsid w:val="006B3EF1"/>
    <w:rsid w:val="006B3F7D"/>
    <w:rsid w:val="006B42F6"/>
    <w:rsid w:val="006B4511"/>
    <w:rsid w:val="006B4710"/>
    <w:rsid w:val="006B48D9"/>
    <w:rsid w:val="006B49E2"/>
    <w:rsid w:val="006B5072"/>
    <w:rsid w:val="006B5247"/>
    <w:rsid w:val="006B5302"/>
    <w:rsid w:val="006B53DD"/>
    <w:rsid w:val="006B540E"/>
    <w:rsid w:val="006B5453"/>
    <w:rsid w:val="006B58B8"/>
    <w:rsid w:val="006B5A1D"/>
    <w:rsid w:val="006B5A21"/>
    <w:rsid w:val="006B6059"/>
    <w:rsid w:val="006B6140"/>
    <w:rsid w:val="006B6151"/>
    <w:rsid w:val="006B6390"/>
    <w:rsid w:val="006B63AA"/>
    <w:rsid w:val="006B6459"/>
    <w:rsid w:val="006B66F9"/>
    <w:rsid w:val="006B6703"/>
    <w:rsid w:val="006B68EB"/>
    <w:rsid w:val="006B7124"/>
    <w:rsid w:val="006B717E"/>
    <w:rsid w:val="006B71E8"/>
    <w:rsid w:val="006B7234"/>
    <w:rsid w:val="006B72D9"/>
    <w:rsid w:val="006B76B9"/>
    <w:rsid w:val="006B78BB"/>
    <w:rsid w:val="006B78C9"/>
    <w:rsid w:val="006B7ABF"/>
    <w:rsid w:val="006B7BD5"/>
    <w:rsid w:val="006B7EBA"/>
    <w:rsid w:val="006C00B0"/>
    <w:rsid w:val="006C00C1"/>
    <w:rsid w:val="006C016A"/>
    <w:rsid w:val="006C01F9"/>
    <w:rsid w:val="006C027E"/>
    <w:rsid w:val="006C04E2"/>
    <w:rsid w:val="006C0C5A"/>
    <w:rsid w:val="006C0CBA"/>
    <w:rsid w:val="006C0FC3"/>
    <w:rsid w:val="006C131C"/>
    <w:rsid w:val="006C1454"/>
    <w:rsid w:val="006C15BB"/>
    <w:rsid w:val="006C1756"/>
    <w:rsid w:val="006C1A5A"/>
    <w:rsid w:val="006C1CB3"/>
    <w:rsid w:val="006C1D98"/>
    <w:rsid w:val="006C1E34"/>
    <w:rsid w:val="006C1E92"/>
    <w:rsid w:val="006C1F8D"/>
    <w:rsid w:val="006C2037"/>
    <w:rsid w:val="006C20E1"/>
    <w:rsid w:val="006C211A"/>
    <w:rsid w:val="006C2163"/>
    <w:rsid w:val="006C219B"/>
    <w:rsid w:val="006C2227"/>
    <w:rsid w:val="006C23F0"/>
    <w:rsid w:val="006C257E"/>
    <w:rsid w:val="006C2613"/>
    <w:rsid w:val="006C27B6"/>
    <w:rsid w:val="006C27D4"/>
    <w:rsid w:val="006C2912"/>
    <w:rsid w:val="006C2DC8"/>
    <w:rsid w:val="006C3246"/>
    <w:rsid w:val="006C35F3"/>
    <w:rsid w:val="006C36B9"/>
    <w:rsid w:val="006C37E1"/>
    <w:rsid w:val="006C38E3"/>
    <w:rsid w:val="006C39F4"/>
    <w:rsid w:val="006C3A16"/>
    <w:rsid w:val="006C3B7E"/>
    <w:rsid w:val="006C3D99"/>
    <w:rsid w:val="006C3EA9"/>
    <w:rsid w:val="006C4044"/>
    <w:rsid w:val="006C44E0"/>
    <w:rsid w:val="006C44EB"/>
    <w:rsid w:val="006C513C"/>
    <w:rsid w:val="006C5535"/>
    <w:rsid w:val="006C556F"/>
    <w:rsid w:val="006C564F"/>
    <w:rsid w:val="006C581E"/>
    <w:rsid w:val="006C5B70"/>
    <w:rsid w:val="006C5C2B"/>
    <w:rsid w:val="006C5C39"/>
    <w:rsid w:val="006C6079"/>
    <w:rsid w:val="006C6226"/>
    <w:rsid w:val="006C6539"/>
    <w:rsid w:val="006C679C"/>
    <w:rsid w:val="006C6BF8"/>
    <w:rsid w:val="006C6CCA"/>
    <w:rsid w:val="006C6DE9"/>
    <w:rsid w:val="006C6E20"/>
    <w:rsid w:val="006C70C8"/>
    <w:rsid w:val="006C7106"/>
    <w:rsid w:val="006C7302"/>
    <w:rsid w:val="006C7613"/>
    <w:rsid w:val="006C7C4F"/>
    <w:rsid w:val="006C7C53"/>
    <w:rsid w:val="006C7CC0"/>
    <w:rsid w:val="006D0260"/>
    <w:rsid w:val="006D0344"/>
    <w:rsid w:val="006D043E"/>
    <w:rsid w:val="006D059E"/>
    <w:rsid w:val="006D07CE"/>
    <w:rsid w:val="006D09CD"/>
    <w:rsid w:val="006D0BBD"/>
    <w:rsid w:val="006D0DF1"/>
    <w:rsid w:val="006D0E5C"/>
    <w:rsid w:val="006D0EEE"/>
    <w:rsid w:val="006D0F60"/>
    <w:rsid w:val="006D108C"/>
    <w:rsid w:val="006D144A"/>
    <w:rsid w:val="006D14B3"/>
    <w:rsid w:val="006D15F8"/>
    <w:rsid w:val="006D18D9"/>
    <w:rsid w:val="006D1EB3"/>
    <w:rsid w:val="006D2264"/>
    <w:rsid w:val="006D2377"/>
    <w:rsid w:val="006D24EE"/>
    <w:rsid w:val="006D25AD"/>
    <w:rsid w:val="006D2767"/>
    <w:rsid w:val="006D2780"/>
    <w:rsid w:val="006D27D3"/>
    <w:rsid w:val="006D2B04"/>
    <w:rsid w:val="006D3191"/>
    <w:rsid w:val="006D31C6"/>
    <w:rsid w:val="006D32D6"/>
    <w:rsid w:val="006D3BCD"/>
    <w:rsid w:val="006D3C98"/>
    <w:rsid w:val="006D3D1C"/>
    <w:rsid w:val="006D3E1A"/>
    <w:rsid w:val="006D41BC"/>
    <w:rsid w:val="006D4244"/>
    <w:rsid w:val="006D47DE"/>
    <w:rsid w:val="006D487D"/>
    <w:rsid w:val="006D499D"/>
    <w:rsid w:val="006D4CBA"/>
    <w:rsid w:val="006D4D5C"/>
    <w:rsid w:val="006D5045"/>
    <w:rsid w:val="006D53B8"/>
    <w:rsid w:val="006D5495"/>
    <w:rsid w:val="006D5718"/>
    <w:rsid w:val="006D5985"/>
    <w:rsid w:val="006D5DCC"/>
    <w:rsid w:val="006D5F4A"/>
    <w:rsid w:val="006D605A"/>
    <w:rsid w:val="006D60CE"/>
    <w:rsid w:val="006D625F"/>
    <w:rsid w:val="006D6390"/>
    <w:rsid w:val="006D68DB"/>
    <w:rsid w:val="006D6A56"/>
    <w:rsid w:val="006D6AE1"/>
    <w:rsid w:val="006D6BBD"/>
    <w:rsid w:val="006D6C4B"/>
    <w:rsid w:val="006D6D05"/>
    <w:rsid w:val="006D6DDB"/>
    <w:rsid w:val="006D6FC8"/>
    <w:rsid w:val="006D70F8"/>
    <w:rsid w:val="006D735E"/>
    <w:rsid w:val="006D7ABB"/>
    <w:rsid w:val="006D7BA3"/>
    <w:rsid w:val="006D7C18"/>
    <w:rsid w:val="006D7D42"/>
    <w:rsid w:val="006E0081"/>
    <w:rsid w:val="006E03CA"/>
    <w:rsid w:val="006E0632"/>
    <w:rsid w:val="006E0905"/>
    <w:rsid w:val="006E096E"/>
    <w:rsid w:val="006E0E6C"/>
    <w:rsid w:val="006E1126"/>
    <w:rsid w:val="006E151F"/>
    <w:rsid w:val="006E1800"/>
    <w:rsid w:val="006E1856"/>
    <w:rsid w:val="006E18F7"/>
    <w:rsid w:val="006E197E"/>
    <w:rsid w:val="006E1E18"/>
    <w:rsid w:val="006E2093"/>
    <w:rsid w:val="006E223D"/>
    <w:rsid w:val="006E22A0"/>
    <w:rsid w:val="006E231A"/>
    <w:rsid w:val="006E24C3"/>
    <w:rsid w:val="006E28DA"/>
    <w:rsid w:val="006E2E48"/>
    <w:rsid w:val="006E2F03"/>
    <w:rsid w:val="006E3402"/>
    <w:rsid w:val="006E372B"/>
    <w:rsid w:val="006E3AC4"/>
    <w:rsid w:val="006E3C76"/>
    <w:rsid w:val="006E3D26"/>
    <w:rsid w:val="006E3FA0"/>
    <w:rsid w:val="006E40D0"/>
    <w:rsid w:val="006E4413"/>
    <w:rsid w:val="006E4474"/>
    <w:rsid w:val="006E468F"/>
    <w:rsid w:val="006E499B"/>
    <w:rsid w:val="006E49AC"/>
    <w:rsid w:val="006E49CF"/>
    <w:rsid w:val="006E4A41"/>
    <w:rsid w:val="006E4AFF"/>
    <w:rsid w:val="006E4DF0"/>
    <w:rsid w:val="006E4E24"/>
    <w:rsid w:val="006E4EE7"/>
    <w:rsid w:val="006E509C"/>
    <w:rsid w:val="006E51BA"/>
    <w:rsid w:val="006E5214"/>
    <w:rsid w:val="006E5231"/>
    <w:rsid w:val="006E5237"/>
    <w:rsid w:val="006E5303"/>
    <w:rsid w:val="006E532C"/>
    <w:rsid w:val="006E557D"/>
    <w:rsid w:val="006E578C"/>
    <w:rsid w:val="006E57A9"/>
    <w:rsid w:val="006E5B51"/>
    <w:rsid w:val="006E5C5B"/>
    <w:rsid w:val="006E62B1"/>
    <w:rsid w:val="006E64D6"/>
    <w:rsid w:val="006E6785"/>
    <w:rsid w:val="006E6B5A"/>
    <w:rsid w:val="006E6C18"/>
    <w:rsid w:val="006E6C94"/>
    <w:rsid w:val="006E6F98"/>
    <w:rsid w:val="006E781C"/>
    <w:rsid w:val="006E7A37"/>
    <w:rsid w:val="006E7E32"/>
    <w:rsid w:val="006F029D"/>
    <w:rsid w:val="006F069D"/>
    <w:rsid w:val="006F06EA"/>
    <w:rsid w:val="006F0B04"/>
    <w:rsid w:val="006F0B9D"/>
    <w:rsid w:val="006F0ED0"/>
    <w:rsid w:val="006F12BF"/>
    <w:rsid w:val="006F172E"/>
    <w:rsid w:val="006F175A"/>
    <w:rsid w:val="006F18D2"/>
    <w:rsid w:val="006F1A0D"/>
    <w:rsid w:val="006F1A53"/>
    <w:rsid w:val="006F1ADB"/>
    <w:rsid w:val="006F1BDE"/>
    <w:rsid w:val="006F1E6F"/>
    <w:rsid w:val="006F2364"/>
    <w:rsid w:val="006F246C"/>
    <w:rsid w:val="006F2597"/>
    <w:rsid w:val="006F26D4"/>
    <w:rsid w:val="006F294C"/>
    <w:rsid w:val="006F29E1"/>
    <w:rsid w:val="006F2A78"/>
    <w:rsid w:val="006F336F"/>
    <w:rsid w:val="006F3E47"/>
    <w:rsid w:val="006F3EF4"/>
    <w:rsid w:val="006F4097"/>
    <w:rsid w:val="006F4248"/>
    <w:rsid w:val="006F43A9"/>
    <w:rsid w:val="006F4450"/>
    <w:rsid w:val="006F48E8"/>
    <w:rsid w:val="006F4AF6"/>
    <w:rsid w:val="006F4B2B"/>
    <w:rsid w:val="006F4B9B"/>
    <w:rsid w:val="006F4D4A"/>
    <w:rsid w:val="006F4F17"/>
    <w:rsid w:val="006F4FCA"/>
    <w:rsid w:val="006F530F"/>
    <w:rsid w:val="006F53E6"/>
    <w:rsid w:val="006F54E7"/>
    <w:rsid w:val="006F570B"/>
    <w:rsid w:val="006F573D"/>
    <w:rsid w:val="006F578D"/>
    <w:rsid w:val="006F5A7C"/>
    <w:rsid w:val="006F5B03"/>
    <w:rsid w:val="006F5DC5"/>
    <w:rsid w:val="006F5E33"/>
    <w:rsid w:val="006F6214"/>
    <w:rsid w:val="006F6243"/>
    <w:rsid w:val="006F6417"/>
    <w:rsid w:val="006F67E5"/>
    <w:rsid w:val="006F6813"/>
    <w:rsid w:val="006F6D76"/>
    <w:rsid w:val="006F6E97"/>
    <w:rsid w:val="006F6ECD"/>
    <w:rsid w:val="006F6F9C"/>
    <w:rsid w:val="006F715B"/>
    <w:rsid w:val="006F716E"/>
    <w:rsid w:val="006F72FB"/>
    <w:rsid w:val="006F75EB"/>
    <w:rsid w:val="006F783F"/>
    <w:rsid w:val="006F7C04"/>
    <w:rsid w:val="006F7CD3"/>
    <w:rsid w:val="006F7E20"/>
    <w:rsid w:val="006F7E39"/>
    <w:rsid w:val="006F7F37"/>
    <w:rsid w:val="007000C7"/>
    <w:rsid w:val="007000FD"/>
    <w:rsid w:val="007001AC"/>
    <w:rsid w:val="00700233"/>
    <w:rsid w:val="00700389"/>
    <w:rsid w:val="0070046C"/>
    <w:rsid w:val="007004D5"/>
    <w:rsid w:val="0070067F"/>
    <w:rsid w:val="007008D0"/>
    <w:rsid w:val="00700D8A"/>
    <w:rsid w:val="00700DA4"/>
    <w:rsid w:val="007011B4"/>
    <w:rsid w:val="0070121B"/>
    <w:rsid w:val="0070153A"/>
    <w:rsid w:val="0070163E"/>
    <w:rsid w:val="0070169B"/>
    <w:rsid w:val="00701C5A"/>
    <w:rsid w:val="00701D58"/>
    <w:rsid w:val="00701E31"/>
    <w:rsid w:val="00701E72"/>
    <w:rsid w:val="00701FDD"/>
    <w:rsid w:val="0070241D"/>
    <w:rsid w:val="007024C0"/>
    <w:rsid w:val="007024C5"/>
    <w:rsid w:val="007026E8"/>
    <w:rsid w:val="0070283E"/>
    <w:rsid w:val="007028E3"/>
    <w:rsid w:val="0070294B"/>
    <w:rsid w:val="007029D6"/>
    <w:rsid w:val="00702CE0"/>
    <w:rsid w:val="00702EF1"/>
    <w:rsid w:val="0070305F"/>
    <w:rsid w:val="00703377"/>
    <w:rsid w:val="007033FB"/>
    <w:rsid w:val="00703F01"/>
    <w:rsid w:val="00703F9B"/>
    <w:rsid w:val="0070400B"/>
    <w:rsid w:val="007042D5"/>
    <w:rsid w:val="007043F1"/>
    <w:rsid w:val="00704923"/>
    <w:rsid w:val="00704A7D"/>
    <w:rsid w:val="00704AE9"/>
    <w:rsid w:val="00704AF7"/>
    <w:rsid w:val="00704B87"/>
    <w:rsid w:val="007052F2"/>
    <w:rsid w:val="0070541D"/>
    <w:rsid w:val="007054C5"/>
    <w:rsid w:val="007057DC"/>
    <w:rsid w:val="00705916"/>
    <w:rsid w:val="00705FE9"/>
    <w:rsid w:val="007060E9"/>
    <w:rsid w:val="007062F1"/>
    <w:rsid w:val="00706335"/>
    <w:rsid w:val="007063AB"/>
    <w:rsid w:val="007065E0"/>
    <w:rsid w:val="007065EF"/>
    <w:rsid w:val="00706AC8"/>
    <w:rsid w:val="00706ADA"/>
    <w:rsid w:val="00706BCA"/>
    <w:rsid w:val="00706DDC"/>
    <w:rsid w:val="00706FF9"/>
    <w:rsid w:val="00707051"/>
    <w:rsid w:val="0070714F"/>
    <w:rsid w:val="00707223"/>
    <w:rsid w:val="00707BF8"/>
    <w:rsid w:val="00707DF2"/>
    <w:rsid w:val="00707FFC"/>
    <w:rsid w:val="007101C3"/>
    <w:rsid w:val="00710335"/>
    <w:rsid w:val="00710361"/>
    <w:rsid w:val="007105BD"/>
    <w:rsid w:val="007107CD"/>
    <w:rsid w:val="00710AD0"/>
    <w:rsid w:val="00710BD3"/>
    <w:rsid w:val="00710C36"/>
    <w:rsid w:val="00710C61"/>
    <w:rsid w:val="00710CCC"/>
    <w:rsid w:val="00710CDD"/>
    <w:rsid w:val="00710E14"/>
    <w:rsid w:val="00711308"/>
    <w:rsid w:val="0071135C"/>
    <w:rsid w:val="007114F6"/>
    <w:rsid w:val="00711846"/>
    <w:rsid w:val="00711A29"/>
    <w:rsid w:val="00711B6E"/>
    <w:rsid w:val="00712105"/>
    <w:rsid w:val="007121C6"/>
    <w:rsid w:val="0071267D"/>
    <w:rsid w:val="007128D3"/>
    <w:rsid w:val="00712960"/>
    <w:rsid w:val="00712B3D"/>
    <w:rsid w:val="00712E40"/>
    <w:rsid w:val="00712F89"/>
    <w:rsid w:val="00713001"/>
    <w:rsid w:val="007134D2"/>
    <w:rsid w:val="00713691"/>
    <w:rsid w:val="007136B0"/>
    <w:rsid w:val="0071379D"/>
    <w:rsid w:val="00713806"/>
    <w:rsid w:val="00713A45"/>
    <w:rsid w:val="00713C93"/>
    <w:rsid w:val="00713CB4"/>
    <w:rsid w:val="0071412A"/>
    <w:rsid w:val="0071424D"/>
    <w:rsid w:val="0071462B"/>
    <w:rsid w:val="007149E1"/>
    <w:rsid w:val="007149FB"/>
    <w:rsid w:val="00714B6D"/>
    <w:rsid w:val="00715044"/>
    <w:rsid w:val="00715127"/>
    <w:rsid w:val="00715217"/>
    <w:rsid w:val="007152E6"/>
    <w:rsid w:val="007156A9"/>
    <w:rsid w:val="007157E6"/>
    <w:rsid w:val="00715ACB"/>
    <w:rsid w:val="00715AD5"/>
    <w:rsid w:val="00715DD8"/>
    <w:rsid w:val="00715F92"/>
    <w:rsid w:val="00716012"/>
    <w:rsid w:val="007160F1"/>
    <w:rsid w:val="007164DC"/>
    <w:rsid w:val="00716538"/>
    <w:rsid w:val="00716593"/>
    <w:rsid w:val="0071666C"/>
    <w:rsid w:val="007169A8"/>
    <w:rsid w:val="007169DA"/>
    <w:rsid w:val="00716A61"/>
    <w:rsid w:val="00716DBD"/>
    <w:rsid w:val="00716EF0"/>
    <w:rsid w:val="00716F1E"/>
    <w:rsid w:val="007170E1"/>
    <w:rsid w:val="0071737D"/>
    <w:rsid w:val="007173E0"/>
    <w:rsid w:val="00717465"/>
    <w:rsid w:val="00717608"/>
    <w:rsid w:val="007177E5"/>
    <w:rsid w:val="007179A0"/>
    <w:rsid w:val="007179CB"/>
    <w:rsid w:val="00717E80"/>
    <w:rsid w:val="00717EAF"/>
    <w:rsid w:val="00717F25"/>
    <w:rsid w:val="00717F9B"/>
    <w:rsid w:val="00720081"/>
    <w:rsid w:val="00720139"/>
    <w:rsid w:val="007203B4"/>
    <w:rsid w:val="0072067A"/>
    <w:rsid w:val="00720705"/>
    <w:rsid w:val="00720706"/>
    <w:rsid w:val="0072087E"/>
    <w:rsid w:val="00720A47"/>
    <w:rsid w:val="00720D1C"/>
    <w:rsid w:val="00720DA2"/>
    <w:rsid w:val="0072113D"/>
    <w:rsid w:val="0072149C"/>
    <w:rsid w:val="007215BE"/>
    <w:rsid w:val="0072160D"/>
    <w:rsid w:val="00721BA4"/>
    <w:rsid w:val="007223DB"/>
    <w:rsid w:val="00722518"/>
    <w:rsid w:val="007226B3"/>
    <w:rsid w:val="00722766"/>
    <w:rsid w:val="0072299C"/>
    <w:rsid w:val="00722B63"/>
    <w:rsid w:val="00722D60"/>
    <w:rsid w:val="00723362"/>
    <w:rsid w:val="0072386E"/>
    <w:rsid w:val="00723ADD"/>
    <w:rsid w:val="00723AE6"/>
    <w:rsid w:val="00723BC0"/>
    <w:rsid w:val="007243AC"/>
    <w:rsid w:val="007243C4"/>
    <w:rsid w:val="0072444C"/>
    <w:rsid w:val="007246E1"/>
    <w:rsid w:val="00724889"/>
    <w:rsid w:val="00724CC0"/>
    <w:rsid w:val="00724F5E"/>
    <w:rsid w:val="00724F7C"/>
    <w:rsid w:val="00724FFF"/>
    <w:rsid w:val="0072513B"/>
    <w:rsid w:val="00725232"/>
    <w:rsid w:val="00725417"/>
    <w:rsid w:val="0072550A"/>
    <w:rsid w:val="0072557D"/>
    <w:rsid w:val="00725908"/>
    <w:rsid w:val="0072598F"/>
    <w:rsid w:val="007259AB"/>
    <w:rsid w:val="00725EB0"/>
    <w:rsid w:val="0072644F"/>
    <w:rsid w:val="0072657A"/>
    <w:rsid w:val="00726B13"/>
    <w:rsid w:val="00726F0F"/>
    <w:rsid w:val="00726F76"/>
    <w:rsid w:val="00727097"/>
    <w:rsid w:val="007270B4"/>
    <w:rsid w:val="007270BD"/>
    <w:rsid w:val="007272AE"/>
    <w:rsid w:val="00727620"/>
    <w:rsid w:val="0072774A"/>
    <w:rsid w:val="0072788D"/>
    <w:rsid w:val="007279F2"/>
    <w:rsid w:val="00727AD2"/>
    <w:rsid w:val="00727B6E"/>
    <w:rsid w:val="007301F2"/>
    <w:rsid w:val="007304E1"/>
    <w:rsid w:val="00730903"/>
    <w:rsid w:val="00730918"/>
    <w:rsid w:val="00730970"/>
    <w:rsid w:val="00730A2A"/>
    <w:rsid w:val="00730AC7"/>
    <w:rsid w:val="00730E18"/>
    <w:rsid w:val="00730E31"/>
    <w:rsid w:val="00730E75"/>
    <w:rsid w:val="007310F6"/>
    <w:rsid w:val="007311B2"/>
    <w:rsid w:val="007311F2"/>
    <w:rsid w:val="0073147B"/>
    <w:rsid w:val="0073175D"/>
    <w:rsid w:val="00731912"/>
    <w:rsid w:val="00731AC7"/>
    <w:rsid w:val="00731CED"/>
    <w:rsid w:val="00731D9B"/>
    <w:rsid w:val="00731E24"/>
    <w:rsid w:val="00731F43"/>
    <w:rsid w:val="00731FF7"/>
    <w:rsid w:val="00731FFF"/>
    <w:rsid w:val="0073201B"/>
    <w:rsid w:val="007321C9"/>
    <w:rsid w:val="007325AF"/>
    <w:rsid w:val="0073271B"/>
    <w:rsid w:val="007327D3"/>
    <w:rsid w:val="00732863"/>
    <w:rsid w:val="00732A43"/>
    <w:rsid w:val="00732BF2"/>
    <w:rsid w:val="00732C15"/>
    <w:rsid w:val="00732EA3"/>
    <w:rsid w:val="00732EF7"/>
    <w:rsid w:val="007330B9"/>
    <w:rsid w:val="007330D8"/>
    <w:rsid w:val="007330F1"/>
    <w:rsid w:val="0073326E"/>
    <w:rsid w:val="007333BC"/>
    <w:rsid w:val="00733437"/>
    <w:rsid w:val="00733502"/>
    <w:rsid w:val="00733A6C"/>
    <w:rsid w:val="00733AF7"/>
    <w:rsid w:val="00733BC7"/>
    <w:rsid w:val="00733F7F"/>
    <w:rsid w:val="00734275"/>
    <w:rsid w:val="0073475E"/>
    <w:rsid w:val="007347C6"/>
    <w:rsid w:val="0073480A"/>
    <w:rsid w:val="00734983"/>
    <w:rsid w:val="00734B0C"/>
    <w:rsid w:val="00734C63"/>
    <w:rsid w:val="00734D7F"/>
    <w:rsid w:val="00734D8B"/>
    <w:rsid w:val="00734F42"/>
    <w:rsid w:val="00734FEA"/>
    <w:rsid w:val="007350CE"/>
    <w:rsid w:val="007351C1"/>
    <w:rsid w:val="007353A7"/>
    <w:rsid w:val="007353DD"/>
    <w:rsid w:val="00735403"/>
    <w:rsid w:val="00735478"/>
    <w:rsid w:val="0073555C"/>
    <w:rsid w:val="00735760"/>
    <w:rsid w:val="007357CB"/>
    <w:rsid w:val="007358FD"/>
    <w:rsid w:val="00735A21"/>
    <w:rsid w:val="0073646C"/>
    <w:rsid w:val="0073659C"/>
    <w:rsid w:val="007366C4"/>
    <w:rsid w:val="00736A8A"/>
    <w:rsid w:val="00736D05"/>
    <w:rsid w:val="00736F7C"/>
    <w:rsid w:val="00736FBE"/>
    <w:rsid w:val="0073723D"/>
    <w:rsid w:val="007372C4"/>
    <w:rsid w:val="007374EC"/>
    <w:rsid w:val="007375F1"/>
    <w:rsid w:val="00737834"/>
    <w:rsid w:val="00737A0A"/>
    <w:rsid w:val="00737F8F"/>
    <w:rsid w:val="0074004C"/>
    <w:rsid w:val="007400B1"/>
    <w:rsid w:val="00740309"/>
    <w:rsid w:val="007409E2"/>
    <w:rsid w:val="00740BBC"/>
    <w:rsid w:val="00740C04"/>
    <w:rsid w:val="00740E55"/>
    <w:rsid w:val="0074116A"/>
    <w:rsid w:val="0074117B"/>
    <w:rsid w:val="00741382"/>
    <w:rsid w:val="007413A9"/>
    <w:rsid w:val="007414D7"/>
    <w:rsid w:val="00741730"/>
    <w:rsid w:val="00741733"/>
    <w:rsid w:val="0074180F"/>
    <w:rsid w:val="00741BD3"/>
    <w:rsid w:val="00741E59"/>
    <w:rsid w:val="00741F8B"/>
    <w:rsid w:val="00742395"/>
    <w:rsid w:val="007424FF"/>
    <w:rsid w:val="00742564"/>
    <w:rsid w:val="0074268C"/>
    <w:rsid w:val="0074270C"/>
    <w:rsid w:val="0074288E"/>
    <w:rsid w:val="00742C54"/>
    <w:rsid w:val="00742DEE"/>
    <w:rsid w:val="00742E18"/>
    <w:rsid w:val="00742FA4"/>
    <w:rsid w:val="00743038"/>
    <w:rsid w:val="0074307B"/>
    <w:rsid w:val="00743235"/>
    <w:rsid w:val="00743327"/>
    <w:rsid w:val="00743355"/>
    <w:rsid w:val="007434C3"/>
    <w:rsid w:val="007435EB"/>
    <w:rsid w:val="00743C63"/>
    <w:rsid w:val="00744000"/>
    <w:rsid w:val="00744215"/>
    <w:rsid w:val="0074422A"/>
    <w:rsid w:val="007442DC"/>
    <w:rsid w:val="00744335"/>
    <w:rsid w:val="0074435A"/>
    <w:rsid w:val="00744543"/>
    <w:rsid w:val="00744850"/>
    <w:rsid w:val="00744996"/>
    <w:rsid w:val="00744B5D"/>
    <w:rsid w:val="00744E2B"/>
    <w:rsid w:val="00745520"/>
    <w:rsid w:val="0074559E"/>
    <w:rsid w:val="00745643"/>
    <w:rsid w:val="00745AA3"/>
    <w:rsid w:val="00745B8D"/>
    <w:rsid w:val="00745FB3"/>
    <w:rsid w:val="0074606A"/>
    <w:rsid w:val="0074646E"/>
    <w:rsid w:val="0074662E"/>
    <w:rsid w:val="0074670F"/>
    <w:rsid w:val="00746BE9"/>
    <w:rsid w:val="00746D76"/>
    <w:rsid w:val="00746E52"/>
    <w:rsid w:val="00746ECC"/>
    <w:rsid w:val="00746F18"/>
    <w:rsid w:val="00747005"/>
    <w:rsid w:val="007471DC"/>
    <w:rsid w:val="00747600"/>
    <w:rsid w:val="00747BCE"/>
    <w:rsid w:val="00747CD1"/>
    <w:rsid w:val="00747D1B"/>
    <w:rsid w:val="00747E4A"/>
    <w:rsid w:val="00747FE6"/>
    <w:rsid w:val="0075016B"/>
    <w:rsid w:val="0075061E"/>
    <w:rsid w:val="007506DD"/>
    <w:rsid w:val="007509A4"/>
    <w:rsid w:val="007509A7"/>
    <w:rsid w:val="00750DDC"/>
    <w:rsid w:val="00750E20"/>
    <w:rsid w:val="00750F66"/>
    <w:rsid w:val="00751185"/>
    <w:rsid w:val="007511B9"/>
    <w:rsid w:val="00751A5B"/>
    <w:rsid w:val="00751D28"/>
    <w:rsid w:val="00751E3F"/>
    <w:rsid w:val="00751FA2"/>
    <w:rsid w:val="0075215A"/>
    <w:rsid w:val="007524DC"/>
    <w:rsid w:val="007526CB"/>
    <w:rsid w:val="0075272D"/>
    <w:rsid w:val="00752731"/>
    <w:rsid w:val="00752827"/>
    <w:rsid w:val="0075299C"/>
    <w:rsid w:val="00752A37"/>
    <w:rsid w:val="00752F94"/>
    <w:rsid w:val="0075301F"/>
    <w:rsid w:val="0075304D"/>
    <w:rsid w:val="00753069"/>
    <w:rsid w:val="0075382F"/>
    <w:rsid w:val="0075384E"/>
    <w:rsid w:val="00753DA6"/>
    <w:rsid w:val="007548D2"/>
    <w:rsid w:val="00754959"/>
    <w:rsid w:val="00754A63"/>
    <w:rsid w:val="00754B3E"/>
    <w:rsid w:val="00754C42"/>
    <w:rsid w:val="00755154"/>
    <w:rsid w:val="00755168"/>
    <w:rsid w:val="0075517B"/>
    <w:rsid w:val="0075547F"/>
    <w:rsid w:val="0075551B"/>
    <w:rsid w:val="007558D5"/>
    <w:rsid w:val="007558FA"/>
    <w:rsid w:val="00755906"/>
    <w:rsid w:val="00755A32"/>
    <w:rsid w:val="00755D7C"/>
    <w:rsid w:val="00755F94"/>
    <w:rsid w:val="0075607F"/>
    <w:rsid w:val="007562A6"/>
    <w:rsid w:val="0075646E"/>
    <w:rsid w:val="007564C2"/>
    <w:rsid w:val="00756740"/>
    <w:rsid w:val="007569B8"/>
    <w:rsid w:val="00756ACB"/>
    <w:rsid w:val="00756C50"/>
    <w:rsid w:val="007575B9"/>
    <w:rsid w:val="007578EF"/>
    <w:rsid w:val="00757BCF"/>
    <w:rsid w:val="00757CC4"/>
    <w:rsid w:val="00760052"/>
    <w:rsid w:val="007602B6"/>
    <w:rsid w:val="00760398"/>
    <w:rsid w:val="00760405"/>
    <w:rsid w:val="0076049D"/>
    <w:rsid w:val="0076053E"/>
    <w:rsid w:val="0076066E"/>
    <w:rsid w:val="0076073C"/>
    <w:rsid w:val="0076079D"/>
    <w:rsid w:val="007607C8"/>
    <w:rsid w:val="00760A1B"/>
    <w:rsid w:val="00760AAC"/>
    <w:rsid w:val="00760B6C"/>
    <w:rsid w:val="00760C18"/>
    <w:rsid w:val="007611C2"/>
    <w:rsid w:val="00761381"/>
    <w:rsid w:val="00761519"/>
    <w:rsid w:val="007616A4"/>
    <w:rsid w:val="0076228C"/>
    <w:rsid w:val="007623C9"/>
    <w:rsid w:val="007624E1"/>
    <w:rsid w:val="00762526"/>
    <w:rsid w:val="007628D1"/>
    <w:rsid w:val="00762CD6"/>
    <w:rsid w:val="00762D44"/>
    <w:rsid w:val="00762D98"/>
    <w:rsid w:val="00762DEE"/>
    <w:rsid w:val="00762F61"/>
    <w:rsid w:val="00762FF7"/>
    <w:rsid w:val="00763150"/>
    <w:rsid w:val="00763172"/>
    <w:rsid w:val="00763599"/>
    <w:rsid w:val="007636F4"/>
    <w:rsid w:val="0076376B"/>
    <w:rsid w:val="007637DB"/>
    <w:rsid w:val="0076398B"/>
    <w:rsid w:val="00763C22"/>
    <w:rsid w:val="00763C96"/>
    <w:rsid w:val="00763D71"/>
    <w:rsid w:val="00763E8E"/>
    <w:rsid w:val="007642CD"/>
    <w:rsid w:val="0076439E"/>
    <w:rsid w:val="007647F4"/>
    <w:rsid w:val="0076481D"/>
    <w:rsid w:val="00764907"/>
    <w:rsid w:val="00764A71"/>
    <w:rsid w:val="00764D82"/>
    <w:rsid w:val="00765142"/>
    <w:rsid w:val="00765304"/>
    <w:rsid w:val="0076531C"/>
    <w:rsid w:val="007653D9"/>
    <w:rsid w:val="007658D2"/>
    <w:rsid w:val="007658FC"/>
    <w:rsid w:val="00765912"/>
    <w:rsid w:val="007659EF"/>
    <w:rsid w:val="00765D0A"/>
    <w:rsid w:val="0076652D"/>
    <w:rsid w:val="007666F8"/>
    <w:rsid w:val="007667F3"/>
    <w:rsid w:val="00766864"/>
    <w:rsid w:val="00766984"/>
    <w:rsid w:val="00766A6F"/>
    <w:rsid w:val="00766C49"/>
    <w:rsid w:val="00766FD5"/>
    <w:rsid w:val="00767090"/>
    <w:rsid w:val="0076709E"/>
    <w:rsid w:val="00767568"/>
    <w:rsid w:val="007678B1"/>
    <w:rsid w:val="007678F7"/>
    <w:rsid w:val="007678FD"/>
    <w:rsid w:val="00767919"/>
    <w:rsid w:val="00767D58"/>
    <w:rsid w:val="00767EDC"/>
    <w:rsid w:val="00767FF5"/>
    <w:rsid w:val="007700B0"/>
    <w:rsid w:val="007701D9"/>
    <w:rsid w:val="00770A7E"/>
    <w:rsid w:val="00770ABF"/>
    <w:rsid w:val="00770B88"/>
    <w:rsid w:val="00770C09"/>
    <w:rsid w:val="00770DB2"/>
    <w:rsid w:val="00770FD0"/>
    <w:rsid w:val="00771077"/>
    <w:rsid w:val="00771198"/>
    <w:rsid w:val="00771367"/>
    <w:rsid w:val="007715C7"/>
    <w:rsid w:val="00771A84"/>
    <w:rsid w:val="00771D7A"/>
    <w:rsid w:val="00771EE2"/>
    <w:rsid w:val="00771FD6"/>
    <w:rsid w:val="00772292"/>
    <w:rsid w:val="00772559"/>
    <w:rsid w:val="007726A8"/>
    <w:rsid w:val="0077276E"/>
    <w:rsid w:val="00772787"/>
    <w:rsid w:val="007727AF"/>
    <w:rsid w:val="00772821"/>
    <w:rsid w:val="0077289F"/>
    <w:rsid w:val="007728B2"/>
    <w:rsid w:val="00772912"/>
    <w:rsid w:val="00772A09"/>
    <w:rsid w:val="00772BC9"/>
    <w:rsid w:val="00772C65"/>
    <w:rsid w:val="00772E08"/>
    <w:rsid w:val="00772E12"/>
    <w:rsid w:val="00772ED6"/>
    <w:rsid w:val="007731BB"/>
    <w:rsid w:val="007732AE"/>
    <w:rsid w:val="0077372C"/>
    <w:rsid w:val="00773760"/>
    <w:rsid w:val="0077389C"/>
    <w:rsid w:val="0077399C"/>
    <w:rsid w:val="007739B7"/>
    <w:rsid w:val="00773A8C"/>
    <w:rsid w:val="00773D27"/>
    <w:rsid w:val="00773FF4"/>
    <w:rsid w:val="00774156"/>
    <w:rsid w:val="007743C3"/>
    <w:rsid w:val="00774465"/>
    <w:rsid w:val="0077480E"/>
    <w:rsid w:val="007751A8"/>
    <w:rsid w:val="007751C3"/>
    <w:rsid w:val="0077555B"/>
    <w:rsid w:val="007755DB"/>
    <w:rsid w:val="0077584A"/>
    <w:rsid w:val="0077593B"/>
    <w:rsid w:val="007759A0"/>
    <w:rsid w:val="00775A11"/>
    <w:rsid w:val="00775A49"/>
    <w:rsid w:val="00775B69"/>
    <w:rsid w:val="00775B88"/>
    <w:rsid w:val="007764F3"/>
    <w:rsid w:val="00776566"/>
    <w:rsid w:val="00776884"/>
    <w:rsid w:val="00776C92"/>
    <w:rsid w:val="00776CAD"/>
    <w:rsid w:val="00776ED2"/>
    <w:rsid w:val="007771E0"/>
    <w:rsid w:val="007773CE"/>
    <w:rsid w:val="00777457"/>
    <w:rsid w:val="00777788"/>
    <w:rsid w:val="007777C0"/>
    <w:rsid w:val="007777E0"/>
    <w:rsid w:val="007800F9"/>
    <w:rsid w:val="00780151"/>
    <w:rsid w:val="00780175"/>
    <w:rsid w:val="007801F4"/>
    <w:rsid w:val="00780BA5"/>
    <w:rsid w:val="007811A6"/>
    <w:rsid w:val="007811CD"/>
    <w:rsid w:val="00781645"/>
    <w:rsid w:val="007816FE"/>
    <w:rsid w:val="0078171A"/>
    <w:rsid w:val="00781920"/>
    <w:rsid w:val="00781A91"/>
    <w:rsid w:val="00781B3A"/>
    <w:rsid w:val="00781B4A"/>
    <w:rsid w:val="00781D8C"/>
    <w:rsid w:val="00781DB5"/>
    <w:rsid w:val="0078205A"/>
    <w:rsid w:val="0078216D"/>
    <w:rsid w:val="00782534"/>
    <w:rsid w:val="0078254A"/>
    <w:rsid w:val="0078322A"/>
    <w:rsid w:val="00783230"/>
    <w:rsid w:val="00783556"/>
    <w:rsid w:val="00783C75"/>
    <w:rsid w:val="00783E7B"/>
    <w:rsid w:val="00783F6C"/>
    <w:rsid w:val="0078418F"/>
    <w:rsid w:val="00784273"/>
    <w:rsid w:val="0078436E"/>
    <w:rsid w:val="00784498"/>
    <w:rsid w:val="0078458A"/>
    <w:rsid w:val="007846E4"/>
    <w:rsid w:val="00784744"/>
    <w:rsid w:val="007848E1"/>
    <w:rsid w:val="00784D4A"/>
    <w:rsid w:val="00784DF1"/>
    <w:rsid w:val="00784F0A"/>
    <w:rsid w:val="00785172"/>
    <w:rsid w:val="00785370"/>
    <w:rsid w:val="00785431"/>
    <w:rsid w:val="0078552B"/>
    <w:rsid w:val="00785660"/>
    <w:rsid w:val="007856F4"/>
    <w:rsid w:val="007857B1"/>
    <w:rsid w:val="0078580E"/>
    <w:rsid w:val="00785C4A"/>
    <w:rsid w:val="00785E48"/>
    <w:rsid w:val="00785EEF"/>
    <w:rsid w:val="00786195"/>
    <w:rsid w:val="007861EB"/>
    <w:rsid w:val="007863E1"/>
    <w:rsid w:val="007864D4"/>
    <w:rsid w:val="007865D0"/>
    <w:rsid w:val="0078663E"/>
    <w:rsid w:val="00786684"/>
    <w:rsid w:val="00786B07"/>
    <w:rsid w:val="00786CFF"/>
    <w:rsid w:val="00786D0F"/>
    <w:rsid w:val="00786DBE"/>
    <w:rsid w:val="0078722F"/>
    <w:rsid w:val="00787231"/>
    <w:rsid w:val="00787536"/>
    <w:rsid w:val="00787607"/>
    <w:rsid w:val="00787765"/>
    <w:rsid w:val="007877A2"/>
    <w:rsid w:val="007879D8"/>
    <w:rsid w:val="00787AA8"/>
    <w:rsid w:val="00787DBC"/>
    <w:rsid w:val="00787EF4"/>
    <w:rsid w:val="00790061"/>
    <w:rsid w:val="00790208"/>
    <w:rsid w:val="007903BA"/>
    <w:rsid w:val="0079059B"/>
    <w:rsid w:val="007906CF"/>
    <w:rsid w:val="007906DE"/>
    <w:rsid w:val="0079076F"/>
    <w:rsid w:val="00790A32"/>
    <w:rsid w:val="00790FAD"/>
    <w:rsid w:val="0079147D"/>
    <w:rsid w:val="00791566"/>
    <w:rsid w:val="00791998"/>
    <w:rsid w:val="007919C7"/>
    <w:rsid w:val="00791B34"/>
    <w:rsid w:val="00791BD4"/>
    <w:rsid w:val="00791BE3"/>
    <w:rsid w:val="00791C3A"/>
    <w:rsid w:val="00791F5F"/>
    <w:rsid w:val="00792178"/>
    <w:rsid w:val="00792420"/>
    <w:rsid w:val="007925F8"/>
    <w:rsid w:val="00792996"/>
    <w:rsid w:val="007929F6"/>
    <w:rsid w:val="00792B6C"/>
    <w:rsid w:val="00792B6F"/>
    <w:rsid w:val="00792C3D"/>
    <w:rsid w:val="00792EB1"/>
    <w:rsid w:val="00792FEB"/>
    <w:rsid w:val="0079325C"/>
    <w:rsid w:val="00793612"/>
    <w:rsid w:val="0079362B"/>
    <w:rsid w:val="00793B89"/>
    <w:rsid w:val="00793E56"/>
    <w:rsid w:val="00794119"/>
    <w:rsid w:val="00794276"/>
    <w:rsid w:val="00794391"/>
    <w:rsid w:val="0079439E"/>
    <w:rsid w:val="00794616"/>
    <w:rsid w:val="007946DB"/>
    <w:rsid w:val="00794758"/>
    <w:rsid w:val="007948C8"/>
    <w:rsid w:val="00794D80"/>
    <w:rsid w:val="007950E1"/>
    <w:rsid w:val="0079525D"/>
    <w:rsid w:val="00795515"/>
    <w:rsid w:val="0079566D"/>
    <w:rsid w:val="007956BD"/>
    <w:rsid w:val="00795803"/>
    <w:rsid w:val="00795957"/>
    <w:rsid w:val="00795AF7"/>
    <w:rsid w:val="00795D4F"/>
    <w:rsid w:val="00795DA6"/>
    <w:rsid w:val="00795F8C"/>
    <w:rsid w:val="0079609B"/>
    <w:rsid w:val="00796114"/>
    <w:rsid w:val="00796245"/>
    <w:rsid w:val="00796344"/>
    <w:rsid w:val="0079640F"/>
    <w:rsid w:val="00796508"/>
    <w:rsid w:val="0079655D"/>
    <w:rsid w:val="00796599"/>
    <w:rsid w:val="007969DD"/>
    <w:rsid w:val="00796A2E"/>
    <w:rsid w:val="00796AAD"/>
    <w:rsid w:val="00796EB6"/>
    <w:rsid w:val="0079701A"/>
    <w:rsid w:val="007971D4"/>
    <w:rsid w:val="007976D4"/>
    <w:rsid w:val="00797A74"/>
    <w:rsid w:val="00797C7E"/>
    <w:rsid w:val="007A0219"/>
    <w:rsid w:val="007A0405"/>
    <w:rsid w:val="007A0423"/>
    <w:rsid w:val="007A0505"/>
    <w:rsid w:val="007A0949"/>
    <w:rsid w:val="007A0C87"/>
    <w:rsid w:val="007A0D10"/>
    <w:rsid w:val="007A0D9D"/>
    <w:rsid w:val="007A0E8A"/>
    <w:rsid w:val="007A116B"/>
    <w:rsid w:val="007A12B0"/>
    <w:rsid w:val="007A13A9"/>
    <w:rsid w:val="007A162B"/>
    <w:rsid w:val="007A189E"/>
    <w:rsid w:val="007A1951"/>
    <w:rsid w:val="007A1963"/>
    <w:rsid w:val="007A197E"/>
    <w:rsid w:val="007A19B5"/>
    <w:rsid w:val="007A1D42"/>
    <w:rsid w:val="007A201A"/>
    <w:rsid w:val="007A226F"/>
    <w:rsid w:val="007A26CA"/>
    <w:rsid w:val="007A27A9"/>
    <w:rsid w:val="007A28CC"/>
    <w:rsid w:val="007A2B2E"/>
    <w:rsid w:val="007A2B35"/>
    <w:rsid w:val="007A2F07"/>
    <w:rsid w:val="007A3176"/>
    <w:rsid w:val="007A3228"/>
    <w:rsid w:val="007A3339"/>
    <w:rsid w:val="007A34E2"/>
    <w:rsid w:val="007A3794"/>
    <w:rsid w:val="007A3B25"/>
    <w:rsid w:val="007A3D4C"/>
    <w:rsid w:val="007A3F23"/>
    <w:rsid w:val="007A40A3"/>
    <w:rsid w:val="007A4566"/>
    <w:rsid w:val="007A474C"/>
    <w:rsid w:val="007A48C7"/>
    <w:rsid w:val="007A494E"/>
    <w:rsid w:val="007A4974"/>
    <w:rsid w:val="007A4C5C"/>
    <w:rsid w:val="007A4CCE"/>
    <w:rsid w:val="007A4CD0"/>
    <w:rsid w:val="007A4D7C"/>
    <w:rsid w:val="007A4DCD"/>
    <w:rsid w:val="007A507E"/>
    <w:rsid w:val="007A5253"/>
    <w:rsid w:val="007A52E1"/>
    <w:rsid w:val="007A532A"/>
    <w:rsid w:val="007A55F9"/>
    <w:rsid w:val="007A56F3"/>
    <w:rsid w:val="007A57A9"/>
    <w:rsid w:val="007A5B60"/>
    <w:rsid w:val="007A5D63"/>
    <w:rsid w:val="007A5FE6"/>
    <w:rsid w:val="007A638E"/>
    <w:rsid w:val="007A63C1"/>
    <w:rsid w:val="007A649A"/>
    <w:rsid w:val="007A64A2"/>
    <w:rsid w:val="007A6A09"/>
    <w:rsid w:val="007A6BAA"/>
    <w:rsid w:val="007A7284"/>
    <w:rsid w:val="007A7374"/>
    <w:rsid w:val="007A748D"/>
    <w:rsid w:val="007A765A"/>
    <w:rsid w:val="007A7670"/>
    <w:rsid w:val="007A77EB"/>
    <w:rsid w:val="007A7820"/>
    <w:rsid w:val="007A7951"/>
    <w:rsid w:val="007A7B94"/>
    <w:rsid w:val="007A7D4B"/>
    <w:rsid w:val="007A7DC7"/>
    <w:rsid w:val="007A7EDC"/>
    <w:rsid w:val="007B006D"/>
    <w:rsid w:val="007B00B1"/>
    <w:rsid w:val="007B0380"/>
    <w:rsid w:val="007B04A4"/>
    <w:rsid w:val="007B055B"/>
    <w:rsid w:val="007B066B"/>
    <w:rsid w:val="007B091D"/>
    <w:rsid w:val="007B0A49"/>
    <w:rsid w:val="007B0A50"/>
    <w:rsid w:val="007B0CA9"/>
    <w:rsid w:val="007B0CC6"/>
    <w:rsid w:val="007B0DDD"/>
    <w:rsid w:val="007B0E5C"/>
    <w:rsid w:val="007B183C"/>
    <w:rsid w:val="007B1899"/>
    <w:rsid w:val="007B1A5A"/>
    <w:rsid w:val="007B1B93"/>
    <w:rsid w:val="007B1C02"/>
    <w:rsid w:val="007B25AE"/>
    <w:rsid w:val="007B25FB"/>
    <w:rsid w:val="007B260C"/>
    <w:rsid w:val="007B27F6"/>
    <w:rsid w:val="007B2B41"/>
    <w:rsid w:val="007B2E62"/>
    <w:rsid w:val="007B3060"/>
    <w:rsid w:val="007B3677"/>
    <w:rsid w:val="007B3A79"/>
    <w:rsid w:val="007B3B73"/>
    <w:rsid w:val="007B3C35"/>
    <w:rsid w:val="007B3F7A"/>
    <w:rsid w:val="007B3F7F"/>
    <w:rsid w:val="007B42AF"/>
    <w:rsid w:val="007B4350"/>
    <w:rsid w:val="007B461D"/>
    <w:rsid w:val="007B463F"/>
    <w:rsid w:val="007B49C0"/>
    <w:rsid w:val="007B4B3A"/>
    <w:rsid w:val="007B4FE8"/>
    <w:rsid w:val="007B505C"/>
    <w:rsid w:val="007B5696"/>
    <w:rsid w:val="007B5B96"/>
    <w:rsid w:val="007B5CC1"/>
    <w:rsid w:val="007B5CC2"/>
    <w:rsid w:val="007B5FDB"/>
    <w:rsid w:val="007B60A4"/>
    <w:rsid w:val="007B60B7"/>
    <w:rsid w:val="007B61DF"/>
    <w:rsid w:val="007B621C"/>
    <w:rsid w:val="007B62CA"/>
    <w:rsid w:val="007B630A"/>
    <w:rsid w:val="007B6319"/>
    <w:rsid w:val="007B654D"/>
    <w:rsid w:val="007B656A"/>
    <w:rsid w:val="007B6C5C"/>
    <w:rsid w:val="007B6D3C"/>
    <w:rsid w:val="007B6F78"/>
    <w:rsid w:val="007B73B5"/>
    <w:rsid w:val="007B73EA"/>
    <w:rsid w:val="007B7477"/>
    <w:rsid w:val="007B76B6"/>
    <w:rsid w:val="007B77FC"/>
    <w:rsid w:val="007B79B3"/>
    <w:rsid w:val="007B7D65"/>
    <w:rsid w:val="007B7F5E"/>
    <w:rsid w:val="007C004A"/>
    <w:rsid w:val="007C014F"/>
    <w:rsid w:val="007C0521"/>
    <w:rsid w:val="007C05A4"/>
    <w:rsid w:val="007C0759"/>
    <w:rsid w:val="007C08F1"/>
    <w:rsid w:val="007C0929"/>
    <w:rsid w:val="007C0ABC"/>
    <w:rsid w:val="007C0D43"/>
    <w:rsid w:val="007C0E87"/>
    <w:rsid w:val="007C1215"/>
    <w:rsid w:val="007C15FD"/>
    <w:rsid w:val="007C1673"/>
    <w:rsid w:val="007C1858"/>
    <w:rsid w:val="007C1A00"/>
    <w:rsid w:val="007C1C1C"/>
    <w:rsid w:val="007C2130"/>
    <w:rsid w:val="007C2453"/>
    <w:rsid w:val="007C24AF"/>
    <w:rsid w:val="007C2619"/>
    <w:rsid w:val="007C26DB"/>
    <w:rsid w:val="007C26E7"/>
    <w:rsid w:val="007C2707"/>
    <w:rsid w:val="007C2826"/>
    <w:rsid w:val="007C2A93"/>
    <w:rsid w:val="007C2AEA"/>
    <w:rsid w:val="007C2DE3"/>
    <w:rsid w:val="007C2DFA"/>
    <w:rsid w:val="007C30C7"/>
    <w:rsid w:val="007C317A"/>
    <w:rsid w:val="007C3634"/>
    <w:rsid w:val="007C3680"/>
    <w:rsid w:val="007C3A8E"/>
    <w:rsid w:val="007C3AEA"/>
    <w:rsid w:val="007C3CE6"/>
    <w:rsid w:val="007C3DEA"/>
    <w:rsid w:val="007C3E2B"/>
    <w:rsid w:val="007C4044"/>
    <w:rsid w:val="007C4081"/>
    <w:rsid w:val="007C4299"/>
    <w:rsid w:val="007C4A66"/>
    <w:rsid w:val="007C4E57"/>
    <w:rsid w:val="007C5030"/>
    <w:rsid w:val="007C504D"/>
    <w:rsid w:val="007C54A6"/>
    <w:rsid w:val="007C54AB"/>
    <w:rsid w:val="007C54D1"/>
    <w:rsid w:val="007C581B"/>
    <w:rsid w:val="007C5C25"/>
    <w:rsid w:val="007C5D76"/>
    <w:rsid w:val="007C5D87"/>
    <w:rsid w:val="007C5FDF"/>
    <w:rsid w:val="007C601E"/>
    <w:rsid w:val="007C6070"/>
    <w:rsid w:val="007C61C3"/>
    <w:rsid w:val="007C68F0"/>
    <w:rsid w:val="007C6FB7"/>
    <w:rsid w:val="007C70BD"/>
    <w:rsid w:val="007C72E4"/>
    <w:rsid w:val="007C7561"/>
    <w:rsid w:val="007C7785"/>
    <w:rsid w:val="007C7A2A"/>
    <w:rsid w:val="007C7C35"/>
    <w:rsid w:val="007C7FBA"/>
    <w:rsid w:val="007D00D5"/>
    <w:rsid w:val="007D05D7"/>
    <w:rsid w:val="007D0733"/>
    <w:rsid w:val="007D0B0F"/>
    <w:rsid w:val="007D0B6A"/>
    <w:rsid w:val="007D0BCB"/>
    <w:rsid w:val="007D1207"/>
    <w:rsid w:val="007D140E"/>
    <w:rsid w:val="007D17ED"/>
    <w:rsid w:val="007D1A9D"/>
    <w:rsid w:val="007D1C69"/>
    <w:rsid w:val="007D1CC4"/>
    <w:rsid w:val="007D1E67"/>
    <w:rsid w:val="007D216C"/>
    <w:rsid w:val="007D224F"/>
    <w:rsid w:val="007D25DD"/>
    <w:rsid w:val="007D269C"/>
    <w:rsid w:val="007D2977"/>
    <w:rsid w:val="007D2C97"/>
    <w:rsid w:val="007D2D6C"/>
    <w:rsid w:val="007D3022"/>
    <w:rsid w:val="007D3310"/>
    <w:rsid w:val="007D3363"/>
    <w:rsid w:val="007D3702"/>
    <w:rsid w:val="007D394F"/>
    <w:rsid w:val="007D3AC4"/>
    <w:rsid w:val="007D3B49"/>
    <w:rsid w:val="007D3DFC"/>
    <w:rsid w:val="007D401D"/>
    <w:rsid w:val="007D415B"/>
    <w:rsid w:val="007D4217"/>
    <w:rsid w:val="007D42D9"/>
    <w:rsid w:val="007D49AF"/>
    <w:rsid w:val="007D49CD"/>
    <w:rsid w:val="007D4A0E"/>
    <w:rsid w:val="007D508E"/>
    <w:rsid w:val="007D51D5"/>
    <w:rsid w:val="007D5318"/>
    <w:rsid w:val="007D53FA"/>
    <w:rsid w:val="007D563B"/>
    <w:rsid w:val="007D578C"/>
    <w:rsid w:val="007D5B2D"/>
    <w:rsid w:val="007D5CA1"/>
    <w:rsid w:val="007D6568"/>
    <w:rsid w:val="007D6575"/>
    <w:rsid w:val="007D65E7"/>
    <w:rsid w:val="007D68C8"/>
    <w:rsid w:val="007D6966"/>
    <w:rsid w:val="007D6AAB"/>
    <w:rsid w:val="007D6B36"/>
    <w:rsid w:val="007D6DEA"/>
    <w:rsid w:val="007D6F2E"/>
    <w:rsid w:val="007D6F4D"/>
    <w:rsid w:val="007D7002"/>
    <w:rsid w:val="007D7090"/>
    <w:rsid w:val="007D70CD"/>
    <w:rsid w:val="007D7152"/>
    <w:rsid w:val="007D7458"/>
    <w:rsid w:val="007D74E3"/>
    <w:rsid w:val="007D77FC"/>
    <w:rsid w:val="007D79C4"/>
    <w:rsid w:val="007D7A82"/>
    <w:rsid w:val="007D7C60"/>
    <w:rsid w:val="007D7D07"/>
    <w:rsid w:val="007D7E9A"/>
    <w:rsid w:val="007E0623"/>
    <w:rsid w:val="007E06D0"/>
    <w:rsid w:val="007E0817"/>
    <w:rsid w:val="007E09C3"/>
    <w:rsid w:val="007E0DB5"/>
    <w:rsid w:val="007E0E2A"/>
    <w:rsid w:val="007E1479"/>
    <w:rsid w:val="007E148D"/>
    <w:rsid w:val="007E15FE"/>
    <w:rsid w:val="007E18E9"/>
    <w:rsid w:val="007E1CA6"/>
    <w:rsid w:val="007E1F77"/>
    <w:rsid w:val="007E2295"/>
    <w:rsid w:val="007E2396"/>
    <w:rsid w:val="007E2403"/>
    <w:rsid w:val="007E2C14"/>
    <w:rsid w:val="007E2F6E"/>
    <w:rsid w:val="007E31B7"/>
    <w:rsid w:val="007E32D1"/>
    <w:rsid w:val="007E3702"/>
    <w:rsid w:val="007E389C"/>
    <w:rsid w:val="007E3C24"/>
    <w:rsid w:val="007E3D8B"/>
    <w:rsid w:val="007E4093"/>
    <w:rsid w:val="007E4302"/>
    <w:rsid w:val="007E441B"/>
    <w:rsid w:val="007E45B2"/>
    <w:rsid w:val="007E46B5"/>
    <w:rsid w:val="007E4890"/>
    <w:rsid w:val="007E48EA"/>
    <w:rsid w:val="007E49E2"/>
    <w:rsid w:val="007E4A58"/>
    <w:rsid w:val="007E4BF4"/>
    <w:rsid w:val="007E4C53"/>
    <w:rsid w:val="007E4F5E"/>
    <w:rsid w:val="007E518D"/>
    <w:rsid w:val="007E51B3"/>
    <w:rsid w:val="007E5269"/>
    <w:rsid w:val="007E5341"/>
    <w:rsid w:val="007E56E0"/>
    <w:rsid w:val="007E5896"/>
    <w:rsid w:val="007E59CB"/>
    <w:rsid w:val="007E5A81"/>
    <w:rsid w:val="007E5A87"/>
    <w:rsid w:val="007E5E10"/>
    <w:rsid w:val="007E5EB7"/>
    <w:rsid w:val="007E6195"/>
    <w:rsid w:val="007E61F7"/>
    <w:rsid w:val="007E639E"/>
    <w:rsid w:val="007E6645"/>
    <w:rsid w:val="007E6665"/>
    <w:rsid w:val="007E68F2"/>
    <w:rsid w:val="007E68F8"/>
    <w:rsid w:val="007E6A35"/>
    <w:rsid w:val="007E6A38"/>
    <w:rsid w:val="007E6AA8"/>
    <w:rsid w:val="007E6B1C"/>
    <w:rsid w:val="007E6C92"/>
    <w:rsid w:val="007E7425"/>
    <w:rsid w:val="007E748C"/>
    <w:rsid w:val="007E74E5"/>
    <w:rsid w:val="007E7791"/>
    <w:rsid w:val="007E7B7C"/>
    <w:rsid w:val="007E7E49"/>
    <w:rsid w:val="007F024E"/>
    <w:rsid w:val="007F02A9"/>
    <w:rsid w:val="007F03CA"/>
    <w:rsid w:val="007F0510"/>
    <w:rsid w:val="007F05DF"/>
    <w:rsid w:val="007F0CE2"/>
    <w:rsid w:val="007F0FB5"/>
    <w:rsid w:val="007F1007"/>
    <w:rsid w:val="007F10A1"/>
    <w:rsid w:val="007F1713"/>
    <w:rsid w:val="007F1BB0"/>
    <w:rsid w:val="007F1C69"/>
    <w:rsid w:val="007F1CC7"/>
    <w:rsid w:val="007F1E49"/>
    <w:rsid w:val="007F20A5"/>
    <w:rsid w:val="007F228F"/>
    <w:rsid w:val="007F2DDE"/>
    <w:rsid w:val="007F2E8A"/>
    <w:rsid w:val="007F306E"/>
    <w:rsid w:val="007F3214"/>
    <w:rsid w:val="007F32C9"/>
    <w:rsid w:val="007F33FF"/>
    <w:rsid w:val="007F367B"/>
    <w:rsid w:val="007F3726"/>
    <w:rsid w:val="007F3815"/>
    <w:rsid w:val="007F3B5B"/>
    <w:rsid w:val="007F3B7A"/>
    <w:rsid w:val="007F3BA7"/>
    <w:rsid w:val="007F3C8B"/>
    <w:rsid w:val="007F3F24"/>
    <w:rsid w:val="007F3F9A"/>
    <w:rsid w:val="007F3FD0"/>
    <w:rsid w:val="007F4197"/>
    <w:rsid w:val="007F41A3"/>
    <w:rsid w:val="007F43CE"/>
    <w:rsid w:val="007F44FA"/>
    <w:rsid w:val="007F4886"/>
    <w:rsid w:val="007F4B3B"/>
    <w:rsid w:val="007F4E37"/>
    <w:rsid w:val="007F4E61"/>
    <w:rsid w:val="007F4FCC"/>
    <w:rsid w:val="007F516A"/>
    <w:rsid w:val="007F564D"/>
    <w:rsid w:val="007F5CA2"/>
    <w:rsid w:val="007F5F2E"/>
    <w:rsid w:val="007F5F98"/>
    <w:rsid w:val="007F5FAF"/>
    <w:rsid w:val="007F6071"/>
    <w:rsid w:val="007F636D"/>
    <w:rsid w:val="007F66CA"/>
    <w:rsid w:val="007F6704"/>
    <w:rsid w:val="007F6B4A"/>
    <w:rsid w:val="007F6BC4"/>
    <w:rsid w:val="007F6E21"/>
    <w:rsid w:val="007F7038"/>
    <w:rsid w:val="007F708D"/>
    <w:rsid w:val="007F7093"/>
    <w:rsid w:val="007F70A0"/>
    <w:rsid w:val="007F70AC"/>
    <w:rsid w:val="007F70E6"/>
    <w:rsid w:val="007F725A"/>
    <w:rsid w:val="007F72E6"/>
    <w:rsid w:val="007F749C"/>
    <w:rsid w:val="007F779A"/>
    <w:rsid w:val="007F77A8"/>
    <w:rsid w:val="007F7880"/>
    <w:rsid w:val="007F78B9"/>
    <w:rsid w:val="007F79C1"/>
    <w:rsid w:val="007F7A20"/>
    <w:rsid w:val="007F7A71"/>
    <w:rsid w:val="007F7C82"/>
    <w:rsid w:val="007F7F0B"/>
    <w:rsid w:val="007F7FE2"/>
    <w:rsid w:val="008001C2"/>
    <w:rsid w:val="00800290"/>
    <w:rsid w:val="008002A3"/>
    <w:rsid w:val="008002B9"/>
    <w:rsid w:val="0080037F"/>
    <w:rsid w:val="008003A1"/>
    <w:rsid w:val="008008FE"/>
    <w:rsid w:val="00801126"/>
    <w:rsid w:val="008011AF"/>
    <w:rsid w:val="0080141C"/>
    <w:rsid w:val="00801515"/>
    <w:rsid w:val="008016F4"/>
    <w:rsid w:val="008017C4"/>
    <w:rsid w:val="008017D5"/>
    <w:rsid w:val="008019B7"/>
    <w:rsid w:val="008019D8"/>
    <w:rsid w:val="00801D75"/>
    <w:rsid w:val="00801DB4"/>
    <w:rsid w:val="008020C1"/>
    <w:rsid w:val="00802303"/>
    <w:rsid w:val="00802582"/>
    <w:rsid w:val="008025C7"/>
    <w:rsid w:val="00802627"/>
    <w:rsid w:val="008026BF"/>
    <w:rsid w:val="0080286C"/>
    <w:rsid w:val="00802DE5"/>
    <w:rsid w:val="008030CD"/>
    <w:rsid w:val="008034EE"/>
    <w:rsid w:val="00803571"/>
    <w:rsid w:val="00803790"/>
    <w:rsid w:val="00803A67"/>
    <w:rsid w:val="00803B5D"/>
    <w:rsid w:val="00803CA3"/>
    <w:rsid w:val="00803DCD"/>
    <w:rsid w:val="00803DE3"/>
    <w:rsid w:val="00803F53"/>
    <w:rsid w:val="008041F4"/>
    <w:rsid w:val="008042E2"/>
    <w:rsid w:val="00804352"/>
    <w:rsid w:val="0080442D"/>
    <w:rsid w:val="00804709"/>
    <w:rsid w:val="00804832"/>
    <w:rsid w:val="008048E3"/>
    <w:rsid w:val="00804959"/>
    <w:rsid w:val="00804AAE"/>
    <w:rsid w:val="00804C64"/>
    <w:rsid w:val="00804C9A"/>
    <w:rsid w:val="00804FE2"/>
    <w:rsid w:val="00805001"/>
    <w:rsid w:val="008051D9"/>
    <w:rsid w:val="00805290"/>
    <w:rsid w:val="00805A91"/>
    <w:rsid w:val="00805AF1"/>
    <w:rsid w:val="00805B67"/>
    <w:rsid w:val="00805BD1"/>
    <w:rsid w:val="00805D2D"/>
    <w:rsid w:val="00805E38"/>
    <w:rsid w:val="008060EC"/>
    <w:rsid w:val="00806207"/>
    <w:rsid w:val="0080623C"/>
    <w:rsid w:val="0080647A"/>
    <w:rsid w:val="00806702"/>
    <w:rsid w:val="00806905"/>
    <w:rsid w:val="00806A17"/>
    <w:rsid w:val="00806BA7"/>
    <w:rsid w:val="00806BEF"/>
    <w:rsid w:val="008071E0"/>
    <w:rsid w:val="00807458"/>
    <w:rsid w:val="00807481"/>
    <w:rsid w:val="00807681"/>
    <w:rsid w:val="0080787D"/>
    <w:rsid w:val="00807939"/>
    <w:rsid w:val="00807A89"/>
    <w:rsid w:val="00807AB6"/>
    <w:rsid w:val="00807ABE"/>
    <w:rsid w:val="00807BD2"/>
    <w:rsid w:val="00810201"/>
    <w:rsid w:val="008107EA"/>
    <w:rsid w:val="00810A8B"/>
    <w:rsid w:val="00810C5F"/>
    <w:rsid w:val="00810CD0"/>
    <w:rsid w:val="00810D04"/>
    <w:rsid w:val="00810E33"/>
    <w:rsid w:val="00810E52"/>
    <w:rsid w:val="008112CB"/>
    <w:rsid w:val="00811380"/>
    <w:rsid w:val="008117F1"/>
    <w:rsid w:val="00811879"/>
    <w:rsid w:val="00811933"/>
    <w:rsid w:val="00811D02"/>
    <w:rsid w:val="00811D65"/>
    <w:rsid w:val="008121B6"/>
    <w:rsid w:val="008123C0"/>
    <w:rsid w:val="00812611"/>
    <w:rsid w:val="00812687"/>
    <w:rsid w:val="00812734"/>
    <w:rsid w:val="008127A6"/>
    <w:rsid w:val="0081286E"/>
    <w:rsid w:val="008128A9"/>
    <w:rsid w:val="00812F2B"/>
    <w:rsid w:val="00812F4B"/>
    <w:rsid w:val="00813049"/>
    <w:rsid w:val="008130FA"/>
    <w:rsid w:val="008131C1"/>
    <w:rsid w:val="00813260"/>
    <w:rsid w:val="008132AC"/>
    <w:rsid w:val="00813344"/>
    <w:rsid w:val="00813833"/>
    <w:rsid w:val="0081399B"/>
    <w:rsid w:val="008142D2"/>
    <w:rsid w:val="00814403"/>
    <w:rsid w:val="0081445C"/>
    <w:rsid w:val="008144C5"/>
    <w:rsid w:val="00814546"/>
    <w:rsid w:val="0081470B"/>
    <w:rsid w:val="008149EC"/>
    <w:rsid w:val="00814A26"/>
    <w:rsid w:val="00814B83"/>
    <w:rsid w:val="00814C28"/>
    <w:rsid w:val="00814DBC"/>
    <w:rsid w:val="0081505E"/>
    <w:rsid w:val="00815096"/>
    <w:rsid w:val="008153A5"/>
    <w:rsid w:val="00815595"/>
    <w:rsid w:val="00815779"/>
    <w:rsid w:val="00815876"/>
    <w:rsid w:val="008158BF"/>
    <w:rsid w:val="00815A29"/>
    <w:rsid w:val="00815A3F"/>
    <w:rsid w:val="00815AD8"/>
    <w:rsid w:val="00815D70"/>
    <w:rsid w:val="00815E85"/>
    <w:rsid w:val="00815EC0"/>
    <w:rsid w:val="0081642D"/>
    <w:rsid w:val="00816445"/>
    <w:rsid w:val="008164D4"/>
    <w:rsid w:val="008165F3"/>
    <w:rsid w:val="00816946"/>
    <w:rsid w:val="00816AAE"/>
    <w:rsid w:val="00816C94"/>
    <w:rsid w:val="00816CA1"/>
    <w:rsid w:val="00816D9D"/>
    <w:rsid w:val="00816FEF"/>
    <w:rsid w:val="0081737C"/>
    <w:rsid w:val="00817F1C"/>
    <w:rsid w:val="00817F64"/>
    <w:rsid w:val="008200E9"/>
    <w:rsid w:val="008201C5"/>
    <w:rsid w:val="00820414"/>
    <w:rsid w:val="0082077B"/>
    <w:rsid w:val="00820BA3"/>
    <w:rsid w:val="00820BF2"/>
    <w:rsid w:val="00820D6C"/>
    <w:rsid w:val="00820F36"/>
    <w:rsid w:val="00820FF9"/>
    <w:rsid w:val="008210E3"/>
    <w:rsid w:val="008212FC"/>
    <w:rsid w:val="008214B0"/>
    <w:rsid w:val="00821957"/>
    <w:rsid w:val="0082197B"/>
    <w:rsid w:val="00821A05"/>
    <w:rsid w:val="00821AE5"/>
    <w:rsid w:val="00821CC7"/>
    <w:rsid w:val="00821F75"/>
    <w:rsid w:val="0082286E"/>
    <w:rsid w:val="00822A85"/>
    <w:rsid w:val="00822B1A"/>
    <w:rsid w:val="00822B70"/>
    <w:rsid w:val="00822C88"/>
    <w:rsid w:val="008230B3"/>
    <w:rsid w:val="00823195"/>
    <w:rsid w:val="008231A6"/>
    <w:rsid w:val="008235EA"/>
    <w:rsid w:val="008237BC"/>
    <w:rsid w:val="00823821"/>
    <w:rsid w:val="008238A9"/>
    <w:rsid w:val="008239DF"/>
    <w:rsid w:val="00823B86"/>
    <w:rsid w:val="00823BA7"/>
    <w:rsid w:val="00823BFC"/>
    <w:rsid w:val="00823CE8"/>
    <w:rsid w:val="008240E6"/>
    <w:rsid w:val="00824316"/>
    <w:rsid w:val="008245D5"/>
    <w:rsid w:val="008245EC"/>
    <w:rsid w:val="0082470D"/>
    <w:rsid w:val="00824C27"/>
    <w:rsid w:val="00824C52"/>
    <w:rsid w:val="00824D9B"/>
    <w:rsid w:val="00824EED"/>
    <w:rsid w:val="00825199"/>
    <w:rsid w:val="00825738"/>
    <w:rsid w:val="00825AC1"/>
    <w:rsid w:val="0082615D"/>
    <w:rsid w:val="0082665F"/>
    <w:rsid w:val="00826788"/>
    <w:rsid w:val="00826D3B"/>
    <w:rsid w:val="00826DE7"/>
    <w:rsid w:val="00826EBE"/>
    <w:rsid w:val="008276EE"/>
    <w:rsid w:val="00827856"/>
    <w:rsid w:val="008278B0"/>
    <w:rsid w:val="00827A5A"/>
    <w:rsid w:val="00827B44"/>
    <w:rsid w:val="00827B57"/>
    <w:rsid w:val="00827EEF"/>
    <w:rsid w:val="008301B3"/>
    <w:rsid w:val="00830225"/>
    <w:rsid w:val="008304BE"/>
    <w:rsid w:val="008305B6"/>
    <w:rsid w:val="008309B4"/>
    <w:rsid w:val="008309BF"/>
    <w:rsid w:val="00830C1A"/>
    <w:rsid w:val="00830D77"/>
    <w:rsid w:val="00830DEB"/>
    <w:rsid w:val="0083107A"/>
    <w:rsid w:val="008316CF"/>
    <w:rsid w:val="0083199E"/>
    <w:rsid w:val="00831A8E"/>
    <w:rsid w:val="00831AD2"/>
    <w:rsid w:val="00831DA1"/>
    <w:rsid w:val="00831FDF"/>
    <w:rsid w:val="008324B7"/>
    <w:rsid w:val="00832740"/>
    <w:rsid w:val="008327AC"/>
    <w:rsid w:val="008329B6"/>
    <w:rsid w:val="00832BA2"/>
    <w:rsid w:val="00832BC9"/>
    <w:rsid w:val="00832E83"/>
    <w:rsid w:val="00832EC9"/>
    <w:rsid w:val="00832EE8"/>
    <w:rsid w:val="00833594"/>
    <w:rsid w:val="008336C2"/>
    <w:rsid w:val="00833917"/>
    <w:rsid w:val="00833957"/>
    <w:rsid w:val="00833B09"/>
    <w:rsid w:val="00833E24"/>
    <w:rsid w:val="00833E37"/>
    <w:rsid w:val="00833ED4"/>
    <w:rsid w:val="00833F8C"/>
    <w:rsid w:val="00834651"/>
    <w:rsid w:val="00834A32"/>
    <w:rsid w:val="00834C17"/>
    <w:rsid w:val="00834DB4"/>
    <w:rsid w:val="00834E53"/>
    <w:rsid w:val="00835342"/>
    <w:rsid w:val="008354F3"/>
    <w:rsid w:val="008355C9"/>
    <w:rsid w:val="008355CB"/>
    <w:rsid w:val="00835828"/>
    <w:rsid w:val="00835903"/>
    <w:rsid w:val="00835909"/>
    <w:rsid w:val="00835935"/>
    <w:rsid w:val="00835AF0"/>
    <w:rsid w:val="00835B38"/>
    <w:rsid w:val="00836127"/>
    <w:rsid w:val="00836465"/>
    <w:rsid w:val="00836474"/>
    <w:rsid w:val="00836574"/>
    <w:rsid w:val="0083661D"/>
    <w:rsid w:val="00836649"/>
    <w:rsid w:val="00836957"/>
    <w:rsid w:val="00836B11"/>
    <w:rsid w:val="00836C97"/>
    <w:rsid w:val="008371A1"/>
    <w:rsid w:val="008374B4"/>
    <w:rsid w:val="0083752F"/>
    <w:rsid w:val="008378B3"/>
    <w:rsid w:val="008379D9"/>
    <w:rsid w:val="008401AD"/>
    <w:rsid w:val="00840255"/>
    <w:rsid w:val="0084029C"/>
    <w:rsid w:val="008402C6"/>
    <w:rsid w:val="00840385"/>
    <w:rsid w:val="00840783"/>
    <w:rsid w:val="008407B9"/>
    <w:rsid w:val="00840943"/>
    <w:rsid w:val="00840AF2"/>
    <w:rsid w:val="00841052"/>
    <w:rsid w:val="0084107B"/>
    <w:rsid w:val="008411A5"/>
    <w:rsid w:val="008411B0"/>
    <w:rsid w:val="00841340"/>
    <w:rsid w:val="0084136A"/>
    <w:rsid w:val="008413D7"/>
    <w:rsid w:val="008416E5"/>
    <w:rsid w:val="0084178A"/>
    <w:rsid w:val="00841936"/>
    <w:rsid w:val="00841966"/>
    <w:rsid w:val="00841BC9"/>
    <w:rsid w:val="00841BEF"/>
    <w:rsid w:val="00842040"/>
    <w:rsid w:val="008421BC"/>
    <w:rsid w:val="00842509"/>
    <w:rsid w:val="008429DF"/>
    <w:rsid w:val="00842A86"/>
    <w:rsid w:val="00842B94"/>
    <w:rsid w:val="00842D2E"/>
    <w:rsid w:val="00842EEC"/>
    <w:rsid w:val="00842F32"/>
    <w:rsid w:val="008430C9"/>
    <w:rsid w:val="0084312B"/>
    <w:rsid w:val="008431A9"/>
    <w:rsid w:val="0084360F"/>
    <w:rsid w:val="008439B2"/>
    <w:rsid w:val="00843A0A"/>
    <w:rsid w:val="00844368"/>
    <w:rsid w:val="008444A1"/>
    <w:rsid w:val="0084474F"/>
    <w:rsid w:val="00844B4A"/>
    <w:rsid w:val="00844BC6"/>
    <w:rsid w:val="00844D04"/>
    <w:rsid w:val="00844FD4"/>
    <w:rsid w:val="008451C3"/>
    <w:rsid w:val="008452B1"/>
    <w:rsid w:val="008452F5"/>
    <w:rsid w:val="00845399"/>
    <w:rsid w:val="008453F5"/>
    <w:rsid w:val="00845407"/>
    <w:rsid w:val="0084548F"/>
    <w:rsid w:val="00845620"/>
    <w:rsid w:val="0084562D"/>
    <w:rsid w:val="008456E7"/>
    <w:rsid w:val="0084575C"/>
    <w:rsid w:val="0084588E"/>
    <w:rsid w:val="008458C3"/>
    <w:rsid w:val="008458E8"/>
    <w:rsid w:val="00845929"/>
    <w:rsid w:val="00845BE2"/>
    <w:rsid w:val="00845CCA"/>
    <w:rsid w:val="00845EE9"/>
    <w:rsid w:val="00845FC5"/>
    <w:rsid w:val="008460BE"/>
    <w:rsid w:val="0084621E"/>
    <w:rsid w:val="008462B3"/>
    <w:rsid w:val="00846571"/>
    <w:rsid w:val="00846712"/>
    <w:rsid w:val="00846758"/>
    <w:rsid w:val="008467F8"/>
    <w:rsid w:val="0084682A"/>
    <w:rsid w:val="00846908"/>
    <w:rsid w:val="00846ADC"/>
    <w:rsid w:val="00847451"/>
    <w:rsid w:val="00847587"/>
    <w:rsid w:val="0084780A"/>
    <w:rsid w:val="0084781E"/>
    <w:rsid w:val="00847CC1"/>
    <w:rsid w:val="00850177"/>
    <w:rsid w:val="00850244"/>
    <w:rsid w:val="0085037C"/>
    <w:rsid w:val="00850406"/>
    <w:rsid w:val="008504AB"/>
    <w:rsid w:val="00850790"/>
    <w:rsid w:val="008508C8"/>
    <w:rsid w:val="00850902"/>
    <w:rsid w:val="00850A2C"/>
    <w:rsid w:val="00850B50"/>
    <w:rsid w:val="00850B6F"/>
    <w:rsid w:val="00850C0A"/>
    <w:rsid w:val="00850E2A"/>
    <w:rsid w:val="00851025"/>
    <w:rsid w:val="00851049"/>
    <w:rsid w:val="00851290"/>
    <w:rsid w:val="008513A5"/>
    <w:rsid w:val="00851748"/>
    <w:rsid w:val="00851817"/>
    <w:rsid w:val="00851BAD"/>
    <w:rsid w:val="00851E9C"/>
    <w:rsid w:val="00851F3C"/>
    <w:rsid w:val="008522F9"/>
    <w:rsid w:val="0085243C"/>
    <w:rsid w:val="0085271F"/>
    <w:rsid w:val="00852AF8"/>
    <w:rsid w:val="00852D60"/>
    <w:rsid w:val="0085350D"/>
    <w:rsid w:val="008539B8"/>
    <w:rsid w:val="00853BB1"/>
    <w:rsid w:val="00853C27"/>
    <w:rsid w:val="0085409E"/>
    <w:rsid w:val="008542EA"/>
    <w:rsid w:val="00854577"/>
    <w:rsid w:val="00854680"/>
    <w:rsid w:val="00854725"/>
    <w:rsid w:val="00854E1C"/>
    <w:rsid w:val="00854E4B"/>
    <w:rsid w:val="00854E80"/>
    <w:rsid w:val="008550C3"/>
    <w:rsid w:val="0085514F"/>
    <w:rsid w:val="00855172"/>
    <w:rsid w:val="0085521A"/>
    <w:rsid w:val="00855381"/>
    <w:rsid w:val="008557B4"/>
    <w:rsid w:val="00855882"/>
    <w:rsid w:val="00855DB2"/>
    <w:rsid w:val="00856148"/>
    <w:rsid w:val="00856229"/>
    <w:rsid w:val="008567ED"/>
    <w:rsid w:val="008568BB"/>
    <w:rsid w:val="00856CA7"/>
    <w:rsid w:val="00856D04"/>
    <w:rsid w:val="00856FAB"/>
    <w:rsid w:val="00857066"/>
    <w:rsid w:val="0085743A"/>
    <w:rsid w:val="00857574"/>
    <w:rsid w:val="008575DB"/>
    <w:rsid w:val="00857651"/>
    <w:rsid w:val="008576AB"/>
    <w:rsid w:val="00857CF9"/>
    <w:rsid w:val="00857DD4"/>
    <w:rsid w:val="00857FC9"/>
    <w:rsid w:val="00857FEA"/>
    <w:rsid w:val="00860237"/>
    <w:rsid w:val="00860301"/>
    <w:rsid w:val="008604B8"/>
    <w:rsid w:val="008607B1"/>
    <w:rsid w:val="00860CE6"/>
    <w:rsid w:val="00860E95"/>
    <w:rsid w:val="0086119E"/>
    <w:rsid w:val="008611B9"/>
    <w:rsid w:val="00861410"/>
    <w:rsid w:val="008614C9"/>
    <w:rsid w:val="008616D7"/>
    <w:rsid w:val="00861714"/>
    <w:rsid w:val="00861996"/>
    <w:rsid w:val="00861A8E"/>
    <w:rsid w:val="0086247A"/>
    <w:rsid w:val="00862583"/>
    <w:rsid w:val="008628AE"/>
    <w:rsid w:val="00862A12"/>
    <w:rsid w:val="00862B34"/>
    <w:rsid w:val="00862D64"/>
    <w:rsid w:val="00862E8F"/>
    <w:rsid w:val="00863173"/>
    <w:rsid w:val="00863273"/>
    <w:rsid w:val="008636DA"/>
    <w:rsid w:val="008639FF"/>
    <w:rsid w:val="00863B3D"/>
    <w:rsid w:val="00863E6B"/>
    <w:rsid w:val="008647D5"/>
    <w:rsid w:val="008647EC"/>
    <w:rsid w:val="0086497B"/>
    <w:rsid w:val="00864B60"/>
    <w:rsid w:val="00864BF2"/>
    <w:rsid w:val="00864C86"/>
    <w:rsid w:val="00864CA1"/>
    <w:rsid w:val="00864CBA"/>
    <w:rsid w:val="00864D06"/>
    <w:rsid w:val="0086524D"/>
    <w:rsid w:val="00865303"/>
    <w:rsid w:val="00865522"/>
    <w:rsid w:val="00865614"/>
    <w:rsid w:val="00865637"/>
    <w:rsid w:val="00865778"/>
    <w:rsid w:val="00865871"/>
    <w:rsid w:val="0086596B"/>
    <w:rsid w:val="00865BBA"/>
    <w:rsid w:val="00865E0A"/>
    <w:rsid w:val="00865FAC"/>
    <w:rsid w:val="008660A6"/>
    <w:rsid w:val="0086611B"/>
    <w:rsid w:val="008662F6"/>
    <w:rsid w:val="00866995"/>
    <w:rsid w:val="00866B6B"/>
    <w:rsid w:val="00866F02"/>
    <w:rsid w:val="00866F61"/>
    <w:rsid w:val="008671D6"/>
    <w:rsid w:val="00867349"/>
    <w:rsid w:val="008673EE"/>
    <w:rsid w:val="008678A6"/>
    <w:rsid w:val="00867962"/>
    <w:rsid w:val="00867B7B"/>
    <w:rsid w:val="008704E7"/>
    <w:rsid w:val="00870500"/>
    <w:rsid w:val="008706D5"/>
    <w:rsid w:val="00870BEB"/>
    <w:rsid w:val="00871015"/>
    <w:rsid w:val="00871054"/>
    <w:rsid w:val="00871111"/>
    <w:rsid w:val="008715C8"/>
    <w:rsid w:val="008716AD"/>
    <w:rsid w:val="00871ADD"/>
    <w:rsid w:val="00871D51"/>
    <w:rsid w:val="00871E3F"/>
    <w:rsid w:val="00871E5F"/>
    <w:rsid w:val="0087205E"/>
    <w:rsid w:val="0087210C"/>
    <w:rsid w:val="0087235B"/>
    <w:rsid w:val="008729F6"/>
    <w:rsid w:val="00872B3F"/>
    <w:rsid w:val="00872E16"/>
    <w:rsid w:val="00872E22"/>
    <w:rsid w:val="00872F3D"/>
    <w:rsid w:val="00873102"/>
    <w:rsid w:val="00873183"/>
    <w:rsid w:val="0087332B"/>
    <w:rsid w:val="00873375"/>
    <w:rsid w:val="00873386"/>
    <w:rsid w:val="0087352D"/>
    <w:rsid w:val="008735FD"/>
    <w:rsid w:val="00873692"/>
    <w:rsid w:val="008736D7"/>
    <w:rsid w:val="00873740"/>
    <w:rsid w:val="008739CF"/>
    <w:rsid w:val="00873B91"/>
    <w:rsid w:val="00873C95"/>
    <w:rsid w:val="00873D44"/>
    <w:rsid w:val="00873FBB"/>
    <w:rsid w:val="00874007"/>
    <w:rsid w:val="008740B5"/>
    <w:rsid w:val="008740F1"/>
    <w:rsid w:val="0087414B"/>
    <w:rsid w:val="00874354"/>
    <w:rsid w:val="008743F3"/>
    <w:rsid w:val="0087460F"/>
    <w:rsid w:val="008747DF"/>
    <w:rsid w:val="00874ACE"/>
    <w:rsid w:val="00874C03"/>
    <w:rsid w:val="00874EAA"/>
    <w:rsid w:val="00875115"/>
    <w:rsid w:val="0087522C"/>
    <w:rsid w:val="00875464"/>
    <w:rsid w:val="00875E84"/>
    <w:rsid w:val="00876196"/>
    <w:rsid w:val="0087675B"/>
    <w:rsid w:val="00876CDD"/>
    <w:rsid w:val="00876F7E"/>
    <w:rsid w:val="0087725E"/>
    <w:rsid w:val="008774F6"/>
    <w:rsid w:val="0087756E"/>
    <w:rsid w:val="00877653"/>
    <w:rsid w:val="008777C8"/>
    <w:rsid w:val="00877927"/>
    <w:rsid w:val="008779C4"/>
    <w:rsid w:val="00877A34"/>
    <w:rsid w:val="008800AF"/>
    <w:rsid w:val="00880256"/>
    <w:rsid w:val="0088035C"/>
    <w:rsid w:val="008803FC"/>
    <w:rsid w:val="00880415"/>
    <w:rsid w:val="0088046B"/>
    <w:rsid w:val="008804F5"/>
    <w:rsid w:val="008806CE"/>
    <w:rsid w:val="00880A5F"/>
    <w:rsid w:val="00880CE8"/>
    <w:rsid w:val="00881316"/>
    <w:rsid w:val="008814B2"/>
    <w:rsid w:val="008815E2"/>
    <w:rsid w:val="008816E8"/>
    <w:rsid w:val="0088178A"/>
    <w:rsid w:val="008818C6"/>
    <w:rsid w:val="00881940"/>
    <w:rsid w:val="008819C9"/>
    <w:rsid w:val="00881E55"/>
    <w:rsid w:val="0088202E"/>
    <w:rsid w:val="00882184"/>
    <w:rsid w:val="008823C3"/>
    <w:rsid w:val="008826C8"/>
    <w:rsid w:val="00882826"/>
    <w:rsid w:val="008828F2"/>
    <w:rsid w:val="00882D69"/>
    <w:rsid w:val="00882F6A"/>
    <w:rsid w:val="0088304B"/>
    <w:rsid w:val="008831DF"/>
    <w:rsid w:val="00883240"/>
    <w:rsid w:val="00883501"/>
    <w:rsid w:val="008835CB"/>
    <w:rsid w:val="0088389D"/>
    <w:rsid w:val="008838AA"/>
    <w:rsid w:val="008838B6"/>
    <w:rsid w:val="008839BC"/>
    <w:rsid w:val="00883AB5"/>
    <w:rsid w:val="00883EA4"/>
    <w:rsid w:val="00883F48"/>
    <w:rsid w:val="00884C48"/>
    <w:rsid w:val="00884E72"/>
    <w:rsid w:val="00884F76"/>
    <w:rsid w:val="00884FA9"/>
    <w:rsid w:val="00884FE7"/>
    <w:rsid w:val="00885076"/>
    <w:rsid w:val="00885261"/>
    <w:rsid w:val="00885318"/>
    <w:rsid w:val="008853F4"/>
    <w:rsid w:val="00885948"/>
    <w:rsid w:val="00885CC0"/>
    <w:rsid w:val="0088622A"/>
    <w:rsid w:val="008865C1"/>
    <w:rsid w:val="008866FD"/>
    <w:rsid w:val="00886B25"/>
    <w:rsid w:val="00886DE4"/>
    <w:rsid w:val="00887169"/>
    <w:rsid w:val="0088718E"/>
    <w:rsid w:val="00887248"/>
    <w:rsid w:val="0088724C"/>
    <w:rsid w:val="008872B8"/>
    <w:rsid w:val="00887423"/>
    <w:rsid w:val="0088743A"/>
    <w:rsid w:val="0088790A"/>
    <w:rsid w:val="00887960"/>
    <w:rsid w:val="00887A38"/>
    <w:rsid w:val="00887BB5"/>
    <w:rsid w:val="00890415"/>
    <w:rsid w:val="00890461"/>
    <w:rsid w:val="0089050B"/>
    <w:rsid w:val="00890618"/>
    <w:rsid w:val="008906D7"/>
    <w:rsid w:val="0089073E"/>
    <w:rsid w:val="00890F80"/>
    <w:rsid w:val="00891082"/>
    <w:rsid w:val="008910CA"/>
    <w:rsid w:val="00891142"/>
    <w:rsid w:val="00891188"/>
    <w:rsid w:val="008911E9"/>
    <w:rsid w:val="0089121B"/>
    <w:rsid w:val="008914C9"/>
    <w:rsid w:val="00891520"/>
    <w:rsid w:val="00891997"/>
    <w:rsid w:val="00891A3B"/>
    <w:rsid w:val="00891BAA"/>
    <w:rsid w:val="00891BBD"/>
    <w:rsid w:val="00891D27"/>
    <w:rsid w:val="00891DBD"/>
    <w:rsid w:val="008923FA"/>
    <w:rsid w:val="008928EC"/>
    <w:rsid w:val="008929D3"/>
    <w:rsid w:val="00892A6B"/>
    <w:rsid w:val="00892D6F"/>
    <w:rsid w:val="00893003"/>
    <w:rsid w:val="00893188"/>
    <w:rsid w:val="008931E8"/>
    <w:rsid w:val="0089323F"/>
    <w:rsid w:val="0089374D"/>
    <w:rsid w:val="00893763"/>
    <w:rsid w:val="00893A4C"/>
    <w:rsid w:val="00893D85"/>
    <w:rsid w:val="00893E00"/>
    <w:rsid w:val="00893F23"/>
    <w:rsid w:val="00893F53"/>
    <w:rsid w:val="00893F5E"/>
    <w:rsid w:val="00893FF0"/>
    <w:rsid w:val="0089407A"/>
    <w:rsid w:val="0089419D"/>
    <w:rsid w:val="00894266"/>
    <w:rsid w:val="008942A2"/>
    <w:rsid w:val="00894323"/>
    <w:rsid w:val="0089434F"/>
    <w:rsid w:val="0089452F"/>
    <w:rsid w:val="0089453C"/>
    <w:rsid w:val="008945C5"/>
    <w:rsid w:val="0089478F"/>
    <w:rsid w:val="0089496D"/>
    <w:rsid w:val="00894B54"/>
    <w:rsid w:val="00894D17"/>
    <w:rsid w:val="00894E8C"/>
    <w:rsid w:val="008952EC"/>
    <w:rsid w:val="008954CC"/>
    <w:rsid w:val="008955DB"/>
    <w:rsid w:val="00895747"/>
    <w:rsid w:val="00895B6F"/>
    <w:rsid w:val="00895C88"/>
    <w:rsid w:val="00895CCF"/>
    <w:rsid w:val="0089616C"/>
    <w:rsid w:val="0089630F"/>
    <w:rsid w:val="00896356"/>
    <w:rsid w:val="00896389"/>
    <w:rsid w:val="00896551"/>
    <w:rsid w:val="00896635"/>
    <w:rsid w:val="008968AC"/>
    <w:rsid w:val="00896A52"/>
    <w:rsid w:val="00896E4F"/>
    <w:rsid w:val="0089751E"/>
    <w:rsid w:val="00897795"/>
    <w:rsid w:val="00897959"/>
    <w:rsid w:val="00897C1F"/>
    <w:rsid w:val="00897CFB"/>
    <w:rsid w:val="008A05EB"/>
    <w:rsid w:val="008A0AC0"/>
    <w:rsid w:val="008A0C38"/>
    <w:rsid w:val="008A0D0D"/>
    <w:rsid w:val="008A0ED4"/>
    <w:rsid w:val="008A0EF2"/>
    <w:rsid w:val="008A0FF1"/>
    <w:rsid w:val="008A115D"/>
    <w:rsid w:val="008A1D04"/>
    <w:rsid w:val="008A2402"/>
    <w:rsid w:val="008A2461"/>
    <w:rsid w:val="008A24DF"/>
    <w:rsid w:val="008A2588"/>
    <w:rsid w:val="008A261E"/>
    <w:rsid w:val="008A27A8"/>
    <w:rsid w:val="008A292E"/>
    <w:rsid w:val="008A2AA0"/>
    <w:rsid w:val="008A3037"/>
    <w:rsid w:val="008A3141"/>
    <w:rsid w:val="008A334D"/>
    <w:rsid w:val="008A3531"/>
    <w:rsid w:val="008A3633"/>
    <w:rsid w:val="008A37D9"/>
    <w:rsid w:val="008A383F"/>
    <w:rsid w:val="008A3A90"/>
    <w:rsid w:val="008A3BDD"/>
    <w:rsid w:val="008A40B2"/>
    <w:rsid w:val="008A444B"/>
    <w:rsid w:val="008A464F"/>
    <w:rsid w:val="008A4766"/>
    <w:rsid w:val="008A4857"/>
    <w:rsid w:val="008A4A18"/>
    <w:rsid w:val="008A5137"/>
    <w:rsid w:val="008A53C6"/>
    <w:rsid w:val="008A546E"/>
    <w:rsid w:val="008A5610"/>
    <w:rsid w:val="008A57C3"/>
    <w:rsid w:val="008A592C"/>
    <w:rsid w:val="008A5BD1"/>
    <w:rsid w:val="008A5E84"/>
    <w:rsid w:val="008A5FCD"/>
    <w:rsid w:val="008A610C"/>
    <w:rsid w:val="008A6290"/>
    <w:rsid w:val="008A6322"/>
    <w:rsid w:val="008A685F"/>
    <w:rsid w:val="008A6897"/>
    <w:rsid w:val="008A69DE"/>
    <w:rsid w:val="008A6A85"/>
    <w:rsid w:val="008A6E23"/>
    <w:rsid w:val="008A70F7"/>
    <w:rsid w:val="008A70FD"/>
    <w:rsid w:val="008A7246"/>
    <w:rsid w:val="008A73E3"/>
    <w:rsid w:val="008A763F"/>
    <w:rsid w:val="008A7825"/>
    <w:rsid w:val="008A7A89"/>
    <w:rsid w:val="008A7B3D"/>
    <w:rsid w:val="008A7DC5"/>
    <w:rsid w:val="008B0454"/>
    <w:rsid w:val="008B0551"/>
    <w:rsid w:val="008B060B"/>
    <w:rsid w:val="008B0694"/>
    <w:rsid w:val="008B0731"/>
    <w:rsid w:val="008B07F9"/>
    <w:rsid w:val="008B0931"/>
    <w:rsid w:val="008B0D1A"/>
    <w:rsid w:val="008B0EAC"/>
    <w:rsid w:val="008B1087"/>
    <w:rsid w:val="008B1803"/>
    <w:rsid w:val="008B1BCA"/>
    <w:rsid w:val="008B2120"/>
    <w:rsid w:val="008B23E0"/>
    <w:rsid w:val="008B2461"/>
    <w:rsid w:val="008B2777"/>
    <w:rsid w:val="008B2989"/>
    <w:rsid w:val="008B2FC3"/>
    <w:rsid w:val="008B3335"/>
    <w:rsid w:val="008B33E1"/>
    <w:rsid w:val="008B3403"/>
    <w:rsid w:val="008B3465"/>
    <w:rsid w:val="008B3561"/>
    <w:rsid w:val="008B37E1"/>
    <w:rsid w:val="008B385E"/>
    <w:rsid w:val="008B38E5"/>
    <w:rsid w:val="008B3ABC"/>
    <w:rsid w:val="008B3ACD"/>
    <w:rsid w:val="008B3B29"/>
    <w:rsid w:val="008B3C63"/>
    <w:rsid w:val="008B3CDB"/>
    <w:rsid w:val="008B3D41"/>
    <w:rsid w:val="008B3F8A"/>
    <w:rsid w:val="008B3FE3"/>
    <w:rsid w:val="008B40F7"/>
    <w:rsid w:val="008B4138"/>
    <w:rsid w:val="008B43A1"/>
    <w:rsid w:val="008B4BF4"/>
    <w:rsid w:val="008B4D1F"/>
    <w:rsid w:val="008B4D72"/>
    <w:rsid w:val="008B4E13"/>
    <w:rsid w:val="008B4EBE"/>
    <w:rsid w:val="008B51E3"/>
    <w:rsid w:val="008B51F7"/>
    <w:rsid w:val="008B5263"/>
    <w:rsid w:val="008B52A7"/>
    <w:rsid w:val="008B534F"/>
    <w:rsid w:val="008B54C0"/>
    <w:rsid w:val="008B5590"/>
    <w:rsid w:val="008B56EF"/>
    <w:rsid w:val="008B57FD"/>
    <w:rsid w:val="008B588D"/>
    <w:rsid w:val="008B5A42"/>
    <w:rsid w:val="008B5CDB"/>
    <w:rsid w:val="008B5E51"/>
    <w:rsid w:val="008B6019"/>
    <w:rsid w:val="008B6318"/>
    <w:rsid w:val="008B63FD"/>
    <w:rsid w:val="008B6581"/>
    <w:rsid w:val="008B6BFE"/>
    <w:rsid w:val="008B6E4E"/>
    <w:rsid w:val="008B6FFD"/>
    <w:rsid w:val="008B7073"/>
    <w:rsid w:val="008B70B1"/>
    <w:rsid w:val="008B7239"/>
    <w:rsid w:val="008B729A"/>
    <w:rsid w:val="008B73F3"/>
    <w:rsid w:val="008B7467"/>
    <w:rsid w:val="008B74A0"/>
    <w:rsid w:val="008B74E0"/>
    <w:rsid w:val="008B758D"/>
    <w:rsid w:val="008B75BE"/>
    <w:rsid w:val="008B76F8"/>
    <w:rsid w:val="008B7789"/>
    <w:rsid w:val="008B7C37"/>
    <w:rsid w:val="008B7D21"/>
    <w:rsid w:val="008C006E"/>
    <w:rsid w:val="008C01DC"/>
    <w:rsid w:val="008C053C"/>
    <w:rsid w:val="008C075A"/>
    <w:rsid w:val="008C0870"/>
    <w:rsid w:val="008C0A6B"/>
    <w:rsid w:val="008C106C"/>
    <w:rsid w:val="008C1108"/>
    <w:rsid w:val="008C1235"/>
    <w:rsid w:val="008C135A"/>
    <w:rsid w:val="008C1525"/>
    <w:rsid w:val="008C17B1"/>
    <w:rsid w:val="008C1AE2"/>
    <w:rsid w:val="008C1AFE"/>
    <w:rsid w:val="008C1B48"/>
    <w:rsid w:val="008C1D3B"/>
    <w:rsid w:val="008C1FE2"/>
    <w:rsid w:val="008C2019"/>
    <w:rsid w:val="008C2712"/>
    <w:rsid w:val="008C2BB4"/>
    <w:rsid w:val="008C2C68"/>
    <w:rsid w:val="008C2FF3"/>
    <w:rsid w:val="008C3457"/>
    <w:rsid w:val="008C3577"/>
    <w:rsid w:val="008C3A58"/>
    <w:rsid w:val="008C3AD6"/>
    <w:rsid w:val="008C3C0B"/>
    <w:rsid w:val="008C3DBF"/>
    <w:rsid w:val="008C3DF9"/>
    <w:rsid w:val="008C4475"/>
    <w:rsid w:val="008C458F"/>
    <w:rsid w:val="008C46FD"/>
    <w:rsid w:val="008C4923"/>
    <w:rsid w:val="008C4B29"/>
    <w:rsid w:val="008C4BFA"/>
    <w:rsid w:val="008C4F70"/>
    <w:rsid w:val="008C506D"/>
    <w:rsid w:val="008C517A"/>
    <w:rsid w:val="008C51AF"/>
    <w:rsid w:val="008C5219"/>
    <w:rsid w:val="008C5640"/>
    <w:rsid w:val="008C57A6"/>
    <w:rsid w:val="008C5ABD"/>
    <w:rsid w:val="008C5F03"/>
    <w:rsid w:val="008C5F31"/>
    <w:rsid w:val="008C5FA6"/>
    <w:rsid w:val="008C606E"/>
    <w:rsid w:val="008C617E"/>
    <w:rsid w:val="008C639A"/>
    <w:rsid w:val="008C6566"/>
    <w:rsid w:val="008C6827"/>
    <w:rsid w:val="008C6965"/>
    <w:rsid w:val="008C69D6"/>
    <w:rsid w:val="008C6C0E"/>
    <w:rsid w:val="008C731B"/>
    <w:rsid w:val="008C74C8"/>
    <w:rsid w:val="008C74EF"/>
    <w:rsid w:val="008C75B5"/>
    <w:rsid w:val="008C77A8"/>
    <w:rsid w:val="008C7B13"/>
    <w:rsid w:val="008C7B1E"/>
    <w:rsid w:val="008C7FDC"/>
    <w:rsid w:val="008D0026"/>
    <w:rsid w:val="008D0181"/>
    <w:rsid w:val="008D01DC"/>
    <w:rsid w:val="008D07F8"/>
    <w:rsid w:val="008D0A16"/>
    <w:rsid w:val="008D0E98"/>
    <w:rsid w:val="008D12C8"/>
    <w:rsid w:val="008D150F"/>
    <w:rsid w:val="008D173C"/>
    <w:rsid w:val="008D1972"/>
    <w:rsid w:val="008D1AA0"/>
    <w:rsid w:val="008D1CED"/>
    <w:rsid w:val="008D1E06"/>
    <w:rsid w:val="008D1EFF"/>
    <w:rsid w:val="008D20A1"/>
    <w:rsid w:val="008D20CB"/>
    <w:rsid w:val="008D2128"/>
    <w:rsid w:val="008D227F"/>
    <w:rsid w:val="008D2589"/>
    <w:rsid w:val="008D2936"/>
    <w:rsid w:val="008D2A27"/>
    <w:rsid w:val="008D2BDD"/>
    <w:rsid w:val="008D2D4B"/>
    <w:rsid w:val="008D2D98"/>
    <w:rsid w:val="008D30D1"/>
    <w:rsid w:val="008D329B"/>
    <w:rsid w:val="008D33DA"/>
    <w:rsid w:val="008D368D"/>
    <w:rsid w:val="008D36D6"/>
    <w:rsid w:val="008D39A1"/>
    <w:rsid w:val="008D39D8"/>
    <w:rsid w:val="008D3AA7"/>
    <w:rsid w:val="008D3E5F"/>
    <w:rsid w:val="008D4320"/>
    <w:rsid w:val="008D4366"/>
    <w:rsid w:val="008D441B"/>
    <w:rsid w:val="008D4572"/>
    <w:rsid w:val="008D47D6"/>
    <w:rsid w:val="008D49B5"/>
    <w:rsid w:val="008D4B67"/>
    <w:rsid w:val="008D4CC2"/>
    <w:rsid w:val="008D4D1F"/>
    <w:rsid w:val="008D4D20"/>
    <w:rsid w:val="008D4D9C"/>
    <w:rsid w:val="008D4E75"/>
    <w:rsid w:val="008D4F6E"/>
    <w:rsid w:val="008D5085"/>
    <w:rsid w:val="008D50F8"/>
    <w:rsid w:val="008D524F"/>
    <w:rsid w:val="008D565A"/>
    <w:rsid w:val="008D5722"/>
    <w:rsid w:val="008D5C05"/>
    <w:rsid w:val="008D5E19"/>
    <w:rsid w:val="008D5F30"/>
    <w:rsid w:val="008D61AE"/>
    <w:rsid w:val="008D61B9"/>
    <w:rsid w:val="008D63A6"/>
    <w:rsid w:val="008D6780"/>
    <w:rsid w:val="008D68BB"/>
    <w:rsid w:val="008D699E"/>
    <w:rsid w:val="008D6AAE"/>
    <w:rsid w:val="008D6BE5"/>
    <w:rsid w:val="008D6FCE"/>
    <w:rsid w:val="008D6FD2"/>
    <w:rsid w:val="008D713B"/>
    <w:rsid w:val="008D776D"/>
    <w:rsid w:val="008D78BE"/>
    <w:rsid w:val="008D78C9"/>
    <w:rsid w:val="008D7C74"/>
    <w:rsid w:val="008D7CBA"/>
    <w:rsid w:val="008E00FA"/>
    <w:rsid w:val="008E06D0"/>
    <w:rsid w:val="008E0904"/>
    <w:rsid w:val="008E09A8"/>
    <w:rsid w:val="008E0A45"/>
    <w:rsid w:val="008E0C6A"/>
    <w:rsid w:val="008E0CF6"/>
    <w:rsid w:val="008E0E75"/>
    <w:rsid w:val="008E0E79"/>
    <w:rsid w:val="008E0FA2"/>
    <w:rsid w:val="008E142B"/>
    <w:rsid w:val="008E14AE"/>
    <w:rsid w:val="008E16E4"/>
    <w:rsid w:val="008E1790"/>
    <w:rsid w:val="008E1A23"/>
    <w:rsid w:val="008E1B64"/>
    <w:rsid w:val="008E1D09"/>
    <w:rsid w:val="008E20D8"/>
    <w:rsid w:val="008E23BC"/>
    <w:rsid w:val="008E2425"/>
    <w:rsid w:val="008E2532"/>
    <w:rsid w:val="008E29EC"/>
    <w:rsid w:val="008E31D1"/>
    <w:rsid w:val="008E34DF"/>
    <w:rsid w:val="008E3665"/>
    <w:rsid w:val="008E3CD2"/>
    <w:rsid w:val="008E3F1D"/>
    <w:rsid w:val="008E4218"/>
    <w:rsid w:val="008E44A9"/>
    <w:rsid w:val="008E44FF"/>
    <w:rsid w:val="008E47B7"/>
    <w:rsid w:val="008E4E22"/>
    <w:rsid w:val="008E509F"/>
    <w:rsid w:val="008E52CD"/>
    <w:rsid w:val="008E534C"/>
    <w:rsid w:val="008E579B"/>
    <w:rsid w:val="008E59D0"/>
    <w:rsid w:val="008E5A43"/>
    <w:rsid w:val="008E5E6D"/>
    <w:rsid w:val="008E5EE7"/>
    <w:rsid w:val="008E5F39"/>
    <w:rsid w:val="008E6142"/>
    <w:rsid w:val="008E6729"/>
    <w:rsid w:val="008E6730"/>
    <w:rsid w:val="008E6D01"/>
    <w:rsid w:val="008E720C"/>
    <w:rsid w:val="008E722F"/>
    <w:rsid w:val="008E7269"/>
    <w:rsid w:val="008E727A"/>
    <w:rsid w:val="008E730A"/>
    <w:rsid w:val="008E731C"/>
    <w:rsid w:val="008E734B"/>
    <w:rsid w:val="008E7352"/>
    <w:rsid w:val="008E7404"/>
    <w:rsid w:val="008E7FB1"/>
    <w:rsid w:val="008F02E3"/>
    <w:rsid w:val="008F046A"/>
    <w:rsid w:val="008F047A"/>
    <w:rsid w:val="008F067E"/>
    <w:rsid w:val="008F0871"/>
    <w:rsid w:val="008F0C0E"/>
    <w:rsid w:val="008F0CC3"/>
    <w:rsid w:val="008F0E14"/>
    <w:rsid w:val="008F1183"/>
    <w:rsid w:val="008F12C4"/>
    <w:rsid w:val="008F14DB"/>
    <w:rsid w:val="008F1656"/>
    <w:rsid w:val="008F179E"/>
    <w:rsid w:val="008F17F5"/>
    <w:rsid w:val="008F1939"/>
    <w:rsid w:val="008F1B1D"/>
    <w:rsid w:val="008F1D33"/>
    <w:rsid w:val="008F1DD9"/>
    <w:rsid w:val="008F1E96"/>
    <w:rsid w:val="008F1F77"/>
    <w:rsid w:val="008F2268"/>
    <w:rsid w:val="008F2E4B"/>
    <w:rsid w:val="008F2F79"/>
    <w:rsid w:val="008F300F"/>
    <w:rsid w:val="008F3317"/>
    <w:rsid w:val="008F36ED"/>
    <w:rsid w:val="008F3AD7"/>
    <w:rsid w:val="008F3FAD"/>
    <w:rsid w:val="008F407E"/>
    <w:rsid w:val="008F41C6"/>
    <w:rsid w:val="008F42F1"/>
    <w:rsid w:val="008F4334"/>
    <w:rsid w:val="008F43A5"/>
    <w:rsid w:val="008F44F3"/>
    <w:rsid w:val="008F46E8"/>
    <w:rsid w:val="008F4811"/>
    <w:rsid w:val="008F4844"/>
    <w:rsid w:val="008F4C58"/>
    <w:rsid w:val="008F4C71"/>
    <w:rsid w:val="008F4D3C"/>
    <w:rsid w:val="008F4E0D"/>
    <w:rsid w:val="008F4F2E"/>
    <w:rsid w:val="008F54E8"/>
    <w:rsid w:val="008F55B5"/>
    <w:rsid w:val="008F5772"/>
    <w:rsid w:val="008F58DA"/>
    <w:rsid w:val="008F5996"/>
    <w:rsid w:val="008F5CF0"/>
    <w:rsid w:val="008F6009"/>
    <w:rsid w:val="008F6130"/>
    <w:rsid w:val="008F6575"/>
    <w:rsid w:val="008F66AE"/>
    <w:rsid w:val="008F6801"/>
    <w:rsid w:val="008F6B04"/>
    <w:rsid w:val="008F6D0F"/>
    <w:rsid w:val="008F6DD2"/>
    <w:rsid w:val="008F6FB2"/>
    <w:rsid w:val="008F6FFD"/>
    <w:rsid w:val="008F7178"/>
    <w:rsid w:val="008F7508"/>
    <w:rsid w:val="008F7659"/>
    <w:rsid w:val="008F76D3"/>
    <w:rsid w:val="008F779C"/>
    <w:rsid w:val="008F7CE6"/>
    <w:rsid w:val="008F7F66"/>
    <w:rsid w:val="0090044B"/>
    <w:rsid w:val="009006F5"/>
    <w:rsid w:val="00900A69"/>
    <w:rsid w:val="00900B5E"/>
    <w:rsid w:val="00900F98"/>
    <w:rsid w:val="0090101E"/>
    <w:rsid w:val="0090102A"/>
    <w:rsid w:val="0090110B"/>
    <w:rsid w:val="009011DA"/>
    <w:rsid w:val="009012DA"/>
    <w:rsid w:val="0090144C"/>
    <w:rsid w:val="0090145B"/>
    <w:rsid w:val="00901639"/>
    <w:rsid w:val="00901763"/>
    <w:rsid w:val="0090183C"/>
    <w:rsid w:val="00901B7B"/>
    <w:rsid w:val="00901D3B"/>
    <w:rsid w:val="00901FC9"/>
    <w:rsid w:val="0090232D"/>
    <w:rsid w:val="00902484"/>
    <w:rsid w:val="009025C0"/>
    <w:rsid w:val="00902695"/>
    <w:rsid w:val="0090276C"/>
    <w:rsid w:val="009027D1"/>
    <w:rsid w:val="009029B9"/>
    <w:rsid w:val="009029FC"/>
    <w:rsid w:val="00902CA0"/>
    <w:rsid w:val="00902FAC"/>
    <w:rsid w:val="0090303A"/>
    <w:rsid w:val="00903117"/>
    <w:rsid w:val="00903AEB"/>
    <w:rsid w:val="00903F7F"/>
    <w:rsid w:val="009040B2"/>
    <w:rsid w:val="00904333"/>
    <w:rsid w:val="009044B8"/>
    <w:rsid w:val="00904738"/>
    <w:rsid w:val="00904B41"/>
    <w:rsid w:val="00904EE2"/>
    <w:rsid w:val="00905236"/>
    <w:rsid w:val="009054D5"/>
    <w:rsid w:val="00905621"/>
    <w:rsid w:val="00905979"/>
    <w:rsid w:val="00905AB6"/>
    <w:rsid w:val="00905CA6"/>
    <w:rsid w:val="00905E07"/>
    <w:rsid w:val="00905F20"/>
    <w:rsid w:val="0090612A"/>
    <w:rsid w:val="009061ED"/>
    <w:rsid w:val="009062DB"/>
    <w:rsid w:val="00906848"/>
    <w:rsid w:val="00906AA6"/>
    <w:rsid w:val="00906CD2"/>
    <w:rsid w:val="00906D12"/>
    <w:rsid w:val="00906DC2"/>
    <w:rsid w:val="00906DDA"/>
    <w:rsid w:val="00906E5D"/>
    <w:rsid w:val="009070E9"/>
    <w:rsid w:val="009073B1"/>
    <w:rsid w:val="00907418"/>
    <w:rsid w:val="0090751B"/>
    <w:rsid w:val="00907734"/>
    <w:rsid w:val="0090783D"/>
    <w:rsid w:val="00907A93"/>
    <w:rsid w:val="00907B19"/>
    <w:rsid w:val="00907FD7"/>
    <w:rsid w:val="00910214"/>
    <w:rsid w:val="00910398"/>
    <w:rsid w:val="0091044E"/>
    <w:rsid w:val="009107DE"/>
    <w:rsid w:val="00910AA6"/>
    <w:rsid w:val="00910BAB"/>
    <w:rsid w:val="00910D9E"/>
    <w:rsid w:val="009110CF"/>
    <w:rsid w:val="009112BD"/>
    <w:rsid w:val="009114DE"/>
    <w:rsid w:val="0091167D"/>
    <w:rsid w:val="0091188B"/>
    <w:rsid w:val="0091196C"/>
    <w:rsid w:val="00911A05"/>
    <w:rsid w:val="00911A0F"/>
    <w:rsid w:val="00911CFC"/>
    <w:rsid w:val="00911D8E"/>
    <w:rsid w:val="00912134"/>
    <w:rsid w:val="00912135"/>
    <w:rsid w:val="009121D1"/>
    <w:rsid w:val="00912648"/>
    <w:rsid w:val="00912680"/>
    <w:rsid w:val="009126EF"/>
    <w:rsid w:val="00912792"/>
    <w:rsid w:val="009127AE"/>
    <w:rsid w:val="009129C1"/>
    <w:rsid w:val="00912A1A"/>
    <w:rsid w:val="00912BD1"/>
    <w:rsid w:val="009131BE"/>
    <w:rsid w:val="00913228"/>
    <w:rsid w:val="00913384"/>
    <w:rsid w:val="00913448"/>
    <w:rsid w:val="00913677"/>
    <w:rsid w:val="009138CD"/>
    <w:rsid w:val="00913906"/>
    <w:rsid w:val="00913A36"/>
    <w:rsid w:val="00913A42"/>
    <w:rsid w:val="00913ABF"/>
    <w:rsid w:val="0091409B"/>
    <w:rsid w:val="0091464D"/>
    <w:rsid w:val="009146A9"/>
    <w:rsid w:val="009146B6"/>
    <w:rsid w:val="00914D60"/>
    <w:rsid w:val="00914DE1"/>
    <w:rsid w:val="00914EA4"/>
    <w:rsid w:val="00914EDC"/>
    <w:rsid w:val="00914EE6"/>
    <w:rsid w:val="009150E2"/>
    <w:rsid w:val="0091545C"/>
    <w:rsid w:val="009156B8"/>
    <w:rsid w:val="0091575A"/>
    <w:rsid w:val="00915B0D"/>
    <w:rsid w:val="00915BAE"/>
    <w:rsid w:val="00915BCC"/>
    <w:rsid w:val="00915D93"/>
    <w:rsid w:val="00915E21"/>
    <w:rsid w:val="0091600F"/>
    <w:rsid w:val="0091631D"/>
    <w:rsid w:val="0091642C"/>
    <w:rsid w:val="009164BF"/>
    <w:rsid w:val="00916690"/>
    <w:rsid w:val="00916C8A"/>
    <w:rsid w:val="00916DA0"/>
    <w:rsid w:val="00916DC4"/>
    <w:rsid w:val="00916F2D"/>
    <w:rsid w:val="00917022"/>
    <w:rsid w:val="00917054"/>
    <w:rsid w:val="00917260"/>
    <w:rsid w:val="00917452"/>
    <w:rsid w:val="00917628"/>
    <w:rsid w:val="009176D0"/>
    <w:rsid w:val="00917A7A"/>
    <w:rsid w:val="00917AA5"/>
    <w:rsid w:val="00917B66"/>
    <w:rsid w:val="00917B67"/>
    <w:rsid w:val="00917EEE"/>
    <w:rsid w:val="00917FDE"/>
    <w:rsid w:val="00920060"/>
    <w:rsid w:val="0092045A"/>
    <w:rsid w:val="00920560"/>
    <w:rsid w:val="00920AA8"/>
    <w:rsid w:val="00920DD7"/>
    <w:rsid w:val="00921228"/>
    <w:rsid w:val="00921264"/>
    <w:rsid w:val="009214B1"/>
    <w:rsid w:val="009216B4"/>
    <w:rsid w:val="0092171B"/>
    <w:rsid w:val="0092193C"/>
    <w:rsid w:val="00921BE6"/>
    <w:rsid w:val="00921E62"/>
    <w:rsid w:val="00921EA9"/>
    <w:rsid w:val="00921EEB"/>
    <w:rsid w:val="0092208D"/>
    <w:rsid w:val="00922121"/>
    <w:rsid w:val="00922432"/>
    <w:rsid w:val="00922625"/>
    <w:rsid w:val="00922940"/>
    <w:rsid w:val="00922A83"/>
    <w:rsid w:val="00922BD3"/>
    <w:rsid w:val="00922CE0"/>
    <w:rsid w:val="00922E3B"/>
    <w:rsid w:val="00922FB1"/>
    <w:rsid w:val="00923039"/>
    <w:rsid w:val="0092321F"/>
    <w:rsid w:val="009233F9"/>
    <w:rsid w:val="0092353A"/>
    <w:rsid w:val="00923AB2"/>
    <w:rsid w:val="00923ABF"/>
    <w:rsid w:val="00923D33"/>
    <w:rsid w:val="00923E0A"/>
    <w:rsid w:val="00923E8C"/>
    <w:rsid w:val="009240F0"/>
    <w:rsid w:val="0092438F"/>
    <w:rsid w:val="0092446E"/>
    <w:rsid w:val="0092467A"/>
    <w:rsid w:val="009248F6"/>
    <w:rsid w:val="00924C86"/>
    <w:rsid w:val="00924E60"/>
    <w:rsid w:val="009251D7"/>
    <w:rsid w:val="0092530A"/>
    <w:rsid w:val="00925971"/>
    <w:rsid w:val="00925B3F"/>
    <w:rsid w:val="00925B94"/>
    <w:rsid w:val="00925C77"/>
    <w:rsid w:val="00925C80"/>
    <w:rsid w:val="00925CAA"/>
    <w:rsid w:val="009261E8"/>
    <w:rsid w:val="009262B1"/>
    <w:rsid w:val="009264C8"/>
    <w:rsid w:val="0092663C"/>
    <w:rsid w:val="00926863"/>
    <w:rsid w:val="00926AF9"/>
    <w:rsid w:val="00926CB0"/>
    <w:rsid w:val="00926D22"/>
    <w:rsid w:val="00927005"/>
    <w:rsid w:val="009272F6"/>
    <w:rsid w:val="00927501"/>
    <w:rsid w:val="009276F9"/>
    <w:rsid w:val="0092787B"/>
    <w:rsid w:val="00927994"/>
    <w:rsid w:val="009279D7"/>
    <w:rsid w:val="009279F1"/>
    <w:rsid w:val="00927D85"/>
    <w:rsid w:val="00930344"/>
    <w:rsid w:val="00930485"/>
    <w:rsid w:val="009304A6"/>
    <w:rsid w:val="009304E1"/>
    <w:rsid w:val="0093053A"/>
    <w:rsid w:val="009307BA"/>
    <w:rsid w:val="0093092B"/>
    <w:rsid w:val="00930A17"/>
    <w:rsid w:val="00930ECC"/>
    <w:rsid w:val="00930EDC"/>
    <w:rsid w:val="00930F73"/>
    <w:rsid w:val="00931022"/>
    <w:rsid w:val="0093105B"/>
    <w:rsid w:val="0093109D"/>
    <w:rsid w:val="009315B1"/>
    <w:rsid w:val="00931676"/>
    <w:rsid w:val="00931843"/>
    <w:rsid w:val="0093185E"/>
    <w:rsid w:val="00931AC9"/>
    <w:rsid w:val="00931CEB"/>
    <w:rsid w:val="0093221A"/>
    <w:rsid w:val="009323E2"/>
    <w:rsid w:val="00932410"/>
    <w:rsid w:val="009325ED"/>
    <w:rsid w:val="009327E8"/>
    <w:rsid w:val="00932809"/>
    <w:rsid w:val="009328DB"/>
    <w:rsid w:val="00932A7D"/>
    <w:rsid w:val="00932D59"/>
    <w:rsid w:val="00932E2C"/>
    <w:rsid w:val="00932EF0"/>
    <w:rsid w:val="00932FBF"/>
    <w:rsid w:val="00933228"/>
    <w:rsid w:val="00933361"/>
    <w:rsid w:val="0093349F"/>
    <w:rsid w:val="0093365E"/>
    <w:rsid w:val="00933BCE"/>
    <w:rsid w:val="00933E6A"/>
    <w:rsid w:val="00933E6F"/>
    <w:rsid w:val="00933E7C"/>
    <w:rsid w:val="0093400C"/>
    <w:rsid w:val="00934112"/>
    <w:rsid w:val="009344E6"/>
    <w:rsid w:val="00934621"/>
    <w:rsid w:val="009347E7"/>
    <w:rsid w:val="009347F7"/>
    <w:rsid w:val="00934AB3"/>
    <w:rsid w:val="00934EDF"/>
    <w:rsid w:val="0093509B"/>
    <w:rsid w:val="00935693"/>
    <w:rsid w:val="009359E9"/>
    <w:rsid w:val="00935A5E"/>
    <w:rsid w:val="00935B40"/>
    <w:rsid w:val="00935D14"/>
    <w:rsid w:val="00935D3B"/>
    <w:rsid w:val="00935FD9"/>
    <w:rsid w:val="0093608B"/>
    <w:rsid w:val="009362B1"/>
    <w:rsid w:val="009365A3"/>
    <w:rsid w:val="009367DB"/>
    <w:rsid w:val="009368D7"/>
    <w:rsid w:val="00936A67"/>
    <w:rsid w:val="00936BD4"/>
    <w:rsid w:val="00936D29"/>
    <w:rsid w:val="00937334"/>
    <w:rsid w:val="00937468"/>
    <w:rsid w:val="009376F3"/>
    <w:rsid w:val="0093796A"/>
    <w:rsid w:val="0093798C"/>
    <w:rsid w:val="00937F47"/>
    <w:rsid w:val="00940001"/>
    <w:rsid w:val="009403B6"/>
    <w:rsid w:val="00940E4D"/>
    <w:rsid w:val="00940F33"/>
    <w:rsid w:val="0094100D"/>
    <w:rsid w:val="009410B5"/>
    <w:rsid w:val="009410F3"/>
    <w:rsid w:val="009411D8"/>
    <w:rsid w:val="009411F6"/>
    <w:rsid w:val="00941554"/>
    <w:rsid w:val="00941705"/>
    <w:rsid w:val="0094171C"/>
    <w:rsid w:val="00941758"/>
    <w:rsid w:val="009418F5"/>
    <w:rsid w:val="00941927"/>
    <w:rsid w:val="00941B00"/>
    <w:rsid w:val="00941B6E"/>
    <w:rsid w:val="00941C86"/>
    <w:rsid w:val="00941F5B"/>
    <w:rsid w:val="00942177"/>
    <w:rsid w:val="0094229D"/>
    <w:rsid w:val="009426B7"/>
    <w:rsid w:val="00942711"/>
    <w:rsid w:val="00942C6A"/>
    <w:rsid w:val="00942CAF"/>
    <w:rsid w:val="00942CC1"/>
    <w:rsid w:val="00942D85"/>
    <w:rsid w:val="00943310"/>
    <w:rsid w:val="0094337D"/>
    <w:rsid w:val="009435FF"/>
    <w:rsid w:val="00943736"/>
    <w:rsid w:val="0094387B"/>
    <w:rsid w:val="009438A2"/>
    <w:rsid w:val="009438BD"/>
    <w:rsid w:val="00943997"/>
    <w:rsid w:val="00943B0D"/>
    <w:rsid w:val="00943B36"/>
    <w:rsid w:val="00943C8C"/>
    <w:rsid w:val="00943CD2"/>
    <w:rsid w:val="00943CEE"/>
    <w:rsid w:val="00943CFA"/>
    <w:rsid w:val="00943D3C"/>
    <w:rsid w:val="00943FC2"/>
    <w:rsid w:val="00943FC6"/>
    <w:rsid w:val="00944103"/>
    <w:rsid w:val="009442CB"/>
    <w:rsid w:val="009445CC"/>
    <w:rsid w:val="00944643"/>
    <w:rsid w:val="00944783"/>
    <w:rsid w:val="009447EF"/>
    <w:rsid w:val="009448AB"/>
    <w:rsid w:val="00944C9A"/>
    <w:rsid w:val="00944D03"/>
    <w:rsid w:val="0094522A"/>
    <w:rsid w:val="0094551C"/>
    <w:rsid w:val="00945542"/>
    <w:rsid w:val="009457B8"/>
    <w:rsid w:val="00945AF9"/>
    <w:rsid w:val="00946358"/>
    <w:rsid w:val="0094641C"/>
    <w:rsid w:val="0094645E"/>
    <w:rsid w:val="00946602"/>
    <w:rsid w:val="00946763"/>
    <w:rsid w:val="0094695B"/>
    <w:rsid w:val="00946AEF"/>
    <w:rsid w:val="00946BC2"/>
    <w:rsid w:val="00946CA0"/>
    <w:rsid w:val="00946D58"/>
    <w:rsid w:val="00946E78"/>
    <w:rsid w:val="0094702D"/>
    <w:rsid w:val="0094708C"/>
    <w:rsid w:val="009477E1"/>
    <w:rsid w:val="00947865"/>
    <w:rsid w:val="00947DC5"/>
    <w:rsid w:val="00947E1D"/>
    <w:rsid w:val="00950268"/>
    <w:rsid w:val="00950594"/>
    <w:rsid w:val="009507BC"/>
    <w:rsid w:val="00951175"/>
    <w:rsid w:val="0095144C"/>
    <w:rsid w:val="00951462"/>
    <w:rsid w:val="0095175D"/>
    <w:rsid w:val="00951810"/>
    <w:rsid w:val="00951891"/>
    <w:rsid w:val="009519F8"/>
    <w:rsid w:val="00951BB6"/>
    <w:rsid w:val="00951C4D"/>
    <w:rsid w:val="00951C82"/>
    <w:rsid w:val="00951E53"/>
    <w:rsid w:val="00951EE0"/>
    <w:rsid w:val="0095220F"/>
    <w:rsid w:val="009523BE"/>
    <w:rsid w:val="00952C21"/>
    <w:rsid w:val="00952C5B"/>
    <w:rsid w:val="00952C6C"/>
    <w:rsid w:val="00952D70"/>
    <w:rsid w:val="00952F2B"/>
    <w:rsid w:val="00952FF2"/>
    <w:rsid w:val="009530AB"/>
    <w:rsid w:val="00953210"/>
    <w:rsid w:val="00953484"/>
    <w:rsid w:val="00953728"/>
    <w:rsid w:val="00953774"/>
    <w:rsid w:val="0095395C"/>
    <w:rsid w:val="00953BAE"/>
    <w:rsid w:val="00953D02"/>
    <w:rsid w:val="00953D1C"/>
    <w:rsid w:val="00953D22"/>
    <w:rsid w:val="00953DDC"/>
    <w:rsid w:val="00953E18"/>
    <w:rsid w:val="00953F6D"/>
    <w:rsid w:val="0095415D"/>
    <w:rsid w:val="0095466D"/>
    <w:rsid w:val="009546DE"/>
    <w:rsid w:val="00954985"/>
    <w:rsid w:val="00954B6E"/>
    <w:rsid w:val="00954C73"/>
    <w:rsid w:val="00954FD5"/>
    <w:rsid w:val="00955076"/>
    <w:rsid w:val="00955085"/>
    <w:rsid w:val="00955204"/>
    <w:rsid w:val="00955244"/>
    <w:rsid w:val="009558C2"/>
    <w:rsid w:val="00955BB2"/>
    <w:rsid w:val="00955BBD"/>
    <w:rsid w:val="00955C06"/>
    <w:rsid w:val="00955D6F"/>
    <w:rsid w:val="00955D75"/>
    <w:rsid w:val="00955DCD"/>
    <w:rsid w:val="00955EA8"/>
    <w:rsid w:val="009562D9"/>
    <w:rsid w:val="009563DB"/>
    <w:rsid w:val="00956576"/>
    <w:rsid w:val="0095678F"/>
    <w:rsid w:val="00956911"/>
    <w:rsid w:val="00956BF2"/>
    <w:rsid w:val="009570A6"/>
    <w:rsid w:val="00957144"/>
    <w:rsid w:val="00957A1B"/>
    <w:rsid w:val="00957A5B"/>
    <w:rsid w:val="00957AC1"/>
    <w:rsid w:val="00957B70"/>
    <w:rsid w:val="00957DA0"/>
    <w:rsid w:val="00957FC2"/>
    <w:rsid w:val="009601F9"/>
    <w:rsid w:val="009602AD"/>
    <w:rsid w:val="00960326"/>
    <w:rsid w:val="00960448"/>
    <w:rsid w:val="00960453"/>
    <w:rsid w:val="009604AB"/>
    <w:rsid w:val="00960566"/>
    <w:rsid w:val="0096095B"/>
    <w:rsid w:val="009609D4"/>
    <w:rsid w:val="00960A72"/>
    <w:rsid w:val="00960BEE"/>
    <w:rsid w:val="009610F5"/>
    <w:rsid w:val="00961187"/>
    <w:rsid w:val="009611E1"/>
    <w:rsid w:val="009616A7"/>
    <w:rsid w:val="009616E5"/>
    <w:rsid w:val="009617D8"/>
    <w:rsid w:val="009618EB"/>
    <w:rsid w:val="00961AD8"/>
    <w:rsid w:val="00961BA2"/>
    <w:rsid w:val="00961D12"/>
    <w:rsid w:val="00961D3F"/>
    <w:rsid w:val="00961DB1"/>
    <w:rsid w:val="00961EC2"/>
    <w:rsid w:val="00961F14"/>
    <w:rsid w:val="009620AA"/>
    <w:rsid w:val="009620CF"/>
    <w:rsid w:val="0096212C"/>
    <w:rsid w:val="009621F3"/>
    <w:rsid w:val="0096247B"/>
    <w:rsid w:val="00962499"/>
    <w:rsid w:val="00962503"/>
    <w:rsid w:val="00962512"/>
    <w:rsid w:val="00962AF2"/>
    <w:rsid w:val="00962B85"/>
    <w:rsid w:val="00962E19"/>
    <w:rsid w:val="00962E1A"/>
    <w:rsid w:val="00962E4E"/>
    <w:rsid w:val="009630AC"/>
    <w:rsid w:val="00963118"/>
    <w:rsid w:val="009634D3"/>
    <w:rsid w:val="00963657"/>
    <w:rsid w:val="00963720"/>
    <w:rsid w:val="0096380A"/>
    <w:rsid w:val="00963810"/>
    <w:rsid w:val="009638F9"/>
    <w:rsid w:val="00963B0B"/>
    <w:rsid w:val="00963BB6"/>
    <w:rsid w:val="00963D9E"/>
    <w:rsid w:val="009640F7"/>
    <w:rsid w:val="0096413F"/>
    <w:rsid w:val="009641DA"/>
    <w:rsid w:val="0096424D"/>
    <w:rsid w:val="009643AD"/>
    <w:rsid w:val="00964884"/>
    <w:rsid w:val="00964B3D"/>
    <w:rsid w:val="00964E93"/>
    <w:rsid w:val="009650E2"/>
    <w:rsid w:val="00965120"/>
    <w:rsid w:val="00965164"/>
    <w:rsid w:val="009652D0"/>
    <w:rsid w:val="0096538B"/>
    <w:rsid w:val="009654C3"/>
    <w:rsid w:val="00965914"/>
    <w:rsid w:val="00965D2B"/>
    <w:rsid w:val="00965E5B"/>
    <w:rsid w:val="00965F67"/>
    <w:rsid w:val="00966021"/>
    <w:rsid w:val="00966913"/>
    <w:rsid w:val="00966934"/>
    <w:rsid w:val="00966AE2"/>
    <w:rsid w:val="00966BA1"/>
    <w:rsid w:val="00966C47"/>
    <w:rsid w:val="00966C53"/>
    <w:rsid w:val="00966CF6"/>
    <w:rsid w:val="00966FC9"/>
    <w:rsid w:val="009672F3"/>
    <w:rsid w:val="009675EC"/>
    <w:rsid w:val="00967810"/>
    <w:rsid w:val="00967B23"/>
    <w:rsid w:val="00967B8A"/>
    <w:rsid w:val="00967D17"/>
    <w:rsid w:val="00967D7B"/>
    <w:rsid w:val="00967F1E"/>
    <w:rsid w:val="00967F26"/>
    <w:rsid w:val="00967F69"/>
    <w:rsid w:val="0097031A"/>
    <w:rsid w:val="0097057B"/>
    <w:rsid w:val="0097057E"/>
    <w:rsid w:val="00970AA7"/>
    <w:rsid w:val="009710AB"/>
    <w:rsid w:val="00971298"/>
    <w:rsid w:val="0097159C"/>
    <w:rsid w:val="009716AD"/>
    <w:rsid w:val="009716E1"/>
    <w:rsid w:val="009717C3"/>
    <w:rsid w:val="009719DE"/>
    <w:rsid w:val="009719FF"/>
    <w:rsid w:val="00971FB9"/>
    <w:rsid w:val="009723A3"/>
    <w:rsid w:val="0097250A"/>
    <w:rsid w:val="00972574"/>
    <w:rsid w:val="0097264C"/>
    <w:rsid w:val="0097276A"/>
    <w:rsid w:val="009727A6"/>
    <w:rsid w:val="0097293B"/>
    <w:rsid w:val="00972B08"/>
    <w:rsid w:val="00972B0B"/>
    <w:rsid w:val="00972D83"/>
    <w:rsid w:val="00972ECD"/>
    <w:rsid w:val="0097331F"/>
    <w:rsid w:val="00973331"/>
    <w:rsid w:val="009735F0"/>
    <w:rsid w:val="009736D2"/>
    <w:rsid w:val="00973798"/>
    <w:rsid w:val="009739E6"/>
    <w:rsid w:val="00973AD7"/>
    <w:rsid w:val="00973E6D"/>
    <w:rsid w:val="00973EB4"/>
    <w:rsid w:val="00973F0C"/>
    <w:rsid w:val="00973F58"/>
    <w:rsid w:val="009740E2"/>
    <w:rsid w:val="0097414D"/>
    <w:rsid w:val="009742FF"/>
    <w:rsid w:val="0097450F"/>
    <w:rsid w:val="009748B4"/>
    <w:rsid w:val="00974E8E"/>
    <w:rsid w:val="009750E1"/>
    <w:rsid w:val="00975261"/>
    <w:rsid w:val="00975290"/>
    <w:rsid w:val="009757A3"/>
    <w:rsid w:val="00975A88"/>
    <w:rsid w:val="00975C8A"/>
    <w:rsid w:val="00975CAE"/>
    <w:rsid w:val="00975E2E"/>
    <w:rsid w:val="00975F65"/>
    <w:rsid w:val="00975FD8"/>
    <w:rsid w:val="009760B0"/>
    <w:rsid w:val="00976192"/>
    <w:rsid w:val="0097619C"/>
    <w:rsid w:val="009762BD"/>
    <w:rsid w:val="0097680C"/>
    <w:rsid w:val="00976C15"/>
    <w:rsid w:val="00976DE7"/>
    <w:rsid w:val="00976E58"/>
    <w:rsid w:val="00976EBC"/>
    <w:rsid w:val="00977047"/>
    <w:rsid w:val="00977762"/>
    <w:rsid w:val="0097785F"/>
    <w:rsid w:val="009779A5"/>
    <w:rsid w:val="009779E2"/>
    <w:rsid w:val="00977AB5"/>
    <w:rsid w:val="00977B79"/>
    <w:rsid w:val="00977CE3"/>
    <w:rsid w:val="00977DD5"/>
    <w:rsid w:val="00980010"/>
    <w:rsid w:val="0098007C"/>
    <w:rsid w:val="009800F8"/>
    <w:rsid w:val="0098070D"/>
    <w:rsid w:val="009808B2"/>
    <w:rsid w:val="00980C93"/>
    <w:rsid w:val="00980EAF"/>
    <w:rsid w:val="009811CF"/>
    <w:rsid w:val="009812EC"/>
    <w:rsid w:val="00981303"/>
    <w:rsid w:val="00981344"/>
    <w:rsid w:val="00981570"/>
    <w:rsid w:val="009817CA"/>
    <w:rsid w:val="0098198C"/>
    <w:rsid w:val="009819F0"/>
    <w:rsid w:val="00981CA6"/>
    <w:rsid w:val="00981D76"/>
    <w:rsid w:val="00981E7C"/>
    <w:rsid w:val="00982009"/>
    <w:rsid w:val="009822F7"/>
    <w:rsid w:val="009823C8"/>
    <w:rsid w:val="009825A2"/>
    <w:rsid w:val="0098292C"/>
    <w:rsid w:val="0098295E"/>
    <w:rsid w:val="00982AC1"/>
    <w:rsid w:val="00982CBC"/>
    <w:rsid w:val="00982CE3"/>
    <w:rsid w:val="00983068"/>
    <w:rsid w:val="00983191"/>
    <w:rsid w:val="009833EB"/>
    <w:rsid w:val="00983439"/>
    <w:rsid w:val="00983CB2"/>
    <w:rsid w:val="00983CF3"/>
    <w:rsid w:val="00983E25"/>
    <w:rsid w:val="00983E74"/>
    <w:rsid w:val="009840C5"/>
    <w:rsid w:val="00984181"/>
    <w:rsid w:val="0098441A"/>
    <w:rsid w:val="0098448A"/>
    <w:rsid w:val="0098482B"/>
    <w:rsid w:val="00984862"/>
    <w:rsid w:val="009848AB"/>
    <w:rsid w:val="00984C09"/>
    <w:rsid w:val="0098522C"/>
    <w:rsid w:val="00985575"/>
    <w:rsid w:val="0098599F"/>
    <w:rsid w:val="00985BEA"/>
    <w:rsid w:val="00985CB1"/>
    <w:rsid w:val="00985D0B"/>
    <w:rsid w:val="00985DC2"/>
    <w:rsid w:val="00986013"/>
    <w:rsid w:val="00986198"/>
    <w:rsid w:val="009862A8"/>
    <w:rsid w:val="0098648D"/>
    <w:rsid w:val="0098689C"/>
    <w:rsid w:val="009869D8"/>
    <w:rsid w:val="00986B16"/>
    <w:rsid w:val="00986C70"/>
    <w:rsid w:val="0098701D"/>
    <w:rsid w:val="00987245"/>
    <w:rsid w:val="009875FA"/>
    <w:rsid w:val="00987E9C"/>
    <w:rsid w:val="00987ECA"/>
    <w:rsid w:val="0098AB41"/>
    <w:rsid w:val="0099007F"/>
    <w:rsid w:val="0099050C"/>
    <w:rsid w:val="009905CE"/>
    <w:rsid w:val="0099063E"/>
    <w:rsid w:val="00990672"/>
    <w:rsid w:val="00990792"/>
    <w:rsid w:val="009908C5"/>
    <w:rsid w:val="00990E4F"/>
    <w:rsid w:val="00990E5E"/>
    <w:rsid w:val="00990FF8"/>
    <w:rsid w:val="009910E5"/>
    <w:rsid w:val="009912E4"/>
    <w:rsid w:val="009912FC"/>
    <w:rsid w:val="0099138C"/>
    <w:rsid w:val="0099188A"/>
    <w:rsid w:val="00991898"/>
    <w:rsid w:val="00991A1A"/>
    <w:rsid w:val="00991D64"/>
    <w:rsid w:val="009920F5"/>
    <w:rsid w:val="0099256A"/>
    <w:rsid w:val="00992892"/>
    <w:rsid w:val="009929A6"/>
    <w:rsid w:val="009930E2"/>
    <w:rsid w:val="00993116"/>
    <w:rsid w:val="00993215"/>
    <w:rsid w:val="009936E0"/>
    <w:rsid w:val="009938DF"/>
    <w:rsid w:val="00993E03"/>
    <w:rsid w:val="0099404F"/>
    <w:rsid w:val="00994111"/>
    <w:rsid w:val="0099422B"/>
    <w:rsid w:val="0099429E"/>
    <w:rsid w:val="00994421"/>
    <w:rsid w:val="00994575"/>
    <w:rsid w:val="00994621"/>
    <w:rsid w:val="00994629"/>
    <w:rsid w:val="009948E6"/>
    <w:rsid w:val="00994D90"/>
    <w:rsid w:val="00994EF5"/>
    <w:rsid w:val="00995038"/>
    <w:rsid w:val="00995134"/>
    <w:rsid w:val="00995224"/>
    <w:rsid w:val="009952A8"/>
    <w:rsid w:val="00995682"/>
    <w:rsid w:val="009957F8"/>
    <w:rsid w:val="00995861"/>
    <w:rsid w:val="00995A23"/>
    <w:rsid w:val="00995BE3"/>
    <w:rsid w:val="00995DBC"/>
    <w:rsid w:val="00995E52"/>
    <w:rsid w:val="00995EE7"/>
    <w:rsid w:val="00995F0E"/>
    <w:rsid w:val="009961B1"/>
    <w:rsid w:val="00996CBA"/>
    <w:rsid w:val="0099703B"/>
    <w:rsid w:val="009970C4"/>
    <w:rsid w:val="0099712C"/>
    <w:rsid w:val="0099740E"/>
    <w:rsid w:val="0099752B"/>
    <w:rsid w:val="00997535"/>
    <w:rsid w:val="00997656"/>
    <w:rsid w:val="009977B0"/>
    <w:rsid w:val="00997EC4"/>
    <w:rsid w:val="00997FA7"/>
    <w:rsid w:val="009A029E"/>
    <w:rsid w:val="009A0463"/>
    <w:rsid w:val="009A0601"/>
    <w:rsid w:val="009A06ED"/>
    <w:rsid w:val="009A088C"/>
    <w:rsid w:val="009A0F55"/>
    <w:rsid w:val="009A12BA"/>
    <w:rsid w:val="009A1455"/>
    <w:rsid w:val="009A156D"/>
    <w:rsid w:val="009A1594"/>
    <w:rsid w:val="009A1621"/>
    <w:rsid w:val="009A1B1E"/>
    <w:rsid w:val="009A1D3F"/>
    <w:rsid w:val="009A1DD5"/>
    <w:rsid w:val="009A1EA5"/>
    <w:rsid w:val="009A2295"/>
    <w:rsid w:val="009A2605"/>
    <w:rsid w:val="009A29A4"/>
    <w:rsid w:val="009A29E1"/>
    <w:rsid w:val="009A2BC9"/>
    <w:rsid w:val="009A2C92"/>
    <w:rsid w:val="009A2CBD"/>
    <w:rsid w:val="009A310F"/>
    <w:rsid w:val="009A3124"/>
    <w:rsid w:val="009A3183"/>
    <w:rsid w:val="009A330C"/>
    <w:rsid w:val="009A332A"/>
    <w:rsid w:val="009A3811"/>
    <w:rsid w:val="009A3BD5"/>
    <w:rsid w:val="009A422C"/>
    <w:rsid w:val="009A42C8"/>
    <w:rsid w:val="009A4325"/>
    <w:rsid w:val="009A43EF"/>
    <w:rsid w:val="009A4482"/>
    <w:rsid w:val="009A48C6"/>
    <w:rsid w:val="009A492A"/>
    <w:rsid w:val="009A49DF"/>
    <w:rsid w:val="009A4D3B"/>
    <w:rsid w:val="009A521F"/>
    <w:rsid w:val="009A5289"/>
    <w:rsid w:val="009A56D3"/>
    <w:rsid w:val="009A5757"/>
    <w:rsid w:val="009A58B5"/>
    <w:rsid w:val="009A6214"/>
    <w:rsid w:val="009A6968"/>
    <w:rsid w:val="009A6B20"/>
    <w:rsid w:val="009A6BBF"/>
    <w:rsid w:val="009A7171"/>
    <w:rsid w:val="009A7209"/>
    <w:rsid w:val="009A729D"/>
    <w:rsid w:val="009A7404"/>
    <w:rsid w:val="009A7466"/>
    <w:rsid w:val="009A76A8"/>
    <w:rsid w:val="009A7A4A"/>
    <w:rsid w:val="009A7FC2"/>
    <w:rsid w:val="009B011C"/>
    <w:rsid w:val="009B0164"/>
    <w:rsid w:val="009B021B"/>
    <w:rsid w:val="009B0818"/>
    <w:rsid w:val="009B0891"/>
    <w:rsid w:val="009B0A45"/>
    <w:rsid w:val="009B0C04"/>
    <w:rsid w:val="009B0ED4"/>
    <w:rsid w:val="009B0FB6"/>
    <w:rsid w:val="009B153D"/>
    <w:rsid w:val="009B1587"/>
    <w:rsid w:val="009B18A2"/>
    <w:rsid w:val="009B1F99"/>
    <w:rsid w:val="009B254F"/>
    <w:rsid w:val="009B2B1B"/>
    <w:rsid w:val="009B2CD8"/>
    <w:rsid w:val="009B2CFA"/>
    <w:rsid w:val="009B2EC1"/>
    <w:rsid w:val="009B2F7F"/>
    <w:rsid w:val="009B306B"/>
    <w:rsid w:val="009B3141"/>
    <w:rsid w:val="009B325F"/>
    <w:rsid w:val="009B366B"/>
    <w:rsid w:val="009B3B88"/>
    <w:rsid w:val="009B44C2"/>
    <w:rsid w:val="009B47D7"/>
    <w:rsid w:val="009B4BE8"/>
    <w:rsid w:val="009B4F81"/>
    <w:rsid w:val="009B4FAA"/>
    <w:rsid w:val="009B519E"/>
    <w:rsid w:val="009B53F9"/>
    <w:rsid w:val="009B5434"/>
    <w:rsid w:val="009B5519"/>
    <w:rsid w:val="009B5586"/>
    <w:rsid w:val="009B5612"/>
    <w:rsid w:val="009B5661"/>
    <w:rsid w:val="009B58AA"/>
    <w:rsid w:val="009B5980"/>
    <w:rsid w:val="009B609D"/>
    <w:rsid w:val="009B61F1"/>
    <w:rsid w:val="009B65A3"/>
    <w:rsid w:val="009B68B0"/>
    <w:rsid w:val="009B6C4B"/>
    <w:rsid w:val="009B6CDC"/>
    <w:rsid w:val="009B6D9A"/>
    <w:rsid w:val="009B6DF8"/>
    <w:rsid w:val="009B6F0B"/>
    <w:rsid w:val="009B7359"/>
    <w:rsid w:val="009B75A7"/>
    <w:rsid w:val="009B78F1"/>
    <w:rsid w:val="009B7A56"/>
    <w:rsid w:val="009B7AB7"/>
    <w:rsid w:val="009B7CEE"/>
    <w:rsid w:val="009B7D6F"/>
    <w:rsid w:val="009B7E58"/>
    <w:rsid w:val="009C00C3"/>
    <w:rsid w:val="009C0138"/>
    <w:rsid w:val="009C035A"/>
    <w:rsid w:val="009C036C"/>
    <w:rsid w:val="009C046A"/>
    <w:rsid w:val="009C051E"/>
    <w:rsid w:val="009C06C9"/>
    <w:rsid w:val="009C079F"/>
    <w:rsid w:val="009C09A9"/>
    <w:rsid w:val="009C0AA2"/>
    <w:rsid w:val="009C1155"/>
    <w:rsid w:val="009C12F7"/>
    <w:rsid w:val="009C133A"/>
    <w:rsid w:val="009C13C3"/>
    <w:rsid w:val="009C1487"/>
    <w:rsid w:val="009C154E"/>
    <w:rsid w:val="009C1763"/>
    <w:rsid w:val="009C17DA"/>
    <w:rsid w:val="009C1D61"/>
    <w:rsid w:val="009C2221"/>
    <w:rsid w:val="009C22BD"/>
    <w:rsid w:val="009C2372"/>
    <w:rsid w:val="009C2413"/>
    <w:rsid w:val="009C2441"/>
    <w:rsid w:val="009C27BE"/>
    <w:rsid w:val="009C2A26"/>
    <w:rsid w:val="009C2A88"/>
    <w:rsid w:val="009C2AD2"/>
    <w:rsid w:val="009C2C08"/>
    <w:rsid w:val="009C2EA9"/>
    <w:rsid w:val="009C311D"/>
    <w:rsid w:val="009C31D5"/>
    <w:rsid w:val="009C3309"/>
    <w:rsid w:val="009C3692"/>
    <w:rsid w:val="009C3694"/>
    <w:rsid w:val="009C37D5"/>
    <w:rsid w:val="009C3AD5"/>
    <w:rsid w:val="009C3B3C"/>
    <w:rsid w:val="009C3F13"/>
    <w:rsid w:val="009C3FAA"/>
    <w:rsid w:val="009C4073"/>
    <w:rsid w:val="009C420B"/>
    <w:rsid w:val="009C4255"/>
    <w:rsid w:val="009C4283"/>
    <w:rsid w:val="009C4439"/>
    <w:rsid w:val="009C45D0"/>
    <w:rsid w:val="009C4724"/>
    <w:rsid w:val="009C4782"/>
    <w:rsid w:val="009C49F8"/>
    <w:rsid w:val="009C4B2C"/>
    <w:rsid w:val="009C4BF6"/>
    <w:rsid w:val="009C4C17"/>
    <w:rsid w:val="009C4DD0"/>
    <w:rsid w:val="009C4F07"/>
    <w:rsid w:val="009C4F2D"/>
    <w:rsid w:val="009C51E0"/>
    <w:rsid w:val="009C5363"/>
    <w:rsid w:val="009C542C"/>
    <w:rsid w:val="009C5577"/>
    <w:rsid w:val="009C5ED1"/>
    <w:rsid w:val="009C665F"/>
    <w:rsid w:val="009C66B3"/>
    <w:rsid w:val="009C678E"/>
    <w:rsid w:val="009C692A"/>
    <w:rsid w:val="009C6A3B"/>
    <w:rsid w:val="009C6A57"/>
    <w:rsid w:val="009C6AB5"/>
    <w:rsid w:val="009C6AFF"/>
    <w:rsid w:val="009C6E9E"/>
    <w:rsid w:val="009C6EA9"/>
    <w:rsid w:val="009C70B6"/>
    <w:rsid w:val="009C71D3"/>
    <w:rsid w:val="009C752D"/>
    <w:rsid w:val="009C75B8"/>
    <w:rsid w:val="009C7631"/>
    <w:rsid w:val="009C7676"/>
    <w:rsid w:val="009C76A1"/>
    <w:rsid w:val="009C773B"/>
    <w:rsid w:val="009C7C3A"/>
    <w:rsid w:val="009C8EA1"/>
    <w:rsid w:val="009D0004"/>
    <w:rsid w:val="009D029F"/>
    <w:rsid w:val="009D0482"/>
    <w:rsid w:val="009D0497"/>
    <w:rsid w:val="009D054C"/>
    <w:rsid w:val="009D05BE"/>
    <w:rsid w:val="009D05C9"/>
    <w:rsid w:val="009D06E9"/>
    <w:rsid w:val="009D08A1"/>
    <w:rsid w:val="009D09F7"/>
    <w:rsid w:val="009D0C9B"/>
    <w:rsid w:val="009D0F8D"/>
    <w:rsid w:val="009D0F8F"/>
    <w:rsid w:val="009D1024"/>
    <w:rsid w:val="009D102C"/>
    <w:rsid w:val="009D10F2"/>
    <w:rsid w:val="009D1209"/>
    <w:rsid w:val="009D16B7"/>
    <w:rsid w:val="009D1710"/>
    <w:rsid w:val="009D17BD"/>
    <w:rsid w:val="009D1893"/>
    <w:rsid w:val="009D1C1E"/>
    <w:rsid w:val="009D1C79"/>
    <w:rsid w:val="009D2078"/>
    <w:rsid w:val="009D219E"/>
    <w:rsid w:val="009D2313"/>
    <w:rsid w:val="009D24CE"/>
    <w:rsid w:val="009D24FA"/>
    <w:rsid w:val="009D259F"/>
    <w:rsid w:val="009D2775"/>
    <w:rsid w:val="009D278E"/>
    <w:rsid w:val="009D2AB3"/>
    <w:rsid w:val="009D2DF4"/>
    <w:rsid w:val="009D2EED"/>
    <w:rsid w:val="009D3059"/>
    <w:rsid w:val="009D30D0"/>
    <w:rsid w:val="009D33DC"/>
    <w:rsid w:val="009D348D"/>
    <w:rsid w:val="009D34FC"/>
    <w:rsid w:val="009D3865"/>
    <w:rsid w:val="009D38B9"/>
    <w:rsid w:val="009D3C10"/>
    <w:rsid w:val="009D3D35"/>
    <w:rsid w:val="009D4377"/>
    <w:rsid w:val="009D48F4"/>
    <w:rsid w:val="009D4C06"/>
    <w:rsid w:val="009D50A8"/>
    <w:rsid w:val="009D544A"/>
    <w:rsid w:val="009D5709"/>
    <w:rsid w:val="009D57AF"/>
    <w:rsid w:val="009D57B9"/>
    <w:rsid w:val="009D587E"/>
    <w:rsid w:val="009D5A62"/>
    <w:rsid w:val="009D5D76"/>
    <w:rsid w:val="009D5E9B"/>
    <w:rsid w:val="009D5F39"/>
    <w:rsid w:val="009D636A"/>
    <w:rsid w:val="009D6621"/>
    <w:rsid w:val="009D693B"/>
    <w:rsid w:val="009D6B60"/>
    <w:rsid w:val="009D6CFB"/>
    <w:rsid w:val="009D6DBD"/>
    <w:rsid w:val="009D71A4"/>
    <w:rsid w:val="009D7286"/>
    <w:rsid w:val="009D72CF"/>
    <w:rsid w:val="009D7551"/>
    <w:rsid w:val="009D75F5"/>
    <w:rsid w:val="009D76F4"/>
    <w:rsid w:val="009D787D"/>
    <w:rsid w:val="009D790C"/>
    <w:rsid w:val="009D7A23"/>
    <w:rsid w:val="009D7C87"/>
    <w:rsid w:val="009D7CE1"/>
    <w:rsid w:val="009D7D1D"/>
    <w:rsid w:val="009D7F02"/>
    <w:rsid w:val="009D7F9A"/>
    <w:rsid w:val="009E00AC"/>
    <w:rsid w:val="009E0239"/>
    <w:rsid w:val="009E03A3"/>
    <w:rsid w:val="009E0786"/>
    <w:rsid w:val="009E0828"/>
    <w:rsid w:val="009E09EE"/>
    <w:rsid w:val="009E0BDF"/>
    <w:rsid w:val="009E0CE5"/>
    <w:rsid w:val="009E0CEB"/>
    <w:rsid w:val="009E0D9F"/>
    <w:rsid w:val="009E1057"/>
    <w:rsid w:val="009E1714"/>
    <w:rsid w:val="009E17F5"/>
    <w:rsid w:val="009E19D2"/>
    <w:rsid w:val="009E1F32"/>
    <w:rsid w:val="009E2047"/>
    <w:rsid w:val="009E2127"/>
    <w:rsid w:val="009E2152"/>
    <w:rsid w:val="009E2602"/>
    <w:rsid w:val="009E264B"/>
    <w:rsid w:val="009E2794"/>
    <w:rsid w:val="009E2976"/>
    <w:rsid w:val="009E2ED4"/>
    <w:rsid w:val="009E2F45"/>
    <w:rsid w:val="009E32AB"/>
    <w:rsid w:val="009E344C"/>
    <w:rsid w:val="009E3482"/>
    <w:rsid w:val="009E34CD"/>
    <w:rsid w:val="009E35EE"/>
    <w:rsid w:val="009E3823"/>
    <w:rsid w:val="009E3856"/>
    <w:rsid w:val="009E3B8A"/>
    <w:rsid w:val="009E3DFC"/>
    <w:rsid w:val="009E3F4F"/>
    <w:rsid w:val="009E404B"/>
    <w:rsid w:val="009E422A"/>
    <w:rsid w:val="009E4430"/>
    <w:rsid w:val="009E44B0"/>
    <w:rsid w:val="009E486D"/>
    <w:rsid w:val="009E4A16"/>
    <w:rsid w:val="009E4D5A"/>
    <w:rsid w:val="009E4DF4"/>
    <w:rsid w:val="009E4E43"/>
    <w:rsid w:val="009E4F7A"/>
    <w:rsid w:val="009E5068"/>
    <w:rsid w:val="009E50B8"/>
    <w:rsid w:val="009E51BE"/>
    <w:rsid w:val="009E53DC"/>
    <w:rsid w:val="009E5BDF"/>
    <w:rsid w:val="009E5E3E"/>
    <w:rsid w:val="009E5F47"/>
    <w:rsid w:val="009E600F"/>
    <w:rsid w:val="009E604A"/>
    <w:rsid w:val="009E6051"/>
    <w:rsid w:val="009E616C"/>
    <w:rsid w:val="009E643A"/>
    <w:rsid w:val="009E65BB"/>
    <w:rsid w:val="009E66A6"/>
    <w:rsid w:val="009E682D"/>
    <w:rsid w:val="009E69BF"/>
    <w:rsid w:val="009E6EBB"/>
    <w:rsid w:val="009E6FF4"/>
    <w:rsid w:val="009E70FD"/>
    <w:rsid w:val="009E7360"/>
    <w:rsid w:val="009E742A"/>
    <w:rsid w:val="009E7648"/>
    <w:rsid w:val="009E790E"/>
    <w:rsid w:val="009E7B9A"/>
    <w:rsid w:val="009E7C4B"/>
    <w:rsid w:val="009E7CC2"/>
    <w:rsid w:val="009E7E35"/>
    <w:rsid w:val="009E7F43"/>
    <w:rsid w:val="009F0069"/>
    <w:rsid w:val="009F0145"/>
    <w:rsid w:val="009F0194"/>
    <w:rsid w:val="009F05A6"/>
    <w:rsid w:val="009F06BD"/>
    <w:rsid w:val="009F0BD3"/>
    <w:rsid w:val="009F0BE9"/>
    <w:rsid w:val="009F0CE1"/>
    <w:rsid w:val="009F0F14"/>
    <w:rsid w:val="009F133C"/>
    <w:rsid w:val="009F1353"/>
    <w:rsid w:val="009F1688"/>
    <w:rsid w:val="009F1A9D"/>
    <w:rsid w:val="009F1C38"/>
    <w:rsid w:val="009F1CDF"/>
    <w:rsid w:val="009F2243"/>
    <w:rsid w:val="009F22C6"/>
    <w:rsid w:val="009F2383"/>
    <w:rsid w:val="009F26FB"/>
    <w:rsid w:val="009F29F6"/>
    <w:rsid w:val="009F2A11"/>
    <w:rsid w:val="009F2C73"/>
    <w:rsid w:val="009F2C9C"/>
    <w:rsid w:val="009F2D82"/>
    <w:rsid w:val="009F339C"/>
    <w:rsid w:val="009F36AD"/>
    <w:rsid w:val="009F37C3"/>
    <w:rsid w:val="009F3A91"/>
    <w:rsid w:val="009F3B68"/>
    <w:rsid w:val="009F3C6E"/>
    <w:rsid w:val="009F3D76"/>
    <w:rsid w:val="009F3E7C"/>
    <w:rsid w:val="009F3FE9"/>
    <w:rsid w:val="009F4208"/>
    <w:rsid w:val="009F441B"/>
    <w:rsid w:val="009F44B8"/>
    <w:rsid w:val="009F466B"/>
    <w:rsid w:val="009F47D9"/>
    <w:rsid w:val="009F4BA3"/>
    <w:rsid w:val="009F4CE6"/>
    <w:rsid w:val="009F4DDF"/>
    <w:rsid w:val="009F4F56"/>
    <w:rsid w:val="009F5142"/>
    <w:rsid w:val="009F546A"/>
    <w:rsid w:val="009F54C8"/>
    <w:rsid w:val="009F569C"/>
    <w:rsid w:val="009F57CA"/>
    <w:rsid w:val="009F5A0E"/>
    <w:rsid w:val="009F5C4C"/>
    <w:rsid w:val="009F5C6C"/>
    <w:rsid w:val="009F5CBA"/>
    <w:rsid w:val="009F5CE3"/>
    <w:rsid w:val="009F5D98"/>
    <w:rsid w:val="009F5EB9"/>
    <w:rsid w:val="009F61E3"/>
    <w:rsid w:val="009F63A4"/>
    <w:rsid w:val="009F660C"/>
    <w:rsid w:val="009F668E"/>
    <w:rsid w:val="009F6E70"/>
    <w:rsid w:val="009F6F5A"/>
    <w:rsid w:val="009F700E"/>
    <w:rsid w:val="009F718C"/>
    <w:rsid w:val="009F71B7"/>
    <w:rsid w:val="009F7279"/>
    <w:rsid w:val="009F7A87"/>
    <w:rsid w:val="009F7AB5"/>
    <w:rsid w:val="009F7AC2"/>
    <w:rsid w:val="009F7E2F"/>
    <w:rsid w:val="00A00022"/>
    <w:rsid w:val="00A003DC"/>
    <w:rsid w:val="00A003F1"/>
    <w:rsid w:val="00A00442"/>
    <w:rsid w:val="00A0097F"/>
    <w:rsid w:val="00A00999"/>
    <w:rsid w:val="00A009B3"/>
    <w:rsid w:val="00A00AD0"/>
    <w:rsid w:val="00A00C99"/>
    <w:rsid w:val="00A00E42"/>
    <w:rsid w:val="00A00ED2"/>
    <w:rsid w:val="00A00FAB"/>
    <w:rsid w:val="00A01135"/>
    <w:rsid w:val="00A0149D"/>
    <w:rsid w:val="00A018FD"/>
    <w:rsid w:val="00A01A6E"/>
    <w:rsid w:val="00A01DCA"/>
    <w:rsid w:val="00A01EA5"/>
    <w:rsid w:val="00A01F2C"/>
    <w:rsid w:val="00A0218A"/>
    <w:rsid w:val="00A022C9"/>
    <w:rsid w:val="00A0234C"/>
    <w:rsid w:val="00A0237C"/>
    <w:rsid w:val="00A027D0"/>
    <w:rsid w:val="00A0282A"/>
    <w:rsid w:val="00A02976"/>
    <w:rsid w:val="00A02A7E"/>
    <w:rsid w:val="00A02AB3"/>
    <w:rsid w:val="00A02BE0"/>
    <w:rsid w:val="00A02E43"/>
    <w:rsid w:val="00A03670"/>
    <w:rsid w:val="00A0377C"/>
    <w:rsid w:val="00A03825"/>
    <w:rsid w:val="00A03B88"/>
    <w:rsid w:val="00A03DBA"/>
    <w:rsid w:val="00A040D9"/>
    <w:rsid w:val="00A0423A"/>
    <w:rsid w:val="00A0436E"/>
    <w:rsid w:val="00A043D5"/>
    <w:rsid w:val="00A045E5"/>
    <w:rsid w:val="00A04658"/>
    <w:rsid w:val="00A049E1"/>
    <w:rsid w:val="00A05035"/>
    <w:rsid w:val="00A050E2"/>
    <w:rsid w:val="00A0524D"/>
    <w:rsid w:val="00A052A3"/>
    <w:rsid w:val="00A05698"/>
    <w:rsid w:val="00A056B0"/>
    <w:rsid w:val="00A057C7"/>
    <w:rsid w:val="00A05A0B"/>
    <w:rsid w:val="00A05CEF"/>
    <w:rsid w:val="00A05D67"/>
    <w:rsid w:val="00A0601D"/>
    <w:rsid w:val="00A06073"/>
    <w:rsid w:val="00A064F7"/>
    <w:rsid w:val="00A066C9"/>
    <w:rsid w:val="00A0671A"/>
    <w:rsid w:val="00A0678D"/>
    <w:rsid w:val="00A068E4"/>
    <w:rsid w:val="00A0690E"/>
    <w:rsid w:val="00A06955"/>
    <w:rsid w:val="00A06970"/>
    <w:rsid w:val="00A06AFB"/>
    <w:rsid w:val="00A06B5B"/>
    <w:rsid w:val="00A06C57"/>
    <w:rsid w:val="00A06D2B"/>
    <w:rsid w:val="00A06F9B"/>
    <w:rsid w:val="00A071B2"/>
    <w:rsid w:val="00A0758D"/>
    <w:rsid w:val="00A076E0"/>
    <w:rsid w:val="00A077A2"/>
    <w:rsid w:val="00A07C39"/>
    <w:rsid w:val="00A07D97"/>
    <w:rsid w:val="00A07E13"/>
    <w:rsid w:val="00A10133"/>
    <w:rsid w:val="00A10161"/>
    <w:rsid w:val="00A104B3"/>
    <w:rsid w:val="00A10694"/>
    <w:rsid w:val="00A10772"/>
    <w:rsid w:val="00A108A5"/>
    <w:rsid w:val="00A10A4E"/>
    <w:rsid w:val="00A10D66"/>
    <w:rsid w:val="00A10E7F"/>
    <w:rsid w:val="00A10FE3"/>
    <w:rsid w:val="00A1106C"/>
    <w:rsid w:val="00A11203"/>
    <w:rsid w:val="00A11615"/>
    <w:rsid w:val="00A116A1"/>
    <w:rsid w:val="00A11D9E"/>
    <w:rsid w:val="00A11F1B"/>
    <w:rsid w:val="00A12334"/>
    <w:rsid w:val="00A126C3"/>
    <w:rsid w:val="00A12742"/>
    <w:rsid w:val="00A12B27"/>
    <w:rsid w:val="00A12BD2"/>
    <w:rsid w:val="00A12C49"/>
    <w:rsid w:val="00A12C6A"/>
    <w:rsid w:val="00A12C72"/>
    <w:rsid w:val="00A12D58"/>
    <w:rsid w:val="00A130E4"/>
    <w:rsid w:val="00A13466"/>
    <w:rsid w:val="00A1372F"/>
    <w:rsid w:val="00A137BB"/>
    <w:rsid w:val="00A13B75"/>
    <w:rsid w:val="00A13EFD"/>
    <w:rsid w:val="00A140C2"/>
    <w:rsid w:val="00A1415B"/>
    <w:rsid w:val="00A14179"/>
    <w:rsid w:val="00A14496"/>
    <w:rsid w:val="00A14988"/>
    <w:rsid w:val="00A149F1"/>
    <w:rsid w:val="00A14AB1"/>
    <w:rsid w:val="00A14BFA"/>
    <w:rsid w:val="00A14BFF"/>
    <w:rsid w:val="00A14C64"/>
    <w:rsid w:val="00A14FB6"/>
    <w:rsid w:val="00A15288"/>
    <w:rsid w:val="00A1535E"/>
    <w:rsid w:val="00A15404"/>
    <w:rsid w:val="00A15670"/>
    <w:rsid w:val="00A15804"/>
    <w:rsid w:val="00A159C3"/>
    <w:rsid w:val="00A15B57"/>
    <w:rsid w:val="00A15DC2"/>
    <w:rsid w:val="00A163BF"/>
    <w:rsid w:val="00A1642C"/>
    <w:rsid w:val="00A16638"/>
    <w:rsid w:val="00A166CB"/>
    <w:rsid w:val="00A1683D"/>
    <w:rsid w:val="00A169FC"/>
    <w:rsid w:val="00A16A08"/>
    <w:rsid w:val="00A16B0F"/>
    <w:rsid w:val="00A16B59"/>
    <w:rsid w:val="00A16D26"/>
    <w:rsid w:val="00A17039"/>
    <w:rsid w:val="00A17089"/>
    <w:rsid w:val="00A170F0"/>
    <w:rsid w:val="00A172B2"/>
    <w:rsid w:val="00A17366"/>
    <w:rsid w:val="00A17508"/>
    <w:rsid w:val="00A17566"/>
    <w:rsid w:val="00A17BD4"/>
    <w:rsid w:val="00A2014D"/>
    <w:rsid w:val="00A202D2"/>
    <w:rsid w:val="00A2052C"/>
    <w:rsid w:val="00A20639"/>
    <w:rsid w:val="00A20673"/>
    <w:rsid w:val="00A20729"/>
    <w:rsid w:val="00A2073E"/>
    <w:rsid w:val="00A20B97"/>
    <w:rsid w:val="00A20BCD"/>
    <w:rsid w:val="00A21002"/>
    <w:rsid w:val="00A2135F"/>
    <w:rsid w:val="00A2151E"/>
    <w:rsid w:val="00A2176B"/>
    <w:rsid w:val="00A217EA"/>
    <w:rsid w:val="00A21A74"/>
    <w:rsid w:val="00A21ABB"/>
    <w:rsid w:val="00A21AEA"/>
    <w:rsid w:val="00A21C80"/>
    <w:rsid w:val="00A21D9B"/>
    <w:rsid w:val="00A21F5C"/>
    <w:rsid w:val="00A22558"/>
    <w:rsid w:val="00A22687"/>
    <w:rsid w:val="00A22869"/>
    <w:rsid w:val="00A22DD0"/>
    <w:rsid w:val="00A22F9B"/>
    <w:rsid w:val="00A23267"/>
    <w:rsid w:val="00A233AE"/>
    <w:rsid w:val="00A23874"/>
    <w:rsid w:val="00A23964"/>
    <w:rsid w:val="00A239E5"/>
    <w:rsid w:val="00A23A44"/>
    <w:rsid w:val="00A24018"/>
    <w:rsid w:val="00A241B5"/>
    <w:rsid w:val="00A24271"/>
    <w:rsid w:val="00A24992"/>
    <w:rsid w:val="00A24A44"/>
    <w:rsid w:val="00A24B31"/>
    <w:rsid w:val="00A24C60"/>
    <w:rsid w:val="00A25091"/>
    <w:rsid w:val="00A254E8"/>
    <w:rsid w:val="00A2561F"/>
    <w:rsid w:val="00A2589A"/>
    <w:rsid w:val="00A259E4"/>
    <w:rsid w:val="00A25C3A"/>
    <w:rsid w:val="00A25CBE"/>
    <w:rsid w:val="00A25E34"/>
    <w:rsid w:val="00A25EC7"/>
    <w:rsid w:val="00A262E2"/>
    <w:rsid w:val="00A2669B"/>
    <w:rsid w:val="00A26716"/>
    <w:rsid w:val="00A26939"/>
    <w:rsid w:val="00A26A1D"/>
    <w:rsid w:val="00A26F25"/>
    <w:rsid w:val="00A27071"/>
    <w:rsid w:val="00A2723A"/>
    <w:rsid w:val="00A274DB"/>
    <w:rsid w:val="00A275E0"/>
    <w:rsid w:val="00A27902"/>
    <w:rsid w:val="00A27B53"/>
    <w:rsid w:val="00A27D96"/>
    <w:rsid w:val="00A27FAE"/>
    <w:rsid w:val="00A30288"/>
    <w:rsid w:val="00A30443"/>
    <w:rsid w:val="00A305A9"/>
    <w:rsid w:val="00A30A0E"/>
    <w:rsid w:val="00A30C39"/>
    <w:rsid w:val="00A30D60"/>
    <w:rsid w:val="00A30F17"/>
    <w:rsid w:val="00A30F7E"/>
    <w:rsid w:val="00A311A4"/>
    <w:rsid w:val="00A313B2"/>
    <w:rsid w:val="00A315AB"/>
    <w:rsid w:val="00A31765"/>
    <w:rsid w:val="00A318BE"/>
    <w:rsid w:val="00A31D63"/>
    <w:rsid w:val="00A31FB0"/>
    <w:rsid w:val="00A327C4"/>
    <w:rsid w:val="00A32B9C"/>
    <w:rsid w:val="00A32CE1"/>
    <w:rsid w:val="00A32D00"/>
    <w:rsid w:val="00A32E63"/>
    <w:rsid w:val="00A33245"/>
    <w:rsid w:val="00A33252"/>
    <w:rsid w:val="00A3330B"/>
    <w:rsid w:val="00A3356D"/>
    <w:rsid w:val="00A33624"/>
    <w:rsid w:val="00A33707"/>
    <w:rsid w:val="00A33E17"/>
    <w:rsid w:val="00A34089"/>
    <w:rsid w:val="00A341CE"/>
    <w:rsid w:val="00A34498"/>
    <w:rsid w:val="00A34516"/>
    <w:rsid w:val="00A346AB"/>
    <w:rsid w:val="00A348B1"/>
    <w:rsid w:val="00A35097"/>
    <w:rsid w:val="00A35134"/>
    <w:rsid w:val="00A35225"/>
    <w:rsid w:val="00A3539A"/>
    <w:rsid w:val="00A35660"/>
    <w:rsid w:val="00A35774"/>
    <w:rsid w:val="00A358E8"/>
    <w:rsid w:val="00A359FC"/>
    <w:rsid w:val="00A35B3F"/>
    <w:rsid w:val="00A36045"/>
    <w:rsid w:val="00A3640E"/>
    <w:rsid w:val="00A3656C"/>
    <w:rsid w:val="00A36701"/>
    <w:rsid w:val="00A36AD3"/>
    <w:rsid w:val="00A36D85"/>
    <w:rsid w:val="00A36EC1"/>
    <w:rsid w:val="00A36F4D"/>
    <w:rsid w:val="00A37188"/>
    <w:rsid w:val="00A371BD"/>
    <w:rsid w:val="00A37647"/>
    <w:rsid w:val="00A3770A"/>
    <w:rsid w:val="00A3791E"/>
    <w:rsid w:val="00A37DCB"/>
    <w:rsid w:val="00A37ECB"/>
    <w:rsid w:val="00A37F0D"/>
    <w:rsid w:val="00A402F5"/>
    <w:rsid w:val="00A40311"/>
    <w:rsid w:val="00A404F3"/>
    <w:rsid w:val="00A40599"/>
    <w:rsid w:val="00A409A2"/>
    <w:rsid w:val="00A40F48"/>
    <w:rsid w:val="00A41043"/>
    <w:rsid w:val="00A411C9"/>
    <w:rsid w:val="00A4131E"/>
    <w:rsid w:val="00A41511"/>
    <w:rsid w:val="00A417FE"/>
    <w:rsid w:val="00A4181B"/>
    <w:rsid w:val="00A4196B"/>
    <w:rsid w:val="00A41ED4"/>
    <w:rsid w:val="00A41F3A"/>
    <w:rsid w:val="00A42240"/>
    <w:rsid w:val="00A423B9"/>
    <w:rsid w:val="00A4245B"/>
    <w:rsid w:val="00A4280F"/>
    <w:rsid w:val="00A42D44"/>
    <w:rsid w:val="00A42E22"/>
    <w:rsid w:val="00A42E82"/>
    <w:rsid w:val="00A42FE1"/>
    <w:rsid w:val="00A430ED"/>
    <w:rsid w:val="00A433BD"/>
    <w:rsid w:val="00A435E5"/>
    <w:rsid w:val="00A436BF"/>
    <w:rsid w:val="00A437F2"/>
    <w:rsid w:val="00A43CC9"/>
    <w:rsid w:val="00A43DE8"/>
    <w:rsid w:val="00A43F75"/>
    <w:rsid w:val="00A44290"/>
    <w:rsid w:val="00A443D5"/>
    <w:rsid w:val="00A446D0"/>
    <w:rsid w:val="00A44AF6"/>
    <w:rsid w:val="00A44D5E"/>
    <w:rsid w:val="00A450FE"/>
    <w:rsid w:val="00A4582B"/>
    <w:rsid w:val="00A4585F"/>
    <w:rsid w:val="00A45A71"/>
    <w:rsid w:val="00A45AB0"/>
    <w:rsid w:val="00A45CFB"/>
    <w:rsid w:val="00A45EEB"/>
    <w:rsid w:val="00A461FD"/>
    <w:rsid w:val="00A46262"/>
    <w:rsid w:val="00A46627"/>
    <w:rsid w:val="00A4675C"/>
    <w:rsid w:val="00A46852"/>
    <w:rsid w:val="00A4712A"/>
    <w:rsid w:val="00A4728B"/>
    <w:rsid w:val="00A47442"/>
    <w:rsid w:val="00A4748A"/>
    <w:rsid w:val="00A475AE"/>
    <w:rsid w:val="00A47ABE"/>
    <w:rsid w:val="00A47CE3"/>
    <w:rsid w:val="00A47D1A"/>
    <w:rsid w:val="00A47F1A"/>
    <w:rsid w:val="00A47F35"/>
    <w:rsid w:val="00A501BA"/>
    <w:rsid w:val="00A50765"/>
    <w:rsid w:val="00A50BF8"/>
    <w:rsid w:val="00A50EB8"/>
    <w:rsid w:val="00A5117A"/>
    <w:rsid w:val="00A512CB"/>
    <w:rsid w:val="00A5145C"/>
    <w:rsid w:val="00A51A83"/>
    <w:rsid w:val="00A51FD9"/>
    <w:rsid w:val="00A521B6"/>
    <w:rsid w:val="00A521E3"/>
    <w:rsid w:val="00A523E7"/>
    <w:rsid w:val="00A52558"/>
    <w:rsid w:val="00A525D5"/>
    <w:rsid w:val="00A527F6"/>
    <w:rsid w:val="00A52A6A"/>
    <w:rsid w:val="00A52AB1"/>
    <w:rsid w:val="00A52C17"/>
    <w:rsid w:val="00A52C79"/>
    <w:rsid w:val="00A52D2B"/>
    <w:rsid w:val="00A5301E"/>
    <w:rsid w:val="00A532C1"/>
    <w:rsid w:val="00A53326"/>
    <w:rsid w:val="00A53339"/>
    <w:rsid w:val="00A533E5"/>
    <w:rsid w:val="00A53462"/>
    <w:rsid w:val="00A534BF"/>
    <w:rsid w:val="00A536A4"/>
    <w:rsid w:val="00A536FC"/>
    <w:rsid w:val="00A5387C"/>
    <w:rsid w:val="00A5389D"/>
    <w:rsid w:val="00A53A85"/>
    <w:rsid w:val="00A53ABD"/>
    <w:rsid w:val="00A53B2B"/>
    <w:rsid w:val="00A53F25"/>
    <w:rsid w:val="00A53FC9"/>
    <w:rsid w:val="00A5404B"/>
    <w:rsid w:val="00A540E3"/>
    <w:rsid w:val="00A54353"/>
    <w:rsid w:val="00A54464"/>
    <w:rsid w:val="00A544F4"/>
    <w:rsid w:val="00A546B6"/>
    <w:rsid w:val="00A54B86"/>
    <w:rsid w:val="00A55021"/>
    <w:rsid w:val="00A550F1"/>
    <w:rsid w:val="00A55367"/>
    <w:rsid w:val="00A55489"/>
    <w:rsid w:val="00A555E5"/>
    <w:rsid w:val="00A55815"/>
    <w:rsid w:val="00A55C4C"/>
    <w:rsid w:val="00A5626E"/>
    <w:rsid w:val="00A562CF"/>
    <w:rsid w:val="00A56546"/>
    <w:rsid w:val="00A56567"/>
    <w:rsid w:val="00A566E2"/>
    <w:rsid w:val="00A568D6"/>
    <w:rsid w:val="00A56975"/>
    <w:rsid w:val="00A570C4"/>
    <w:rsid w:val="00A57266"/>
    <w:rsid w:val="00A5749D"/>
    <w:rsid w:val="00A5772D"/>
    <w:rsid w:val="00A577F8"/>
    <w:rsid w:val="00A57CD4"/>
    <w:rsid w:val="00A57EEC"/>
    <w:rsid w:val="00A57F29"/>
    <w:rsid w:val="00A6002A"/>
    <w:rsid w:val="00A60037"/>
    <w:rsid w:val="00A6029F"/>
    <w:rsid w:val="00A602A6"/>
    <w:rsid w:val="00A60449"/>
    <w:rsid w:val="00A60A63"/>
    <w:rsid w:val="00A60BDB"/>
    <w:rsid w:val="00A60D3D"/>
    <w:rsid w:val="00A60ED5"/>
    <w:rsid w:val="00A61364"/>
    <w:rsid w:val="00A616CA"/>
    <w:rsid w:val="00A61729"/>
    <w:rsid w:val="00A61768"/>
    <w:rsid w:val="00A617BA"/>
    <w:rsid w:val="00A619FA"/>
    <w:rsid w:val="00A61EF1"/>
    <w:rsid w:val="00A62032"/>
    <w:rsid w:val="00A6206B"/>
    <w:rsid w:val="00A62332"/>
    <w:rsid w:val="00A6248D"/>
    <w:rsid w:val="00A6282A"/>
    <w:rsid w:val="00A6294D"/>
    <w:rsid w:val="00A62A6C"/>
    <w:rsid w:val="00A62E79"/>
    <w:rsid w:val="00A62F67"/>
    <w:rsid w:val="00A630D9"/>
    <w:rsid w:val="00A63D67"/>
    <w:rsid w:val="00A64347"/>
    <w:rsid w:val="00A644FC"/>
    <w:rsid w:val="00A645B9"/>
    <w:rsid w:val="00A6499F"/>
    <w:rsid w:val="00A64D90"/>
    <w:rsid w:val="00A64DA0"/>
    <w:rsid w:val="00A64FFE"/>
    <w:rsid w:val="00A6526F"/>
    <w:rsid w:val="00A656A3"/>
    <w:rsid w:val="00A658C0"/>
    <w:rsid w:val="00A65ABE"/>
    <w:rsid w:val="00A65BF9"/>
    <w:rsid w:val="00A65DBF"/>
    <w:rsid w:val="00A6605E"/>
    <w:rsid w:val="00A660D6"/>
    <w:rsid w:val="00A662E6"/>
    <w:rsid w:val="00A663D7"/>
    <w:rsid w:val="00A66555"/>
    <w:rsid w:val="00A6656C"/>
    <w:rsid w:val="00A66571"/>
    <w:rsid w:val="00A668F6"/>
    <w:rsid w:val="00A6690B"/>
    <w:rsid w:val="00A669F3"/>
    <w:rsid w:val="00A66A50"/>
    <w:rsid w:val="00A66AD7"/>
    <w:rsid w:val="00A66CDD"/>
    <w:rsid w:val="00A66E6F"/>
    <w:rsid w:val="00A6765A"/>
    <w:rsid w:val="00A676BD"/>
    <w:rsid w:val="00A67CCC"/>
    <w:rsid w:val="00A67FAC"/>
    <w:rsid w:val="00A70221"/>
    <w:rsid w:val="00A70299"/>
    <w:rsid w:val="00A70710"/>
    <w:rsid w:val="00A7072B"/>
    <w:rsid w:val="00A70843"/>
    <w:rsid w:val="00A70A5D"/>
    <w:rsid w:val="00A70EB1"/>
    <w:rsid w:val="00A70F51"/>
    <w:rsid w:val="00A71152"/>
    <w:rsid w:val="00A71375"/>
    <w:rsid w:val="00A71424"/>
    <w:rsid w:val="00A714E7"/>
    <w:rsid w:val="00A71806"/>
    <w:rsid w:val="00A718F7"/>
    <w:rsid w:val="00A71C2D"/>
    <w:rsid w:val="00A71FDF"/>
    <w:rsid w:val="00A71FE0"/>
    <w:rsid w:val="00A72243"/>
    <w:rsid w:val="00A7229D"/>
    <w:rsid w:val="00A72366"/>
    <w:rsid w:val="00A7263A"/>
    <w:rsid w:val="00A727C7"/>
    <w:rsid w:val="00A728C1"/>
    <w:rsid w:val="00A728F3"/>
    <w:rsid w:val="00A72A7F"/>
    <w:rsid w:val="00A72BF3"/>
    <w:rsid w:val="00A72CF8"/>
    <w:rsid w:val="00A72D26"/>
    <w:rsid w:val="00A72F7D"/>
    <w:rsid w:val="00A7313D"/>
    <w:rsid w:val="00A73350"/>
    <w:rsid w:val="00A73481"/>
    <w:rsid w:val="00A73664"/>
    <w:rsid w:val="00A73673"/>
    <w:rsid w:val="00A73B25"/>
    <w:rsid w:val="00A73D2A"/>
    <w:rsid w:val="00A73E8E"/>
    <w:rsid w:val="00A74230"/>
    <w:rsid w:val="00A7449A"/>
    <w:rsid w:val="00A74603"/>
    <w:rsid w:val="00A7467C"/>
    <w:rsid w:val="00A7468C"/>
    <w:rsid w:val="00A74849"/>
    <w:rsid w:val="00A74C1E"/>
    <w:rsid w:val="00A74E5C"/>
    <w:rsid w:val="00A7508C"/>
    <w:rsid w:val="00A755E5"/>
    <w:rsid w:val="00A758CA"/>
    <w:rsid w:val="00A75BEA"/>
    <w:rsid w:val="00A75F03"/>
    <w:rsid w:val="00A75F7B"/>
    <w:rsid w:val="00A760A4"/>
    <w:rsid w:val="00A7618A"/>
    <w:rsid w:val="00A7633D"/>
    <w:rsid w:val="00A7636E"/>
    <w:rsid w:val="00A76376"/>
    <w:rsid w:val="00A764F3"/>
    <w:rsid w:val="00A76572"/>
    <w:rsid w:val="00A7692C"/>
    <w:rsid w:val="00A76A69"/>
    <w:rsid w:val="00A76B50"/>
    <w:rsid w:val="00A76B8C"/>
    <w:rsid w:val="00A76C10"/>
    <w:rsid w:val="00A76C24"/>
    <w:rsid w:val="00A76CEC"/>
    <w:rsid w:val="00A77045"/>
    <w:rsid w:val="00A770D7"/>
    <w:rsid w:val="00A77384"/>
    <w:rsid w:val="00A7741E"/>
    <w:rsid w:val="00A77480"/>
    <w:rsid w:val="00A7749F"/>
    <w:rsid w:val="00A8014D"/>
    <w:rsid w:val="00A80659"/>
    <w:rsid w:val="00A807A7"/>
    <w:rsid w:val="00A807C3"/>
    <w:rsid w:val="00A80813"/>
    <w:rsid w:val="00A80898"/>
    <w:rsid w:val="00A80912"/>
    <w:rsid w:val="00A8097F"/>
    <w:rsid w:val="00A80C74"/>
    <w:rsid w:val="00A80EF7"/>
    <w:rsid w:val="00A811E1"/>
    <w:rsid w:val="00A8191C"/>
    <w:rsid w:val="00A81D50"/>
    <w:rsid w:val="00A81E6F"/>
    <w:rsid w:val="00A81EA2"/>
    <w:rsid w:val="00A821BE"/>
    <w:rsid w:val="00A822D2"/>
    <w:rsid w:val="00A8242D"/>
    <w:rsid w:val="00A82726"/>
    <w:rsid w:val="00A82D3B"/>
    <w:rsid w:val="00A82D60"/>
    <w:rsid w:val="00A83263"/>
    <w:rsid w:val="00A838A4"/>
    <w:rsid w:val="00A839F2"/>
    <w:rsid w:val="00A83CE4"/>
    <w:rsid w:val="00A83FFB"/>
    <w:rsid w:val="00A84025"/>
    <w:rsid w:val="00A840CA"/>
    <w:rsid w:val="00A844E7"/>
    <w:rsid w:val="00A8464F"/>
    <w:rsid w:val="00A8473E"/>
    <w:rsid w:val="00A84973"/>
    <w:rsid w:val="00A84BFC"/>
    <w:rsid w:val="00A84CE8"/>
    <w:rsid w:val="00A84D9C"/>
    <w:rsid w:val="00A851E1"/>
    <w:rsid w:val="00A8527B"/>
    <w:rsid w:val="00A856E7"/>
    <w:rsid w:val="00A85829"/>
    <w:rsid w:val="00A8593E"/>
    <w:rsid w:val="00A85951"/>
    <w:rsid w:val="00A860F7"/>
    <w:rsid w:val="00A86107"/>
    <w:rsid w:val="00A861D2"/>
    <w:rsid w:val="00A8632A"/>
    <w:rsid w:val="00A86367"/>
    <w:rsid w:val="00A864E6"/>
    <w:rsid w:val="00A86D86"/>
    <w:rsid w:val="00A86E66"/>
    <w:rsid w:val="00A86E8C"/>
    <w:rsid w:val="00A87662"/>
    <w:rsid w:val="00A87966"/>
    <w:rsid w:val="00A87DE4"/>
    <w:rsid w:val="00A87F70"/>
    <w:rsid w:val="00A90000"/>
    <w:rsid w:val="00A90225"/>
    <w:rsid w:val="00A9023F"/>
    <w:rsid w:val="00A905D5"/>
    <w:rsid w:val="00A909BD"/>
    <w:rsid w:val="00A90DB9"/>
    <w:rsid w:val="00A90E25"/>
    <w:rsid w:val="00A90F17"/>
    <w:rsid w:val="00A90FB8"/>
    <w:rsid w:val="00A9112E"/>
    <w:rsid w:val="00A916AC"/>
    <w:rsid w:val="00A916FD"/>
    <w:rsid w:val="00A91A02"/>
    <w:rsid w:val="00A91ABC"/>
    <w:rsid w:val="00A91B2E"/>
    <w:rsid w:val="00A91C53"/>
    <w:rsid w:val="00A91EA7"/>
    <w:rsid w:val="00A91FC5"/>
    <w:rsid w:val="00A92383"/>
    <w:rsid w:val="00A92834"/>
    <w:rsid w:val="00A92909"/>
    <w:rsid w:val="00A92AC0"/>
    <w:rsid w:val="00A92AF8"/>
    <w:rsid w:val="00A92E11"/>
    <w:rsid w:val="00A92E50"/>
    <w:rsid w:val="00A92EB7"/>
    <w:rsid w:val="00A92F12"/>
    <w:rsid w:val="00A93356"/>
    <w:rsid w:val="00A93379"/>
    <w:rsid w:val="00A933CC"/>
    <w:rsid w:val="00A93413"/>
    <w:rsid w:val="00A93567"/>
    <w:rsid w:val="00A93584"/>
    <w:rsid w:val="00A93799"/>
    <w:rsid w:val="00A938A1"/>
    <w:rsid w:val="00A938CD"/>
    <w:rsid w:val="00A93A84"/>
    <w:rsid w:val="00A93D6F"/>
    <w:rsid w:val="00A93D75"/>
    <w:rsid w:val="00A93DE2"/>
    <w:rsid w:val="00A93E85"/>
    <w:rsid w:val="00A93ECF"/>
    <w:rsid w:val="00A93FA9"/>
    <w:rsid w:val="00A940BE"/>
    <w:rsid w:val="00A94246"/>
    <w:rsid w:val="00A949EA"/>
    <w:rsid w:val="00A950AC"/>
    <w:rsid w:val="00A954BE"/>
    <w:rsid w:val="00A9561E"/>
    <w:rsid w:val="00A95842"/>
    <w:rsid w:val="00A95D24"/>
    <w:rsid w:val="00A960CD"/>
    <w:rsid w:val="00A961F4"/>
    <w:rsid w:val="00A962AD"/>
    <w:rsid w:val="00A962C9"/>
    <w:rsid w:val="00A96427"/>
    <w:rsid w:val="00A9685C"/>
    <w:rsid w:val="00A96FBC"/>
    <w:rsid w:val="00A97320"/>
    <w:rsid w:val="00A97378"/>
    <w:rsid w:val="00A9737D"/>
    <w:rsid w:val="00A976B6"/>
    <w:rsid w:val="00A97C10"/>
    <w:rsid w:val="00A97FB5"/>
    <w:rsid w:val="00AA0470"/>
    <w:rsid w:val="00AA0508"/>
    <w:rsid w:val="00AA05F6"/>
    <w:rsid w:val="00AA0D18"/>
    <w:rsid w:val="00AA0FFB"/>
    <w:rsid w:val="00AA1304"/>
    <w:rsid w:val="00AA131C"/>
    <w:rsid w:val="00AA13BD"/>
    <w:rsid w:val="00AA13C3"/>
    <w:rsid w:val="00AA1653"/>
    <w:rsid w:val="00AA1868"/>
    <w:rsid w:val="00AA1962"/>
    <w:rsid w:val="00AA1B98"/>
    <w:rsid w:val="00AA1D62"/>
    <w:rsid w:val="00AA1DF5"/>
    <w:rsid w:val="00AA1E4C"/>
    <w:rsid w:val="00AA1F66"/>
    <w:rsid w:val="00AA22EB"/>
    <w:rsid w:val="00AA2398"/>
    <w:rsid w:val="00AA23AE"/>
    <w:rsid w:val="00AA2483"/>
    <w:rsid w:val="00AA24F2"/>
    <w:rsid w:val="00AA2648"/>
    <w:rsid w:val="00AA281E"/>
    <w:rsid w:val="00AA2A2F"/>
    <w:rsid w:val="00AA2B8E"/>
    <w:rsid w:val="00AA2D43"/>
    <w:rsid w:val="00AA3043"/>
    <w:rsid w:val="00AA3182"/>
    <w:rsid w:val="00AA3230"/>
    <w:rsid w:val="00AA33E2"/>
    <w:rsid w:val="00AA357B"/>
    <w:rsid w:val="00AA36F4"/>
    <w:rsid w:val="00AA3847"/>
    <w:rsid w:val="00AA397F"/>
    <w:rsid w:val="00AA3998"/>
    <w:rsid w:val="00AA3BF9"/>
    <w:rsid w:val="00AA40A0"/>
    <w:rsid w:val="00AA42B5"/>
    <w:rsid w:val="00AA44AD"/>
    <w:rsid w:val="00AA4A17"/>
    <w:rsid w:val="00AA4D25"/>
    <w:rsid w:val="00AA4EC8"/>
    <w:rsid w:val="00AA5309"/>
    <w:rsid w:val="00AA5453"/>
    <w:rsid w:val="00AA5583"/>
    <w:rsid w:val="00AA562D"/>
    <w:rsid w:val="00AA574E"/>
    <w:rsid w:val="00AA5811"/>
    <w:rsid w:val="00AA59C0"/>
    <w:rsid w:val="00AA5D9E"/>
    <w:rsid w:val="00AA5DF9"/>
    <w:rsid w:val="00AA5EA6"/>
    <w:rsid w:val="00AA6156"/>
    <w:rsid w:val="00AA61ED"/>
    <w:rsid w:val="00AA6241"/>
    <w:rsid w:val="00AA6417"/>
    <w:rsid w:val="00AA642E"/>
    <w:rsid w:val="00AA6450"/>
    <w:rsid w:val="00AA662F"/>
    <w:rsid w:val="00AA6A31"/>
    <w:rsid w:val="00AA6AB9"/>
    <w:rsid w:val="00AA6F2F"/>
    <w:rsid w:val="00AA744D"/>
    <w:rsid w:val="00AA74C2"/>
    <w:rsid w:val="00AA754D"/>
    <w:rsid w:val="00AA7681"/>
    <w:rsid w:val="00AA7A35"/>
    <w:rsid w:val="00AA7AD3"/>
    <w:rsid w:val="00AA7E9A"/>
    <w:rsid w:val="00AB057D"/>
    <w:rsid w:val="00AB05A4"/>
    <w:rsid w:val="00AB0AFF"/>
    <w:rsid w:val="00AB0C10"/>
    <w:rsid w:val="00AB0D99"/>
    <w:rsid w:val="00AB0F9D"/>
    <w:rsid w:val="00AB10D0"/>
    <w:rsid w:val="00AB1265"/>
    <w:rsid w:val="00AB13C8"/>
    <w:rsid w:val="00AB1515"/>
    <w:rsid w:val="00AB19AA"/>
    <w:rsid w:val="00AB19C8"/>
    <w:rsid w:val="00AB1A59"/>
    <w:rsid w:val="00AB1B09"/>
    <w:rsid w:val="00AB1B28"/>
    <w:rsid w:val="00AB1C25"/>
    <w:rsid w:val="00AB1D4B"/>
    <w:rsid w:val="00AB1EDF"/>
    <w:rsid w:val="00AB1F9D"/>
    <w:rsid w:val="00AB1FAD"/>
    <w:rsid w:val="00AB21E2"/>
    <w:rsid w:val="00AB23C6"/>
    <w:rsid w:val="00AB23E9"/>
    <w:rsid w:val="00AB242D"/>
    <w:rsid w:val="00AB2469"/>
    <w:rsid w:val="00AB2694"/>
    <w:rsid w:val="00AB276A"/>
    <w:rsid w:val="00AB2861"/>
    <w:rsid w:val="00AB28EF"/>
    <w:rsid w:val="00AB2B80"/>
    <w:rsid w:val="00AB2C38"/>
    <w:rsid w:val="00AB2E76"/>
    <w:rsid w:val="00AB2ED1"/>
    <w:rsid w:val="00AB302A"/>
    <w:rsid w:val="00AB3093"/>
    <w:rsid w:val="00AB32C1"/>
    <w:rsid w:val="00AB32DF"/>
    <w:rsid w:val="00AB343C"/>
    <w:rsid w:val="00AB3768"/>
    <w:rsid w:val="00AB37D3"/>
    <w:rsid w:val="00AB3936"/>
    <w:rsid w:val="00AB3AD6"/>
    <w:rsid w:val="00AB3BE0"/>
    <w:rsid w:val="00AB3C5F"/>
    <w:rsid w:val="00AB42C8"/>
    <w:rsid w:val="00AB45CF"/>
    <w:rsid w:val="00AB46A5"/>
    <w:rsid w:val="00AB46D4"/>
    <w:rsid w:val="00AB4897"/>
    <w:rsid w:val="00AB48C8"/>
    <w:rsid w:val="00AB4953"/>
    <w:rsid w:val="00AB4BA1"/>
    <w:rsid w:val="00AB4D61"/>
    <w:rsid w:val="00AB4DC0"/>
    <w:rsid w:val="00AB5037"/>
    <w:rsid w:val="00AB50B1"/>
    <w:rsid w:val="00AB55A9"/>
    <w:rsid w:val="00AB563F"/>
    <w:rsid w:val="00AB59A1"/>
    <w:rsid w:val="00AB5B7D"/>
    <w:rsid w:val="00AB5CDA"/>
    <w:rsid w:val="00AB604B"/>
    <w:rsid w:val="00AB6132"/>
    <w:rsid w:val="00AB63A7"/>
    <w:rsid w:val="00AB6449"/>
    <w:rsid w:val="00AB6934"/>
    <w:rsid w:val="00AB6A75"/>
    <w:rsid w:val="00AB6B81"/>
    <w:rsid w:val="00AB6C37"/>
    <w:rsid w:val="00AB6F83"/>
    <w:rsid w:val="00AB7101"/>
    <w:rsid w:val="00AB7473"/>
    <w:rsid w:val="00AB757E"/>
    <w:rsid w:val="00AB7785"/>
    <w:rsid w:val="00AB78C6"/>
    <w:rsid w:val="00AB7960"/>
    <w:rsid w:val="00AB7BB2"/>
    <w:rsid w:val="00AB7C8D"/>
    <w:rsid w:val="00AB7E92"/>
    <w:rsid w:val="00AB7F82"/>
    <w:rsid w:val="00AC0454"/>
    <w:rsid w:val="00AC0487"/>
    <w:rsid w:val="00AC0503"/>
    <w:rsid w:val="00AC054B"/>
    <w:rsid w:val="00AC0877"/>
    <w:rsid w:val="00AC0A25"/>
    <w:rsid w:val="00AC0AA4"/>
    <w:rsid w:val="00AC0CCF"/>
    <w:rsid w:val="00AC0D1B"/>
    <w:rsid w:val="00AC118E"/>
    <w:rsid w:val="00AC12BC"/>
    <w:rsid w:val="00AC12D2"/>
    <w:rsid w:val="00AC16F1"/>
    <w:rsid w:val="00AC1742"/>
    <w:rsid w:val="00AC1781"/>
    <w:rsid w:val="00AC19EA"/>
    <w:rsid w:val="00AC19FF"/>
    <w:rsid w:val="00AC1ACF"/>
    <w:rsid w:val="00AC1C35"/>
    <w:rsid w:val="00AC1DF7"/>
    <w:rsid w:val="00AC1E8D"/>
    <w:rsid w:val="00AC201E"/>
    <w:rsid w:val="00AC20E2"/>
    <w:rsid w:val="00AC2132"/>
    <w:rsid w:val="00AC2157"/>
    <w:rsid w:val="00AC2245"/>
    <w:rsid w:val="00AC22BD"/>
    <w:rsid w:val="00AC2339"/>
    <w:rsid w:val="00AC265A"/>
    <w:rsid w:val="00AC28A8"/>
    <w:rsid w:val="00AC305D"/>
    <w:rsid w:val="00AC30F0"/>
    <w:rsid w:val="00AC328E"/>
    <w:rsid w:val="00AC35B9"/>
    <w:rsid w:val="00AC3988"/>
    <w:rsid w:val="00AC3B24"/>
    <w:rsid w:val="00AC3E61"/>
    <w:rsid w:val="00AC40DD"/>
    <w:rsid w:val="00AC43DF"/>
    <w:rsid w:val="00AC47C9"/>
    <w:rsid w:val="00AC4C17"/>
    <w:rsid w:val="00AC4F9B"/>
    <w:rsid w:val="00AC5039"/>
    <w:rsid w:val="00AC50FF"/>
    <w:rsid w:val="00AC5450"/>
    <w:rsid w:val="00AC5724"/>
    <w:rsid w:val="00AC58A4"/>
    <w:rsid w:val="00AC5BB1"/>
    <w:rsid w:val="00AC5DE1"/>
    <w:rsid w:val="00AC5E92"/>
    <w:rsid w:val="00AC5F58"/>
    <w:rsid w:val="00AC627A"/>
    <w:rsid w:val="00AC63FB"/>
    <w:rsid w:val="00AC664C"/>
    <w:rsid w:val="00AC68C2"/>
    <w:rsid w:val="00AC6B38"/>
    <w:rsid w:val="00AC6C6A"/>
    <w:rsid w:val="00AC6D7C"/>
    <w:rsid w:val="00AC72B5"/>
    <w:rsid w:val="00AC7518"/>
    <w:rsid w:val="00AC771E"/>
    <w:rsid w:val="00AC773D"/>
    <w:rsid w:val="00AC7B7A"/>
    <w:rsid w:val="00AC7BB4"/>
    <w:rsid w:val="00AC7BCA"/>
    <w:rsid w:val="00AC7C22"/>
    <w:rsid w:val="00AC7D5F"/>
    <w:rsid w:val="00AD00E7"/>
    <w:rsid w:val="00AD0D98"/>
    <w:rsid w:val="00AD0DE6"/>
    <w:rsid w:val="00AD1349"/>
    <w:rsid w:val="00AD14AB"/>
    <w:rsid w:val="00AD15C7"/>
    <w:rsid w:val="00AD1B86"/>
    <w:rsid w:val="00AD1CB1"/>
    <w:rsid w:val="00AD1EB4"/>
    <w:rsid w:val="00AD2269"/>
    <w:rsid w:val="00AD2A24"/>
    <w:rsid w:val="00AD2F0A"/>
    <w:rsid w:val="00AD30FC"/>
    <w:rsid w:val="00AD312D"/>
    <w:rsid w:val="00AD32AF"/>
    <w:rsid w:val="00AD3ABB"/>
    <w:rsid w:val="00AD3CE4"/>
    <w:rsid w:val="00AD3F23"/>
    <w:rsid w:val="00AD3FF9"/>
    <w:rsid w:val="00AD429D"/>
    <w:rsid w:val="00AD42F7"/>
    <w:rsid w:val="00AD4434"/>
    <w:rsid w:val="00AD4506"/>
    <w:rsid w:val="00AD45C1"/>
    <w:rsid w:val="00AD46BE"/>
    <w:rsid w:val="00AD482F"/>
    <w:rsid w:val="00AD4863"/>
    <w:rsid w:val="00AD48CB"/>
    <w:rsid w:val="00AD4B5B"/>
    <w:rsid w:val="00AD4DD2"/>
    <w:rsid w:val="00AD4FA8"/>
    <w:rsid w:val="00AD504B"/>
    <w:rsid w:val="00AD5104"/>
    <w:rsid w:val="00AD52BA"/>
    <w:rsid w:val="00AD536E"/>
    <w:rsid w:val="00AD55C9"/>
    <w:rsid w:val="00AD57F7"/>
    <w:rsid w:val="00AD588F"/>
    <w:rsid w:val="00AD58AA"/>
    <w:rsid w:val="00AD5BBA"/>
    <w:rsid w:val="00AD5C9B"/>
    <w:rsid w:val="00AD5FC9"/>
    <w:rsid w:val="00AD62C3"/>
    <w:rsid w:val="00AD635A"/>
    <w:rsid w:val="00AD6478"/>
    <w:rsid w:val="00AD64EA"/>
    <w:rsid w:val="00AD6591"/>
    <w:rsid w:val="00AD6BED"/>
    <w:rsid w:val="00AD71EB"/>
    <w:rsid w:val="00AD71F8"/>
    <w:rsid w:val="00AD72D3"/>
    <w:rsid w:val="00AD77D6"/>
    <w:rsid w:val="00AD7862"/>
    <w:rsid w:val="00AD7BE3"/>
    <w:rsid w:val="00AD7E41"/>
    <w:rsid w:val="00AD7FA3"/>
    <w:rsid w:val="00AD7FBC"/>
    <w:rsid w:val="00AE00DE"/>
    <w:rsid w:val="00AE0147"/>
    <w:rsid w:val="00AE0637"/>
    <w:rsid w:val="00AE07F1"/>
    <w:rsid w:val="00AE08BA"/>
    <w:rsid w:val="00AE09CD"/>
    <w:rsid w:val="00AE0B21"/>
    <w:rsid w:val="00AE0B2D"/>
    <w:rsid w:val="00AE0FEC"/>
    <w:rsid w:val="00AE10ED"/>
    <w:rsid w:val="00AE12B5"/>
    <w:rsid w:val="00AE142C"/>
    <w:rsid w:val="00AE189E"/>
    <w:rsid w:val="00AE18BA"/>
    <w:rsid w:val="00AE1D5A"/>
    <w:rsid w:val="00AE2194"/>
    <w:rsid w:val="00AE21F5"/>
    <w:rsid w:val="00AE2238"/>
    <w:rsid w:val="00AE2489"/>
    <w:rsid w:val="00AE283F"/>
    <w:rsid w:val="00AE2931"/>
    <w:rsid w:val="00AE297D"/>
    <w:rsid w:val="00AE2A73"/>
    <w:rsid w:val="00AE2DBE"/>
    <w:rsid w:val="00AE2EE0"/>
    <w:rsid w:val="00AE3163"/>
    <w:rsid w:val="00AE3206"/>
    <w:rsid w:val="00AE3489"/>
    <w:rsid w:val="00AE370B"/>
    <w:rsid w:val="00AE3E17"/>
    <w:rsid w:val="00AE3E4F"/>
    <w:rsid w:val="00AE411E"/>
    <w:rsid w:val="00AE419B"/>
    <w:rsid w:val="00AE4422"/>
    <w:rsid w:val="00AE4425"/>
    <w:rsid w:val="00AE45B2"/>
    <w:rsid w:val="00AE47C8"/>
    <w:rsid w:val="00AE47F0"/>
    <w:rsid w:val="00AE4815"/>
    <w:rsid w:val="00AE486E"/>
    <w:rsid w:val="00AE4883"/>
    <w:rsid w:val="00AE4C7B"/>
    <w:rsid w:val="00AE4CB0"/>
    <w:rsid w:val="00AE4EFB"/>
    <w:rsid w:val="00AE504E"/>
    <w:rsid w:val="00AE50E4"/>
    <w:rsid w:val="00AE51F1"/>
    <w:rsid w:val="00AE54D5"/>
    <w:rsid w:val="00AE551C"/>
    <w:rsid w:val="00AE608B"/>
    <w:rsid w:val="00AE618F"/>
    <w:rsid w:val="00AE619B"/>
    <w:rsid w:val="00AE61E0"/>
    <w:rsid w:val="00AE62E1"/>
    <w:rsid w:val="00AE6408"/>
    <w:rsid w:val="00AE6586"/>
    <w:rsid w:val="00AE6881"/>
    <w:rsid w:val="00AE6AC5"/>
    <w:rsid w:val="00AE6EEE"/>
    <w:rsid w:val="00AE6F53"/>
    <w:rsid w:val="00AE7012"/>
    <w:rsid w:val="00AE7109"/>
    <w:rsid w:val="00AE71C9"/>
    <w:rsid w:val="00AE723F"/>
    <w:rsid w:val="00AE7468"/>
    <w:rsid w:val="00AE74E2"/>
    <w:rsid w:val="00AE77B6"/>
    <w:rsid w:val="00AE781C"/>
    <w:rsid w:val="00AE794B"/>
    <w:rsid w:val="00AE7D27"/>
    <w:rsid w:val="00AE7E50"/>
    <w:rsid w:val="00AF0024"/>
    <w:rsid w:val="00AF0189"/>
    <w:rsid w:val="00AF0237"/>
    <w:rsid w:val="00AF038F"/>
    <w:rsid w:val="00AF08A2"/>
    <w:rsid w:val="00AF090F"/>
    <w:rsid w:val="00AF0C4A"/>
    <w:rsid w:val="00AF0E1B"/>
    <w:rsid w:val="00AF0FCA"/>
    <w:rsid w:val="00AF1536"/>
    <w:rsid w:val="00AF160E"/>
    <w:rsid w:val="00AF165C"/>
    <w:rsid w:val="00AF22C1"/>
    <w:rsid w:val="00AF2359"/>
    <w:rsid w:val="00AF277C"/>
    <w:rsid w:val="00AF2B45"/>
    <w:rsid w:val="00AF2D4C"/>
    <w:rsid w:val="00AF2ECB"/>
    <w:rsid w:val="00AF2F53"/>
    <w:rsid w:val="00AF3122"/>
    <w:rsid w:val="00AF3163"/>
    <w:rsid w:val="00AF31EA"/>
    <w:rsid w:val="00AF33AF"/>
    <w:rsid w:val="00AF3504"/>
    <w:rsid w:val="00AF3807"/>
    <w:rsid w:val="00AF3D0F"/>
    <w:rsid w:val="00AF3D25"/>
    <w:rsid w:val="00AF3E1B"/>
    <w:rsid w:val="00AF4097"/>
    <w:rsid w:val="00AF44EF"/>
    <w:rsid w:val="00AF45D3"/>
    <w:rsid w:val="00AF4B0A"/>
    <w:rsid w:val="00AF4E45"/>
    <w:rsid w:val="00AF4E89"/>
    <w:rsid w:val="00AF4F93"/>
    <w:rsid w:val="00AF5190"/>
    <w:rsid w:val="00AF56E7"/>
    <w:rsid w:val="00AF5A37"/>
    <w:rsid w:val="00AF5ACF"/>
    <w:rsid w:val="00AF5E62"/>
    <w:rsid w:val="00AF6214"/>
    <w:rsid w:val="00AF62B7"/>
    <w:rsid w:val="00AF6330"/>
    <w:rsid w:val="00AF66DC"/>
    <w:rsid w:val="00AF678D"/>
    <w:rsid w:val="00AF6AD4"/>
    <w:rsid w:val="00AF705B"/>
    <w:rsid w:val="00AF77DA"/>
    <w:rsid w:val="00AF783E"/>
    <w:rsid w:val="00AF7C12"/>
    <w:rsid w:val="00AF7C59"/>
    <w:rsid w:val="00AF7CCE"/>
    <w:rsid w:val="00AF7E58"/>
    <w:rsid w:val="00AF7F12"/>
    <w:rsid w:val="00B00021"/>
    <w:rsid w:val="00B00282"/>
    <w:rsid w:val="00B002EB"/>
    <w:rsid w:val="00B005E2"/>
    <w:rsid w:val="00B00A6E"/>
    <w:rsid w:val="00B00AAD"/>
    <w:rsid w:val="00B00AD2"/>
    <w:rsid w:val="00B00D31"/>
    <w:rsid w:val="00B00DC3"/>
    <w:rsid w:val="00B00FB8"/>
    <w:rsid w:val="00B011D3"/>
    <w:rsid w:val="00B01231"/>
    <w:rsid w:val="00B0135B"/>
    <w:rsid w:val="00B0135F"/>
    <w:rsid w:val="00B016B1"/>
    <w:rsid w:val="00B017D5"/>
    <w:rsid w:val="00B018C9"/>
    <w:rsid w:val="00B01B53"/>
    <w:rsid w:val="00B01C80"/>
    <w:rsid w:val="00B01FF7"/>
    <w:rsid w:val="00B02232"/>
    <w:rsid w:val="00B0250F"/>
    <w:rsid w:val="00B025D8"/>
    <w:rsid w:val="00B02691"/>
    <w:rsid w:val="00B0275D"/>
    <w:rsid w:val="00B02A12"/>
    <w:rsid w:val="00B02E2B"/>
    <w:rsid w:val="00B03086"/>
    <w:rsid w:val="00B0312D"/>
    <w:rsid w:val="00B03423"/>
    <w:rsid w:val="00B035F0"/>
    <w:rsid w:val="00B037E4"/>
    <w:rsid w:val="00B03AEC"/>
    <w:rsid w:val="00B03C08"/>
    <w:rsid w:val="00B03C78"/>
    <w:rsid w:val="00B03CDD"/>
    <w:rsid w:val="00B03D09"/>
    <w:rsid w:val="00B03E2C"/>
    <w:rsid w:val="00B040DA"/>
    <w:rsid w:val="00B041BC"/>
    <w:rsid w:val="00B04271"/>
    <w:rsid w:val="00B047CD"/>
    <w:rsid w:val="00B04910"/>
    <w:rsid w:val="00B04F36"/>
    <w:rsid w:val="00B04F91"/>
    <w:rsid w:val="00B05299"/>
    <w:rsid w:val="00B053EB"/>
    <w:rsid w:val="00B0548B"/>
    <w:rsid w:val="00B0564E"/>
    <w:rsid w:val="00B0574E"/>
    <w:rsid w:val="00B05764"/>
    <w:rsid w:val="00B05787"/>
    <w:rsid w:val="00B05B14"/>
    <w:rsid w:val="00B05B35"/>
    <w:rsid w:val="00B05CA2"/>
    <w:rsid w:val="00B05F85"/>
    <w:rsid w:val="00B06406"/>
    <w:rsid w:val="00B06BC0"/>
    <w:rsid w:val="00B06C7C"/>
    <w:rsid w:val="00B07166"/>
    <w:rsid w:val="00B0754D"/>
    <w:rsid w:val="00B075C7"/>
    <w:rsid w:val="00B078A7"/>
    <w:rsid w:val="00B0795B"/>
    <w:rsid w:val="00B07E36"/>
    <w:rsid w:val="00B07EE2"/>
    <w:rsid w:val="00B107AD"/>
    <w:rsid w:val="00B109FB"/>
    <w:rsid w:val="00B10A21"/>
    <w:rsid w:val="00B10B1D"/>
    <w:rsid w:val="00B10CB9"/>
    <w:rsid w:val="00B11082"/>
    <w:rsid w:val="00B1196C"/>
    <w:rsid w:val="00B11CC0"/>
    <w:rsid w:val="00B120C1"/>
    <w:rsid w:val="00B129A2"/>
    <w:rsid w:val="00B12B32"/>
    <w:rsid w:val="00B130C2"/>
    <w:rsid w:val="00B135A4"/>
    <w:rsid w:val="00B13604"/>
    <w:rsid w:val="00B1361D"/>
    <w:rsid w:val="00B13955"/>
    <w:rsid w:val="00B139EA"/>
    <w:rsid w:val="00B13CFF"/>
    <w:rsid w:val="00B13DED"/>
    <w:rsid w:val="00B141D3"/>
    <w:rsid w:val="00B147A2"/>
    <w:rsid w:val="00B147FF"/>
    <w:rsid w:val="00B14A70"/>
    <w:rsid w:val="00B14AE6"/>
    <w:rsid w:val="00B14B3E"/>
    <w:rsid w:val="00B14B95"/>
    <w:rsid w:val="00B14BB6"/>
    <w:rsid w:val="00B14CDB"/>
    <w:rsid w:val="00B14EB9"/>
    <w:rsid w:val="00B14EED"/>
    <w:rsid w:val="00B14EEE"/>
    <w:rsid w:val="00B150F8"/>
    <w:rsid w:val="00B15117"/>
    <w:rsid w:val="00B1538E"/>
    <w:rsid w:val="00B15647"/>
    <w:rsid w:val="00B156D3"/>
    <w:rsid w:val="00B15AA6"/>
    <w:rsid w:val="00B15BC4"/>
    <w:rsid w:val="00B15D2D"/>
    <w:rsid w:val="00B16295"/>
    <w:rsid w:val="00B16419"/>
    <w:rsid w:val="00B164BA"/>
    <w:rsid w:val="00B164ED"/>
    <w:rsid w:val="00B16BB3"/>
    <w:rsid w:val="00B17034"/>
    <w:rsid w:val="00B177F6"/>
    <w:rsid w:val="00B17811"/>
    <w:rsid w:val="00B17AC6"/>
    <w:rsid w:val="00B17B13"/>
    <w:rsid w:val="00B200F8"/>
    <w:rsid w:val="00B2028D"/>
    <w:rsid w:val="00B2041A"/>
    <w:rsid w:val="00B2042C"/>
    <w:rsid w:val="00B20594"/>
    <w:rsid w:val="00B20CBB"/>
    <w:rsid w:val="00B20E92"/>
    <w:rsid w:val="00B20F17"/>
    <w:rsid w:val="00B20FF1"/>
    <w:rsid w:val="00B21045"/>
    <w:rsid w:val="00B2129C"/>
    <w:rsid w:val="00B21359"/>
    <w:rsid w:val="00B21582"/>
    <w:rsid w:val="00B21624"/>
    <w:rsid w:val="00B2177A"/>
    <w:rsid w:val="00B217CF"/>
    <w:rsid w:val="00B21840"/>
    <w:rsid w:val="00B2189A"/>
    <w:rsid w:val="00B21BDE"/>
    <w:rsid w:val="00B21C02"/>
    <w:rsid w:val="00B21C4D"/>
    <w:rsid w:val="00B21E3C"/>
    <w:rsid w:val="00B21EB6"/>
    <w:rsid w:val="00B21FDB"/>
    <w:rsid w:val="00B220BD"/>
    <w:rsid w:val="00B22194"/>
    <w:rsid w:val="00B223D9"/>
    <w:rsid w:val="00B22481"/>
    <w:rsid w:val="00B225EA"/>
    <w:rsid w:val="00B225FF"/>
    <w:rsid w:val="00B22665"/>
    <w:rsid w:val="00B2280B"/>
    <w:rsid w:val="00B22BCE"/>
    <w:rsid w:val="00B22C94"/>
    <w:rsid w:val="00B22D10"/>
    <w:rsid w:val="00B22E61"/>
    <w:rsid w:val="00B22F14"/>
    <w:rsid w:val="00B22FCE"/>
    <w:rsid w:val="00B23048"/>
    <w:rsid w:val="00B2304D"/>
    <w:rsid w:val="00B230E0"/>
    <w:rsid w:val="00B231D1"/>
    <w:rsid w:val="00B2336E"/>
    <w:rsid w:val="00B237C1"/>
    <w:rsid w:val="00B23CD8"/>
    <w:rsid w:val="00B23D47"/>
    <w:rsid w:val="00B2415E"/>
    <w:rsid w:val="00B2435D"/>
    <w:rsid w:val="00B24490"/>
    <w:rsid w:val="00B24AD4"/>
    <w:rsid w:val="00B24BE9"/>
    <w:rsid w:val="00B24DD1"/>
    <w:rsid w:val="00B25142"/>
    <w:rsid w:val="00B252BF"/>
    <w:rsid w:val="00B25312"/>
    <w:rsid w:val="00B25350"/>
    <w:rsid w:val="00B25385"/>
    <w:rsid w:val="00B253A5"/>
    <w:rsid w:val="00B253BE"/>
    <w:rsid w:val="00B2548D"/>
    <w:rsid w:val="00B25491"/>
    <w:rsid w:val="00B254BB"/>
    <w:rsid w:val="00B255BE"/>
    <w:rsid w:val="00B25838"/>
    <w:rsid w:val="00B25A99"/>
    <w:rsid w:val="00B25C18"/>
    <w:rsid w:val="00B25C62"/>
    <w:rsid w:val="00B25C70"/>
    <w:rsid w:val="00B26128"/>
    <w:rsid w:val="00B2673D"/>
    <w:rsid w:val="00B26755"/>
    <w:rsid w:val="00B267AD"/>
    <w:rsid w:val="00B2698B"/>
    <w:rsid w:val="00B26AE0"/>
    <w:rsid w:val="00B26D3D"/>
    <w:rsid w:val="00B26D92"/>
    <w:rsid w:val="00B26FE0"/>
    <w:rsid w:val="00B27017"/>
    <w:rsid w:val="00B2720C"/>
    <w:rsid w:val="00B2721B"/>
    <w:rsid w:val="00B27430"/>
    <w:rsid w:val="00B27820"/>
    <w:rsid w:val="00B279DC"/>
    <w:rsid w:val="00B27D65"/>
    <w:rsid w:val="00B27DE1"/>
    <w:rsid w:val="00B27F18"/>
    <w:rsid w:val="00B300A9"/>
    <w:rsid w:val="00B3011E"/>
    <w:rsid w:val="00B3021A"/>
    <w:rsid w:val="00B302EF"/>
    <w:rsid w:val="00B30526"/>
    <w:rsid w:val="00B30631"/>
    <w:rsid w:val="00B30908"/>
    <w:rsid w:val="00B309D6"/>
    <w:rsid w:val="00B3131E"/>
    <w:rsid w:val="00B317D4"/>
    <w:rsid w:val="00B317EE"/>
    <w:rsid w:val="00B31B9D"/>
    <w:rsid w:val="00B31D54"/>
    <w:rsid w:val="00B31FFE"/>
    <w:rsid w:val="00B32001"/>
    <w:rsid w:val="00B320D7"/>
    <w:rsid w:val="00B32113"/>
    <w:rsid w:val="00B321D1"/>
    <w:rsid w:val="00B3224B"/>
    <w:rsid w:val="00B323B1"/>
    <w:rsid w:val="00B32725"/>
    <w:rsid w:val="00B32812"/>
    <w:rsid w:val="00B328B2"/>
    <w:rsid w:val="00B328F8"/>
    <w:rsid w:val="00B32CB5"/>
    <w:rsid w:val="00B32EDC"/>
    <w:rsid w:val="00B330B4"/>
    <w:rsid w:val="00B339B9"/>
    <w:rsid w:val="00B33C36"/>
    <w:rsid w:val="00B33F83"/>
    <w:rsid w:val="00B33FE8"/>
    <w:rsid w:val="00B34069"/>
    <w:rsid w:val="00B345C0"/>
    <w:rsid w:val="00B34A08"/>
    <w:rsid w:val="00B34A35"/>
    <w:rsid w:val="00B34A97"/>
    <w:rsid w:val="00B34D2C"/>
    <w:rsid w:val="00B35009"/>
    <w:rsid w:val="00B35098"/>
    <w:rsid w:val="00B352EE"/>
    <w:rsid w:val="00B35319"/>
    <w:rsid w:val="00B35336"/>
    <w:rsid w:val="00B3542E"/>
    <w:rsid w:val="00B3555E"/>
    <w:rsid w:val="00B359C5"/>
    <w:rsid w:val="00B35A03"/>
    <w:rsid w:val="00B35A24"/>
    <w:rsid w:val="00B35A97"/>
    <w:rsid w:val="00B35B1C"/>
    <w:rsid w:val="00B35B7D"/>
    <w:rsid w:val="00B35CAA"/>
    <w:rsid w:val="00B35CC9"/>
    <w:rsid w:val="00B35E7E"/>
    <w:rsid w:val="00B35FD7"/>
    <w:rsid w:val="00B36116"/>
    <w:rsid w:val="00B3677B"/>
    <w:rsid w:val="00B36FF2"/>
    <w:rsid w:val="00B37289"/>
    <w:rsid w:val="00B373B9"/>
    <w:rsid w:val="00B375E3"/>
    <w:rsid w:val="00B3785C"/>
    <w:rsid w:val="00B379FE"/>
    <w:rsid w:val="00B37A2A"/>
    <w:rsid w:val="00B37A57"/>
    <w:rsid w:val="00B37D5E"/>
    <w:rsid w:val="00B37E96"/>
    <w:rsid w:val="00B4077E"/>
    <w:rsid w:val="00B409DE"/>
    <w:rsid w:val="00B40C86"/>
    <w:rsid w:val="00B40CFF"/>
    <w:rsid w:val="00B40F6F"/>
    <w:rsid w:val="00B40FC9"/>
    <w:rsid w:val="00B4114E"/>
    <w:rsid w:val="00B411D0"/>
    <w:rsid w:val="00B41346"/>
    <w:rsid w:val="00B416A3"/>
    <w:rsid w:val="00B417B1"/>
    <w:rsid w:val="00B4187A"/>
    <w:rsid w:val="00B41ABC"/>
    <w:rsid w:val="00B41CF8"/>
    <w:rsid w:val="00B41D6F"/>
    <w:rsid w:val="00B41F94"/>
    <w:rsid w:val="00B4209D"/>
    <w:rsid w:val="00B4248B"/>
    <w:rsid w:val="00B42828"/>
    <w:rsid w:val="00B42849"/>
    <w:rsid w:val="00B42C27"/>
    <w:rsid w:val="00B43361"/>
    <w:rsid w:val="00B43363"/>
    <w:rsid w:val="00B433D1"/>
    <w:rsid w:val="00B4367C"/>
    <w:rsid w:val="00B4384F"/>
    <w:rsid w:val="00B438B0"/>
    <w:rsid w:val="00B438B3"/>
    <w:rsid w:val="00B439E0"/>
    <w:rsid w:val="00B43E53"/>
    <w:rsid w:val="00B43F45"/>
    <w:rsid w:val="00B440F6"/>
    <w:rsid w:val="00B4417C"/>
    <w:rsid w:val="00B4424C"/>
    <w:rsid w:val="00B44317"/>
    <w:rsid w:val="00B44634"/>
    <w:rsid w:val="00B44744"/>
    <w:rsid w:val="00B448F8"/>
    <w:rsid w:val="00B449BD"/>
    <w:rsid w:val="00B449DD"/>
    <w:rsid w:val="00B44A2C"/>
    <w:rsid w:val="00B44B15"/>
    <w:rsid w:val="00B44C9E"/>
    <w:rsid w:val="00B450B4"/>
    <w:rsid w:val="00B450E7"/>
    <w:rsid w:val="00B4516F"/>
    <w:rsid w:val="00B45181"/>
    <w:rsid w:val="00B453CE"/>
    <w:rsid w:val="00B4562E"/>
    <w:rsid w:val="00B45CC2"/>
    <w:rsid w:val="00B45F8B"/>
    <w:rsid w:val="00B460BE"/>
    <w:rsid w:val="00B46B92"/>
    <w:rsid w:val="00B46D7D"/>
    <w:rsid w:val="00B46DF0"/>
    <w:rsid w:val="00B47083"/>
    <w:rsid w:val="00B470C9"/>
    <w:rsid w:val="00B47155"/>
    <w:rsid w:val="00B479B7"/>
    <w:rsid w:val="00B47C39"/>
    <w:rsid w:val="00B47F7F"/>
    <w:rsid w:val="00B500A0"/>
    <w:rsid w:val="00B502AC"/>
    <w:rsid w:val="00B502DC"/>
    <w:rsid w:val="00B50A9D"/>
    <w:rsid w:val="00B50CCC"/>
    <w:rsid w:val="00B50CEF"/>
    <w:rsid w:val="00B50CF5"/>
    <w:rsid w:val="00B50D91"/>
    <w:rsid w:val="00B50EA1"/>
    <w:rsid w:val="00B50EA8"/>
    <w:rsid w:val="00B50FC0"/>
    <w:rsid w:val="00B510EF"/>
    <w:rsid w:val="00B5160D"/>
    <w:rsid w:val="00B5166C"/>
    <w:rsid w:val="00B5274A"/>
    <w:rsid w:val="00B52A75"/>
    <w:rsid w:val="00B52B1C"/>
    <w:rsid w:val="00B52B61"/>
    <w:rsid w:val="00B52C43"/>
    <w:rsid w:val="00B53170"/>
    <w:rsid w:val="00B5318C"/>
    <w:rsid w:val="00B531A3"/>
    <w:rsid w:val="00B534F7"/>
    <w:rsid w:val="00B5351B"/>
    <w:rsid w:val="00B53601"/>
    <w:rsid w:val="00B53BE4"/>
    <w:rsid w:val="00B53C5B"/>
    <w:rsid w:val="00B542DA"/>
    <w:rsid w:val="00B54343"/>
    <w:rsid w:val="00B546B8"/>
    <w:rsid w:val="00B54761"/>
    <w:rsid w:val="00B5493D"/>
    <w:rsid w:val="00B5498E"/>
    <w:rsid w:val="00B54A9D"/>
    <w:rsid w:val="00B54C5D"/>
    <w:rsid w:val="00B54D56"/>
    <w:rsid w:val="00B54E63"/>
    <w:rsid w:val="00B54F81"/>
    <w:rsid w:val="00B5532F"/>
    <w:rsid w:val="00B5541A"/>
    <w:rsid w:val="00B55454"/>
    <w:rsid w:val="00B55534"/>
    <w:rsid w:val="00B55613"/>
    <w:rsid w:val="00B55755"/>
    <w:rsid w:val="00B55D02"/>
    <w:rsid w:val="00B55FA1"/>
    <w:rsid w:val="00B560D2"/>
    <w:rsid w:val="00B56120"/>
    <w:rsid w:val="00B5662A"/>
    <w:rsid w:val="00B568A5"/>
    <w:rsid w:val="00B56C8C"/>
    <w:rsid w:val="00B5727C"/>
    <w:rsid w:val="00B573AA"/>
    <w:rsid w:val="00B57448"/>
    <w:rsid w:val="00B57450"/>
    <w:rsid w:val="00B574B0"/>
    <w:rsid w:val="00B5768B"/>
    <w:rsid w:val="00B576F7"/>
    <w:rsid w:val="00B57758"/>
    <w:rsid w:val="00B578A2"/>
    <w:rsid w:val="00B57A78"/>
    <w:rsid w:val="00B57A8A"/>
    <w:rsid w:val="00B57B1C"/>
    <w:rsid w:val="00B57D6F"/>
    <w:rsid w:val="00B57EE7"/>
    <w:rsid w:val="00B60343"/>
    <w:rsid w:val="00B6048C"/>
    <w:rsid w:val="00B604CB"/>
    <w:rsid w:val="00B60635"/>
    <w:rsid w:val="00B60804"/>
    <w:rsid w:val="00B60846"/>
    <w:rsid w:val="00B60A32"/>
    <w:rsid w:val="00B60BBA"/>
    <w:rsid w:val="00B60C34"/>
    <w:rsid w:val="00B60D78"/>
    <w:rsid w:val="00B60F74"/>
    <w:rsid w:val="00B610EB"/>
    <w:rsid w:val="00B613BE"/>
    <w:rsid w:val="00B614C8"/>
    <w:rsid w:val="00B6167D"/>
    <w:rsid w:val="00B616DB"/>
    <w:rsid w:val="00B61713"/>
    <w:rsid w:val="00B617AF"/>
    <w:rsid w:val="00B619AC"/>
    <w:rsid w:val="00B61B0F"/>
    <w:rsid w:val="00B61C43"/>
    <w:rsid w:val="00B61C45"/>
    <w:rsid w:val="00B61CCD"/>
    <w:rsid w:val="00B61E77"/>
    <w:rsid w:val="00B61FE1"/>
    <w:rsid w:val="00B622E7"/>
    <w:rsid w:val="00B6239B"/>
    <w:rsid w:val="00B62430"/>
    <w:rsid w:val="00B626C2"/>
    <w:rsid w:val="00B6273A"/>
    <w:rsid w:val="00B62834"/>
    <w:rsid w:val="00B62976"/>
    <w:rsid w:val="00B62998"/>
    <w:rsid w:val="00B62B9C"/>
    <w:rsid w:val="00B630AB"/>
    <w:rsid w:val="00B634DE"/>
    <w:rsid w:val="00B63584"/>
    <w:rsid w:val="00B637DB"/>
    <w:rsid w:val="00B638B8"/>
    <w:rsid w:val="00B63CD1"/>
    <w:rsid w:val="00B63F28"/>
    <w:rsid w:val="00B645F5"/>
    <w:rsid w:val="00B64A81"/>
    <w:rsid w:val="00B64B54"/>
    <w:rsid w:val="00B64F61"/>
    <w:rsid w:val="00B64F68"/>
    <w:rsid w:val="00B65238"/>
    <w:rsid w:val="00B65303"/>
    <w:rsid w:val="00B655D1"/>
    <w:rsid w:val="00B657A2"/>
    <w:rsid w:val="00B65BDE"/>
    <w:rsid w:val="00B65E9F"/>
    <w:rsid w:val="00B6609A"/>
    <w:rsid w:val="00B660A4"/>
    <w:rsid w:val="00B661C1"/>
    <w:rsid w:val="00B664BB"/>
    <w:rsid w:val="00B66558"/>
    <w:rsid w:val="00B66818"/>
    <w:rsid w:val="00B6686F"/>
    <w:rsid w:val="00B668FC"/>
    <w:rsid w:val="00B66CDA"/>
    <w:rsid w:val="00B67320"/>
    <w:rsid w:val="00B673ED"/>
    <w:rsid w:val="00B6766B"/>
    <w:rsid w:val="00B67B34"/>
    <w:rsid w:val="00B67C3B"/>
    <w:rsid w:val="00B67D80"/>
    <w:rsid w:val="00B67E8B"/>
    <w:rsid w:val="00B67ED7"/>
    <w:rsid w:val="00B700A5"/>
    <w:rsid w:val="00B70241"/>
    <w:rsid w:val="00B70408"/>
    <w:rsid w:val="00B7093C"/>
    <w:rsid w:val="00B70A2E"/>
    <w:rsid w:val="00B70E33"/>
    <w:rsid w:val="00B70E3E"/>
    <w:rsid w:val="00B70F5D"/>
    <w:rsid w:val="00B70F73"/>
    <w:rsid w:val="00B70FCC"/>
    <w:rsid w:val="00B71478"/>
    <w:rsid w:val="00B71546"/>
    <w:rsid w:val="00B7162A"/>
    <w:rsid w:val="00B7166D"/>
    <w:rsid w:val="00B716F4"/>
    <w:rsid w:val="00B717B8"/>
    <w:rsid w:val="00B719C9"/>
    <w:rsid w:val="00B71A47"/>
    <w:rsid w:val="00B71A81"/>
    <w:rsid w:val="00B71D15"/>
    <w:rsid w:val="00B7209E"/>
    <w:rsid w:val="00B7212D"/>
    <w:rsid w:val="00B72902"/>
    <w:rsid w:val="00B72C03"/>
    <w:rsid w:val="00B72C8F"/>
    <w:rsid w:val="00B73080"/>
    <w:rsid w:val="00B733AE"/>
    <w:rsid w:val="00B733FC"/>
    <w:rsid w:val="00B7358F"/>
    <w:rsid w:val="00B73A51"/>
    <w:rsid w:val="00B73A8E"/>
    <w:rsid w:val="00B73BD2"/>
    <w:rsid w:val="00B73F17"/>
    <w:rsid w:val="00B73FFE"/>
    <w:rsid w:val="00B7414B"/>
    <w:rsid w:val="00B742DC"/>
    <w:rsid w:val="00B744E6"/>
    <w:rsid w:val="00B745DB"/>
    <w:rsid w:val="00B74785"/>
    <w:rsid w:val="00B7482B"/>
    <w:rsid w:val="00B74860"/>
    <w:rsid w:val="00B74C88"/>
    <w:rsid w:val="00B74CD3"/>
    <w:rsid w:val="00B74DCC"/>
    <w:rsid w:val="00B75065"/>
    <w:rsid w:val="00B751D0"/>
    <w:rsid w:val="00B755B7"/>
    <w:rsid w:val="00B7569F"/>
    <w:rsid w:val="00B757CC"/>
    <w:rsid w:val="00B75F55"/>
    <w:rsid w:val="00B75F6D"/>
    <w:rsid w:val="00B75F92"/>
    <w:rsid w:val="00B76523"/>
    <w:rsid w:val="00B76646"/>
    <w:rsid w:val="00B76698"/>
    <w:rsid w:val="00B76C22"/>
    <w:rsid w:val="00B76E5B"/>
    <w:rsid w:val="00B76EF7"/>
    <w:rsid w:val="00B7709F"/>
    <w:rsid w:val="00B77432"/>
    <w:rsid w:val="00B77470"/>
    <w:rsid w:val="00B774A2"/>
    <w:rsid w:val="00B77DBD"/>
    <w:rsid w:val="00B77E4D"/>
    <w:rsid w:val="00B80132"/>
    <w:rsid w:val="00B80144"/>
    <w:rsid w:val="00B80497"/>
    <w:rsid w:val="00B8057E"/>
    <w:rsid w:val="00B807A4"/>
    <w:rsid w:val="00B807DB"/>
    <w:rsid w:val="00B80850"/>
    <w:rsid w:val="00B80BC0"/>
    <w:rsid w:val="00B80DA2"/>
    <w:rsid w:val="00B81522"/>
    <w:rsid w:val="00B8163F"/>
    <w:rsid w:val="00B81889"/>
    <w:rsid w:val="00B81A98"/>
    <w:rsid w:val="00B81B47"/>
    <w:rsid w:val="00B82100"/>
    <w:rsid w:val="00B82249"/>
    <w:rsid w:val="00B823E3"/>
    <w:rsid w:val="00B82643"/>
    <w:rsid w:val="00B828B9"/>
    <w:rsid w:val="00B8292D"/>
    <w:rsid w:val="00B82AB4"/>
    <w:rsid w:val="00B82B3A"/>
    <w:rsid w:val="00B82C69"/>
    <w:rsid w:val="00B82D44"/>
    <w:rsid w:val="00B83431"/>
    <w:rsid w:val="00B834EC"/>
    <w:rsid w:val="00B83578"/>
    <w:rsid w:val="00B8363B"/>
    <w:rsid w:val="00B83858"/>
    <w:rsid w:val="00B83B79"/>
    <w:rsid w:val="00B83BA0"/>
    <w:rsid w:val="00B83D99"/>
    <w:rsid w:val="00B83E7C"/>
    <w:rsid w:val="00B83EAE"/>
    <w:rsid w:val="00B83F32"/>
    <w:rsid w:val="00B83F42"/>
    <w:rsid w:val="00B84073"/>
    <w:rsid w:val="00B840ED"/>
    <w:rsid w:val="00B8435D"/>
    <w:rsid w:val="00B8438C"/>
    <w:rsid w:val="00B8481A"/>
    <w:rsid w:val="00B848A3"/>
    <w:rsid w:val="00B84FBB"/>
    <w:rsid w:val="00B8502A"/>
    <w:rsid w:val="00B85036"/>
    <w:rsid w:val="00B8525C"/>
    <w:rsid w:val="00B853F2"/>
    <w:rsid w:val="00B85859"/>
    <w:rsid w:val="00B85CB0"/>
    <w:rsid w:val="00B86101"/>
    <w:rsid w:val="00B865B3"/>
    <w:rsid w:val="00B865C5"/>
    <w:rsid w:val="00B865CB"/>
    <w:rsid w:val="00B865F7"/>
    <w:rsid w:val="00B868D6"/>
    <w:rsid w:val="00B86A43"/>
    <w:rsid w:val="00B86D9A"/>
    <w:rsid w:val="00B86DEE"/>
    <w:rsid w:val="00B86EF7"/>
    <w:rsid w:val="00B870CE"/>
    <w:rsid w:val="00B871FB"/>
    <w:rsid w:val="00B87455"/>
    <w:rsid w:val="00B8756F"/>
    <w:rsid w:val="00B875D4"/>
    <w:rsid w:val="00B8782E"/>
    <w:rsid w:val="00B879B3"/>
    <w:rsid w:val="00B87A25"/>
    <w:rsid w:val="00B87D91"/>
    <w:rsid w:val="00B87DB8"/>
    <w:rsid w:val="00B87DF9"/>
    <w:rsid w:val="00B87F18"/>
    <w:rsid w:val="00B90022"/>
    <w:rsid w:val="00B9032E"/>
    <w:rsid w:val="00B90335"/>
    <w:rsid w:val="00B903FD"/>
    <w:rsid w:val="00B9046D"/>
    <w:rsid w:val="00B905AC"/>
    <w:rsid w:val="00B90F79"/>
    <w:rsid w:val="00B9107E"/>
    <w:rsid w:val="00B91189"/>
    <w:rsid w:val="00B9124D"/>
    <w:rsid w:val="00B9142F"/>
    <w:rsid w:val="00B9161C"/>
    <w:rsid w:val="00B9199E"/>
    <w:rsid w:val="00B91A2A"/>
    <w:rsid w:val="00B91E35"/>
    <w:rsid w:val="00B91F79"/>
    <w:rsid w:val="00B92071"/>
    <w:rsid w:val="00B92146"/>
    <w:rsid w:val="00B9253D"/>
    <w:rsid w:val="00B92714"/>
    <w:rsid w:val="00B92785"/>
    <w:rsid w:val="00B928E2"/>
    <w:rsid w:val="00B9304B"/>
    <w:rsid w:val="00B930FB"/>
    <w:rsid w:val="00B932C7"/>
    <w:rsid w:val="00B9332D"/>
    <w:rsid w:val="00B9337F"/>
    <w:rsid w:val="00B9371B"/>
    <w:rsid w:val="00B937C1"/>
    <w:rsid w:val="00B93FC2"/>
    <w:rsid w:val="00B94014"/>
    <w:rsid w:val="00B947CF"/>
    <w:rsid w:val="00B94877"/>
    <w:rsid w:val="00B94943"/>
    <w:rsid w:val="00B94CD9"/>
    <w:rsid w:val="00B94FC2"/>
    <w:rsid w:val="00B95143"/>
    <w:rsid w:val="00B95248"/>
    <w:rsid w:val="00B953B4"/>
    <w:rsid w:val="00B9546E"/>
    <w:rsid w:val="00B955F9"/>
    <w:rsid w:val="00B95626"/>
    <w:rsid w:val="00B95636"/>
    <w:rsid w:val="00B95734"/>
    <w:rsid w:val="00B9591C"/>
    <w:rsid w:val="00B95AA7"/>
    <w:rsid w:val="00B95ED0"/>
    <w:rsid w:val="00B95F94"/>
    <w:rsid w:val="00B96125"/>
    <w:rsid w:val="00B9614E"/>
    <w:rsid w:val="00B961CA"/>
    <w:rsid w:val="00B9626C"/>
    <w:rsid w:val="00B96405"/>
    <w:rsid w:val="00B967BC"/>
    <w:rsid w:val="00B9696C"/>
    <w:rsid w:val="00B96B7A"/>
    <w:rsid w:val="00B96DBC"/>
    <w:rsid w:val="00B96E75"/>
    <w:rsid w:val="00B96F2B"/>
    <w:rsid w:val="00B96F94"/>
    <w:rsid w:val="00B9711F"/>
    <w:rsid w:val="00B972FC"/>
    <w:rsid w:val="00B9730A"/>
    <w:rsid w:val="00B9753A"/>
    <w:rsid w:val="00B97662"/>
    <w:rsid w:val="00B97663"/>
    <w:rsid w:val="00B97A6B"/>
    <w:rsid w:val="00BA0250"/>
    <w:rsid w:val="00BA0395"/>
    <w:rsid w:val="00BA03BB"/>
    <w:rsid w:val="00BA0452"/>
    <w:rsid w:val="00BA0825"/>
    <w:rsid w:val="00BA08B1"/>
    <w:rsid w:val="00BA08D9"/>
    <w:rsid w:val="00BA0BB5"/>
    <w:rsid w:val="00BA0F51"/>
    <w:rsid w:val="00BA0F77"/>
    <w:rsid w:val="00BA0FA8"/>
    <w:rsid w:val="00BA102F"/>
    <w:rsid w:val="00BA1038"/>
    <w:rsid w:val="00BA10B8"/>
    <w:rsid w:val="00BA10D9"/>
    <w:rsid w:val="00BA11A2"/>
    <w:rsid w:val="00BA157A"/>
    <w:rsid w:val="00BA1821"/>
    <w:rsid w:val="00BA1C30"/>
    <w:rsid w:val="00BA1F99"/>
    <w:rsid w:val="00BA204D"/>
    <w:rsid w:val="00BA2219"/>
    <w:rsid w:val="00BA251D"/>
    <w:rsid w:val="00BA2683"/>
    <w:rsid w:val="00BA27E3"/>
    <w:rsid w:val="00BA2897"/>
    <w:rsid w:val="00BA2AD8"/>
    <w:rsid w:val="00BA2C49"/>
    <w:rsid w:val="00BA309F"/>
    <w:rsid w:val="00BA3113"/>
    <w:rsid w:val="00BA347E"/>
    <w:rsid w:val="00BA3512"/>
    <w:rsid w:val="00BA38E0"/>
    <w:rsid w:val="00BA3B84"/>
    <w:rsid w:val="00BA3E77"/>
    <w:rsid w:val="00BA3EFE"/>
    <w:rsid w:val="00BA41A2"/>
    <w:rsid w:val="00BA41FB"/>
    <w:rsid w:val="00BA432A"/>
    <w:rsid w:val="00BA4A86"/>
    <w:rsid w:val="00BA4EDA"/>
    <w:rsid w:val="00BA5143"/>
    <w:rsid w:val="00BA514E"/>
    <w:rsid w:val="00BA531F"/>
    <w:rsid w:val="00BA533D"/>
    <w:rsid w:val="00BA53A1"/>
    <w:rsid w:val="00BA541C"/>
    <w:rsid w:val="00BA5788"/>
    <w:rsid w:val="00BA5944"/>
    <w:rsid w:val="00BA59EA"/>
    <w:rsid w:val="00BA5BC5"/>
    <w:rsid w:val="00BA5D95"/>
    <w:rsid w:val="00BA5FE8"/>
    <w:rsid w:val="00BA602E"/>
    <w:rsid w:val="00BA621C"/>
    <w:rsid w:val="00BA662D"/>
    <w:rsid w:val="00BA669B"/>
    <w:rsid w:val="00BA66A0"/>
    <w:rsid w:val="00BA66EB"/>
    <w:rsid w:val="00BA689E"/>
    <w:rsid w:val="00BA6B84"/>
    <w:rsid w:val="00BA6DBF"/>
    <w:rsid w:val="00BA7344"/>
    <w:rsid w:val="00BA74C4"/>
    <w:rsid w:val="00BA75D3"/>
    <w:rsid w:val="00BA75F8"/>
    <w:rsid w:val="00BA7657"/>
    <w:rsid w:val="00BA76F5"/>
    <w:rsid w:val="00BA77C9"/>
    <w:rsid w:val="00BA7A39"/>
    <w:rsid w:val="00BA7AAD"/>
    <w:rsid w:val="00BA7AC0"/>
    <w:rsid w:val="00BA7AC8"/>
    <w:rsid w:val="00BA7E07"/>
    <w:rsid w:val="00BA7ECA"/>
    <w:rsid w:val="00BA7F1E"/>
    <w:rsid w:val="00BB0213"/>
    <w:rsid w:val="00BB03D8"/>
    <w:rsid w:val="00BB0553"/>
    <w:rsid w:val="00BB0575"/>
    <w:rsid w:val="00BB064D"/>
    <w:rsid w:val="00BB088B"/>
    <w:rsid w:val="00BB09AD"/>
    <w:rsid w:val="00BB09B8"/>
    <w:rsid w:val="00BB0A6E"/>
    <w:rsid w:val="00BB0BF3"/>
    <w:rsid w:val="00BB0CAC"/>
    <w:rsid w:val="00BB0DBC"/>
    <w:rsid w:val="00BB0EEE"/>
    <w:rsid w:val="00BB126D"/>
    <w:rsid w:val="00BB15F8"/>
    <w:rsid w:val="00BB168F"/>
    <w:rsid w:val="00BB18A5"/>
    <w:rsid w:val="00BB195F"/>
    <w:rsid w:val="00BB1B4D"/>
    <w:rsid w:val="00BB1CB1"/>
    <w:rsid w:val="00BB1F93"/>
    <w:rsid w:val="00BB2176"/>
    <w:rsid w:val="00BB24CD"/>
    <w:rsid w:val="00BB24E4"/>
    <w:rsid w:val="00BB2658"/>
    <w:rsid w:val="00BB28A4"/>
    <w:rsid w:val="00BB2ADD"/>
    <w:rsid w:val="00BB2AF6"/>
    <w:rsid w:val="00BB2B82"/>
    <w:rsid w:val="00BB2EFE"/>
    <w:rsid w:val="00BB2F09"/>
    <w:rsid w:val="00BB2F12"/>
    <w:rsid w:val="00BB30CB"/>
    <w:rsid w:val="00BB3E17"/>
    <w:rsid w:val="00BB3E57"/>
    <w:rsid w:val="00BB403A"/>
    <w:rsid w:val="00BB42CA"/>
    <w:rsid w:val="00BB458A"/>
    <w:rsid w:val="00BB468D"/>
    <w:rsid w:val="00BB4748"/>
    <w:rsid w:val="00BB48D3"/>
    <w:rsid w:val="00BB49A1"/>
    <w:rsid w:val="00BB4B25"/>
    <w:rsid w:val="00BB4EC5"/>
    <w:rsid w:val="00BB4F58"/>
    <w:rsid w:val="00BB4F9B"/>
    <w:rsid w:val="00BB4FF6"/>
    <w:rsid w:val="00BB5027"/>
    <w:rsid w:val="00BB50CA"/>
    <w:rsid w:val="00BB51F8"/>
    <w:rsid w:val="00BB5396"/>
    <w:rsid w:val="00BB57BE"/>
    <w:rsid w:val="00BB5912"/>
    <w:rsid w:val="00BB5B31"/>
    <w:rsid w:val="00BB5C39"/>
    <w:rsid w:val="00BB5D82"/>
    <w:rsid w:val="00BB6113"/>
    <w:rsid w:val="00BB6864"/>
    <w:rsid w:val="00BB6D82"/>
    <w:rsid w:val="00BB7009"/>
    <w:rsid w:val="00BB701D"/>
    <w:rsid w:val="00BB75D3"/>
    <w:rsid w:val="00BB7D08"/>
    <w:rsid w:val="00BB7E97"/>
    <w:rsid w:val="00BC016F"/>
    <w:rsid w:val="00BC040B"/>
    <w:rsid w:val="00BC04C4"/>
    <w:rsid w:val="00BC051E"/>
    <w:rsid w:val="00BC0631"/>
    <w:rsid w:val="00BC0E01"/>
    <w:rsid w:val="00BC1212"/>
    <w:rsid w:val="00BC1271"/>
    <w:rsid w:val="00BC12AC"/>
    <w:rsid w:val="00BC1337"/>
    <w:rsid w:val="00BC1367"/>
    <w:rsid w:val="00BC19E7"/>
    <w:rsid w:val="00BC1BD1"/>
    <w:rsid w:val="00BC1BF3"/>
    <w:rsid w:val="00BC1D4A"/>
    <w:rsid w:val="00BC2286"/>
    <w:rsid w:val="00BC23A3"/>
    <w:rsid w:val="00BC26DE"/>
    <w:rsid w:val="00BC27F5"/>
    <w:rsid w:val="00BC2941"/>
    <w:rsid w:val="00BC2B65"/>
    <w:rsid w:val="00BC2DFA"/>
    <w:rsid w:val="00BC2E27"/>
    <w:rsid w:val="00BC3023"/>
    <w:rsid w:val="00BC3052"/>
    <w:rsid w:val="00BC3594"/>
    <w:rsid w:val="00BC367A"/>
    <w:rsid w:val="00BC37CF"/>
    <w:rsid w:val="00BC3880"/>
    <w:rsid w:val="00BC3A78"/>
    <w:rsid w:val="00BC3B61"/>
    <w:rsid w:val="00BC3CC2"/>
    <w:rsid w:val="00BC3EC3"/>
    <w:rsid w:val="00BC3F72"/>
    <w:rsid w:val="00BC3FA6"/>
    <w:rsid w:val="00BC40D5"/>
    <w:rsid w:val="00BC411D"/>
    <w:rsid w:val="00BC415F"/>
    <w:rsid w:val="00BC4217"/>
    <w:rsid w:val="00BC42B1"/>
    <w:rsid w:val="00BC430F"/>
    <w:rsid w:val="00BC448E"/>
    <w:rsid w:val="00BC460F"/>
    <w:rsid w:val="00BC4647"/>
    <w:rsid w:val="00BC488E"/>
    <w:rsid w:val="00BC49CC"/>
    <w:rsid w:val="00BC49E7"/>
    <w:rsid w:val="00BC4C25"/>
    <w:rsid w:val="00BC51DC"/>
    <w:rsid w:val="00BC5800"/>
    <w:rsid w:val="00BC59EE"/>
    <w:rsid w:val="00BC5AA5"/>
    <w:rsid w:val="00BC5D28"/>
    <w:rsid w:val="00BC5D2A"/>
    <w:rsid w:val="00BC5D88"/>
    <w:rsid w:val="00BC64B2"/>
    <w:rsid w:val="00BC64B8"/>
    <w:rsid w:val="00BC65AF"/>
    <w:rsid w:val="00BC6A12"/>
    <w:rsid w:val="00BC6AC7"/>
    <w:rsid w:val="00BC6CFB"/>
    <w:rsid w:val="00BC6FE4"/>
    <w:rsid w:val="00BC71AA"/>
    <w:rsid w:val="00BC734D"/>
    <w:rsid w:val="00BC74D4"/>
    <w:rsid w:val="00BC7AF0"/>
    <w:rsid w:val="00BC7BFF"/>
    <w:rsid w:val="00BD05E8"/>
    <w:rsid w:val="00BD06B9"/>
    <w:rsid w:val="00BD07D2"/>
    <w:rsid w:val="00BD0840"/>
    <w:rsid w:val="00BD0C1A"/>
    <w:rsid w:val="00BD105B"/>
    <w:rsid w:val="00BD108B"/>
    <w:rsid w:val="00BD10A0"/>
    <w:rsid w:val="00BD10F8"/>
    <w:rsid w:val="00BD10FE"/>
    <w:rsid w:val="00BD11D2"/>
    <w:rsid w:val="00BD1268"/>
    <w:rsid w:val="00BD1485"/>
    <w:rsid w:val="00BD1ABA"/>
    <w:rsid w:val="00BD1B45"/>
    <w:rsid w:val="00BD1DED"/>
    <w:rsid w:val="00BD1E7E"/>
    <w:rsid w:val="00BD24A5"/>
    <w:rsid w:val="00BD27AE"/>
    <w:rsid w:val="00BD28EA"/>
    <w:rsid w:val="00BD2928"/>
    <w:rsid w:val="00BD2BF6"/>
    <w:rsid w:val="00BD2C07"/>
    <w:rsid w:val="00BD30B0"/>
    <w:rsid w:val="00BD31E6"/>
    <w:rsid w:val="00BD33B7"/>
    <w:rsid w:val="00BD379C"/>
    <w:rsid w:val="00BD39EC"/>
    <w:rsid w:val="00BD3A01"/>
    <w:rsid w:val="00BD3EEF"/>
    <w:rsid w:val="00BD403F"/>
    <w:rsid w:val="00BD44DE"/>
    <w:rsid w:val="00BD471B"/>
    <w:rsid w:val="00BD4B35"/>
    <w:rsid w:val="00BD4C6B"/>
    <w:rsid w:val="00BD4CA3"/>
    <w:rsid w:val="00BD4E6A"/>
    <w:rsid w:val="00BD5136"/>
    <w:rsid w:val="00BD515F"/>
    <w:rsid w:val="00BD532A"/>
    <w:rsid w:val="00BD532E"/>
    <w:rsid w:val="00BD53DE"/>
    <w:rsid w:val="00BD5614"/>
    <w:rsid w:val="00BD56DC"/>
    <w:rsid w:val="00BD58BE"/>
    <w:rsid w:val="00BD5D53"/>
    <w:rsid w:val="00BD5FD8"/>
    <w:rsid w:val="00BD60B9"/>
    <w:rsid w:val="00BD6140"/>
    <w:rsid w:val="00BD62BD"/>
    <w:rsid w:val="00BD6407"/>
    <w:rsid w:val="00BD64B7"/>
    <w:rsid w:val="00BD64DB"/>
    <w:rsid w:val="00BD6718"/>
    <w:rsid w:val="00BD68D6"/>
    <w:rsid w:val="00BD69FF"/>
    <w:rsid w:val="00BD6AC7"/>
    <w:rsid w:val="00BD6BCE"/>
    <w:rsid w:val="00BD6BF2"/>
    <w:rsid w:val="00BD6C7B"/>
    <w:rsid w:val="00BD6F59"/>
    <w:rsid w:val="00BD71E7"/>
    <w:rsid w:val="00BD7202"/>
    <w:rsid w:val="00BD7274"/>
    <w:rsid w:val="00BD7279"/>
    <w:rsid w:val="00BD7458"/>
    <w:rsid w:val="00BD755A"/>
    <w:rsid w:val="00BD76DB"/>
    <w:rsid w:val="00BD77A4"/>
    <w:rsid w:val="00BD78C3"/>
    <w:rsid w:val="00BD7953"/>
    <w:rsid w:val="00BD7CA5"/>
    <w:rsid w:val="00BE007B"/>
    <w:rsid w:val="00BE05A1"/>
    <w:rsid w:val="00BE0758"/>
    <w:rsid w:val="00BE0798"/>
    <w:rsid w:val="00BE07DD"/>
    <w:rsid w:val="00BE0A4B"/>
    <w:rsid w:val="00BE0A8B"/>
    <w:rsid w:val="00BE0BC4"/>
    <w:rsid w:val="00BE0FA5"/>
    <w:rsid w:val="00BE124A"/>
    <w:rsid w:val="00BE1337"/>
    <w:rsid w:val="00BE14A5"/>
    <w:rsid w:val="00BE160C"/>
    <w:rsid w:val="00BE173F"/>
    <w:rsid w:val="00BE1926"/>
    <w:rsid w:val="00BE1FFE"/>
    <w:rsid w:val="00BE2474"/>
    <w:rsid w:val="00BE252B"/>
    <w:rsid w:val="00BE26BB"/>
    <w:rsid w:val="00BE2A23"/>
    <w:rsid w:val="00BE2A81"/>
    <w:rsid w:val="00BE2B82"/>
    <w:rsid w:val="00BE2DA7"/>
    <w:rsid w:val="00BE2DAF"/>
    <w:rsid w:val="00BE2EB7"/>
    <w:rsid w:val="00BE3022"/>
    <w:rsid w:val="00BE31CA"/>
    <w:rsid w:val="00BE31DC"/>
    <w:rsid w:val="00BE330A"/>
    <w:rsid w:val="00BE3454"/>
    <w:rsid w:val="00BE3675"/>
    <w:rsid w:val="00BE3687"/>
    <w:rsid w:val="00BE37EF"/>
    <w:rsid w:val="00BE389B"/>
    <w:rsid w:val="00BE3E5E"/>
    <w:rsid w:val="00BE3E69"/>
    <w:rsid w:val="00BE4302"/>
    <w:rsid w:val="00BE44E9"/>
    <w:rsid w:val="00BE46CF"/>
    <w:rsid w:val="00BE4814"/>
    <w:rsid w:val="00BE4B6A"/>
    <w:rsid w:val="00BE4E86"/>
    <w:rsid w:val="00BE4EE2"/>
    <w:rsid w:val="00BE4F31"/>
    <w:rsid w:val="00BE5086"/>
    <w:rsid w:val="00BE5133"/>
    <w:rsid w:val="00BE5443"/>
    <w:rsid w:val="00BE588D"/>
    <w:rsid w:val="00BE5ACC"/>
    <w:rsid w:val="00BE5C6F"/>
    <w:rsid w:val="00BE5E77"/>
    <w:rsid w:val="00BE6442"/>
    <w:rsid w:val="00BE6899"/>
    <w:rsid w:val="00BE6AE2"/>
    <w:rsid w:val="00BE6C50"/>
    <w:rsid w:val="00BE6D6C"/>
    <w:rsid w:val="00BE6E42"/>
    <w:rsid w:val="00BE7007"/>
    <w:rsid w:val="00BE701D"/>
    <w:rsid w:val="00BE726F"/>
    <w:rsid w:val="00BE7356"/>
    <w:rsid w:val="00BE73C1"/>
    <w:rsid w:val="00BE7780"/>
    <w:rsid w:val="00BE77E2"/>
    <w:rsid w:val="00BE77FD"/>
    <w:rsid w:val="00BE78A3"/>
    <w:rsid w:val="00BE78A6"/>
    <w:rsid w:val="00BE7B71"/>
    <w:rsid w:val="00BE7DF7"/>
    <w:rsid w:val="00BE7E52"/>
    <w:rsid w:val="00BF00A0"/>
    <w:rsid w:val="00BF00ED"/>
    <w:rsid w:val="00BF01AB"/>
    <w:rsid w:val="00BF0200"/>
    <w:rsid w:val="00BF03FC"/>
    <w:rsid w:val="00BF07EE"/>
    <w:rsid w:val="00BF08ED"/>
    <w:rsid w:val="00BF09F3"/>
    <w:rsid w:val="00BF0B93"/>
    <w:rsid w:val="00BF0C64"/>
    <w:rsid w:val="00BF0CFD"/>
    <w:rsid w:val="00BF0D93"/>
    <w:rsid w:val="00BF0DE8"/>
    <w:rsid w:val="00BF136F"/>
    <w:rsid w:val="00BF1469"/>
    <w:rsid w:val="00BF1753"/>
    <w:rsid w:val="00BF1A6F"/>
    <w:rsid w:val="00BF1A98"/>
    <w:rsid w:val="00BF1B79"/>
    <w:rsid w:val="00BF1BF2"/>
    <w:rsid w:val="00BF1E08"/>
    <w:rsid w:val="00BF1E6D"/>
    <w:rsid w:val="00BF206F"/>
    <w:rsid w:val="00BF20C0"/>
    <w:rsid w:val="00BF22DF"/>
    <w:rsid w:val="00BF2457"/>
    <w:rsid w:val="00BF2817"/>
    <w:rsid w:val="00BF2964"/>
    <w:rsid w:val="00BF2A06"/>
    <w:rsid w:val="00BF2A3B"/>
    <w:rsid w:val="00BF30BA"/>
    <w:rsid w:val="00BF3546"/>
    <w:rsid w:val="00BF35B5"/>
    <w:rsid w:val="00BF3753"/>
    <w:rsid w:val="00BF395A"/>
    <w:rsid w:val="00BF3F45"/>
    <w:rsid w:val="00BF40B9"/>
    <w:rsid w:val="00BF4693"/>
    <w:rsid w:val="00BF4AF3"/>
    <w:rsid w:val="00BF4B1A"/>
    <w:rsid w:val="00BF4C64"/>
    <w:rsid w:val="00BF4D25"/>
    <w:rsid w:val="00BF4EB7"/>
    <w:rsid w:val="00BF508F"/>
    <w:rsid w:val="00BF50F4"/>
    <w:rsid w:val="00BF51C9"/>
    <w:rsid w:val="00BF55DF"/>
    <w:rsid w:val="00BF594D"/>
    <w:rsid w:val="00BF5B3C"/>
    <w:rsid w:val="00BF5CBC"/>
    <w:rsid w:val="00BF5F34"/>
    <w:rsid w:val="00BF5F52"/>
    <w:rsid w:val="00BF633D"/>
    <w:rsid w:val="00BF64B9"/>
    <w:rsid w:val="00BF6787"/>
    <w:rsid w:val="00BF6927"/>
    <w:rsid w:val="00BF6BE1"/>
    <w:rsid w:val="00BF6D6E"/>
    <w:rsid w:val="00BF6E2F"/>
    <w:rsid w:val="00BF7455"/>
    <w:rsid w:val="00BF763A"/>
    <w:rsid w:val="00BF7687"/>
    <w:rsid w:val="00BF788B"/>
    <w:rsid w:val="00BF7984"/>
    <w:rsid w:val="00BF7F8A"/>
    <w:rsid w:val="00C00211"/>
    <w:rsid w:val="00C00689"/>
    <w:rsid w:val="00C0098B"/>
    <w:rsid w:val="00C00B38"/>
    <w:rsid w:val="00C00CFE"/>
    <w:rsid w:val="00C00D4A"/>
    <w:rsid w:val="00C00ECB"/>
    <w:rsid w:val="00C01002"/>
    <w:rsid w:val="00C0130C"/>
    <w:rsid w:val="00C015E0"/>
    <w:rsid w:val="00C01608"/>
    <w:rsid w:val="00C01699"/>
    <w:rsid w:val="00C0187C"/>
    <w:rsid w:val="00C018C1"/>
    <w:rsid w:val="00C019E6"/>
    <w:rsid w:val="00C01E2A"/>
    <w:rsid w:val="00C01FBB"/>
    <w:rsid w:val="00C02079"/>
    <w:rsid w:val="00C02321"/>
    <w:rsid w:val="00C0251F"/>
    <w:rsid w:val="00C02570"/>
    <w:rsid w:val="00C02BC0"/>
    <w:rsid w:val="00C02C30"/>
    <w:rsid w:val="00C0326B"/>
    <w:rsid w:val="00C03270"/>
    <w:rsid w:val="00C03297"/>
    <w:rsid w:val="00C036B0"/>
    <w:rsid w:val="00C03745"/>
    <w:rsid w:val="00C03776"/>
    <w:rsid w:val="00C03904"/>
    <w:rsid w:val="00C0390F"/>
    <w:rsid w:val="00C03CD3"/>
    <w:rsid w:val="00C03D1F"/>
    <w:rsid w:val="00C03DC2"/>
    <w:rsid w:val="00C03E42"/>
    <w:rsid w:val="00C03EE4"/>
    <w:rsid w:val="00C03FF3"/>
    <w:rsid w:val="00C04070"/>
    <w:rsid w:val="00C040D1"/>
    <w:rsid w:val="00C0421B"/>
    <w:rsid w:val="00C0434E"/>
    <w:rsid w:val="00C044A3"/>
    <w:rsid w:val="00C044F2"/>
    <w:rsid w:val="00C04C80"/>
    <w:rsid w:val="00C04D16"/>
    <w:rsid w:val="00C04DBE"/>
    <w:rsid w:val="00C04F86"/>
    <w:rsid w:val="00C0534E"/>
    <w:rsid w:val="00C055D2"/>
    <w:rsid w:val="00C059E1"/>
    <w:rsid w:val="00C05DB1"/>
    <w:rsid w:val="00C05FBB"/>
    <w:rsid w:val="00C06113"/>
    <w:rsid w:val="00C062D2"/>
    <w:rsid w:val="00C063A9"/>
    <w:rsid w:val="00C064A6"/>
    <w:rsid w:val="00C067B6"/>
    <w:rsid w:val="00C068D7"/>
    <w:rsid w:val="00C069DF"/>
    <w:rsid w:val="00C06D77"/>
    <w:rsid w:val="00C06E4A"/>
    <w:rsid w:val="00C06E4D"/>
    <w:rsid w:val="00C06F5B"/>
    <w:rsid w:val="00C072A0"/>
    <w:rsid w:val="00C072C7"/>
    <w:rsid w:val="00C073AE"/>
    <w:rsid w:val="00C0746E"/>
    <w:rsid w:val="00C077D0"/>
    <w:rsid w:val="00C0797D"/>
    <w:rsid w:val="00C07A69"/>
    <w:rsid w:val="00C07E93"/>
    <w:rsid w:val="00C10107"/>
    <w:rsid w:val="00C10478"/>
    <w:rsid w:val="00C104E3"/>
    <w:rsid w:val="00C10523"/>
    <w:rsid w:val="00C105BC"/>
    <w:rsid w:val="00C10A0E"/>
    <w:rsid w:val="00C10B1F"/>
    <w:rsid w:val="00C10C56"/>
    <w:rsid w:val="00C10C5C"/>
    <w:rsid w:val="00C10D51"/>
    <w:rsid w:val="00C10D6D"/>
    <w:rsid w:val="00C10E25"/>
    <w:rsid w:val="00C110FF"/>
    <w:rsid w:val="00C11177"/>
    <w:rsid w:val="00C11329"/>
    <w:rsid w:val="00C113A3"/>
    <w:rsid w:val="00C11563"/>
    <w:rsid w:val="00C1193C"/>
    <w:rsid w:val="00C11AF0"/>
    <w:rsid w:val="00C11BCF"/>
    <w:rsid w:val="00C11BDE"/>
    <w:rsid w:val="00C11DC5"/>
    <w:rsid w:val="00C1208F"/>
    <w:rsid w:val="00C1248D"/>
    <w:rsid w:val="00C1250D"/>
    <w:rsid w:val="00C1277F"/>
    <w:rsid w:val="00C12C29"/>
    <w:rsid w:val="00C12D59"/>
    <w:rsid w:val="00C12E70"/>
    <w:rsid w:val="00C12ED5"/>
    <w:rsid w:val="00C136E4"/>
    <w:rsid w:val="00C138D9"/>
    <w:rsid w:val="00C13986"/>
    <w:rsid w:val="00C13C9F"/>
    <w:rsid w:val="00C13D2A"/>
    <w:rsid w:val="00C13DBA"/>
    <w:rsid w:val="00C13E40"/>
    <w:rsid w:val="00C13EC6"/>
    <w:rsid w:val="00C14132"/>
    <w:rsid w:val="00C14365"/>
    <w:rsid w:val="00C1447F"/>
    <w:rsid w:val="00C144C0"/>
    <w:rsid w:val="00C145D1"/>
    <w:rsid w:val="00C146D3"/>
    <w:rsid w:val="00C14B41"/>
    <w:rsid w:val="00C14DE5"/>
    <w:rsid w:val="00C14F69"/>
    <w:rsid w:val="00C15016"/>
    <w:rsid w:val="00C15457"/>
    <w:rsid w:val="00C15458"/>
    <w:rsid w:val="00C15464"/>
    <w:rsid w:val="00C156B3"/>
    <w:rsid w:val="00C156CC"/>
    <w:rsid w:val="00C1577A"/>
    <w:rsid w:val="00C158B2"/>
    <w:rsid w:val="00C1592A"/>
    <w:rsid w:val="00C1598A"/>
    <w:rsid w:val="00C15AF2"/>
    <w:rsid w:val="00C15D8C"/>
    <w:rsid w:val="00C15E67"/>
    <w:rsid w:val="00C15EA5"/>
    <w:rsid w:val="00C15EB1"/>
    <w:rsid w:val="00C15F2C"/>
    <w:rsid w:val="00C162F2"/>
    <w:rsid w:val="00C1641C"/>
    <w:rsid w:val="00C16509"/>
    <w:rsid w:val="00C1671C"/>
    <w:rsid w:val="00C16903"/>
    <w:rsid w:val="00C1715D"/>
    <w:rsid w:val="00C172D0"/>
    <w:rsid w:val="00C1747E"/>
    <w:rsid w:val="00C176F0"/>
    <w:rsid w:val="00C17803"/>
    <w:rsid w:val="00C17805"/>
    <w:rsid w:val="00C178BF"/>
    <w:rsid w:val="00C17A9A"/>
    <w:rsid w:val="00C17EE0"/>
    <w:rsid w:val="00C2001C"/>
    <w:rsid w:val="00C200A3"/>
    <w:rsid w:val="00C2010E"/>
    <w:rsid w:val="00C2016E"/>
    <w:rsid w:val="00C20BF1"/>
    <w:rsid w:val="00C20D16"/>
    <w:rsid w:val="00C20DA7"/>
    <w:rsid w:val="00C20F44"/>
    <w:rsid w:val="00C2110C"/>
    <w:rsid w:val="00C21331"/>
    <w:rsid w:val="00C214E4"/>
    <w:rsid w:val="00C216D4"/>
    <w:rsid w:val="00C216EC"/>
    <w:rsid w:val="00C217E8"/>
    <w:rsid w:val="00C21868"/>
    <w:rsid w:val="00C219D4"/>
    <w:rsid w:val="00C21AC9"/>
    <w:rsid w:val="00C22057"/>
    <w:rsid w:val="00C22078"/>
    <w:rsid w:val="00C2241E"/>
    <w:rsid w:val="00C2248A"/>
    <w:rsid w:val="00C226C0"/>
    <w:rsid w:val="00C227FC"/>
    <w:rsid w:val="00C228A5"/>
    <w:rsid w:val="00C229D3"/>
    <w:rsid w:val="00C229D7"/>
    <w:rsid w:val="00C22D63"/>
    <w:rsid w:val="00C22D6C"/>
    <w:rsid w:val="00C22FFF"/>
    <w:rsid w:val="00C230CB"/>
    <w:rsid w:val="00C233EF"/>
    <w:rsid w:val="00C2344F"/>
    <w:rsid w:val="00C2367A"/>
    <w:rsid w:val="00C2386D"/>
    <w:rsid w:val="00C23A46"/>
    <w:rsid w:val="00C23E42"/>
    <w:rsid w:val="00C24138"/>
    <w:rsid w:val="00C24285"/>
    <w:rsid w:val="00C245A3"/>
    <w:rsid w:val="00C246F1"/>
    <w:rsid w:val="00C24716"/>
    <w:rsid w:val="00C2471A"/>
    <w:rsid w:val="00C24B80"/>
    <w:rsid w:val="00C24CC5"/>
    <w:rsid w:val="00C24D10"/>
    <w:rsid w:val="00C2505E"/>
    <w:rsid w:val="00C25063"/>
    <w:rsid w:val="00C25147"/>
    <w:rsid w:val="00C2552B"/>
    <w:rsid w:val="00C2552E"/>
    <w:rsid w:val="00C25559"/>
    <w:rsid w:val="00C25B18"/>
    <w:rsid w:val="00C26115"/>
    <w:rsid w:val="00C262B8"/>
    <w:rsid w:val="00C263DD"/>
    <w:rsid w:val="00C264EC"/>
    <w:rsid w:val="00C267E2"/>
    <w:rsid w:val="00C267FB"/>
    <w:rsid w:val="00C26896"/>
    <w:rsid w:val="00C26A98"/>
    <w:rsid w:val="00C26AB1"/>
    <w:rsid w:val="00C26C3B"/>
    <w:rsid w:val="00C26CE7"/>
    <w:rsid w:val="00C27016"/>
    <w:rsid w:val="00C2708B"/>
    <w:rsid w:val="00C270D4"/>
    <w:rsid w:val="00C272B9"/>
    <w:rsid w:val="00C272DA"/>
    <w:rsid w:val="00C27424"/>
    <w:rsid w:val="00C27501"/>
    <w:rsid w:val="00C2751C"/>
    <w:rsid w:val="00C27DFC"/>
    <w:rsid w:val="00C27EE3"/>
    <w:rsid w:val="00C30115"/>
    <w:rsid w:val="00C30306"/>
    <w:rsid w:val="00C303AF"/>
    <w:rsid w:val="00C30455"/>
    <w:rsid w:val="00C3063E"/>
    <w:rsid w:val="00C3081A"/>
    <w:rsid w:val="00C30A77"/>
    <w:rsid w:val="00C30DC9"/>
    <w:rsid w:val="00C3107B"/>
    <w:rsid w:val="00C314C6"/>
    <w:rsid w:val="00C31505"/>
    <w:rsid w:val="00C31684"/>
    <w:rsid w:val="00C3169C"/>
    <w:rsid w:val="00C31984"/>
    <w:rsid w:val="00C31B1F"/>
    <w:rsid w:val="00C31DF7"/>
    <w:rsid w:val="00C31F3D"/>
    <w:rsid w:val="00C32057"/>
    <w:rsid w:val="00C327A2"/>
    <w:rsid w:val="00C328CE"/>
    <w:rsid w:val="00C32903"/>
    <w:rsid w:val="00C32AC7"/>
    <w:rsid w:val="00C32B86"/>
    <w:rsid w:val="00C32C53"/>
    <w:rsid w:val="00C32C9A"/>
    <w:rsid w:val="00C32DE3"/>
    <w:rsid w:val="00C32E1E"/>
    <w:rsid w:val="00C32EA9"/>
    <w:rsid w:val="00C32EAE"/>
    <w:rsid w:val="00C331D8"/>
    <w:rsid w:val="00C33357"/>
    <w:rsid w:val="00C33600"/>
    <w:rsid w:val="00C33653"/>
    <w:rsid w:val="00C3365E"/>
    <w:rsid w:val="00C3371B"/>
    <w:rsid w:val="00C33753"/>
    <w:rsid w:val="00C3385D"/>
    <w:rsid w:val="00C33902"/>
    <w:rsid w:val="00C33A74"/>
    <w:rsid w:val="00C33BDC"/>
    <w:rsid w:val="00C33C81"/>
    <w:rsid w:val="00C33D62"/>
    <w:rsid w:val="00C33F9C"/>
    <w:rsid w:val="00C34572"/>
    <w:rsid w:val="00C34936"/>
    <w:rsid w:val="00C34985"/>
    <w:rsid w:val="00C34A63"/>
    <w:rsid w:val="00C34AFA"/>
    <w:rsid w:val="00C34B34"/>
    <w:rsid w:val="00C34BB3"/>
    <w:rsid w:val="00C34C6F"/>
    <w:rsid w:val="00C34D8E"/>
    <w:rsid w:val="00C34EBF"/>
    <w:rsid w:val="00C35223"/>
    <w:rsid w:val="00C352B4"/>
    <w:rsid w:val="00C352BA"/>
    <w:rsid w:val="00C3535D"/>
    <w:rsid w:val="00C358C0"/>
    <w:rsid w:val="00C35A5D"/>
    <w:rsid w:val="00C35CC6"/>
    <w:rsid w:val="00C35E20"/>
    <w:rsid w:val="00C3603A"/>
    <w:rsid w:val="00C3656B"/>
    <w:rsid w:val="00C366CF"/>
    <w:rsid w:val="00C36A4D"/>
    <w:rsid w:val="00C36B03"/>
    <w:rsid w:val="00C36D45"/>
    <w:rsid w:val="00C37100"/>
    <w:rsid w:val="00C371B2"/>
    <w:rsid w:val="00C371D1"/>
    <w:rsid w:val="00C371E0"/>
    <w:rsid w:val="00C37258"/>
    <w:rsid w:val="00C3770C"/>
    <w:rsid w:val="00C37D9C"/>
    <w:rsid w:val="00C37FBB"/>
    <w:rsid w:val="00C40432"/>
    <w:rsid w:val="00C40661"/>
    <w:rsid w:val="00C40838"/>
    <w:rsid w:val="00C40A35"/>
    <w:rsid w:val="00C40AB8"/>
    <w:rsid w:val="00C40B41"/>
    <w:rsid w:val="00C41648"/>
    <w:rsid w:val="00C418D9"/>
    <w:rsid w:val="00C41A69"/>
    <w:rsid w:val="00C41BA6"/>
    <w:rsid w:val="00C41FE7"/>
    <w:rsid w:val="00C424CC"/>
    <w:rsid w:val="00C42533"/>
    <w:rsid w:val="00C428BB"/>
    <w:rsid w:val="00C42B12"/>
    <w:rsid w:val="00C42B14"/>
    <w:rsid w:val="00C42BA1"/>
    <w:rsid w:val="00C42BB0"/>
    <w:rsid w:val="00C42C51"/>
    <w:rsid w:val="00C42E6F"/>
    <w:rsid w:val="00C42EAC"/>
    <w:rsid w:val="00C42FF1"/>
    <w:rsid w:val="00C43023"/>
    <w:rsid w:val="00C43079"/>
    <w:rsid w:val="00C43096"/>
    <w:rsid w:val="00C4318A"/>
    <w:rsid w:val="00C43544"/>
    <w:rsid w:val="00C43576"/>
    <w:rsid w:val="00C43593"/>
    <w:rsid w:val="00C437D2"/>
    <w:rsid w:val="00C43846"/>
    <w:rsid w:val="00C43BAC"/>
    <w:rsid w:val="00C43D68"/>
    <w:rsid w:val="00C4404D"/>
    <w:rsid w:val="00C442AE"/>
    <w:rsid w:val="00C4443E"/>
    <w:rsid w:val="00C44460"/>
    <w:rsid w:val="00C4452A"/>
    <w:rsid w:val="00C445D5"/>
    <w:rsid w:val="00C44731"/>
    <w:rsid w:val="00C44788"/>
    <w:rsid w:val="00C4497C"/>
    <w:rsid w:val="00C44A07"/>
    <w:rsid w:val="00C44A0E"/>
    <w:rsid w:val="00C44B74"/>
    <w:rsid w:val="00C44DC1"/>
    <w:rsid w:val="00C44EA4"/>
    <w:rsid w:val="00C450AA"/>
    <w:rsid w:val="00C453C8"/>
    <w:rsid w:val="00C456DB"/>
    <w:rsid w:val="00C457FE"/>
    <w:rsid w:val="00C45CBD"/>
    <w:rsid w:val="00C45D37"/>
    <w:rsid w:val="00C45DF6"/>
    <w:rsid w:val="00C45FAE"/>
    <w:rsid w:val="00C46079"/>
    <w:rsid w:val="00C463DE"/>
    <w:rsid w:val="00C4640D"/>
    <w:rsid w:val="00C46448"/>
    <w:rsid w:val="00C46509"/>
    <w:rsid w:val="00C466A8"/>
    <w:rsid w:val="00C46702"/>
    <w:rsid w:val="00C46909"/>
    <w:rsid w:val="00C46C18"/>
    <w:rsid w:val="00C46D56"/>
    <w:rsid w:val="00C47035"/>
    <w:rsid w:val="00C4712D"/>
    <w:rsid w:val="00C471D8"/>
    <w:rsid w:val="00C47476"/>
    <w:rsid w:val="00C474D8"/>
    <w:rsid w:val="00C475E3"/>
    <w:rsid w:val="00C4780B"/>
    <w:rsid w:val="00C4788D"/>
    <w:rsid w:val="00C47976"/>
    <w:rsid w:val="00C4798E"/>
    <w:rsid w:val="00C479EC"/>
    <w:rsid w:val="00C47AE4"/>
    <w:rsid w:val="00C47AFB"/>
    <w:rsid w:val="00C47CBB"/>
    <w:rsid w:val="00C47E35"/>
    <w:rsid w:val="00C47E49"/>
    <w:rsid w:val="00C50030"/>
    <w:rsid w:val="00C507C6"/>
    <w:rsid w:val="00C5083F"/>
    <w:rsid w:val="00C508CF"/>
    <w:rsid w:val="00C509E8"/>
    <w:rsid w:val="00C50A11"/>
    <w:rsid w:val="00C50A53"/>
    <w:rsid w:val="00C50AB2"/>
    <w:rsid w:val="00C50B16"/>
    <w:rsid w:val="00C50B1A"/>
    <w:rsid w:val="00C50C3C"/>
    <w:rsid w:val="00C50FE2"/>
    <w:rsid w:val="00C5100E"/>
    <w:rsid w:val="00C5107A"/>
    <w:rsid w:val="00C51146"/>
    <w:rsid w:val="00C513EC"/>
    <w:rsid w:val="00C5145B"/>
    <w:rsid w:val="00C518EC"/>
    <w:rsid w:val="00C519F6"/>
    <w:rsid w:val="00C51D94"/>
    <w:rsid w:val="00C5206B"/>
    <w:rsid w:val="00C520BE"/>
    <w:rsid w:val="00C520DC"/>
    <w:rsid w:val="00C52A50"/>
    <w:rsid w:val="00C52B55"/>
    <w:rsid w:val="00C52C67"/>
    <w:rsid w:val="00C52C9A"/>
    <w:rsid w:val="00C52CB9"/>
    <w:rsid w:val="00C52ECE"/>
    <w:rsid w:val="00C52FFC"/>
    <w:rsid w:val="00C5300D"/>
    <w:rsid w:val="00C53284"/>
    <w:rsid w:val="00C53573"/>
    <w:rsid w:val="00C53737"/>
    <w:rsid w:val="00C53965"/>
    <w:rsid w:val="00C539DA"/>
    <w:rsid w:val="00C53A84"/>
    <w:rsid w:val="00C53D56"/>
    <w:rsid w:val="00C53F6D"/>
    <w:rsid w:val="00C5422A"/>
    <w:rsid w:val="00C542C5"/>
    <w:rsid w:val="00C54353"/>
    <w:rsid w:val="00C543BD"/>
    <w:rsid w:val="00C54A1F"/>
    <w:rsid w:val="00C54AA2"/>
    <w:rsid w:val="00C54AAF"/>
    <w:rsid w:val="00C54EF1"/>
    <w:rsid w:val="00C5520B"/>
    <w:rsid w:val="00C55257"/>
    <w:rsid w:val="00C554B6"/>
    <w:rsid w:val="00C5576A"/>
    <w:rsid w:val="00C557C0"/>
    <w:rsid w:val="00C559AE"/>
    <w:rsid w:val="00C55DE9"/>
    <w:rsid w:val="00C55FF0"/>
    <w:rsid w:val="00C56350"/>
    <w:rsid w:val="00C56440"/>
    <w:rsid w:val="00C565E7"/>
    <w:rsid w:val="00C5665C"/>
    <w:rsid w:val="00C567F1"/>
    <w:rsid w:val="00C56B00"/>
    <w:rsid w:val="00C56B86"/>
    <w:rsid w:val="00C56BC9"/>
    <w:rsid w:val="00C56DAD"/>
    <w:rsid w:val="00C56DCF"/>
    <w:rsid w:val="00C56E81"/>
    <w:rsid w:val="00C57084"/>
    <w:rsid w:val="00C571BF"/>
    <w:rsid w:val="00C57720"/>
    <w:rsid w:val="00C57885"/>
    <w:rsid w:val="00C57896"/>
    <w:rsid w:val="00C57A57"/>
    <w:rsid w:val="00C57C65"/>
    <w:rsid w:val="00C57C90"/>
    <w:rsid w:val="00C57CD2"/>
    <w:rsid w:val="00C60681"/>
    <w:rsid w:val="00C6070B"/>
    <w:rsid w:val="00C60913"/>
    <w:rsid w:val="00C6092F"/>
    <w:rsid w:val="00C60A53"/>
    <w:rsid w:val="00C60DB8"/>
    <w:rsid w:val="00C61377"/>
    <w:rsid w:val="00C613B4"/>
    <w:rsid w:val="00C6156E"/>
    <w:rsid w:val="00C615BB"/>
    <w:rsid w:val="00C61665"/>
    <w:rsid w:val="00C618A0"/>
    <w:rsid w:val="00C61CA2"/>
    <w:rsid w:val="00C61D4B"/>
    <w:rsid w:val="00C61DC9"/>
    <w:rsid w:val="00C61E4E"/>
    <w:rsid w:val="00C61E66"/>
    <w:rsid w:val="00C61EF3"/>
    <w:rsid w:val="00C623D9"/>
    <w:rsid w:val="00C623FD"/>
    <w:rsid w:val="00C62495"/>
    <w:rsid w:val="00C624D5"/>
    <w:rsid w:val="00C62567"/>
    <w:rsid w:val="00C62923"/>
    <w:rsid w:val="00C62A0B"/>
    <w:rsid w:val="00C63029"/>
    <w:rsid w:val="00C63522"/>
    <w:rsid w:val="00C63545"/>
    <w:rsid w:val="00C6362F"/>
    <w:rsid w:val="00C63D04"/>
    <w:rsid w:val="00C63F6B"/>
    <w:rsid w:val="00C641AE"/>
    <w:rsid w:val="00C641F4"/>
    <w:rsid w:val="00C64411"/>
    <w:rsid w:val="00C64C10"/>
    <w:rsid w:val="00C64CFB"/>
    <w:rsid w:val="00C650E9"/>
    <w:rsid w:val="00C651D5"/>
    <w:rsid w:val="00C6520C"/>
    <w:rsid w:val="00C65466"/>
    <w:rsid w:val="00C6553D"/>
    <w:rsid w:val="00C6559B"/>
    <w:rsid w:val="00C655EE"/>
    <w:rsid w:val="00C6570B"/>
    <w:rsid w:val="00C659B4"/>
    <w:rsid w:val="00C661B8"/>
    <w:rsid w:val="00C6633D"/>
    <w:rsid w:val="00C6637B"/>
    <w:rsid w:val="00C663CC"/>
    <w:rsid w:val="00C6650D"/>
    <w:rsid w:val="00C66776"/>
    <w:rsid w:val="00C66E19"/>
    <w:rsid w:val="00C66E3B"/>
    <w:rsid w:val="00C66EAA"/>
    <w:rsid w:val="00C66F85"/>
    <w:rsid w:val="00C67240"/>
    <w:rsid w:val="00C677D6"/>
    <w:rsid w:val="00C677E4"/>
    <w:rsid w:val="00C67A07"/>
    <w:rsid w:val="00C67B8C"/>
    <w:rsid w:val="00C67D10"/>
    <w:rsid w:val="00C70158"/>
    <w:rsid w:val="00C703BB"/>
    <w:rsid w:val="00C7057B"/>
    <w:rsid w:val="00C705BF"/>
    <w:rsid w:val="00C7084B"/>
    <w:rsid w:val="00C70897"/>
    <w:rsid w:val="00C70A67"/>
    <w:rsid w:val="00C70C11"/>
    <w:rsid w:val="00C70CF5"/>
    <w:rsid w:val="00C71155"/>
    <w:rsid w:val="00C71163"/>
    <w:rsid w:val="00C71180"/>
    <w:rsid w:val="00C712C5"/>
    <w:rsid w:val="00C71802"/>
    <w:rsid w:val="00C71A27"/>
    <w:rsid w:val="00C71B2D"/>
    <w:rsid w:val="00C71B6F"/>
    <w:rsid w:val="00C71D6B"/>
    <w:rsid w:val="00C71ECD"/>
    <w:rsid w:val="00C72923"/>
    <w:rsid w:val="00C72960"/>
    <w:rsid w:val="00C72B22"/>
    <w:rsid w:val="00C72CFF"/>
    <w:rsid w:val="00C7311A"/>
    <w:rsid w:val="00C73253"/>
    <w:rsid w:val="00C735A9"/>
    <w:rsid w:val="00C735EB"/>
    <w:rsid w:val="00C73628"/>
    <w:rsid w:val="00C73659"/>
    <w:rsid w:val="00C73722"/>
    <w:rsid w:val="00C737BB"/>
    <w:rsid w:val="00C738BA"/>
    <w:rsid w:val="00C73902"/>
    <w:rsid w:val="00C73B99"/>
    <w:rsid w:val="00C73BFB"/>
    <w:rsid w:val="00C73C4B"/>
    <w:rsid w:val="00C73DAE"/>
    <w:rsid w:val="00C73DF3"/>
    <w:rsid w:val="00C74622"/>
    <w:rsid w:val="00C746EA"/>
    <w:rsid w:val="00C74AC3"/>
    <w:rsid w:val="00C74BC0"/>
    <w:rsid w:val="00C74DBE"/>
    <w:rsid w:val="00C75126"/>
    <w:rsid w:val="00C75210"/>
    <w:rsid w:val="00C75322"/>
    <w:rsid w:val="00C75476"/>
    <w:rsid w:val="00C75822"/>
    <w:rsid w:val="00C75B66"/>
    <w:rsid w:val="00C75BB6"/>
    <w:rsid w:val="00C75BC0"/>
    <w:rsid w:val="00C75D99"/>
    <w:rsid w:val="00C75EC5"/>
    <w:rsid w:val="00C75FD2"/>
    <w:rsid w:val="00C760AD"/>
    <w:rsid w:val="00C760C7"/>
    <w:rsid w:val="00C76645"/>
    <w:rsid w:val="00C76726"/>
    <w:rsid w:val="00C76BBF"/>
    <w:rsid w:val="00C76BE5"/>
    <w:rsid w:val="00C76EA4"/>
    <w:rsid w:val="00C770FD"/>
    <w:rsid w:val="00C77352"/>
    <w:rsid w:val="00C77362"/>
    <w:rsid w:val="00C77519"/>
    <w:rsid w:val="00C7768A"/>
    <w:rsid w:val="00C776AD"/>
    <w:rsid w:val="00C778A7"/>
    <w:rsid w:val="00C77B8E"/>
    <w:rsid w:val="00C77C54"/>
    <w:rsid w:val="00C77CBD"/>
    <w:rsid w:val="00C77EDA"/>
    <w:rsid w:val="00C80236"/>
    <w:rsid w:val="00C80487"/>
    <w:rsid w:val="00C80BF0"/>
    <w:rsid w:val="00C80CD7"/>
    <w:rsid w:val="00C80F40"/>
    <w:rsid w:val="00C811F3"/>
    <w:rsid w:val="00C8135F"/>
    <w:rsid w:val="00C813A4"/>
    <w:rsid w:val="00C814FD"/>
    <w:rsid w:val="00C8167D"/>
    <w:rsid w:val="00C81681"/>
    <w:rsid w:val="00C816A5"/>
    <w:rsid w:val="00C8179A"/>
    <w:rsid w:val="00C8197A"/>
    <w:rsid w:val="00C81CB8"/>
    <w:rsid w:val="00C81F2C"/>
    <w:rsid w:val="00C82033"/>
    <w:rsid w:val="00C82116"/>
    <w:rsid w:val="00C8242D"/>
    <w:rsid w:val="00C8254B"/>
    <w:rsid w:val="00C825B8"/>
    <w:rsid w:val="00C827DD"/>
    <w:rsid w:val="00C829FD"/>
    <w:rsid w:val="00C82BD4"/>
    <w:rsid w:val="00C82BE2"/>
    <w:rsid w:val="00C82EAC"/>
    <w:rsid w:val="00C83734"/>
    <w:rsid w:val="00C837DE"/>
    <w:rsid w:val="00C838EA"/>
    <w:rsid w:val="00C83C29"/>
    <w:rsid w:val="00C83C60"/>
    <w:rsid w:val="00C83DC2"/>
    <w:rsid w:val="00C83EC1"/>
    <w:rsid w:val="00C84124"/>
    <w:rsid w:val="00C8458C"/>
    <w:rsid w:val="00C848C8"/>
    <w:rsid w:val="00C84C0E"/>
    <w:rsid w:val="00C84D26"/>
    <w:rsid w:val="00C851E7"/>
    <w:rsid w:val="00C8547E"/>
    <w:rsid w:val="00C856DD"/>
    <w:rsid w:val="00C857DE"/>
    <w:rsid w:val="00C859CE"/>
    <w:rsid w:val="00C85A4A"/>
    <w:rsid w:val="00C85C38"/>
    <w:rsid w:val="00C85C9D"/>
    <w:rsid w:val="00C86007"/>
    <w:rsid w:val="00C861D3"/>
    <w:rsid w:val="00C862A6"/>
    <w:rsid w:val="00C863AB"/>
    <w:rsid w:val="00C86421"/>
    <w:rsid w:val="00C86529"/>
    <w:rsid w:val="00C86583"/>
    <w:rsid w:val="00C86660"/>
    <w:rsid w:val="00C86735"/>
    <w:rsid w:val="00C867ED"/>
    <w:rsid w:val="00C86813"/>
    <w:rsid w:val="00C86BA6"/>
    <w:rsid w:val="00C86C66"/>
    <w:rsid w:val="00C86D20"/>
    <w:rsid w:val="00C86EDE"/>
    <w:rsid w:val="00C87166"/>
    <w:rsid w:val="00C872A2"/>
    <w:rsid w:val="00C8748D"/>
    <w:rsid w:val="00C87673"/>
    <w:rsid w:val="00C87BBF"/>
    <w:rsid w:val="00C87C21"/>
    <w:rsid w:val="00C87C3F"/>
    <w:rsid w:val="00C87CEC"/>
    <w:rsid w:val="00C87D41"/>
    <w:rsid w:val="00C87D72"/>
    <w:rsid w:val="00C87F9C"/>
    <w:rsid w:val="00C9031B"/>
    <w:rsid w:val="00C903DD"/>
    <w:rsid w:val="00C90433"/>
    <w:rsid w:val="00C906B0"/>
    <w:rsid w:val="00C908A7"/>
    <w:rsid w:val="00C90BF0"/>
    <w:rsid w:val="00C90CC6"/>
    <w:rsid w:val="00C90CFE"/>
    <w:rsid w:val="00C90D1F"/>
    <w:rsid w:val="00C91113"/>
    <w:rsid w:val="00C91483"/>
    <w:rsid w:val="00C916E3"/>
    <w:rsid w:val="00C916F6"/>
    <w:rsid w:val="00C91862"/>
    <w:rsid w:val="00C91AC5"/>
    <w:rsid w:val="00C91DED"/>
    <w:rsid w:val="00C91E92"/>
    <w:rsid w:val="00C920C4"/>
    <w:rsid w:val="00C9309B"/>
    <w:rsid w:val="00C93175"/>
    <w:rsid w:val="00C93337"/>
    <w:rsid w:val="00C93379"/>
    <w:rsid w:val="00C93428"/>
    <w:rsid w:val="00C939AF"/>
    <w:rsid w:val="00C93A05"/>
    <w:rsid w:val="00C93BBC"/>
    <w:rsid w:val="00C93D87"/>
    <w:rsid w:val="00C940FE"/>
    <w:rsid w:val="00C94203"/>
    <w:rsid w:val="00C94338"/>
    <w:rsid w:val="00C94356"/>
    <w:rsid w:val="00C944BC"/>
    <w:rsid w:val="00C9464B"/>
    <w:rsid w:val="00C94723"/>
    <w:rsid w:val="00C947A1"/>
    <w:rsid w:val="00C94AA8"/>
    <w:rsid w:val="00C94E1A"/>
    <w:rsid w:val="00C9514E"/>
    <w:rsid w:val="00C95157"/>
    <w:rsid w:val="00C95821"/>
    <w:rsid w:val="00C958F3"/>
    <w:rsid w:val="00C959E6"/>
    <w:rsid w:val="00C95B46"/>
    <w:rsid w:val="00C95C33"/>
    <w:rsid w:val="00C95C60"/>
    <w:rsid w:val="00C95C6B"/>
    <w:rsid w:val="00C95ECB"/>
    <w:rsid w:val="00C95F05"/>
    <w:rsid w:val="00C95FEF"/>
    <w:rsid w:val="00C95FF2"/>
    <w:rsid w:val="00C96002"/>
    <w:rsid w:val="00C96599"/>
    <w:rsid w:val="00C965B4"/>
    <w:rsid w:val="00C968C0"/>
    <w:rsid w:val="00C96927"/>
    <w:rsid w:val="00C96A44"/>
    <w:rsid w:val="00C96FB2"/>
    <w:rsid w:val="00C971F8"/>
    <w:rsid w:val="00C97444"/>
    <w:rsid w:val="00C97662"/>
    <w:rsid w:val="00C97A88"/>
    <w:rsid w:val="00C97DCA"/>
    <w:rsid w:val="00CA000C"/>
    <w:rsid w:val="00CA038D"/>
    <w:rsid w:val="00CA04AF"/>
    <w:rsid w:val="00CA04E6"/>
    <w:rsid w:val="00CA05E7"/>
    <w:rsid w:val="00CA0772"/>
    <w:rsid w:val="00CA08FA"/>
    <w:rsid w:val="00CA0AB3"/>
    <w:rsid w:val="00CA0BE5"/>
    <w:rsid w:val="00CA0D38"/>
    <w:rsid w:val="00CA0DF9"/>
    <w:rsid w:val="00CA0F21"/>
    <w:rsid w:val="00CA10A8"/>
    <w:rsid w:val="00CA12CC"/>
    <w:rsid w:val="00CA13BD"/>
    <w:rsid w:val="00CA166F"/>
    <w:rsid w:val="00CA170D"/>
    <w:rsid w:val="00CA184F"/>
    <w:rsid w:val="00CA19BA"/>
    <w:rsid w:val="00CA19BE"/>
    <w:rsid w:val="00CA19CC"/>
    <w:rsid w:val="00CA1A35"/>
    <w:rsid w:val="00CA1D0B"/>
    <w:rsid w:val="00CA1FA4"/>
    <w:rsid w:val="00CA230B"/>
    <w:rsid w:val="00CA235A"/>
    <w:rsid w:val="00CA25B7"/>
    <w:rsid w:val="00CA271E"/>
    <w:rsid w:val="00CA2910"/>
    <w:rsid w:val="00CA2A18"/>
    <w:rsid w:val="00CA2AD9"/>
    <w:rsid w:val="00CA2B7E"/>
    <w:rsid w:val="00CA2CD8"/>
    <w:rsid w:val="00CA2D0B"/>
    <w:rsid w:val="00CA2F4D"/>
    <w:rsid w:val="00CA31B5"/>
    <w:rsid w:val="00CA358F"/>
    <w:rsid w:val="00CA38A7"/>
    <w:rsid w:val="00CA38CE"/>
    <w:rsid w:val="00CA3909"/>
    <w:rsid w:val="00CA3933"/>
    <w:rsid w:val="00CA39FE"/>
    <w:rsid w:val="00CA3DAA"/>
    <w:rsid w:val="00CA3E62"/>
    <w:rsid w:val="00CA3F76"/>
    <w:rsid w:val="00CA3FF2"/>
    <w:rsid w:val="00CA4024"/>
    <w:rsid w:val="00CA42F5"/>
    <w:rsid w:val="00CA433C"/>
    <w:rsid w:val="00CA4479"/>
    <w:rsid w:val="00CA45CC"/>
    <w:rsid w:val="00CA471D"/>
    <w:rsid w:val="00CA4A82"/>
    <w:rsid w:val="00CA4B5A"/>
    <w:rsid w:val="00CA4BED"/>
    <w:rsid w:val="00CA4D60"/>
    <w:rsid w:val="00CA54ED"/>
    <w:rsid w:val="00CA5673"/>
    <w:rsid w:val="00CA57F6"/>
    <w:rsid w:val="00CA5E0B"/>
    <w:rsid w:val="00CA5FAA"/>
    <w:rsid w:val="00CA618B"/>
    <w:rsid w:val="00CA6717"/>
    <w:rsid w:val="00CA6788"/>
    <w:rsid w:val="00CA6883"/>
    <w:rsid w:val="00CA68D5"/>
    <w:rsid w:val="00CA6E53"/>
    <w:rsid w:val="00CA6F35"/>
    <w:rsid w:val="00CA7013"/>
    <w:rsid w:val="00CA70D0"/>
    <w:rsid w:val="00CA7436"/>
    <w:rsid w:val="00CA7501"/>
    <w:rsid w:val="00CA7814"/>
    <w:rsid w:val="00CB0831"/>
    <w:rsid w:val="00CB0F71"/>
    <w:rsid w:val="00CB10DD"/>
    <w:rsid w:val="00CB121E"/>
    <w:rsid w:val="00CB154A"/>
    <w:rsid w:val="00CB177B"/>
    <w:rsid w:val="00CB195E"/>
    <w:rsid w:val="00CB1BB9"/>
    <w:rsid w:val="00CB1CDF"/>
    <w:rsid w:val="00CB1EBA"/>
    <w:rsid w:val="00CB1F71"/>
    <w:rsid w:val="00CB1F78"/>
    <w:rsid w:val="00CB1F81"/>
    <w:rsid w:val="00CB1F83"/>
    <w:rsid w:val="00CB2138"/>
    <w:rsid w:val="00CB23EB"/>
    <w:rsid w:val="00CB2A21"/>
    <w:rsid w:val="00CB2AD6"/>
    <w:rsid w:val="00CB2BBE"/>
    <w:rsid w:val="00CB2C72"/>
    <w:rsid w:val="00CB2D0A"/>
    <w:rsid w:val="00CB2DFB"/>
    <w:rsid w:val="00CB2E05"/>
    <w:rsid w:val="00CB381F"/>
    <w:rsid w:val="00CB387D"/>
    <w:rsid w:val="00CB389F"/>
    <w:rsid w:val="00CB393C"/>
    <w:rsid w:val="00CB39F8"/>
    <w:rsid w:val="00CB3F6D"/>
    <w:rsid w:val="00CB3F9D"/>
    <w:rsid w:val="00CB40B8"/>
    <w:rsid w:val="00CB4418"/>
    <w:rsid w:val="00CB472C"/>
    <w:rsid w:val="00CB47E3"/>
    <w:rsid w:val="00CB489F"/>
    <w:rsid w:val="00CB4EB3"/>
    <w:rsid w:val="00CB500B"/>
    <w:rsid w:val="00CB556B"/>
    <w:rsid w:val="00CB5774"/>
    <w:rsid w:val="00CB5804"/>
    <w:rsid w:val="00CB5811"/>
    <w:rsid w:val="00CB5915"/>
    <w:rsid w:val="00CB6138"/>
    <w:rsid w:val="00CB6697"/>
    <w:rsid w:val="00CB6796"/>
    <w:rsid w:val="00CB68B7"/>
    <w:rsid w:val="00CB6913"/>
    <w:rsid w:val="00CB6A3F"/>
    <w:rsid w:val="00CB6EFF"/>
    <w:rsid w:val="00CB7461"/>
    <w:rsid w:val="00CB74E1"/>
    <w:rsid w:val="00CB7617"/>
    <w:rsid w:val="00CB76E9"/>
    <w:rsid w:val="00CB78C8"/>
    <w:rsid w:val="00CB7B41"/>
    <w:rsid w:val="00CB7B8F"/>
    <w:rsid w:val="00CB7C26"/>
    <w:rsid w:val="00CB7C7E"/>
    <w:rsid w:val="00CB7E36"/>
    <w:rsid w:val="00CB7FAE"/>
    <w:rsid w:val="00CC0214"/>
    <w:rsid w:val="00CC04BE"/>
    <w:rsid w:val="00CC0584"/>
    <w:rsid w:val="00CC0B8F"/>
    <w:rsid w:val="00CC0BD1"/>
    <w:rsid w:val="00CC0D72"/>
    <w:rsid w:val="00CC1136"/>
    <w:rsid w:val="00CC1194"/>
    <w:rsid w:val="00CC11CE"/>
    <w:rsid w:val="00CC122C"/>
    <w:rsid w:val="00CC1364"/>
    <w:rsid w:val="00CC13A7"/>
    <w:rsid w:val="00CC187F"/>
    <w:rsid w:val="00CC194A"/>
    <w:rsid w:val="00CC196C"/>
    <w:rsid w:val="00CC1994"/>
    <w:rsid w:val="00CC1A1F"/>
    <w:rsid w:val="00CC1E60"/>
    <w:rsid w:val="00CC208D"/>
    <w:rsid w:val="00CC213B"/>
    <w:rsid w:val="00CC226E"/>
    <w:rsid w:val="00CC238A"/>
    <w:rsid w:val="00CC2745"/>
    <w:rsid w:val="00CC2865"/>
    <w:rsid w:val="00CC299A"/>
    <w:rsid w:val="00CC2A5E"/>
    <w:rsid w:val="00CC2B24"/>
    <w:rsid w:val="00CC2FEE"/>
    <w:rsid w:val="00CC320B"/>
    <w:rsid w:val="00CC32D4"/>
    <w:rsid w:val="00CC335F"/>
    <w:rsid w:val="00CC357E"/>
    <w:rsid w:val="00CC35D9"/>
    <w:rsid w:val="00CC35FB"/>
    <w:rsid w:val="00CC3888"/>
    <w:rsid w:val="00CC3A0B"/>
    <w:rsid w:val="00CC3C02"/>
    <w:rsid w:val="00CC4036"/>
    <w:rsid w:val="00CC4455"/>
    <w:rsid w:val="00CC4895"/>
    <w:rsid w:val="00CC4950"/>
    <w:rsid w:val="00CC4AB4"/>
    <w:rsid w:val="00CC4F58"/>
    <w:rsid w:val="00CC4FA6"/>
    <w:rsid w:val="00CC4FCE"/>
    <w:rsid w:val="00CC5091"/>
    <w:rsid w:val="00CC5220"/>
    <w:rsid w:val="00CC5415"/>
    <w:rsid w:val="00CC5D95"/>
    <w:rsid w:val="00CC6282"/>
    <w:rsid w:val="00CC64F9"/>
    <w:rsid w:val="00CC6745"/>
    <w:rsid w:val="00CC6755"/>
    <w:rsid w:val="00CC6794"/>
    <w:rsid w:val="00CC68DF"/>
    <w:rsid w:val="00CC6CAD"/>
    <w:rsid w:val="00CC6D2E"/>
    <w:rsid w:val="00CC6D84"/>
    <w:rsid w:val="00CC6FDC"/>
    <w:rsid w:val="00CC71B4"/>
    <w:rsid w:val="00CC7269"/>
    <w:rsid w:val="00CC75A6"/>
    <w:rsid w:val="00CC7C8C"/>
    <w:rsid w:val="00CD0263"/>
    <w:rsid w:val="00CD03C7"/>
    <w:rsid w:val="00CD04C3"/>
    <w:rsid w:val="00CD05D5"/>
    <w:rsid w:val="00CD0736"/>
    <w:rsid w:val="00CD08D8"/>
    <w:rsid w:val="00CD0A1F"/>
    <w:rsid w:val="00CD0F7A"/>
    <w:rsid w:val="00CD106C"/>
    <w:rsid w:val="00CD1162"/>
    <w:rsid w:val="00CD15BA"/>
    <w:rsid w:val="00CD1945"/>
    <w:rsid w:val="00CD1A2B"/>
    <w:rsid w:val="00CD1F1E"/>
    <w:rsid w:val="00CD24C1"/>
    <w:rsid w:val="00CD26B3"/>
    <w:rsid w:val="00CD2B4D"/>
    <w:rsid w:val="00CD2D99"/>
    <w:rsid w:val="00CD2DAC"/>
    <w:rsid w:val="00CD2F04"/>
    <w:rsid w:val="00CD3397"/>
    <w:rsid w:val="00CD3430"/>
    <w:rsid w:val="00CD3772"/>
    <w:rsid w:val="00CD39EC"/>
    <w:rsid w:val="00CD3BD2"/>
    <w:rsid w:val="00CD3EA7"/>
    <w:rsid w:val="00CD3EBC"/>
    <w:rsid w:val="00CD3ED3"/>
    <w:rsid w:val="00CD3F7D"/>
    <w:rsid w:val="00CD4123"/>
    <w:rsid w:val="00CD4520"/>
    <w:rsid w:val="00CD476A"/>
    <w:rsid w:val="00CD4933"/>
    <w:rsid w:val="00CD4B2F"/>
    <w:rsid w:val="00CD4C2A"/>
    <w:rsid w:val="00CD4F41"/>
    <w:rsid w:val="00CD4FAC"/>
    <w:rsid w:val="00CD5038"/>
    <w:rsid w:val="00CD51AC"/>
    <w:rsid w:val="00CD5599"/>
    <w:rsid w:val="00CD58BC"/>
    <w:rsid w:val="00CD595D"/>
    <w:rsid w:val="00CD5C3E"/>
    <w:rsid w:val="00CD5C99"/>
    <w:rsid w:val="00CD5E62"/>
    <w:rsid w:val="00CD5E76"/>
    <w:rsid w:val="00CD5E7E"/>
    <w:rsid w:val="00CD6260"/>
    <w:rsid w:val="00CD6300"/>
    <w:rsid w:val="00CD63AE"/>
    <w:rsid w:val="00CD6413"/>
    <w:rsid w:val="00CD661E"/>
    <w:rsid w:val="00CD685A"/>
    <w:rsid w:val="00CD6AE0"/>
    <w:rsid w:val="00CD6F50"/>
    <w:rsid w:val="00CD71ED"/>
    <w:rsid w:val="00CD74BB"/>
    <w:rsid w:val="00CD7513"/>
    <w:rsid w:val="00CD7575"/>
    <w:rsid w:val="00CD794C"/>
    <w:rsid w:val="00CD79C3"/>
    <w:rsid w:val="00CD7A75"/>
    <w:rsid w:val="00CD7E22"/>
    <w:rsid w:val="00CD7E29"/>
    <w:rsid w:val="00CD7F63"/>
    <w:rsid w:val="00CE008C"/>
    <w:rsid w:val="00CE031D"/>
    <w:rsid w:val="00CE059E"/>
    <w:rsid w:val="00CE05B3"/>
    <w:rsid w:val="00CE072C"/>
    <w:rsid w:val="00CE079E"/>
    <w:rsid w:val="00CE0875"/>
    <w:rsid w:val="00CE0877"/>
    <w:rsid w:val="00CE09BB"/>
    <w:rsid w:val="00CE0BF8"/>
    <w:rsid w:val="00CE0CA0"/>
    <w:rsid w:val="00CE0E2E"/>
    <w:rsid w:val="00CE0FD0"/>
    <w:rsid w:val="00CE1107"/>
    <w:rsid w:val="00CE114A"/>
    <w:rsid w:val="00CE1175"/>
    <w:rsid w:val="00CE13B7"/>
    <w:rsid w:val="00CE14E4"/>
    <w:rsid w:val="00CE2361"/>
    <w:rsid w:val="00CE2423"/>
    <w:rsid w:val="00CE24D2"/>
    <w:rsid w:val="00CE2544"/>
    <w:rsid w:val="00CE2673"/>
    <w:rsid w:val="00CE2791"/>
    <w:rsid w:val="00CE30BC"/>
    <w:rsid w:val="00CE3194"/>
    <w:rsid w:val="00CE3226"/>
    <w:rsid w:val="00CE33AB"/>
    <w:rsid w:val="00CE33EE"/>
    <w:rsid w:val="00CE3420"/>
    <w:rsid w:val="00CE350E"/>
    <w:rsid w:val="00CE36C0"/>
    <w:rsid w:val="00CE36CF"/>
    <w:rsid w:val="00CE393C"/>
    <w:rsid w:val="00CE3B18"/>
    <w:rsid w:val="00CE4347"/>
    <w:rsid w:val="00CE434E"/>
    <w:rsid w:val="00CE4392"/>
    <w:rsid w:val="00CE4400"/>
    <w:rsid w:val="00CE44AC"/>
    <w:rsid w:val="00CE4502"/>
    <w:rsid w:val="00CE4584"/>
    <w:rsid w:val="00CE48AF"/>
    <w:rsid w:val="00CE48E2"/>
    <w:rsid w:val="00CE4B50"/>
    <w:rsid w:val="00CE4DED"/>
    <w:rsid w:val="00CE4F94"/>
    <w:rsid w:val="00CE51FE"/>
    <w:rsid w:val="00CE54EE"/>
    <w:rsid w:val="00CE54F9"/>
    <w:rsid w:val="00CE55B9"/>
    <w:rsid w:val="00CE5681"/>
    <w:rsid w:val="00CE5A12"/>
    <w:rsid w:val="00CE5DCC"/>
    <w:rsid w:val="00CE5EAE"/>
    <w:rsid w:val="00CE61D5"/>
    <w:rsid w:val="00CE66D2"/>
    <w:rsid w:val="00CE67DC"/>
    <w:rsid w:val="00CE6AB1"/>
    <w:rsid w:val="00CE6C1B"/>
    <w:rsid w:val="00CE6C7D"/>
    <w:rsid w:val="00CE6D10"/>
    <w:rsid w:val="00CE6D24"/>
    <w:rsid w:val="00CE70CF"/>
    <w:rsid w:val="00CE724D"/>
    <w:rsid w:val="00CE74DE"/>
    <w:rsid w:val="00CE7622"/>
    <w:rsid w:val="00CE7F9C"/>
    <w:rsid w:val="00CF0126"/>
    <w:rsid w:val="00CF0402"/>
    <w:rsid w:val="00CF043D"/>
    <w:rsid w:val="00CF0595"/>
    <w:rsid w:val="00CF0737"/>
    <w:rsid w:val="00CF08E7"/>
    <w:rsid w:val="00CF0F78"/>
    <w:rsid w:val="00CF1211"/>
    <w:rsid w:val="00CF1446"/>
    <w:rsid w:val="00CF1470"/>
    <w:rsid w:val="00CF1496"/>
    <w:rsid w:val="00CF1936"/>
    <w:rsid w:val="00CF1AEF"/>
    <w:rsid w:val="00CF1CA0"/>
    <w:rsid w:val="00CF1E12"/>
    <w:rsid w:val="00CF1F90"/>
    <w:rsid w:val="00CF2412"/>
    <w:rsid w:val="00CF259D"/>
    <w:rsid w:val="00CF2607"/>
    <w:rsid w:val="00CF2762"/>
    <w:rsid w:val="00CF2840"/>
    <w:rsid w:val="00CF2841"/>
    <w:rsid w:val="00CF2A3D"/>
    <w:rsid w:val="00CF2B9D"/>
    <w:rsid w:val="00CF2FB8"/>
    <w:rsid w:val="00CF2FDE"/>
    <w:rsid w:val="00CF3212"/>
    <w:rsid w:val="00CF321D"/>
    <w:rsid w:val="00CF331E"/>
    <w:rsid w:val="00CF3457"/>
    <w:rsid w:val="00CF395D"/>
    <w:rsid w:val="00CF39C2"/>
    <w:rsid w:val="00CF3A82"/>
    <w:rsid w:val="00CF3DAF"/>
    <w:rsid w:val="00CF4307"/>
    <w:rsid w:val="00CF434C"/>
    <w:rsid w:val="00CF446E"/>
    <w:rsid w:val="00CF44FF"/>
    <w:rsid w:val="00CF4712"/>
    <w:rsid w:val="00CF4AD4"/>
    <w:rsid w:val="00CF4AE3"/>
    <w:rsid w:val="00CF4BF2"/>
    <w:rsid w:val="00CF4C4A"/>
    <w:rsid w:val="00CF515B"/>
    <w:rsid w:val="00CF533C"/>
    <w:rsid w:val="00CF54B9"/>
    <w:rsid w:val="00CF57BE"/>
    <w:rsid w:val="00CF5871"/>
    <w:rsid w:val="00CF5C77"/>
    <w:rsid w:val="00CF5CAC"/>
    <w:rsid w:val="00CF6093"/>
    <w:rsid w:val="00CF6224"/>
    <w:rsid w:val="00CF6298"/>
    <w:rsid w:val="00CF634E"/>
    <w:rsid w:val="00CF63A8"/>
    <w:rsid w:val="00CF6464"/>
    <w:rsid w:val="00CF6962"/>
    <w:rsid w:val="00CF6D74"/>
    <w:rsid w:val="00CF6F29"/>
    <w:rsid w:val="00CF7102"/>
    <w:rsid w:val="00CF710A"/>
    <w:rsid w:val="00CF7160"/>
    <w:rsid w:val="00CF72D1"/>
    <w:rsid w:val="00CF73C3"/>
    <w:rsid w:val="00CF7535"/>
    <w:rsid w:val="00CF79A3"/>
    <w:rsid w:val="00CF7A6E"/>
    <w:rsid w:val="00D00330"/>
    <w:rsid w:val="00D004B6"/>
    <w:rsid w:val="00D005FE"/>
    <w:rsid w:val="00D0074C"/>
    <w:rsid w:val="00D00938"/>
    <w:rsid w:val="00D00AC9"/>
    <w:rsid w:val="00D00BC4"/>
    <w:rsid w:val="00D00EB4"/>
    <w:rsid w:val="00D010B4"/>
    <w:rsid w:val="00D014B4"/>
    <w:rsid w:val="00D0174F"/>
    <w:rsid w:val="00D01919"/>
    <w:rsid w:val="00D01BC5"/>
    <w:rsid w:val="00D01EAE"/>
    <w:rsid w:val="00D02144"/>
    <w:rsid w:val="00D02374"/>
    <w:rsid w:val="00D0263C"/>
    <w:rsid w:val="00D0292E"/>
    <w:rsid w:val="00D02B1B"/>
    <w:rsid w:val="00D02B87"/>
    <w:rsid w:val="00D02C3B"/>
    <w:rsid w:val="00D02CBE"/>
    <w:rsid w:val="00D02F80"/>
    <w:rsid w:val="00D030CF"/>
    <w:rsid w:val="00D03532"/>
    <w:rsid w:val="00D03EF1"/>
    <w:rsid w:val="00D03FDC"/>
    <w:rsid w:val="00D0439B"/>
    <w:rsid w:val="00D045A9"/>
    <w:rsid w:val="00D047F4"/>
    <w:rsid w:val="00D04D6A"/>
    <w:rsid w:val="00D05063"/>
    <w:rsid w:val="00D051FE"/>
    <w:rsid w:val="00D053D7"/>
    <w:rsid w:val="00D0565A"/>
    <w:rsid w:val="00D05983"/>
    <w:rsid w:val="00D05A35"/>
    <w:rsid w:val="00D05CF0"/>
    <w:rsid w:val="00D05E1D"/>
    <w:rsid w:val="00D066A3"/>
    <w:rsid w:val="00D06769"/>
    <w:rsid w:val="00D068B0"/>
    <w:rsid w:val="00D068C6"/>
    <w:rsid w:val="00D068FF"/>
    <w:rsid w:val="00D06918"/>
    <w:rsid w:val="00D0697F"/>
    <w:rsid w:val="00D0747F"/>
    <w:rsid w:val="00D0754C"/>
    <w:rsid w:val="00D07765"/>
    <w:rsid w:val="00D07AAE"/>
    <w:rsid w:val="00D07FAF"/>
    <w:rsid w:val="00D10342"/>
    <w:rsid w:val="00D1049E"/>
    <w:rsid w:val="00D108E8"/>
    <w:rsid w:val="00D10909"/>
    <w:rsid w:val="00D1090D"/>
    <w:rsid w:val="00D10AD2"/>
    <w:rsid w:val="00D10C2B"/>
    <w:rsid w:val="00D10FDC"/>
    <w:rsid w:val="00D1113C"/>
    <w:rsid w:val="00D11207"/>
    <w:rsid w:val="00D11B2E"/>
    <w:rsid w:val="00D11DD3"/>
    <w:rsid w:val="00D120B6"/>
    <w:rsid w:val="00D12340"/>
    <w:rsid w:val="00D123B0"/>
    <w:rsid w:val="00D12472"/>
    <w:rsid w:val="00D1271C"/>
    <w:rsid w:val="00D12872"/>
    <w:rsid w:val="00D12ACD"/>
    <w:rsid w:val="00D12B31"/>
    <w:rsid w:val="00D12B8A"/>
    <w:rsid w:val="00D12F46"/>
    <w:rsid w:val="00D1303B"/>
    <w:rsid w:val="00D13174"/>
    <w:rsid w:val="00D134E5"/>
    <w:rsid w:val="00D135B2"/>
    <w:rsid w:val="00D1364E"/>
    <w:rsid w:val="00D1370A"/>
    <w:rsid w:val="00D1374B"/>
    <w:rsid w:val="00D13798"/>
    <w:rsid w:val="00D13D98"/>
    <w:rsid w:val="00D13DE7"/>
    <w:rsid w:val="00D13E33"/>
    <w:rsid w:val="00D144B0"/>
    <w:rsid w:val="00D1454F"/>
    <w:rsid w:val="00D14613"/>
    <w:rsid w:val="00D1478A"/>
    <w:rsid w:val="00D147B3"/>
    <w:rsid w:val="00D148C7"/>
    <w:rsid w:val="00D149C9"/>
    <w:rsid w:val="00D14AF4"/>
    <w:rsid w:val="00D14BCA"/>
    <w:rsid w:val="00D14CD6"/>
    <w:rsid w:val="00D14CED"/>
    <w:rsid w:val="00D14E3E"/>
    <w:rsid w:val="00D14EF7"/>
    <w:rsid w:val="00D151F1"/>
    <w:rsid w:val="00D1521A"/>
    <w:rsid w:val="00D153F1"/>
    <w:rsid w:val="00D15412"/>
    <w:rsid w:val="00D154A5"/>
    <w:rsid w:val="00D15694"/>
    <w:rsid w:val="00D15E4D"/>
    <w:rsid w:val="00D15E87"/>
    <w:rsid w:val="00D16544"/>
    <w:rsid w:val="00D1655B"/>
    <w:rsid w:val="00D16BD2"/>
    <w:rsid w:val="00D16D0C"/>
    <w:rsid w:val="00D16DDB"/>
    <w:rsid w:val="00D16E58"/>
    <w:rsid w:val="00D17092"/>
    <w:rsid w:val="00D170BE"/>
    <w:rsid w:val="00D17300"/>
    <w:rsid w:val="00D173FA"/>
    <w:rsid w:val="00D17471"/>
    <w:rsid w:val="00D177BC"/>
    <w:rsid w:val="00D17B43"/>
    <w:rsid w:val="00D17BCE"/>
    <w:rsid w:val="00D17BD6"/>
    <w:rsid w:val="00D17E63"/>
    <w:rsid w:val="00D17F2D"/>
    <w:rsid w:val="00D2030C"/>
    <w:rsid w:val="00D20897"/>
    <w:rsid w:val="00D20A99"/>
    <w:rsid w:val="00D20F7F"/>
    <w:rsid w:val="00D20FFE"/>
    <w:rsid w:val="00D21467"/>
    <w:rsid w:val="00D21551"/>
    <w:rsid w:val="00D2162A"/>
    <w:rsid w:val="00D216CF"/>
    <w:rsid w:val="00D21728"/>
    <w:rsid w:val="00D21833"/>
    <w:rsid w:val="00D21D84"/>
    <w:rsid w:val="00D21D99"/>
    <w:rsid w:val="00D21E50"/>
    <w:rsid w:val="00D21F02"/>
    <w:rsid w:val="00D220D3"/>
    <w:rsid w:val="00D22854"/>
    <w:rsid w:val="00D22A6C"/>
    <w:rsid w:val="00D22AAC"/>
    <w:rsid w:val="00D22B02"/>
    <w:rsid w:val="00D22DEA"/>
    <w:rsid w:val="00D22F30"/>
    <w:rsid w:val="00D22F37"/>
    <w:rsid w:val="00D22FEE"/>
    <w:rsid w:val="00D231BB"/>
    <w:rsid w:val="00D234AB"/>
    <w:rsid w:val="00D2378D"/>
    <w:rsid w:val="00D2380D"/>
    <w:rsid w:val="00D238E0"/>
    <w:rsid w:val="00D23E54"/>
    <w:rsid w:val="00D23F49"/>
    <w:rsid w:val="00D242AA"/>
    <w:rsid w:val="00D244A5"/>
    <w:rsid w:val="00D2457A"/>
    <w:rsid w:val="00D2490C"/>
    <w:rsid w:val="00D24AFC"/>
    <w:rsid w:val="00D24BF0"/>
    <w:rsid w:val="00D24C99"/>
    <w:rsid w:val="00D24CE3"/>
    <w:rsid w:val="00D24CFE"/>
    <w:rsid w:val="00D24E18"/>
    <w:rsid w:val="00D24E7A"/>
    <w:rsid w:val="00D24F0E"/>
    <w:rsid w:val="00D24F37"/>
    <w:rsid w:val="00D250BB"/>
    <w:rsid w:val="00D25164"/>
    <w:rsid w:val="00D2550A"/>
    <w:rsid w:val="00D25653"/>
    <w:rsid w:val="00D256FF"/>
    <w:rsid w:val="00D25848"/>
    <w:rsid w:val="00D25AD2"/>
    <w:rsid w:val="00D25B98"/>
    <w:rsid w:val="00D25C05"/>
    <w:rsid w:val="00D25DA0"/>
    <w:rsid w:val="00D2615C"/>
    <w:rsid w:val="00D26373"/>
    <w:rsid w:val="00D26394"/>
    <w:rsid w:val="00D26657"/>
    <w:rsid w:val="00D26767"/>
    <w:rsid w:val="00D26773"/>
    <w:rsid w:val="00D269FB"/>
    <w:rsid w:val="00D26BB8"/>
    <w:rsid w:val="00D26C64"/>
    <w:rsid w:val="00D26E1E"/>
    <w:rsid w:val="00D2779A"/>
    <w:rsid w:val="00D27FDA"/>
    <w:rsid w:val="00D30040"/>
    <w:rsid w:val="00D304D4"/>
    <w:rsid w:val="00D30AA1"/>
    <w:rsid w:val="00D30CE0"/>
    <w:rsid w:val="00D30DBB"/>
    <w:rsid w:val="00D3146D"/>
    <w:rsid w:val="00D3152F"/>
    <w:rsid w:val="00D31703"/>
    <w:rsid w:val="00D31AEE"/>
    <w:rsid w:val="00D31C78"/>
    <w:rsid w:val="00D31CB2"/>
    <w:rsid w:val="00D31F8B"/>
    <w:rsid w:val="00D31F9D"/>
    <w:rsid w:val="00D31FCC"/>
    <w:rsid w:val="00D32044"/>
    <w:rsid w:val="00D32237"/>
    <w:rsid w:val="00D323B8"/>
    <w:rsid w:val="00D32626"/>
    <w:rsid w:val="00D3265B"/>
    <w:rsid w:val="00D326D1"/>
    <w:rsid w:val="00D327A7"/>
    <w:rsid w:val="00D327EC"/>
    <w:rsid w:val="00D32822"/>
    <w:rsid w:val="00D3282D"/>
    <w:rsid w:val="00D328DB"/>
    <w:rsid w:val="00D32987"/>
    <w:rsid w:val="00D329C6"/>
    <w:rsid w:val="00D32BB7"/>
    <w:rsid w:val="00D32D4D"/>
    <w:rsid w:val="00D32ED8"/>
    <w:rsid w:val="00D3317F"/>
    <w:rsid w:val="00D33281"/>
    <w:rsid w:val="00D333F4"/>
    <w:rsid w:val="00D3343A"/>
    <w:rsid w:val="00D33484"/>
    <w:rsid w:val="00D334C1"/>
    <w:rsid w:val="00D33681"/>
    <w:rsid w:val="00D3371D"/>
    <w:rsid w:val="00D338DD"/>
    <w:rsid w:val="00D33AF9"/>
    <w:rsid w:val="00D33BF3"/>
    <w:rsid w:val="00D33C06"/>
    <w:rsid w:val="00D33E04"/>
    <w:rsid w:val="00D33EE2"/>
    <w:rsid w:val="00D3404E"/>
    <w:rsid w:val="00D34102"/>
    <w:rsid w:val="00D3410F"/>
    <w:rsid w:val="00D345EB"/>
    <w:rsid w:val="00D346C6"/>
    <w:rsid w:val="00D34BF9"/>
    <w:rsid w:val="00D34E5E"/>
    <w:rsid w:val="00D34E84"/>
    <w:rsid w:val="00D34EAC"/>
    <w:rsid w:val="00D34EC7"/>
    <w:rsid w:val="00D35409"/>
    <w:rsid w:val="00D35464"/>
    <w:rsid w:val="00D35621"/>
    <w:rsid w:val="00D35852"/>
    <w:rsid w:val="00D35A75"/>
    <w:rsid w:val="00D35AC0"/>
    <w:rsid w:val="00D35B1F"/>
    <w:rsid w:val="00D35DE0"/>
    <w:rsid w:val="00D35E36"/>
    <w:rsid w:val="00D368BE"/>
    <w:rsid w:val="00D368CC"/>
    <w:rsid w:val="00D36902"/>
    <w:rsid w:val="00D36A07"/>
    <w:rsid w:val="00D36B0F"/>
    <w:rsid w:val="00D36DB1"/>
    <w:rsid w:val="00D36E7C"/>
    <w:rsid w:val="00D36F62"/>
    <w:rsid w:val="00D371BC"/>
    <w:rsid w:val="00D37270"/>
    <w:rsid w:val="00D373B7"/>
    <w:rsid w:val="00D375AB"/>
    <w:rsid w:val="00D3763B"/>
    <w:rsid w:val="00D376FB"/>
    <w:rsid w:val="00D37954"/>
    <w:rsid w:val="00D37B6D"/>
    <w:rsid w:val="00D37BE7"/>
    <w:rsid w:val="00D37E4A"/>
    <w:rsid w:val="00D37FD1"/>
    <w:rsid w:val="00D401B2"/>
    <w:rsid w:val="00D4028B"/>
    <w:rsid w:val="00D40394"/>
    <w:rsid w:val="00D40A17"/>
    <w:rsid w:val="00D40ACF"/>
    <w:rsid w:val="00D40ADE"/>
    <w:rsid w:val="00D41670"/>
    <w:rsid w:val="00D416B7"/>
    <w:rsid w:val="00D41913"/>
    <w:rsid w:val="00D41B2E"/>
    <w:rsid w:val="00D41D1E"/>
    <w:rsid w:val="00D41E2F"/>
    <w:rsid w:val="00D42003"/>
    <w:rsid w:val="00D42284"/>
    <w:rsid w:val="00D422BB"/>
    <w:rsid w:val="00D42417"/>
    <w:rsid w:val="00D42847"/>
    <w:rsid w:val="00D428CB"/>
    <w:rsid w:val="00D43115"/>
    <w:rsid w:val="00D4314D"/>
    <w:rsid w:val="00D4355C"/>
    <w:rsid w:val="00D435A8"/>
    <w:rsid w:val="00D4374D"/>
    <w:rsid w:val="00D43979"/>
    <w:rsid w:val="00D43BF0"/>
    <w:rsid w:val="00D44113"/>
    <w:rsid w:val="00D44314"/>
    <w:rsid w:val="00D44554"/>
    <w:rsid w:val="00D4470C"/>
    <w:rsid w:val="00D44759"/>
    <w:rsid w:val="00D44825"/>
    <w:rsid w:val="00D4490A"/>
    <w:rsid w:val="00D44925"/>
    <w:rsid w:val="00D44A44"/>
    <w:rsid w:val="00D44DB1"/>
    <w:rsid w:val="00D44E00"/>
    <w:rsid w:val="00D44E24"/>
    <w:rsid w:val="00D45002"/>
    <w:rsid w:val="00D450BF"/>
    <w:rsid w:val="00D451E1"/>
    <w:rsid w:val="00D4551D"/>
    <w:rsid w:val="00D4559B"/>
    <w:rsid w:val="00D45619"/>
    <w:rsid w:val="00D45850"/>
    <w:rsid w:val="00D45A02"/>
    <w:rsid w:val="00D45CE6"/>
    <w:rsid w:val="00D45DE5"/>
    <w:rsid w:val="00D460EA"/>
    <w:rsid w:val="00D462C8"/>
    <w:rsid w:val="00D4658B"/>
    <w:rsid w:val="00D468F8"/>
    <w:rsid w:val="00D46B50"/>
    <w:rsid w:val="00D470B0"/>
    <w:rsid w:val="00D4735E"/>
    <w:rsid w:val="00D47385"/>
    <w:rsid w:val="00D47435"/>
    <w:rsid w:val="00D4751D"/>
    <w:rsid w:val="00D475AB"/>
    <w:rsid w:val="00D4778D"/>
    <w:rsid w:val="00D477E6"/>
    <w:rsid w:val="00D47ABF"/>
    <w:rsid w:val="00D47FF6"/>
    <w:rsid w:val="00D500F6"/>
    <w:rsid w:val="00D501AD"/>
    <w:rsid w:val="00D50440"/>
    <w:rsid w:val="00D5051C"/>
    <w:rsid w:val="00D5064B"/>
    <w:rsid w:val="00D50CDB"/>
    <w:rsid w:val="00D51050"/>
    <w:rsid w:val="00D513C3"/>
    <w:rsid w:val="00D51492"/>
    <w:rsid w:val="00D514AB"/>
    <w:rsid w:val="00D515E1"/>
    <w:rsid w:val="00D517A0"/>
    <w:rsid w:val="00D517F6"/>
    <w:rsid w:val="00D51859"/>
    <w:rsid w:val="00D5185B"/>
    <w:rsid w:val="00D518D4"/>
    <w:rsid w:val="00D51D5A"/>
    <w:rsid w:val="00D51EB8"/>
    <w:rsid w:val="00D51F3D"/>
    <w:rsid w:val="00D5207E"/>
    <w:rsid w:val="00D520F0"/>
    <w:rsid w:val="00D523D0"/>
    <w:rsid w:val="00D52486"/>
    <w:rsid w:val="00D524E2"/>
    <w:rsid w:val="00D5264E"/>
    <w:rsid w:val="00D5270F"/>
    <w:rsid w:val="00D528DC"/>
    <w:rsid w:val="00D52978"/>
    <w:rsid w:val="00D52B04"/>
    <w:rsid w:val="00D52F7A"/>
    <w:rsid w:val="00D52F96"/>
    <w:rsid w:val="00D5337F"/>
    <w:rsid w:val="00D533FB"/>
    <w:rsid w:val="00D535C2"/>
    <w:rsid w:val="00D5377C"/>
    <w:rsid w:val="00D53965"/>
    <w:rsid w:val="00D53B82"/>
    <w:rsid w:val="00D53DEC"/>
    <w:rsid w:val="00D541EE"/>
    <w:rsid w:val="00D54360"/>
    <w:rsid w:val="00D546BB"/>
    <w:rsid w:val="00D5485C"/>
    <w:rsid w:val="00D54B00"/>
    <w:rsid w:val="00D54DF7"/>
    <w:rsid w:val="00D55580"/>
    <w:rsid w:val="00D55667"/>
    <w:rsid w:val="00D557CC"/>
    <w:rsid w:val="00D558C0"/>
    <w:rsid w:val="00D559D5"/>
    <w:rsid w:val="00D55A1D"/>
    <w:rsid w:val="00D55F70"/>
    <w:rsid w:val="00D55FF9"/>
    <w:rsid w:val="00D560C1"/>
    <w:rsid w:val="00D561AD"/>
    <w:rsid w:val="00D5624B"/>
    <w:rsid w:val="00D564D2"/>
    <w:rsid w:val="00D565C4"/>
    <w:rsid w:val="00D567CB"/>
    <w:rsid w:val="00D56C18"/>
    <w:rsid w:val="00D56D2C"/>
    <w:rsid w:val="00D56D5C"/>
    <w:rsid w:val="00D56DE1"/>
    <w:rsid w:val="00D56E87"/>
    <w:rsid w:val="00D56FEE"/>
    <w:rsid w:val="00D57460"/>
    <w:rsid w:val="00D5775B"/>
    <w:rsid w:val="00D578D5"/>
    <w:rsid w:val="00D57CE9"/>
    <w:rsid w:val="00D57F3C"/>
    <w:rsid w:val="00D57F5E"/>
    <w:rsid w:val="00D6001D"/>
    <w:rsid w:val="00D6029C"/>
    <w:rsid w:val="00D6037A"/>
    <w:rsid w:val="00D6048D"/>
    <w:rsid w:val="00D605E1"/>
    <w:rsid w:val="00D60685"/>
    <w:rsid w:val="00D60779"/>
    <w:rsid w:val="00D60911"/>
    <w:rsid w:val="00D60A25"/>
    <w:rsid w:val="00D60BCC"/>
    <w:rsid w:val="00D60C6C"/>
    <w:rsid w:val="00D60DD4"/>
    <w:rsid w:val="00D60E67"/>
    <w:rsid w:val="00D61114"/>
    <w:rsid w:val="00D6118E"/>
    <w:rsid w:val="00D611D0"/>
    <w:rsid w:val="00D6128E"/>
    <w:rsid w:val="00D617F3"/>
    <w:rsid w:val="00D61839"/>
    <w:rsid w:val="00D61891"/>
    <w:rsid w:val="00D618E5"/>
    <w:rsid w:val="00D619FC"/>
    <w:rsid w:val="00D61D58"/>
    <w:rsid w:val="00D61D5C"/>
    <w:rsid w:val="00D61F52"/>
    <w:rsid w:val="00D623BA"/>
    <w:rsid w:val="00D624CD"/>
    <w:rsid w:val="00D62740"/>
    <w:rsid w:val="00D62DB2"/>
    <w:rsid w:val="00D62E9A"/>
    <w:rsid w:val="00D62F0A"/>
    <w:rsid w:val="00D634DC"/>
    <w:rsid w:val="00D63707"/>
    <w:rsid w:val="00D638BC"/>
    <w:rsid w:val="00D638F8"/>
    <w:rsid w:val="00D63B4D"/>
    <w:rsid w:val="00D63B7F"/>
    <w:rsid w:val="00D63BC5"/>
    <w:rsid w:val="00D63D9A"/>
    <w:rsid w:val="00D63E45"/>
    <w:rsid w:val="00D63EAE"/>
    <w:rsid w:val="00D6403F"/>
    <w:rsid w:val="00D64062"/>
    <w:rsid w:val="00D648D5"/>
    <w:rsid w:val="00D64910"/>
    <w:rsid w:val="00D64C4D"/>
    <w:rsid w:val="00D64CDF"/>
    <w:rsid w:val="00D64DE6"/>
    <w:rsid w:val="00D65057"/>
    <w:rsid w:val="00D6510E"/>
    <w:rsid w:val="00D65347"/>
    <w:rsid w:val="00D654B5"/>
    <w:rsid w:val="00D657D4"/>
    <w:rsid w:val="00D6598D"/>
    <w:rsid w:val="00D659B6"/>
    <w:rsid w:val="00D659CC"/>
    <w:rsid w:val="00D65A6B"/>
    <w:rsid w:val="00D65B06"/>
    <w:rsid w:val="00D65B53"/>
    <w:rsid w:val="00D65C54"/>
    <w:rsid w:val="00D65D93"/>
    <w:rsid w:val="00D65F94"/>
    <w:rsid w:val="00D65FFE"/>
    <w:rsid w:val="00D66115"/>
    <w:rsid w:val="00D6623E"/>
    <w:rsid w:val="00D662CA"/>
    <w:rsid w:val="00D662F7"/>
    <w:rsid w:val="00D663B9"/>
    <w:rsid w:val="00D663CE"/>
    <w:rsid w:val="00D66618"/>
    <w:rsid w:val="00D66A07"/>
    <w:rsid w:val="00D66BDB"/>
    <w:rsid w:val="00D66EDD"/>
    <w:rsid w:val="00D66F36"/>
    <w:rsid w:val="00D67372"/>
    <w:rsid w:val="00D6746C"/>
    <w:rsid w:val="00D6759A"/>
    <w:rsid w:val="00D6784B"/>
    <w:rsid w:val="00D6793C"/>
    <w:rsid w:val="00D67BFC"/>
    <w:rsid w:val="00D67D65"/>
    <w:rsid w:val="00D67F21"/>
    <w:rsid w:val="00D701BF"/>
    <w:rsid w:val="00D701D7"/>
    <w:rsid w:val="00D704C6"/>
    <w:rsid w:val="00D70642"/>
    <w:rsid w:val="00D70CB4"/>
    <w:rsid w:val="00D70D37"/>
    <w:rsid w:val="00D70D45"/>
    <w:rsid w:val="00D71146"/>
    <w:rsid w:val="00D71199"/>
    <w:rsid w:val="00D71680"/>
    <w:rsid w:val="00D7171E"/>
    <w:rsid w:val="00D71C37"/>
    <w:rsid w:val="00D71EEB"/>
    <w:rsid w:val="00D72218"/>
    <w:rsid w:val="00D72253"/>
    <w:rsid w:val="00D72359"/>
    <w:rsid w:val="00D72818"/>
    <w:rsid w:val="00D729BC"/>
    <w:rsid w:val="00D72AB3"/>
    <w:rsid w:val="00D72B3B"/>
    <w:rsid w:val="00D72BBD"/>
    <w:rsid w:val="00D72E57"/>
    <w:rsid w:val="00D7310A"/>
    <w:rsid w:val="00D731E2"/>
    <w:rsid w:val="00D73296"/>
    <w:rsid w:val="00D736EC"/>
    <w:rsid w:val="00D736F1"/>
    <w:rsid w:val="00D73A0E"/>
    <w:rsid w:val="00D73B59"/>
    <w:rsid w:val="00D73C39"/>
    <w:rsid w:val="00D73CAE"/>
    <w:rsid w:val="00D73F66"/>
    <w:rsid w:val="00D74038"/>
    <w:rsid w:val="00D740B8"/>
    <w:rsid w:val="00D74597"/>
    <w:rsid w:val="00D746BA"/>
    <w:rsid w:val="00D74A0C"/>
    <w:rsid w:val="00D74F83"/>
    <w:rsid w:val="00D750B6"/>
    <w:rsid w:val="00D75235"/>
    <w:rsid w:val="00D75242"/>
    <w:rsid w:val="00D75263"/>
    <w:rsid w:val="00D7537A"/>
    <w:rsid w:val="00D7589F"/>
    <w:rsid w:val="00D759C7"/>
    <w:rsid w:val="00D75B22"/>
    <w:rsid w:val="00D75D7D"/>
    <w:rsid w:val="00D766C0"/>
    <w:rsid w:val="00D76B74"/>
    <w:rsid w:val="00D76D63"/>
    <w:rsid w:val="00D76EA5"/>
    <w:rsid w:val="00D76FEE"/>
    <w:rsid w:val="00D7701D"/>
    <w:rsid w:val="00D77103"/>
    <w:rsid w:val="00D773C4"/>
    <w:rsid w:val="00D77742"/>
    <w:rsid w:val="00D77AA9"/>
    <w:rsid w:val="00D77B6C"/>
    <w:rsid w:val="00D77BDE"/>
    <w:rsid w:val="00D77D7D"/>
    <w:rsid w:val="00D77F1A"/>
    <w:rsid w:val="00D77FC6"/>
    <w:rsid w:val="00D80303"/>
    <w:rsid w:val="00D80443"/>
    <w:rsid w:val="00D804A7"/>
    <w:rsid w:val="00D8052F"/>
    <w:rsid w:val="00D805E5"/>
    <w:rsid w:val="00D80666"/>
    <w:rsid w:val="00D806BE"/>
    <w:rsid w:val="00D80898"/>
    <w:rsid w:val="00D808FB"/>
    <w:rsid w:val="00D80A47"/>
    <w:rsid w:val="00D80DAC"/>
    <w:rsid w:val="00D80F27"/>
    <w:rsid w:val="00D80F2C"/>
    <w:rsid w:val="00D81035"/>
    <w:rsid w:val="00D810F7"/>
    <w:rsid w:val="00D811B5"/>
    <w:rsid w:val="00D8135C"/>
    <w:rsid w:val="00D8150C"/>
    <w:rsid w:val="00D81936"/>
    <w:rsid w:val="00D81A1D"/>
    <w:rsid w:val="00D81D83"/>
    <w:rsid w:val="00D81F1E"/>
    <w:rsid w:val="00D82163"/>
    <w:rsid w:val="00D82F7C"/>
    <w:rsid w:val="00D83155"/>
    <w:rsid w:val="00D832B2"/>
    <w:rsid w:val="00D83415"/>
    <w:rsid w:val="00D83B4E"/>
    <w:rsid w:val="00D83BE3"/>
    <w:rsid w:val="00D83E93"/>
    <w:rsid w:val="00D8418E"/>
    <w:rsid w:val="00D842D7"/>
    <w:rsid w:val="00D8447E"/>
    <w:rsid w:val="00D844CB"/>
    <w:rsid w:val="00D846FF"/>
    <w:rsid w:val="00D84764"/>
    <w:rsid w:val="00D847FB"/>
    <w:rsid w:val="00D848ED"/>
    <w:rsid w:val="00D84A10"/>
    <w:rsid w:val="00D84D66"/>
    <w:rsid w:val="00D84ED5"/>
    <w:rsid w:val="00D84EDB"/>
    <w:rsid w:val="00D84F9A"/>
    <w:rsid w:val="00D8500D"/>
    <w:rsid w:val="00D852AA"/>
    <w:rsid w:val="00D855C4"/>
    <w:rsid w:val="00D857DA"/>
    <w:rsid w:val="00D85BFA"/>
    <w:rsid w:val="00D85D60"/>
    <w:rsid w:val="00D8604C"/>
    <w:rsid w:val="00D86116"/>
    <w:rsid w:val="00D86651"/>
    <w:rsid w:val="00D86721"/>
    <w:rsid w:val="00D8673B"/>
    <w:rsid w:val="00D867A4"/>
    <w:rsid w:val="00D86A7D"/>
    <w:rsid w:val="00D86B51"/>
    <w:rsid w:val="00D86D46"/>
    <w:rsid w:val="00D86EF1"/>
    <w:rsid w:val="00D86FC3"/>
    <w:rsid w:val="00D87011"/>
    <w:rsid w:val="00D87179"/>
    <w:rsid w:val="00D87237"/>
    <w:rsid w:val="00D87284"/>
    <w:rsid w:val="00D87351"/>
    <w:rsid w:val="00D873AA"/>
    <w:rsid w:val="00D87482"/>
    <w:rsid w:val="00D875F1"/>
    <w:rsid w:val="00D8767A"/>
    <w:rsid w:val="00D877DD"/>
    <w:rsid w:val="00D87E47"/>
    <w:rsid w:val="00D901E1"/>
    <w:rsid w:val="00D9027A"/>
    <w:rsid w:val="00D90291"/>
    <w:rsid w:val="00D9058C"/>
    <w:rsid w:val="00D909E2"/>
    <w:rsid w:val="00D91082"/>
    <w:rsid w:val="00D9124A"/>
    <w:rsid w:val="00D9167C"/>
    <w:rsid w:val="00D91838"/>
    <w:rsid w:val="00D91841"/>
    <w:rsid w:val="00D91C5C"/>
    <w:rsid w:val="00D91CA1"/>
    <w:rsid w:val="00D91D49"/>
    <w:rsid w:val="00D91F66"/>
    <w:rsid w:val="00D92169"/>
    <w:rsid w:val="00D9261A"/>
    <w:rsid w:val="00D92737"/>
    <w:rsid w:val="00D92A63"/>
    <w:rsid w:val="00D92E5C"/>
    <w:rsid w:val="00D92F79"/>
    <w:rsid w:val="00D93008"/>
    <w:rsid w:val="00D932FA"/>
    <w:rsid w:val="00D9354E"/>
    <w:rsid w:val="00D938D3"/>
    <w:rsid w:val="00D9396D"/>
    <w:rsid w:val="00D93B4C"/>
    <w:rsid w:val="00D93C1E"/>
    <w:rsid w:val="00D94461"/>
    <w:rsid w:val="00D94478"/>
    <w:rsid w:val="00D94661"/>
    <w:rsid w:val="00D94692"/>
    <w:rsid w:val="00D94ACD"/>
    <w:rsid w:val="00D94CAE"/>
    <w:rsid w:val="00D94D89"/>
    <w:rsid w:val="00D95050"/>
    <w:rsid w:val="00D9518F"/>
    <w:rsid w:val="00D95213"/>
    <w:rsid w:val="00D95517"/>
    <w:rsid w:val="00D95958"/>
    <w:rsid w:val="00D9598F"/>
    <w:rsid w:val="00D95BBE"/>
    <w:rsid w:val="00D95D46"/>
    <w:rsid w:val="00D96321"/>
    <w:rsid w:val="00D9636A"/>
    <w:rsid w:val="00D963B1"/>
    <w:rsid w:val="00D9650F"/>
    <w:rsid w:val="00D969D3"/>
    <w:rsid w:val="00D96CE2"/>
    <w:rsid w:val="00D971F2"/>
    <w:rsid w:val="00D97429"/>
    <w:rsid w:val="00D975A0"/>
    <w:rsid w:val="00D977EC"/>
    <w:rsid w:val="00D97858"/>
    <w:rsid w:val="00D9789B"/>
    <w:rsid w:val="00D978A8"/>
    <w:rsid w:val="00D978C4"/>
    <w:rsid w:val="00D9797F"/>
    <w:rsid w:val="00D97B6F"/>
    <w:rsid w:val="00D97C98"/>
    <w:rsid w:val="00D97F4C"/>
    <w:rsid w:val="00DA0018"/>
    <w:rsid w:val="00DA0071"/>
    <w:rsid w:val="00DA01F5"/>
    <w:rsid w:val="00DA0385"/>
    <w:rsid w:val="00DA0429"/>
    <w:rsid w:val="00DA0597"/>
    <w:rsid w:val="00DA0797"/>
    <w:rsid w:val="00DA08DF"/>
    <w:rsid w:val="00DA0959"/>
    <w:rsid w:val="00DA0A5A"/>
    <w:rsid w:val="00DA0D9B"/>
    <w:rsid w:val="00DA11E1"/>
    <w:rsid w:val="00DA13A8"/>
    <w:rsid w:val="00DA16A2"/>
    <w:rsid w:val="00DA16F6"/>
    <w:rsid w:val="00DA1714"/>
    <w:rsid w:val="00DA18DD"/>
    <w:rsid w:val="00DA1B12"/>
    <w:rsid w:val="00DA1D01"/>
    <w:rsid w:val="00DA1E53"/>
    <w:rsid w:val="00DA20DB"/>
    <w:rsid w:val="00DA2227"/>
    <w:rsid w:val="00DA2896"/>
    <w:rsid w:val="00DA2922"/>
    <w:rsid w:val="00DA2946"/>
    <w:rsid w:val="00DA29D2"/>
    <w:rsid w:val="00DA29FB"/>
    <w:rsid w:val="00DA2B4A"/>
    <w:rsid w:val="00DA2C25"/>
    <w:rsid w:val="00DA2CB0"/>
    <w:rsid w:val="00DA2D4A"/>
    <w:rsid w:val="00DA2DC3"/>
    <w:rsid w:val="00DA2F2E"/>
    <w:rsid w:val="00DA3233"/>
    <w:rsid w:val="00DA339C"/>
    <w:rsid w:val="00DA33A2"/>
    <w:rsid w:val="00DA35F1"/>
    <w:rsid w:val="00DA378D"/>
    <w:rsid w:val="00DA37FA"/>
    <w:rsid w:val="00DA380E"/>
    <w:rsid w:val="00DA3977"/>
    <w:rsid w:val="00DA3988"/>
    <w:rsid w:val="00DA3E14"/>
    <w:rsid w:val="00DA3EC8"/>
    <w:rsid w:val="00DA3F71"/>
    <w:rsid w:val="00DA40EA"/>
    <w:rsid w:val="00DA4691"/>
    <w:rsid w:val="00DA49C8"/>
    <w:rsid w:val="00DA4B11"/>
    <w:rsid w:val="00DA4B28"/>
    <w:rsid w:val="00DA4E2A"/>
    <w:rsid w:val="00DA5099"/>
    <w:rsid w:val="00DA535B"/>
    <w:rsid w:val="00DA5476"/>
    <w:rsid w:val="00DA54E1"/>
    <w:rsid w:val="00DA57BD"/>
    <w:rsid w:val="00DA5835"/>
    <w:rsid w:val="00DA586F"/>
    <w:rsid w:val="00DA5B09"/>
    <w:rsid w:val="00DA5B54"/>
    <w:rsid w:val="00DA5E26"/>
    <w:rsid w:val="00DA6022"/>
    <w:rsid w:val="00DA6039"/>
    <w:rsid w:val="00DA60B8"/>
    <w:rsid w:val="00DA6175"/>
    <w:rsid w:val="00DA631F"/>
    <w:rsid w:val="00DA64E3"/>
    <w:rsid w:val="00DA680E"/>
    <w:rsid w:val="00DA6B6A"/>
    <w:rsid w:val="00DA6D1F"/>
    <w:rsid w:val="00DA6D9C"/>
    <w:rsid w:val="00DA6E3F"/>
    <w:rsid w:val="00DA6E8F"/>
    <w:rsid w:val="00DA7183"/>
    <w:rsid w:val="00DA71A7"/>
    <w:rsid w:val="00DA775B"/>
    <w:rsid w:val="00DA7783"/>
    <w:rsid w:val="00DA7FD4"/>
    <w:rsid w:val="00DB0467"/>
    <w:rsid w:val="00DB057F"/>
    <w:rsid w:val="00DB0663"/>
    <w:rsid w:val="00DB0B17"/>
    <w:rsid w:val="00DB0CF4"/>
    <w:rsid w:val="00DB0DDF"/>
    <w:rsid w:val="00DB0E2C"/>
    <w:rsid w:val="00DB0EC3"/>
    <w:rsid w:val="00DB0ED1"/>
    <w:rsid w:val="00DB10B6"/>
    <w:rsid w:val="00DB11B4"/>
    <w:rsid w:val="00DB1759"/>
    <w:rsid w:val="00DB1855"/>
    <w:rsid w:val="00DB1B10"/>
    <w:rsid w:val="00DB1CA1"/>
    <w:rsid w:val="00DB2251"/>
    <w:rsid w:val="00DB2291"/>
    <w:rsid w:val="00DB22F4"/>
    <w:rsid w:val="00DB2333"/>
    <w:rsid w:val="00DB236F"/>
    <w:rsid w:val="00DB25AE"/>
    <w:rsid w:val="00DB2671"/>
    <w:rsid w:val="00DB2878"/>
    <w:rsid w:val="00DB294A"/>
    <w:rsid w:val="00DB29CB"/>
    <w:rsid w:val="00DB2B2E"/>
    <w:rsid w:val="00DB2EA1"/>
    <w:rsid w:val="00DB2F2F"/>
    <w:rsid w:val="00DB30A0"/>
    <w:rsid w:val="00DB3103"/>
    <w:rsid w:val="00DB3197"/>
    <w:rsid w:val="00DB31C5"/>
    <w:rsid w:val="00DB31E1"/>
    <w:rsid w:val="00DB3239"/>
    <w:rsid w:val="00DB3807"/>
    <w:rsid w:val="00DB39FA"/>
    <w:rsid w:val="00DB3BF8"/>
    <w:rsid w:val="00DB3EA5"/>
    <w:rsid w:val="00DB414A"/>
    <w:rsid w:val="00DB4445"/>
    <w:rsid w:val="00DB447C"/>
    <w:rsid w:val="00DB4631"/>
    <w:rsid w:val="00DB47C2"/>
    <w:rsid w:val="00DB48C9"/>
    <w:rsid w:val="00DB4AD6"/>
    <w:rsid w:val="00DB4BA6"/>
    <w:rsid w:val="00DB4BD7"/>
    <w:rsid w:val="00DB4BFD"/>
    <w:rsid w:val="00DB4EC0"/>
    <w:rsid w:val="00DB4F77"/>
    <w:rsid w:val="00DB5033"/>
    <w:rsid w:val="00DB507C"/>
    <w:rsid w:val="00DB50CF"/>
    <w:rsid w:val="00DB50FD"/>
    <w:rsid w:val="00DB511D"/>
    <w:rsid w:val="00DB51B0"/>
    <w:rsid w:val="00DB541E"/>
    <w:rsid w:val="00DB5B9E"/>
    <w:rsid w:val="00DB5D29"/>
    <w:rsid w:val="00DB5E7B"/>
    <w:rsid w:val="00DB6057"/>
    <w:rsid w:val="00DB60E5"/>
    <w:rsid w:val="00DB6155"/>
    <w:rsid w:val="00DB675D"/>
    <w:rsid w:val="00DB6F97"/>
    <w:rsid w:val="00DB71BE"/>
    <w:rsid w:val="00DB721D"/>
    <w:rsid w:val="00DB7223"/>
    <w:rsid w:val="00DB73B6"/>
    <w:rsid w:val="00DB7479"/>
    <w:rsid w:val="00DB74B4"/>
    <w:rsid w:val="00DB751E"/>
    <w:rsid w:val="00DB753C"/>
    <w:rsid w:val="00DB7682"/>
    <w:rsid w:val="00DB7723"/>
    <w:rsid w:val="00DB78B2"/>
    <w:rsid w:val="00DB7F50"/>
    <w:rsid w:val="00DB7F54"/>
    <w:rsid w:val="00DC0355"/>
    <w:rsid w:val="00DC0AA6"/>
    <w:rsid w:val="00DC136F"/>
    <w:rsid w:val="00DC1389"/>
    <w:rsid w:val="00DC145F"/>
    <w:rsid w:val="00DC1467"/>
    <w:rsid w:val="00DC154D"/>
    <w:rsid w:val="00DC15A1"/>
    <w:rsid w:val="00DC1771"/>
    <w:rsid w:val="00DC1816"/>
    <w:rsid w:val="00DC1E0C"/>
    <w:rsid w:val="00DC1FF1"/>
    <w:rsid w:val="00DC20B2"/>
    <w:rsid w:val="00DC219E"/>
    <w:rsid w:val="00DC22C7"/>
    <w:rsid w:val="00DC26D5"/>
    <w:rsid w:val="00DC276A"/>
    <w:rsid w:val="00DC2895"/>
    <w:rsid w:val="00DC28CF"/>
    <w:rsid w:val="00DC2956"/>
    <w:rsid w:val="00DC2AD1"/>
    <w:rsid w:val="00DC2ED6"/>
    <w:rsid w:val="00DC31CB"/>
    <w:rsid w:val="00DC327E"/>
    <w:rsid w:val="00DC32AE"/>
    <w:rsid w:val="00DC37FE"/>
    <w:rsid w:val="00DC3897"/>
    <w:rsid w:val="00DC3AB5"/>
    <w:rsid w:val="00DC3B3A"/>
    <w:rsid w:val="00DC3BB7"/>
    <w:rsid w:val="00DC3CF5"/>
    <w:rsid w:val="00DC3D9E"/>
    <w:rsid w:val="00DC3EF0"/>
    <w:rsid w:val="00DC3F92"/>
    <w:rsid w:val="00DC4044"/>
    <w:rsid w:val="00DC4517"/>
    <w:rsid w:val="00DC457D"/>
    <w:rsid w:val="00DC4675"/>
    <w:rsid w:val="00DC4682"/>
    <w:rsid w:val="00DC47BF"/>
    <w:rsid w:val="00DC4AFB"/>
    <w:rsid w:val="00DC4B1D"/>
    <w:rsid w:val="00DC4C27"/>
    <w:rsid w:val="00DC5096"/>
    <w:rsid w:val="00DC50D0"/>
    <w:rsid w:val="00DC5400"/>
    <w:rsid w:val="00DC571C"/>
    <w:rsid w:val="00DC5FC1"/>
    <w:rsid w:val="00DC6348"/>
    <w:rsid w:val="00DC6750"/>
    <w:rsid w:val="00DC678B"/>
    <w:rsid w:val="00DC6847"/>
    <w:rsid w:val="00DC69D4"/>
    <w:rsid w:val="00DC6A51"/>
    <w:rsid w:val="00DC6A61"/>
    <w:rsid w:val="00DC6B6A"/>
    <w:rsid w:val="00DC6D7A"/>
    <w:rsid w:val="00DC6F97"/>
    <w:rsid w:val="00DC73AE"/>
    <w:rsid w:val="00DC7707"/>
    <w:rsid w:val="00DC79AA"/>
    <w:rsid w:val="00DD016E"/>
    <w:rsid w:val="00DD01CC"/>
    <w:rsid w:val="00DD02C7"/>
    <w:rsid w:val="00DD036F"/>
    <w:rsid w:val="00DD03B7"/>
    <w:rsid w:val="00DD07F5"/>
    <w:rsid w:val="00DD0919"/>
    <w:rsid w:val="00DD0C3D"/>
    <w:rsid w:val="00DD0DD5"/>
    <w:rsid w:val="00DD0FD3"/>
    <w:rsid w:val="00DD1194"/>
    <w:rsid w:val="00DD11FE"/>
    <w:rsid w:val="00DD1242"/>
    <w:rsid w:val="00DD14EF"/>
    <w:rsid w:val="00DD1526"/>
    <w:rsid w:val="00DD1969"/>
    <w:rsid w:val="00DD1C73"/>
    <w:rsid w:val="00DD1F04"/>
    <w:rsid w:val="00DD211F"/>
    <w:rsid w:val="00DD21B4"/>
    <w:rsid w:val="00DD2418"/>
    <w:rsid w:val="00DD2490"/>
    <w:rsid w:val="00DD2619"/>
    <w:rsid w:val="00DD2843"/>
    <w:rsid w:val="00DD2904"/>
    <w:rsid w:val="00DD2B7C"/>
    <w:rsid w:val="00DD2C17"/>
    <w:rsid w:val="00DD318C"/>
    <w:rsid w:val="00DD3688"/>
    <w:rsid w:val="00DD37BD"/>
    <w:rsid w:val="00DD3969"/>
    <w:rsid w:val="00DD39A9"/>
    <w:rsid w:val="00DD3A97"/>
    <w:rsid w:val="00DD3B0B"/>
    <w:rsid w:val="00DD4321"/>
    <w:rsid w:val="00DD4404"/>
    <w:rsid w:val="00DD47B1"/>
    <w:rsid w:val="00DD48EB"/>
    <w:rsid w:val="00DD49A8"/>
    <w:rsid w:val="00DD4E88"/>
    <w:rsid w:val="00DD50E1"/>
    <w:rsid w:val="00DD5416"/>
    <w:rsid w:val="00DD59A9"/>
    <w:rsid w:val="00DD5A9D"/>
    <w:rsid w:val="00DD5AD8"/>
    <w:rsid w:val="00DD5B30"/>
    <w:rsid w:val="00DD663D"/>
    <w:rsid w:val="00DD6D45"/>
    <w:rsid w:val="00DD72C9"/>
    <w:rsid w:val="00DD7B36"/>
    <w:rsid w:val="00DD7B9A"/>
    <w:rsid w:val="00DD7BD6"/>
    <w:rsid w:val="00DD7BE8"/>
    <w:rsid w:val="00DD7E29"/>
    <w:rsid w:val="00DE0216"/>
    <w:rsid w:val="00DE0375"/>
    <w:rsid w:val="00DE03D8"/>
    <w:rsid w:val="00DE03DD"/>
    <w:rsid w:val="00DE0420"/>
    <w:rsid w:val="00DE04A8"/>
    <w:rsid w:val="00DE0858"/>
    <w:rsid w:val="00DE0A14"/>
    <w:rsid w:val="00DE0BD3"/>
    <w:rsid w:val="00DE0C39"/>
    <w:rsid w:val="00DE0F80"/>
    <w:rsid w:val="00DE1138"/>
    <w:rsid w:val="00DE128F"/>
    <w:rsid w:val="00DE1605"/>
    <w:rsid w:val="00DE171A"/>
    <w:rsid w:val="00DE1CFC"/>
    <w:rsid w:val="00DE1D0F"/>
    <w:rsid w:val="00DE1D59"/>
    <w:rsid w:val="00DE1E5F"/>
    <w:rsid w:val="00DE2234"/>
    <w:rsid w:val="00DE2266"/>
    <w:rsid w:val="00DE2298"/>
    <w:rsid w:val="00DE26A3"/>
    <w:rsid w:val="00DE27A9"/>
    <w:rsid w:val="00DE2851"/>
    <w:rsid w:val="00DE2CF8"/>
    <w:rsid w:val="00DE2E2B"/>
    <w:rsid w:val="00DE2E50"/>
    <w:rsid w:val="00DE2F70"/>
    <w:rsid w:val="00DE33C0"/>
    <w:rsid w:val="00DE33CC"/>
    <w:rsid w:val="00DE35CB"/>
    <w:rsid w:val="00DE377C"/>
    <w:rsid w:val="00DE378B"/>
    <w:rsid w:val="00DE3B2C"/>
    <w:rsid w:val="00DE3E5D"/>
    <w:rsid w:val="00DE3EE8"/>
    <w:rsid w:val="00DE410E"/>
    <w:rsid w:val="00DE4299"/>
    <w:rsid w:val="00DE46EC"/>
    <w:rsid w:val="00DE476D"/>
    <w:rsid w:val="00DE49D8"/>
    <w:rsid w:val="00DE4B5B"/>
    <w:rsid w:val="00DE4E52"/>
    <w:rsid w:val="00DE4F1C"/>
    <w:rsid w:val="00DE5265"/>
    <w:rsid w:val="00DE5484"/>
    <w:rsid w:val="00DE5689"/>
    <w:rsid w:val="00DE57CB"/>
    <w:rsid w:val="00DE57CC"/>
    <w:rsid w:val="00DE57FB"/>
    <w:rsid w:val="00DE5883"/>
    <w:rsid w:val="00DE5E07"/>
    <w:rsid w:val="00DE5FB8"/>
    <w:rsid w:val="00DE6032"/>
    <w:rsid w:val="00DE61C8"/>
    <w:rsid w:val="00DE63BF"/>
    <w:rsid w:val="00DE66D9"/>
    <w:rsid w:val="00DE67F2"/>
    <w:rsid w:val="00DE6EFE"/>
    <w:rsid w:val="00DE712B"/>
    <w:rsid w:val="00DE71F2"/>
    <w:rsid w:val="00DE743D"/>
    <w:rsid w:val="00DE752E"/>
    <w:rsid w:val="00DE775B"/>
    <w:rsid w:val="00DE7853"/>
    <w:rsid w:val="00DE7939"/>
    <w:rsid w:val="00DE7A1A"/>
    <w:rsid w:val="00DE7AE5"/>
    <w:rsid w:val="00DE7B74"/>
    <w:rsid w:val="00DE7CA6"/>
    <w:rsid w:val="00DE7E8F"/>
    <w:rsid w:val="00DE7F33"/>
    <w:rsid w:val="00DE7F45"/>
    <w:rsid w:val="00DF0032"/>
    <w:rsid w:val="00DF03C5"/>
    <w:rsid w:val="00DF03CB"/>
    <w:rsid w:val="00DF07F4"/>
    <w:rsid w:val="00DF0ED7"/>
    <w:rsid w:val="00DF1203"/>
    <w:rsid w:val="00DF127F"/>
    <w:rsid w:val="00DF12B7"/>
    <w:rsid w:val="00DF1710"/>
    <w:rsid w:val="00DF1715"/>
    <w:rsid w:val="00DF18AB"/>
    <w:rsid w:val="00DF1EDB"/>
    <w:rsid w:val="00DF1F96"/>
    <w:rsid w:val="00DF2067"/>
    <w:rsid w:val="00DF2098"/>
    <w:rsid w:val="00DF2256"/>
    <w:rsid w:val="00DF22CF"/>
    <w:rsid w:val="00DF2382"/>
    <w:rsid w:val="00DF23E9"/>
    <w:rsid w:val="00DF24D2"/>
    <w:rsid w:val="00DF26BD"/>
    <w:rsid w:val="00DF298F"/>
    <w:rsid w:val="00DF2A2D"/>
    <w:rsid w:val="00DF2AB4"/>
    <w:rsid w:val="00DF2D55"/>
    <w:rsid w:val="00DF321B"/>
    <w:rsid w:val="00DF3304"/>
    <w:rsid w:val="00DF34FF"/>
    <w:rsid w:val="00DF35F5"/>
    <w:rsid w:val="00DF378B"/>
    <w:rsid w:val="00DF38CF"/>
    <w:rsid w:val="00DF3984"/>
    <w:rsid w:val="00DF39AE"/>
    <w:rsid w:val="00DF39E6"/>
    <w:rsid w:val="00DF3EBB"/>
    <w:rsid w:val="00DF3F11"/>
    <w:rsid w:val="00DF3F9B"/>
    <w:rsid w:val="00DF3FE2"/>
    <w:rsid w:val="00DF3FE9"/>
    <w:rsid w:val="00DF404F"/>
    <w:rsid w:val="00DF409A"/>
    <w:rsid w:val="00DF4281"/>
    <w:rsid w:val="00DF4A12"/>
    <w:rsid w:val="00DF4AA5"/>
    <w:rsid w:val="00DF4BB5"/>
    <w:rsid w:val="00DF4DA2"/>
    <w:rsid w:val="00DF4E55"/>
    <w:rsid w:val="00DF4E9C"/>
    <w:rsid w:val="00DF50C6"/>
    <w:rsid w:val="00DF5341"/>
    <w:rsid w:val="00DF5416"/>
    <w:rsid w:val="00DF5425"/>
    <w:rsid w:val="00DF550F"/>
    <w:rsid w:val="00DF5603"/>
    <w:rsid w:val="00DF562A"/>
    <w:rsid w:val="00DF578D"/>
    <w:rsid w:val="00DF57FE"/>
    <w:rsid w:val="00DF5DB9"/>
    <w:rsid w:val="00DF5DE7"/>
    <w:rsid w:val="00DF6139"/>
    <w:rsid w:val="00DF66A3"/>
    <w:rsid w:val="00DF6911"/>
    <w:rsid w:val="00DF6D77"/>
    <w:rsid w:val="00DF6D8D"/>
    <w:rsid w:val="00DF6FE7"/>
    <w:rsid w:val="00DF7183"/>
    <w:rsid w:val="00DF71B3"/>
    <w:rsid w:val="00DF7211"/>
    <w:rsid w:val="00DF753B"/>
    <w:rsid w:val="00DF7C09"/>
    <w:rsid w:val="00DF7C0D"/>
    <w:rsid w:val="00DF7CD2"/>
    <w:rsid w:val="00DF7DE6"/>
    <w:rsid w:val="00E0010D"/>
    <w:rsid w:val="00E0043F"/>
    <w:rsid w:val="00E0065C"/>
    <w:rsid w:val="00E007A4"/>
    <w:rsid w:val="00E007C0"/>
    <w:rsid w:val="00E00CF0"/>
    <w:rsid w:val="00E00FB8"/>
    <w:rsid w:val="00E010DA"/>
    <w:rsid w:val="00E0150A"/>
    <w:rsid w:val="00E0150C"/>
    <w:rsid w:val="00E01569"/>
    <w:rsid w:val="00E01683"/>
    <w:rsid w:val="00E01692"/>
    <w:rsid w:val="00E017A1"/>
    <w:rsid w:val="00E018C5"/>
    <w:rsid w:val="00E01933"/>
    <w:rsid w:val="00E019BB"/>
    <w:rsid w:val="00E01A9A"/>
    <w:rsid w:val="00E01D7E"/>
    <w:rsid w:val="00E01DEC"/>
    <w:rsid w:val="00E01F6A"/>
    <w:rsid w:val="00E0225B"/>
    <w:rsid w:val="00E02328"/>
    <w:rsid w:val="00E02389"/>
    <w:rsid w:val="00E023AC"/>
    <w:rsid w:val="00E0254C"/>
    <w:rsid w:val="00E02566"/>
    <w:rsid w:val="00E02641"/>
    <w:rsid w:val="00E0278C"/>
    <w:rsid w:val="00E02999"/>
    <w:rsid w:val="00E02A05"/>
    <w:rsid w:val="00E02ACD"/>
    <w:rsid w:val="00E02BD8"/>
    <w:rsid w:val="00E02C31"/>
    <w:rsid w:val="00E02E44"/>
    <w:rsid w:val="00E03039"/>
    <w:rsid w:val="00E03280"/>
    <w:rsid w:val="00E032EB"/>
    <w:rsid w:val="00E03416"/>
    <w:rsid w:val="00E03532"/>
    <w:rsid w:val="00E035B2"/>
    <w:rsid w:val="00E03654"/>
    <w:rsid w:val="00E03867"/>
    <w:rsid w:val="00E03B8A"/>
    <w:rsid w:val="00E03B8F"/>
    <w:rsid w:val="00E03EFB"/>
    <w:rsid w:val="00E03FDD"/>
    <w:rsid w:val="00E042BE"/>
    <w:rsid w:val="00E04381"/>
    <w:rsid w:val="00E0442F"/>
    <w:rsid w:val="00E046FA"/>
    <w:rsid w:val="00E04967"/>
    <w:rsid w:val="00E04AF1"/>
    <w:rsid w:val="00E04E40"/>
    <w:rsid w:val="00E050A0"/>
    <w:rsid w:val="00E051C8"/>
    <w:rsid w:val="00E05320"/>
    <w:rsid w:val="00E0562C"/>
    <w:rsid w:val="00E05667"/>
    <w:rsid w:val="00E05A14"/>
    <w:rsid w:val="00E05B25"/>
    <w:rsid w:val="00E05C1A"/>
    <w:rsid w:val="00E05C5B"/>
    <w:rsid w:val="00E05E60"/>
    <w:rsid w:val="00E06043"/>
    <w:rsid w:val="00E0631C"/>
    <w:rsid w:val="00E063DE"/>
    <w:rsid w:val="00E0640A"/>
    <w:rsid w:val="00E064F2"/>
    <w:rsid w:val="00E06675"/>
    <w:rsid w:val="00E06700"/>
    <w:rsid w:val="00E06804"/>
    <w:rsid w:val="00E06D7D"/>
    <w:rsid w:val="00E06EDB"/>
    <w:rsid w:val="00E0763B"/>
    <w:rsid w:val="00E0766E"/>
    <w:rsid w:val="00E0769B"/>
    <w:rsid w:val="00E07A42"/>
    <w:rsid w:val="00E07A59"/>
    <w:rsid w:val="00E07DCB"/>
    <w:rsid w:val="00E07F88"/>
    <w:rsid w:val="00E101DD"/>
    <w:rsid w:val="00E101E8"/>
    <w:rsid w:val="00E1031C"/>
    <w:rsid w:val="00E104C7"/>
    <w:rsid w:val="00E10743"/>
    <w:rsid w:val="00E10748"/>
    <w:rsid w:val="00E107CB"/>
    <w:rsid w:val="00E108AF"/>
    <w:rsid w:val="00E10A85"/>
    <w:rsid w:val="00E10B49"/>
    <w:rsid w:val="00E10C2C"/>
    <w:rsid w:val="00E10D0C"/>
    <w:rsid w:val="00E10E6B"/>
    <w:rsid w:val="00E10EC6"/>
    <w:rsid w:val="00E10F92"/>
    <w:rsid w:val="00E110FA"/>
    <w:rsid w:val="00E111D4"/>
    <w:rsid w:val="00E1144A"/>
    <w:rsid w:val="00E115A4"/>
    <w:rsid w:val="00E116BE"/>
    <w:rsid w:val="00E1197E"/>
    <w:rsid w:val="00E11E28"/>
    <w:rsid w:val="00E12350"/>
    <w:rsid w:val="00E12884"/>
    <w:rsid w:val="00E12B24"/>
    <w:rsid w:val="00E12D7F"/>
    <w:rsid w:val="00E12D88"/>
    <w:rsid w:val="00E130C9"/>
    <w:rsid w:val="00E13704"/>
    <w:rsid w:val="00E13995"/>
    <w:rsid w:val="00E13A8C"/>
    <w:rsid w:val="00E13C0F"/>
    <w:rsid w:val="00E13CBF"/>
    <w:rsid w:val="00E13E63"/>
    <w:rsid w:val="00E13F3D"/>
    <w:rsid w:val="00E13F6E"/>
    <w:rsid w:val="00E13F8D"/>
    <w:rsid w:val="00E14101"/>
    <w:rsid w:val="00E14102"/>
    <w:rsid w:val="00E14136"/>
    <w:rsid w:val="00E14162"/>
    <w:rsid w:val="00E142B9"/>
    <w:rsid w:val="00E14319"/>
    <w:rsid w:val="00E145A6"/>
    <w:rsid w:val="00E1487D"/>
    <w:rsid w:val="00E14A4E"/>
    <w:rsid w:val="00E14BD3"/>
    <w:rsid w:val="00E14EDB"/>
    <w:rsid w:val="00E1518D"/>
    <w:rsid w:val="00E15340"/>
    <w:rsid w:val="00E1549C"/>
    <w:rsid w:val="00E154B6"/>
    <w:rsid w:val="00E1591F"/>
    <w:rsid w:val="00E15A09"/>
    <w:rsid w:val="00E15ABB"/>
    <w:rsid w:val="00E16480"/>
    <w:rsid w:val="00E1670A"/>
    <w:rsid w:val="00E16779"/>
    <w:rsid w:val="00E168A9"/>
    <w:rsid w:val="00E16925"/>
    <w:rsid w:val="00E1703E"/>
    <w:rsid w:val="00E17193"/>
    <w:rsid w:val="00E171E9"/>
    <w:rsid w:val="00E173CF"/>
    <w:rsid w:val="00E178AE"/>
    <w:rsid w:val="00E17970"/>
    <w:rsid w:val="00E17989"/>
    <w:rsid w:val="00E17BF9"/>
    <w:rsid w:val="00E17D8C"/>
    <w:rsid w:val="00E17DD3"/>
    <w:rsid w:val="00E17F7F"/>
    <w:rsid w:val="00E20516"/>
    <w:rsid w:val="00E20521"/>
    <w:rsid w:val="00E20571"/>
    <w:rsid w:val="00E205BD"/>
    <w:rsid w:val="00E209B0"/>
    <w:rsid w:val="00E20A70"/>
    <w:rsid w:val="00E20FE3"/>
    <w:rsid w:val="00E210C7"/>
    <w:rsid w:val="00E21158"/>
    <w:rsid w:val="00E21167"/>
    <w:rsid w:val="00E2141C"/>
    <w:rsid w:val="00E21449"/>
    <w:rsid w:val="00E21485"/>
    <w:rsid w:val="00E215FE"/>
    <w:rsid w:val="00E2191F"/>
    <w:rsid w:val="00E21BC7"/>
    <w:rsid w:val="00E21D5B"/>
    <w:rsid w:val="00E21F1D"/>
    <w:rsid w:val="00E21F26"/>
    <w:rsid w:val="00E21FBD"/>
    <w:rsid w:val="00E2240E"/>
    <w:rsid w:val="00E22625"/>
    <w:rsid w:val="00E22A9E"/>
    <w:rsid w:val="00E22D6E"/>
    <w:rsid w:val="00E22FB6"/>
    <w:rsid w:val="00E23022"/>
    <w:rsid w:val="00E2326F"/>
    <w:rsid w:val="00E236FC"/>
    <w:rsid w:val="00E23B77"/>
    <w:rsid w:val="00E23CA0"/>
    <w:rsid w:val="00E23D37"/>
    <w:rsid w:val="00E23D9A"/>
    <w:rsid w:val="00E23E55"/>
    <w:rsid w:val="00E24010"/>
    <w:rsid w:val="00E24141"/>
    <w:rsid w:val="00E241EC"/>
    <w:rsid w:val="00E2462F"/>
    <w:rsid w:val="00E2489F"/>
    <w:rsid w:val="00E2495B"/>
    <w:rsid w:val="00E24B94"/>
    <w:rsid w:val="00E24D7F"/>
    <w:rsid w:val="00E24F02"/>
    <w:rsid w:val="00E25028"/>
    <w:rsid w:val="00E250E4"/>
    <w:rsid w:val="00E25275"/>
    <w:rsid w:val="00E2560B"/>
    <w:rsid w:val="00E25D6D"/>
    <w:rsid w:val="00E26330"/>
    <w:rsid w:val="00E2637F"/>
    <w:rsid w:val="00E26472"/>
    <w:rsid w:val="00E2647E"/>
    <w:rsid w:val="00E26A2C"/>
    <w:rsid w:val="00E26B38"/>
    <w:rsid w:val="00E276D1"/>
    <w:rsid w:val="00E27761"/>
    <w:rsid w:val="00E27853"/>
    <w:rsid w:val="00E279E7"/>
    <w:rsid w:val="00E3011F"/>
    <w:rsid w:val="00E304AC"/>
    <w:rsid w:val="00E3050E"/>
    <w:rsid w:val="00E3059A"/>
    <w:rsid w:val="00E3077E"/>
    <w:rsid w:val="00E30A66"/>
    <w:rsid w:val="00E30C00"/>
    <w:rsid w:val="00E30C37"/>
    <w:rsid w:val="00E30C5F"/>
    <w:rsid w:val="00E30C88"/>
    <w:rsid w:val="00E30EC6"/>
    <w:rsid w:val="00E3137E"/>
    <w:rsid w:val="00E31506"/>
    <w:rsid w:val="00E315DB"/>
    <w:rsid w:val="00E31702"/>
    <w:rsid w:val="00E31797"/>
    <w:rsid w:val="00E317E8"/>
    <w:rsid w:val="00E31A2D"/>
    <w:rsid w:val="00E31E9C"/>
    <w:rsid w:val="00E32196"/>
    <w:rsid w:val="00E3234C"/>
    <w:rsid w:val="00E324E9"/>
    <w:rsid w:val="00E32764"/>
    <w:rsid w:val="00E32AB2"/>
    <w:rsid w:val="00E32E0B"/>
    <w:rsid w:val="00E32F01"/>
    <w:rsid w:val="00E3303F"/>
    <w:rsid w:val="00E33199"/>
    <w:rsid w:val="00E3341F"/>
    <w:rsid w:val="00E3346E"/>
    <w:rsid w:val="00E3350F"/>
    <w:rsid w:val="00E335B8"/>
    <w:rsid w:val="00E335D5"/>
    <w:rsid w:val="00E3395C"/>
    <w:rsid w:val="00E33EED"/>
    <w:rsid w:val="00E3411E"/>
    <w:rsid w:val="00E3444C"/>
    <w:rsid w:val="00E34577"/>
    <w:rsid w:val="00E345FE"/>
    <w:rsid w:val="00E3467F"/>
    <w:rsid w:val="00E3478E"/>
    <w:rsid w:val="00E347B1"/>
    <w:rsid w:val="00E34892"/>
    <w:rsid w:val="00E34C4B"/>
    <w:rsid w:val="00E34CF6"/>
    <w:rsid w:val="00E35464"/>
    <w:rsid w:val="00E3570F"/>
    <w:rsid w:val="00E35724"/>
    <w:rsid w:val="00E35814"/>
    <w:rsid w:val="00E3598B"/>
    <w:rsid w:val="00E35DA7"/>
    <w:rsid w:val="00E35DC5"/>
    <w:rsid w:val="00E35E59"/>
    <w:rsid w:val="00E3608A"/>
    <w:rsid w:val="00E360C1"/>
    <w:rsid w:val="00E36501"/>
    <w:rsid w:val="00E367B1"/>
    <w:rsid w:val="00E369A4"/>
    <w:rsid w:val="00E3702A"/>
    <w:rsid w:val="00E3708B"/>
    <w:rsid w:val="00E37146"/>
    <w:rsid w:val="00E37516"/>
    <w:rsid w:val="00E37CA1"/>
    <w:rsid w:val="00E37CF5"/>
    <w:rsid w:val="00E37D20"/>
    <w:rsid w:val="00E37D4D"/>
    <w:rsid w:val="00E37D63"/>
    <w:rsid w:val="00E37FDE"/>
    <w:rsid w:val="00E4002D"/>
    <w:rsid w:val="00E40341"/>
    <w:rsid w:val="00E4040E"/>
    <w:rsid w:val="00E40740"/>
    <w:rsid w:val="00E407E8"/>
    <w:rsid w:val="00E4094A"/>
    <w:rsid w:val="00E40D13"/>
    <w:rsid w:val="00E40DB8"/>
    <w:rsid w:val="00E40DC0"/>
    <w:rsid w:val="00E40E40"/>
    <w:rsid w:val="00E40F3C"/>
    <w:rsid w:val="00E40F47"/>
    <w:rsid w:val="00E4111A"/>
    <w:rsid w:val="00E41195"/>
    <w:rsid w:val="00E41400"/>
    <w:rsid w:val="00E41501"/>
    <w:rsid w:val="00E41747"/>
    <w:rsid w:val="00E41815"/>
    <w:rsid w:val="00E41D29"/>
    <w:rsid w:val="00E42069"/>
    <w:rsid w:val="00E424D5"/>
    <w:rsid w:val="00E42605"/>
    <w:rsid w:val="00E42626"/>
    <w:rsid w:val="00E427BE"/>
    <w:rsid w:val="00E427C9"/>
    <w:rsid w:val="00E42874"/>
    <w:rsid w:val="00E428A7"/>
    <w:rsid w:val="00E42BA8"/>
    <w:rsid w:val="00E42C2F"/>
    <w:rsid w:val="00E42D98"/>
    <w:rsid w:val="00E430BD"/>
    <w:rsid w:val="00E430F7"/>
    <w:rsid w:val="00E433EE"/>
    <w:rsid w:val="00E434A2"/>
    <w:rsid w:val="00E43656"/>
    <w:rsid w:val="00E4365E"/>
    <w:rsid w:val="00E4374F"/>
    <w:rsid w:val="00E43B78"/>
    <w:rsid w:val="00E441C7"/>
    <w:rsid w:val="00E4433A"/>
    <w:rsid w:val="00E4460A"/>
    <w:rsid w:val="00E446A2"/>
    <w:rsid w:val="00E448DE"/>
    <w:rsid w:val="00E44C64"/>
    <w:rsid w:val="00E44D44"/>
    <w:rsid w:val="00E45104"/>
    <w:rsid w:val="00E4515D"/>
    <w:rsid w:val="00E4523D"/>
    <w:rsid w:val="00E457EE"/>
    <w:rsid w:val="00E45CF8"/>
    <w:rsid w:val="00E45F11"/>
    <w:rsid w:val="00E45F34"/>
    <w:rsid w:val="00E46213"/>
    <w:rsid w:val="00E46304"/>
    <w:rsid w:val="00E46334"/>
    <w:rsid w:val="00E46661"/>
    <w:rsid w:val="00E46B65"/>
    <w:rsid w:val="00E46DFB"/>
    <w:rsid w:val="00E47278"/>
    <w:rsid w:val="00E474EC"/>
    <w:rsid w:val="00E47653"/>
    <w:rsid w:val="00E479DA"/>
    <w:rsid w:val="00E47C7D"/>
    <w:rsid w:val="00E503A9"/>
    <w:rsid w:val="00E504A5"/>
    <w:rsid w:val="00E5054D"/>
    <w:rsid w:val="00E50CD4"/>
    <w:rsid w:val="00E50E3A"/>
    <w:rsid w:val="00E5107F"/>
    <w:rsid w:val="00E510B7"/>
    <w:rsid w:val="00E511AA"/>
    <w:rsid w:val="00E51234"/>
    <w:rsid w:val="00E512C6"/>
    <w:rsid w:val="00E513B6"/>
    <w:rsid w:val="00E5161F"/>
    <w:rsid w:val="00E518FB"/>
    <w:rsid w:val="00E519B2"/>
    <w:rsid w:val="00E51ADE"/>
    <w:rsid w:val="00E51DAF"/>
    <w:rsid w:val="00E52227"/>
    <w:rsid w:val="00E52797"/>
    <w:rsid w:val="00E52BB5"/>
    <w:rsid w:val="00E52CD4"/>
    <w:rsid w:val="00E5348D"/>
    <w:rsid w:val="00E5394D"/>
    <w:rsid w:val="00E53A77"/>
    <w:rsid w:val="00E53BCA"/>
    <w:rsid w:val="00E53D9E"/>
    <w:rsid w:val="00E53E02"/>
    <w:rsid w:val="00E53F2B"/>
    <w:rsid w:val="00E53FF5"/>
    <w:rsid w:val="00E54001"/>
    <w:rsid w:val="00E544A7"/>
    <w:rsid w:val="00E54672"/>
    <w:rsid w:val="00E547FF"/>
    <w:rsid w:val="00E54899"/>
    <w:rsid w:val="00E54A33"/>
    <w:rsid w:val="00E54C50"/>
    <w:rsid w:val="00E54D70"/>
    <w:rsid w:val="00E55167"/>
    <w:rsid w:val="00E551BA"/>
    <w:rsid w:val="00E551FA"/>
    <w:rsid w:val="00E5530C"/>
    <w:rsid w:val="00E5538D"/>
    <w:rsid w:val="00E55ADF"/>
    <w:rsid w:val="00E55B77"/>
    <w:rsid w:val="00E55D09"/>
    <w:rsid w:val="00E55E8C"/>
    <w:rsid w:val="00E55E95"/>
    <w:rsid w:val="00E56083"/>
    <w:rsid w:val="00E5611E"/>
    <w:rsid w:val="00E5638F"/>
    <w:rsid w:val="00E5641D"/>
    <w:rsid w:val="00E56846"/>
    <w:rsid w:val="00E56D7D"/>
    <w:rsid w:val="00E56E90"/>
    <w:rsid w:val="00E572FB"/>
    <w:rsid w:val="00E5742B"/>
    <w:rsid w:val="00E575FF"/>
    <w:rsid w:val="00E57952"/>
    <w:rsid w:val="00E57994"/>
    <w:rsid w:val="00E57B48"/>
    <w:rsid w:val="00E57C83"/>
    <w:rsid w:val="00E57CBA"/>
    <w:rsid w:val="00E57DEE"/>
    <w:rsid w:val="00E600AB"/>
    <w:rsid w:val="00E60274"/>
    <w:rsid w:val="00E60483"/>
    <w:rsid w:val="00E6052A"/>
    <w:rsid w:val="00E6072F"/>
    <w:rsid w:val="00E60744"/>
    <w:rsid w:val="00E61099"/>
    <w:rsid w:val="00E61335"/>
    <w:rsid w:val="00E6139F"/>
    <w:rsid w:val="00E6147A"/>
    <w:rsid w:val="00E61546"/>
    <w:rsid w:val="00E6178B"/>
    <w:rsid w:val="00E61790"/>
    <w:rsid w:val="00E618A0"/>
    <w:rsid w:val="00E6197B"/>
    <w:rsid w:val="00E61ADB"/>
    <w:rsid w:val="00E61C01"/>
    <w:rsid w:val="00E61C0F"/>
    <w:rsid w:val="00E61CC8"/>
    <w:rsid w:val="00E61D04"/>
    <w:rsid w:val="00E61F5C"/>
    <w:rsid w:val="00E625DA"/>
    <w:rsid w:val="00E629BE"/>
    <w:rsid w:val="00E62C04"/>
    <w:rsid w:val="00E62C62"/>
    <w:rsid w:val="00E62D9F"/>
    <w:rsid w:val="00E62F4D"/>
    <w:rsid w:val="00E62F6A"/>
    <w:rsid w:val="00E62F81"/>
    <w:rsid w:val="00E632CF"/>
    <w:rsid w:val="00E63595"/>
    <w:rsid w:val="00E636D2"/>
    <w:rsid w:val="00E638FE"/>
    <w:rsid w:val="00E63B19"/>
    <w:rsid w:val="00E63C17"/>
    <w:rsid w:val="00E63F25"/>
    <w:rsid w:val="00E640A1"/>
    <w:rsid w:val="00E640F4"/>
    <w:rsid w:val="00E64FBB"/>
    <w:rsid w:val="00E65301"/>
    <w:rsid w:val="00E653A7"/>
    <w:rsid w:val="00E657F0"/>
    <w:rsid w:val="00E659F9"/>
    <w:rsid w:val="00E65AFE"/>
    <w:rsid w:val="00E65B56"/>
    <w:rsid w:val="00E65D91"/>
    <w:rsid w:val="00E65F75"/>
    <w:rsid w:val="00E660AC"/>
    <w:rsid w:val="00E667B2"/>
    <w:rsid w:val="00E66C69"/>
    <w:rsid w:val="00E66D1D"/>
    <w:rsid w:val="00E66E0B"/>
    <w:rsid w:val="00E67012"/>
    <w:rsid w:val="00E670B3"/>
    <w:rsid w:val="00E67248"/>
    <w:rsid w:val="00E67457"/>
    <w:rsid w:val="00E675D2"/>
    <w:rsid w:val="00E676DA"/>
    <w:rsid w:val="00E67957"/>
    <w:rsid w:val="00E679BB"/>
    <w:rsid w:val="00E67BD0"/>
    <w:rsid w:val="00E67CBA"/>
    <w:rsid w:val="00E67D9E"/>
    <w:rsid w:val="00E7015B"/>
    <w:rsid w:val="00E7027C"/>
    <w:rsid w:val="00E70447"/>
    <w:rsid w:val="00E7046B"/>
    <w:rsid w:val="00E705E2"/>
    <w:rsid w:val="00E70610"/>
    <w:rsid w:val="00E706F4"/>
    <w:rsid w:val="00E707E0"/>
    <w:rsid w:val="00E70C10"/>
    <w:rsid w:val="00E70E43"/>
    <w:rsid w:val="00E70E61"/>
    <w:rsid w:val="00E71050"/>
    <w:rsid w:val="00E71574"/>
    <w:rsid w:val="00E71773"/>
    <w:rsid w:val="00E7187C"/>
    <w:rsid w:val="00E719A2"/>
    <w:rsid w:val="00E72127"/>
    <w:rsid w:val="00E7248E"/>
    <w:rsid w:val="00E72881"/>
    <w:rsid w:val="00E72BFE"/>
    <w:rsid w:val="00E72DFA"/>
    <w:rsid w:val="00E72E3D"/>
    <w:rsid w:val="00E7303D"/>
    <w:rsid w:val="00E731A5"/>
    <w:rsid w:val="00E73D69"/>
    <w:rsid w:val="00E74285"/>
    <w:rsid w:val="00E745CD"/>
    <w:rsid w:val="00E749A2"/>
    <w:rsid w:val="00E749D8"/>
    <w:rsid w:val="00E74A8F"/>
    <w:rsid w:val="00E74AFD"/>
    <w:rsid w:val="00E74FE4"/>
    <w:rsid w:val="00E750D3"/>
    <w:rsid w:val="00E7539C"/>
    <w:rsid w:val="00E75635"/>
    <w:rsid w:val="00E75881"/>
    <w:rsid w:val="00E759E5"/>
    <w:rsid w:val="00E75A59"/>
    <w:rsid w:val="00E75B01"/>
    <w:rsid w:val="00E75B4A"/>
    <w:rsid w:val="00E75BB0"/>
    <w:rsid w:val="00E75BBC"/>
    <w:rsid w:val="00E76151"/>
    <w:rsid w:val="00E761E9"/>
    <w:rsid w:val="00E76283"/>
    <w:rsid w:val="00E76324"/>
    <w:rsid w:val="00E76621"/>
    <w:rsid w:val="00E76745"/>
    <w:rsid w:val="00E76788"/>
    <w:rsid w:val="00E76858"/>
    <w:rsid w:val="00E76AAB"/>
    <w:rsid w:val="00E76B01"/>
    <w:rsid w:val="00E76BBC"/>
    <w:rsid w:val="00E76F4F"/>
    <w:rsid w:val="00E76FAE"/>
    <w:rsid w:val="00E77679"/>
    <w:rsid w:val="00E776AC"/>
    <w:rsid w:val="00E776D4"/>
    <w:rsid w:val="00E77860"/>
    <w:rsid w:val="00E77944"/>
    <w:rsid w:val="00E77E1A"/>
    <w:rsid w:val="00E77F89"/>
    <w:rsid w:val="00E77FFD"/>
    <w:rsid w:val="00E800DE"/>
    <w:rsid w:val="00E801B7"/>
    <w:rsid w:val="00E8034B"/>
    <w:rsid w:val="00E8044A"/>
    <w:rsid w:val="00E8050D"/>
    <w:rsid w:val="00E80515"/>
    <w:rsid w:val="00E80855"/>
    <w:rsid w:val="00E80907"/>
    <w:rsid w:val="00E8092D"/>
    <w:rsid w:val="00E809BA"/>
    <w:rsid w:val="00E80B88"/>
    <w:rsid w:val="00E810AC"/>
    <w:rsid w:val="00E81449"/>
    <w:rsid w:val="00E814E1"/>
    <w:rsid w:val="00E815B5"/>
    <w:rsid w:val="00E81798"/>
    <w:rsid w:val="00E819E0"/>
    <w:rsid w:val="00E81CDE"/>
    <w:rsid w:val="00E81F66"/>
    <w:rsid w:val="00E820FD"/>
    <w:rsid w:val="00E82514"/>
    <w:rsid w:val="00E82704"/>
    <w:rsid w:val="00E8292B"/>
    <w:rsid w:val="00E82B4F"/>
    <w:rsid w:val="00E82C4B"/>
    <w:rsid w:val="00E82E4C"/>
    <w:rsid w:val="00E82F2B"/>
    <w:rsid w:val="00E831AB"/>
    <w:rsid w:val="00E832A7"/>
    <w:rsid w:val="00E8335F"/>
    <w:rsid w:val="00E8348D"/>
    <w:rsid w:val="00E835A8"/>
    <w:rsid w:val="00E83A75"/>
    <w:rsid w:val="00E83D37"/>
    <w:rsid w:val="00E83EA3"/>
    <w:rsid w:val="00E83F3F"/>
    <w:rsid w:val="00E84131"/>
    <w:rsid w:val="00E846F6"/>
    <w:rsid w:val="00E84B5C"/>
    <w:rsid w:val="00E84D5B"/>
    <w:rsid w:val="00E84F25"/>
    <w:rsid w:val="00E84F69"/>
    <w:rsid w:val="00E8504E"/>
    <w:rsid w:val="00E85263"/>
    <w:rsid w:val="00E854E4"/>
    <w:rsid w:val="00E855B2"/>
    <w:rsid w:val="00E85A18"/>
    <w:rsid w:val="00E85AC9"/>
    <w:rsid w:val="00E85BEE"/>
    <w:rsid w:val="00E85D65"/>
    <w:rsid w:val="00E85E98"/>
    <w:rsid w:val="00E863E9"/>
    <w:rsid w:val="00E86491"/>
    <w:rsid w:val="00E864A1"/>
    <w:rsid w:val="00E86684"/>
    <w:rsid w:val="00E8676C"/>
    <w:rsid w:val="00E869FC"/>
    <w:rsid w:val="00E86BC2"/>
    <w:rsid w:val="00E86C2D"/>
    <w:rsid w:val="00E86E90"/>
    <w:rsid w:val="00E86EA4"/>
    <w:rsid w:val="00E871EF"/>
    <w:rsid w:val="00E8729C"/>
    <w:rsid w:val="00E87368"/>
    <w:rsid w:val="00E87375"/>
    <w:rsid w:val="00E87456"/>
    <w:rsid w:val="00E877EB"/>
    <w:rsid w:val="00E87836"/>
    <w:rsid w:val="00E878EE"/>
    <w:rsid w:val="00E879C7"/>
    <w:rsid w:val="00E87B12"/>
    <w:rsid w:val="00E87B61"/>
    <w:rsid w:val="00E87D0D"/>
    <w:rsid w:val="00E87D5E"/>
    <w:rsid w:val="00E9028A"/>
    <w:rsid w:val="00E907AF"/>
    <w:rsid w:val="00E90813"/>
    <w:rsid w:val="00E908FB"/>
    <w:rsid w:val="00E909A3"/>
    <w:rsid w:val="00E90D23"/>
    <w:rsid w:val="00E90EE9"/>
    <w:rsid w:val="00E91338"/>
    <w:rsid w:val="00E91345"/>
    <w:rsid w:val="00E91443"/>
    <w:rsid w:val="00E9174D"/>
    <w:rsid w:val="00E917ED"/>
    <w:rsid w:val="00E918E4"/>
    <w:rsid w:val="00E918FF"/>
    <w:rsid w:val="00E91A67"/>
    <w:rsid w:val="00E91B08"/>
    <w:rsid w:val="00E91CF3"/>
    <w:rsid w:val="00E91E8F"/>
    <w:rsid w:val="00E91F41"/>
    <w:rsid w:val="00E92157"/>
    <w:rsid w:val="00E92163"/>
    <w:rsid w:val="00E922DE"/>
    <w:rsid w:val="00E92832"/>
    <w:rsid w:val="00E928B7"/>
    <w:rsid w:val="00E92B0D"/>
    <w:rsid w:val="00E92B8F"/>
    <w:rsid w:val="00E92BC2"/>
    <w:rsid w:val="00E92C02"/>
    <w:rsid w:val="00E93056"/>
    <w:rsid w:val="00E9311E"/>
    <w:rsid w:val="00E9328E"/>
    <w:rsid w:val="00E93370"/>
    <w:rsid w:val="00E933A7"/>
    <w:rsid w:val="00E934B0"/>
    <w:rsid w:val="00E93DDE"/>
    <w:rsid w:val="00E93E8A"/>
    <w:rsid w:val="00E93F03"/>
    <w:rsid w:val="00E93F27"/>
    <w:rsid w:val="00E94317"/>
    <w:rsid w:val="00E94668"/>
    <w:rsid w:val="00E946D6"/>
    <w:rsid w:val="00E946F3"/>
    <w:rsid w:val="00E949C3"/>
    <w:rsid w:val="00E94A21"/>
    <w:rsid w:val="00E94B0B"/>
    <w:rsid w:val="00E94B1F"/>
    <w:rsid w:val="00E94CFC"/>
    <w:rsid w:val="00E94F3C"/>
    <w:rsid w:val="00E94FFB"/>
    <w:rsid w:val="00E95031"/>
    <w:rsid w:val="00E9515D"/>
    <w:rsid w:val="00E95354"/>
    <w:rsid w:val="00E956B8"/>
    <w:rsid w:val="00E95856"/>
    <w:rsid w:val="00E9585F"/>
    <w:rsid w:val="00E95A3E"/>
    <w:rsid w:val="00E95CBC"/>
    <w:rsid w:val="00E95CF9"/>
    <w:rsid w:val="00E95D28"/>
    <w:rsid w:val="00E95EDE"/>
    <w:rsid w:val="00E9612F"/>
    <w:rsid w:val="00E9698E"/>
    <w:rsid w:val="00E96A93"/>
    <w:rsid w:val="00E96BF1"/>
    <w:rsid w:val="00E96CF4"/>
    <w:rsid w:val="00E96E6A"/>
    <w:rsid w:val="00E96EC6"/>
    <w:rsid w:val="00E96ED3"/>
    <w:rsid w:val="00E9717B"/>
    <w:rsid w:val="00E97184"/>
    <w:rsid w:val="00E971AD"/>
    <w:rsid w:val="00E97348"/>
    <w:rsid w:val="00E9751E"/>
    <w:rsid w:val="00E978AA"/>
    <w:rsid w:val="00E97A5C"/>
    <w:rsid w:val="00E97AB9"/>
    <w:rsid w:val="00EA0050"/>
    <w:rsid w:val="00EA0436"/>
    <w:rsid w:val="00EA04CD"/>
    <w:rsid w:val="00EA07B7"/>
    <w:rsid w:val="00EA08A6"/>
    <w:rsid w:val="00EA0AF6"/>
    <w:rsid w:val="00EA0B43"/>
    <w:rsid w:val="00EA0C75"/>
    <w:rsid w:val="00EA0DB2"/>
    <w:rsid w:val="00EA0DD5"/>
    <w:rsid w:val="00EA0DF5"/>
    <w:rsid w:val="00EA0F5E"/>
    <w:rsid w:val="00EA18EE"/>
    <w:rsid w:val="00EA1C98"/>
    <w:rsid w:val="00EA1CFE"/>
    <w:rsid w:val="00EA1DB9"/>
    <w:rsid w:val="00EA249C"/>
    <w:rsid w:val="00EA29C7"/>
    <w:rsid w:val="00EA2B63"/>
    <w:rsid w:val="00EA305D"/>
    <w:rsid w:val="00EA3176"/>
    <w:rsid w:val="00EA31A8"/>
    <w:rsid w:val="00EA3305"/>
    <w:rsid w:val="00EA353D"/>
    <w:rsid w:val="00EA3757"/>
    <w:rsid w:val="00EA3924"/>
    <w:rsid w:val="00EA3A36"/>
    <w:rsid w:val="00EA3BB9"/>
    <w:rsid w:val="00EA3E3D"/>
    <w:rsid w:val="00EA401B"/>
    <w:rsid w:val="00EA403A"/>
    <w:rsid w:val="00EA403E"/>
    <w:rsid w:val="00EA45B5"/>
    <w:rsid w:val="00EA461C"/>
    <w:rsid w:val="00EA4758"/>
    <w:rsid w:val="00EA4846"/>
    <w:rsid w:val="00EA493B"/>
    <w:rsid w:val="00EA4E5A"/>
    <w:rsid w:val="00EA4F32"/>
    <w:rsid w:val="00EA5294"/>
    <w:rsid w:val="00EA55EC"/>
    <w:rsid w:val="00EA58AC"/>
    <w:rsid w:val="00EA5B66"/>
    <w:rsid w:val="00EA5B84"/>
    <w:rsid w:val="00EA5EAA"/>
    <w:rsid w:val="00EA635C"/>
    <w:rsid w:val="00EA647B"/>
    <w:rsid w:val="00EA6699"/>
    <w:rsid w:val="00EA69A1"/>
    <w:rsid w:val="00EA6CCA"/>
    <w:rsid w:val="00EA6D49"/>
    <w:rsid w:val="00EA6F8D"/>
    <w:rsid w:val="00EA70C6"/>
    <w:rsid w:val="00EA7273"/>
    <w:rsid w:val="00EA72D7"/>
    <w:rsid w:val="00EA73AD"/>
    <w:rsid w:val="00EA76C8"/>
    <w:rsid w:val="00EA77B8"/>
    <w:rsid w:val="00EB000A"/>
    <w:rsid w:val="00EB0542"/>
    <w:rsid w:val="00EB09F0"/>
    <w:rsid w:val="00EB0C8A"/>
    <w:rsid w:val="00EB0CB7"/>
    <w:rsid w:val="00EB0DBD"/>
    <w:rsid w:val="00EB0DD5"/>
    <w:rsid w:val="00EB0E65"/>
    <w:rsid w:val="00EB0F02"/>
    <w:rsid w:val="00EB10D2"/>
    <w:rsid w:val="00EB1156"/>
    <w:rsid w:val="00EB1363"/>
    <w:rsid w:val="00EB18A9"/>
    <w:rsid w:val="00EB1C87"/>
    <w:rsid w:val="00EB1DF8"/>
    <w:rsid w:val="00EB2143"/>
    <w:rsid w:val="00EB2412"/>
    <w:rsid w:val="00EB2711"/>
    <w:rsid w:val="00EB282B"/>
    <w:rsid w:val="00EB284E"/>
    <w:rsid w:val="00EB2B3E"/>
    <w:rsid w:val="00EB2E77"/>
    <w:rsid w:val="00EB2EB2"/>
    <w:rsid w:val="00EB30EE"/>
    <w:rsid w:val="00EB3217"/>
    <w:rsid w:val="00EB365C"/>
    <w:rsid w:val="00EB3977"/>
    <w:rsid w:val="00EB3D16"/>
    <w:rsid w:val="00EB3E8F"/>
    <w:rsid w:val="00EB3F07"/>
    <w:rsid w:val="00EB3F24"/>
    <w:rsid w:val="00EB3F2A"/>
    <w:rsid w:val="00EB450A"/>
    <w:rsid w:val="00EB4601"/>
    <w:rsid w:val="00EB482F"/>
    <w:rsid w:val="00EB494E"/>
    <w:rsid w:val="00EB4A11"/>
    <w:rsid w:val="00EB4D1C"/>
    <w:rsid w:val="00EB5061"/>
    <w:rsid w:val="00EB5068"/>
    <w:rsid w:val="00EB524B"/>
    <w:rsid w:val="00EB5354"/>
    <w:rsid w:val="00EB545C"/>
    <w:rsid w:val="00EB54C9"/>
    <w:rsid w:val="00EB55FE"/>
    <w:rsid w:val="00EB59E9"/>
    <w:rsid w:val="00EB5B9F"/>
    <w:rsid w:val="00EB6068"/>
    <w:rsid w:val="00EB6286"/>
    <w:rsid w:val="00EB67DB"/>
    <w:rsid w:val="00EB68F8"/>
    <w:rsid w:val="00EB6C37"/>
    <w:rsid w:val="00EB6C69"/>
    <w:rsid w:val="00EB6ECC"/>
    <w:rsid w:val="00EB6FA3"/>
    <w:rsid w:val="00EB75C0"/>
    <w:rsid w:val="00EB7765"/>
    <w:rsid w:val="00EB794C"/>
    <w:rsid w:val="00EB7A28"/>
    <w:rsid w:val="00EB7B61"/>
    <w:rsid w:val="00EB7D32"/>
    <w:rsid w:val="00EC0103"/>
    <w:rsid w:val="00EC0248"/>
    <w:rsid w:val="00EC02D5"/>
    <w:rsid w:val="00EC04C4"/>
    <w:rsid w:val="00EC051A"/>
    <w:rsid w:val="00EC066D"/>
    <w:rsid w:val="00EC0AA2"/>
    <w:rsid w:val="00EC0BDC"/>
    <w:rsid w:val="00EC0D1B"/>
    <w:rsid w:val="00EC0DE0"/>
    <w:rsid w:val="00EC0E46"/>
    <w:rsid w:val="00EC0E57"/>
    <w:rsid w:val="00EC1008"/>
    <w:rsid w:val="00EC1081"/>
    <w:rsid w:val="00EC1086"/>
    <w:rsid w:val="00EC1966"/>
    <w:rsid w:val="00EC19E8"/>
    <w:rsid w:val="00EC1AF0"/>
    <w:rsid w:val="00EC1DB4"/>
    <w:rsid w:val="00EC1EB7"/>
    <w:rsid w:val="00EC1EFB"/>
    <w:rsid w:val="00EC2097"/>
    <w:rsid w:val="00EC21AD"/>
    <w:rsid w:val="00EC2288"/>
    <w:rsid w:val="00EC24B5"/>
    <w:rsid w:val="00EC24EF"/>
    <w:rsid w:val="00EC2558"/>
    <w:rsid w:val="00EC25AA"/>
    <w:rsid w:val="00EC2613"/>
    <w:rsid w:val="00EC2654"/>
    <w:rsid w:val="00EC2784"/>
    <w:rsid w:val="00EC27AE"/>
    <w:rsid w:val="00EC27EC"/>
    <w:rsid w:val="00EC2838"/>
    <w:rsid w:val="00EC2A74"/>
    <w:rsid w:val="00EC2BB9"/>
    <w:rsid w:val="00EC2E83"/>
    <w:rsid w:val="00EC2E9A"/>
    <w:rsid w:val="00EC2FB0"/>
    <w:rsid w:val="00EC32AD"/>
    <w:rsid w:val="00EC3A2F"/>
    <w:rsid w:val="00EC3AF2"/>
    <w:rsid w:val="00EC3B21"/>
    <w:rsid w:val="00EC3DBE"/>
    <w:rsid w:val="00EC4297"/>
    <w:rsid w:val="00EC42C4"/>
    <w:rsid w:val="00EC43AF"/>
    <w:rsid w:val="00EC4450"/>
    <w:rsid w:val="00EC445A"/>
    <w:rsid w:val="00EC4A0F"/>
    <w:rsid w:val="00EC4A44"/>
    <w:rsid w:val="00EC4A67"/>
    <w:rsid w:val="00EC4ACD"/>
    <w:rsid w:val="00EC4D16"/>
    <w:rsid w:val="00EC4FB9"/>
    <w:rsid w:val="00EC5133"/>
    <w:rsid w:val="00EC5592"/>
    <w:rsid w:val="00EC565B"/>
    <w:rsid w:val="00EC5A69"/>
    <w:rsid w:val="00EC5B43"/>
    <w:rsid w:val="00EC60E5"/>
    <w:rsid w:val="00EC60E6"/>
    <w:rsid w:val="00EC624A"/>
    <w:rsid w:val="00EC648E"/>
    <w:rsid w:val="00EC67BF"/>
    <w:rsid w:val="00EC68CB"/>
    <w:rsid w:val="00EC6DB2"/>
    <w:rsid w:val="00EC7221"/>
    <w:rsid w:val="00EC7391"/>
    <w:rsid w:val="00EC74B4"/>
    <w:rsid w:val="00EC752C"/>
    <w:rsid w:val="00EC75B1"/>
    <w:rsid w:val="00EC76F9"/>
    <w:rsid w:val="00EC7B6B"/>
    <w:rsid w:val="00EC7EC1"/>
    <w:rsid w:val="00ED0004"/>
    <w:rsid w:val="00ED04BA"/>
    <w:rsid w:val="00ED0770"/>
    <w:rsid w:val="00ED085D"/>
    <w:rsid w:val="00ED0A86"/>
    <w:rsid w:val="00ED0CE5"/>
    <w:rsid w:val="00ED0CF7"/>
    <w:rsid w:val="00ED0EC4"/>
    <w:rsid w:val="00ED1149"/>
    <w:rsid w:val="00ED11F6"/>
    <w:rsid w:val="00ED1289"/>
    <w:rsid w:val="00ED133F"/>
    <w:rsid w:val="00ED17F5"/>
    <w:rsid w:val="00ED19D9"/>
    <w:rsid w:val="00ED1B4A"/>
    <w:rsid w:val="00ED1BA5"/>
    <w:rsid w:val="00ED1BD0"/>
    <w:rsid w:val="00ED1C4F"/>
    <w:rsid w:val="00ED1D0F"/>
    <w:rsid w:val="00ED211C"/>
    <w:rsid w:val="00ED2273"/>
    <w:rsid w:val="00ED24F1"/>
    <w:rsid w:val="00ED286F"/>
    <w:rsid w:val="00ED2A12"/>
    <w:rsid w:val="00ED3223"/>
    <w:rsid w:val="00ED35A1"/>
    <w:rsid w:val="00ED35AF"/>
    <w:rsid w:val="00ED36DD"/>
    <w:rsid w:val="00ED3BC1"/>
    <w:rsid w:val="00ED3C13"/>
    <w:rsid w:val="00ED3CDE"/>
    <w:rsid w:val="00ED3E84"/>
    <w:rsid w:val="00ED3F22"/>
    <w:rsid w:val="00ED3F2B"/>
    <w:rsid w:val="00ED3FFF"/>
    <w:rsid w:val="00ED4046"/>
    <w:rsid w:val="00ED405C"/>
    <w:rsid w:val="00ED45A5"/>
    <w:rsid w:val="00ED4629"/>
    <w:rsid w:val="00ED4782"/>
    <w:rsid w:val="00ED492E"/>
    <w:rsid w:val="00ED49E8"/>
    <w:rsid w:val="00ED4B14"/>
    <w:rsid w:val="00ED4D5E"/>
    <w:rsid w:val="00ED504D"/>
    <w:rsid w:val="00ED54A2"/>
    <w:rsid w:val="00ED5823"/>
    <w:rsid w:val="00ED58B1"/>
    <w:rsid w:val="00ED5A25"/>
    <w:rsid w:val="00ED5ABA"/>
    <w:rsid w:val="00ED5E39"/>
    <w:rsid w:val="00ED61E2"/>
    <w:rsid w:val="00ED6363"/>
    <w:rsid w:val="00ED6365"/>
    <w:rsid w:val="00ED63E9"/>
    <w:rsid w:val="00ED6415"/>
    <w:rsid w:val="00ED66B5"/>
    <w:rsid w:val="00ED66C5"/>
    <w:rsid w:val="00ED6A90"/>
    <w:rsid w:val="00ED6C6C"/>
    <w:rsid w:val="00ED6C8E"/>
    <w:rsid w:val="00ED6D0B"/>
    <w:rsid w:val="00ED6D56"/>
    <w:rsid w:val="00ED6DA9"/>
    <w:rsid w:val="00ED6EE9"/>
    <w:rsid w:val="00ED6FBF"/>
    <w:rsid w:val="00ED7495"/>
    <w:rsid w:val="00ED761E"/>
    <w:rsid w:val="00ED784D"/>
    <w:rsid w:val="00ED78C6"/>
    <w:rsid w:val="00ED7BE7"/>
    <w:rsid w:val="00ED7E75"/>
    <w:rsid w:val="00ED7FCB"/>
    <w:rsid w:val="00EE0198"/>
    <w:rsid w:val="00EE0319"/>
    <w:rsid w:val="00EE0364"/>
    <w:rsid w:val="00EE04C3"/>
    <w:rsid w:val="00EE0650"/>
    <w:rsid w:val="00EE068B"/>
    <w:rsid w:val="00EE089E"/>
    <w:rsid w:val="00EE08AA"/>
    <w:rsid w:val="00EE098D"/>
    <w:rsid w:val="00EE0AB6"/>
    <w:rsid w:val="00EE10FD"/>
    <w:rsid w:val="00EE1435"/>
    <w:rsid w:val="00EE147E"/>
    <w:rsid w:val="00EE14B6"/>
    <w:rsid w:val="00EE1521"/>
    <w:rsid w:val="00EE1629"/>
    <w:rsid w:val="00EE1B0D"/>
    <w:rsid w:val="00EE1BC7"/>
    <w:rsid w:val="00EE1E17"/>
    <w:rsid w:val="00EE1EB1"/>
    <w:rsid w:val="00EE1F68"/>
    <w:rsid w:val="00EE1FE0"/>
    <w:rsid w:val="00EE2165"/>
    <w:rsid w:val="00EE267E"/>
    <w:rsid w:val="00EE3196"/>
    <w:rsid w:val="00EE3350"/>
    <w:rsid w:val="00EE3389"/>
    <w:rsid w:val="00EE36AF"/>
    <w:rsid w:val="00EE3966"/>
    <w:rsid w:val="00EE3CB4"/>
    <w:rsid w:val="00EE3DA3"/>
    <w:rsid w:val="00EE4339"/>
    <w:rsid w:val="00EE4346"/>
    <w:rsid w:val="00EE4558"/>
    <w:rsid w:val="00EE459E"/>
    <w:rsid w:val="00EE4643"/>
    <w:rsid w:val="00EE469F"/>
    <w:rsid w:val="00EE4792"/>
    <w:rsid w:val="00EE4902"/>
    <w:rsid w:val="00EE49A0"/>
    <w:rsid w:val="00EE4B52"/>
    <w:rsid w:val="00EE4CBD"/>
    <w:rsid w:val="00EE4D0F"/>
    <w:rsid w:val="00EE5054"/>
    <w:rsid w:val="00EE5062"/>
    <w:rsid w:val="00EE5191"/>
    <w:rsid w:val="00EE5300"/>
    <w:rsid w:val="00EE5621"/>
    <w:rsid w:val="00EE6155"/>
    <w:rsid w:val="00EE6271"/>
    <w:rsid w:val="00EE62CF"/>
    <w:rsid w:val="00EE62F0"/>
    <w:rsid w:val="00EE6639"/>
    <w:rsid w:val="00EE6723"/>
    <w:rsid w:val="00EE6794"/>
    <w:rsid w:val="00EE67BA"/>
    <w:rsid w:val="00EE693C"/>
    <w:rsid w:val="00EE7939"/>
    <w:rsid w:val="00EE7D7D"/>
    <w:rsid w:val="00EF02C0"/>
    <w:rsid w:val="00EF053F"/>
    <w:rsid w:val="00EF069D"/>
    <w:rsid w:val="00EF0912"/>
    <w:rsid w:val="00EF0A80"/>
    <w:rsid w:val="00EF0CC5"/>
    <w:rsid w:val="00EF0E80"/>
    <w:rsid w:val="00EF12EE"/>
    <w:rsid w:val="00EF1351"/>
    <w:rsid w:val="00EF13FC"/>
    <w:rsid w:val="00EF159E"/>
    <w:rsid w:val="00EF1899"/>
    <w:rsid w:val="00EF18AB"/>
    <w:rsid w:val="00EF190D"/>
    <w:rsid w:val="00EF1D6D"/>
    <w:rsid w:val="00EF1F4F"/>
    <w:rsid w:val="00EF1F9F"/>
    <w:rsid w:val="00EF20AD"/>
    <w:rsid w:val="00EF21F8"/>
    <w:rsid w:val="00EF2252"/>
    <w:rsid w:val="00EF23FD"/>
    <w:rsid w:val="00EF2660"/>
    <w:rsid w:val="00EF2699"/>
    <w:rsid w:val="00EF26A5"/>
    <w:rsid w:val="00EF275F"/>
    <w:rsid w:val="00EF2A0C"/>
    <w:rsid w:val="00EF2B1E"/>
    <w:rsid w:val="00EF2B59"/>
    <w:rsid w:val="00EF2F84"/>
    <w:rsid w:val="00EF308B"/>
    <w:rsid w:val="00EF3123"/>
    <w:rsid w:val="00EF3273"/>
    <w:rsid w:val="00EF3379"/>
    <w:rsid w:val="00EF3471"/>
    <w:rsid w:val="00EF35CA"/>
    <w:rsid w:val="00EF35E9"/>
    <w:rsid w:val="00EF3658"/>
    <w:rsid w:val="00EF37D8"/>
    <w:rsid w:val="00EF39C9"/>
    <w:rsid w:val="00EF3DB8"/>
    <w:rsid w:val="00EF40BE"/>
    <w:rsid w:val="00EF4120"/>
    <w:rsid w:val="00EF41F0"/>
    <w:rsid w:val="00EF4450"/>
    <w:rsid w:val="00EF4B12"/>
    <w:rsid w:val="00EF4BDB"/>
    <w:rsid w:val="00EF4E23"/>
    <w:rsid w:val="00EF4E83"/>
    <w:rsid w:val="00EF54E6"/>
    <w:rsid w:val="00EF55AE"/>
    <w:rsid w:val="00EF55DC"/>
    <w:rsid w:val="00EF5895"/>
    <w:rsid w:val="00EF5952"/>
    <w:rsid w:val="00EF597F"/>
    <w:rsid w:val="00EF59D5"/>
    <w:rsid w:val="00EF5CA3"/>
    <w:rsid w:val="00EF5DFE"/>
    <w:rsid w:val="00EF5F8D"/>
    <w:rsid w:val="00EF6145"/>
    <w:rsid w:val="00EF6708"/>
    <w:rsid w:val="00EF6A73"/>
    <w:rsid w:val="00EF6BF4"/>
    <w:rsid w:val="00EF6E85"/>
    <w:rsid w:val="00EF700D"/>
    <w:rsid w:val="00EF74BC"/>
    <w:rsid w:val="00EF75D1"/>
    <w:rsid w:val="00EF7835"/>
    <w:rsid w:val="00EF795A"/>
    <w:rsid w:val="00EF799E"/>
    <w:rsid w:val="00EF7A8A"/>
    <w:rsid w:val="00EF7A94"/>
    <w:rsid w:val="00EF7BC4"/>
    <w:rsid w:val="00EF7E55"/>
    <w:rsid w:val="00F00094"/>
    <w:rsid w:val="00F004AF"/>
    <w:rsid w:val="00F00936"/>
    <w:rsid w:val="00F009CF"/>
    <w:rsid w:val="00F00A62"/>
    <w:rsid w:val="00F00A76"/>
    <w:rsid w:val="00F00AF0"/>
    <w:rsid w:val="00F00B48"/>
    <w:rsid w:val="00F00DE8"/>
    <w:rsid w:val="00F01664"/>
    <w:rsid w:val="00F01952"/>
    <w:rsid w:val="00F019B3"/>
    <w:rsid w:val="00F019FE"/>
    <w:rsid w:val="00F01B17"/>
    <w:rsid w:val="00F01E57"/>
    <w:rsid w:val="00F02417"/>
    <w:rsid w:val="00F027BA"/>
    <w:rsid w:val="00F02C20"/>
    <w:rsid w:val="00F02DC6"/>
    <w:rsid w:val="00F02FBA"/>
    <w:rsid w:val="00F03058"/>
    <w:rsid w:val="00F031E5"/>
    <w:rsid w:val="00F031E6"/>
    <w:rsid w:val="00F0332A"/>
    <w:rsid w:val="00F0333B"/>
    <w:rsid w:val="00F0338D"/>
    <w:rsid w:val="00F036F5"/>
    <w:rsid w:val="00F03C53"/>
    <w:rsid w:val="00F04107"/>
    <w:rsid w:val="00F04233"/>
    <w:rsid w:val="00F042D6"/>
    <w:rsid w:val="00F045C6"/>
    <w:rsid w:val="00F045E5"/>
    <w:rsid w:val="00F046FD"/>
    <w:rsid w:val="00F04759"/>
    <w:rsid w:val="00F04798"/>
    <w:rsid w:val="00F04878"/>
    <w:rsid w:val="00F04A9D"/>
    <w:rsid w:val="00F04C73"/>
    <w:rsid w:val="00F04CFA"/>
    <w:rsid w:val="00F04F74"/>
    <w:rsid w:val="00F04F84"/>
    <w:rsid w:val="00F0536E"/>
    <w:rsid w:val="00F05446"/>
    <w:rsid w:val="00F055FC"/>
    <w:rsid w:val="00F05699"/>
    <w:rsid w:val="00F05785"/>
    <w:rsid w:val="00F057A6"/>
    <w:rsid w:val="00F057F6"/>
    <w:rsid w:val="00F05854"/>
    <w:rsid w:val="00F05C43"/>
    <w:rsid w:val="00F05CCC"/>
    <w:rsid w:val="00F05D5C"/>
    <w:rsid w:val="00F05E9A"/>
    <w:rsid w:val="00F06209"/>
    <w:rsid w:val="00F062B4"/>
    <w:rsid w:val="00F06606"/>
    <w:rsid w:val="00F0684C"/>
    <w:rsid w:val="00F0686F"/>
    <w:rsid w:val="00F06AC4"/>
    <w:rsid w:val="00F06C9F"/>
    <w:rsid w:val="00F0714F"/>
    <w:rsid w:val="00F0730D"/>
    <w:rsid w:val="00F073F7"/>
    <w:rsid w:val="00F0747C"/>
    <w:rsid w:val="00F074CA"/>
    <w:rsid w:val="00F074F8"/>
    <w:rsid w:val="00F0757F"/>
    <w:rsid w:val="00F0767A"/>
    <w:rsid w:val="00F076A3"/>
    <w:rsid w:val="00F0778B"/>
    <w:rsid w:val="00F0787E"/>
    <w:rsid w:val="00F0796F"/>
    <w:rsid w:val="00F07E44"/>
    <w:rsid w:val="00F07EE8"/>
    <w:rsid w:val="00F07F51"/>
    <w:rsid w:val="00F10252"/>
    <w:rsid w:val="00F10333"/>
    <w:rsid w:val="00F10372"/>
    <w:rsid w:val="00F104A2"/>
    <w:rsid w:val="00F10566"/>
    <w:rsid w:val="00F10605"/>
    <w:rsid w:val="00F10758"/>
    <w:rsid w:val="00F10777"/>
    <w:rsid w:val="00F10875"/>
    <w:rsid w:val="00F10A30"/>
    <w:rsid w:val="00F10A31"/>
    <w:rsid w:val="00F10B22"/>
    <w:rsid w:val="00F10D79"/>
    <w:rsid w:val="00F10EAC"/>
    <w:rsid w:val="00F10FE2"/>
    <w:rsid w:val="00F110CA"/>
    <w:rsid w:val="00F115A4"/>
    <w:rsid w:val="00F11724"/>
    <w:rsid w:val="00F117F5"/>
    <w:rsid w:val="00F1181E"/>
    <w:rsid w:val="00F11A25"/>
    <w:rsid w:val="00F11A5B"/>
    <w:rsid w:val="00F11B29"/>
    <w:rsid w:val="00F11B3E"/>
    <w:rsid w:val="00F11C48"/>
    <w:rsid w:val="00F11DA0"/>
    <w:rsid w:val="00F11F5E"/>
    <w:rsid w:val="00F1201B"/>
    <w:rsid w:val="00F12077"/>
    <w:rsid w:val="00F1212C"/>
    <w:rsid w:val="00F12155"/>
    <w:rsid w:val="00F1232A"/>
    <w:rsid w:val="00F123BC"/>
    <w:rsid w:val="00F123EC"/>
    <w:rsid w:val="00F1254F"/>
    <w:rsid w:val="00F125B7"/>
    <w:rsid w:val="00F12608"/>
    <w:rsid w:val="00F12615"/>
    <w:rsid w:val="00F12804"/>
    <w:rsid w:val="00F12892"/>
    <w:rsid w:val="00F12DF6"/>
    <w:rsid w:val="00F130A0"/>
    <w:rsid w:val="00F13451"/>
    <w:rsid w:val="00F13470"/>
    <w:rsid w:val="00F13479"/>
    <w:rsid w:val="00F135A8"/>
    <w:rsid w:val="00F13641"/>
    <w:rsid w:val="00F138FD"/>
    <w:rsid w:val="00F13ADC"/>
    <w:rsid w:val="00F13BEF"/>
    <w:rsid w:val="00F14314"/>
    <w:rsid w:val="00F143DE"/>
    <w:rsid w:val="00F147FF"/>
    <w:rsid w:val="00F14D57"/>
    <w:rsid w:val="00F14E77"/>
    <w:rsid w:val="00F151AB"/>
    <w:rsid w:val="00F151F8"/>
    <w:rsid w:val="00F15302"/>
    <w:rsid w:val="00F153F6"/>
    <w:rsid w:val="00F1592E"/>
    <w:rsid w:val="00F15ACB"/>
    <w:rsid w:val="00F15B06"/>
    <w:rsid w:val="00F15D75"/>
    <w:rsid w:val="00F15E6D"/>
    <w:rsid w:val="00F16203"/>
    <w:rsid w:val="00F162B0"/>
    <w:rsid w:val="00F162C3"/>
    <w:rsid w:val="00F16729"/>
    <w:rsid w:val="00F1698A"/>
    <w:rsid w:val="00F16C8A"/>
    <w:rsid w:val="00F16CE0"/>
    <w:rsid w:val="00F16D6C"/>
    <w:rsid w:val="00F17257"/>
    <w:rsid w:val="00F17452"/>
    <w:rsid w:val="00F174A0"/>
    <w:rsid w:val="00F17593"/>
    <w:rsid w:val="00F177CA"/>
    <w:rsid w:val="00F1782E"/>
    <w:rsid w:val="00F178F9"/>
    <w:rsid w:val="00F1793F"/>
    <w:rsid w:val="00F1794D"/>
    <w:rsid w:val="00F1795D"/>
    <w:rsid w:val="00F17C0C"/>
    <w:rsid w:val="00F17E96"/>
    <w:rsid w:val="00F20146"/>
    <w:rsid w:val="00F20159"/>
    <w:rsid w:val="00F20196"/>
    <w:rsid w:val="00F203FD"/>
    <w:rsid w:val="00F2046B"/>
    <w:rsid w:val="00F20731"/>
    <w:rsid w:val="00F20736"/>
    <w:rsid w:val="00F20D0D"/>
    <w:rsid w:val="00F20E3B"/>
    <w:rsid w:val="00F20F4B"/>
    <w:rsid w:val="00F20F90"/>
    <w:rsid w:val="00F210DF"/>
    <w:rsid w:val="00F21433"/>
    <w:rsid w:val="00F214BC"/>
    <w:rsid w:val="00F215B6"/>
    <w:rsid w:val="00F215F4"/>
    <w:rsid w:val="00F21629"/>
    <w:rsid w:val="00F217BA"/>
    <w:rsid w:val="00F217FF"/>
    <w:rsid w:val="00F21A8E"/>
    <w:rsid w:val="00F21BDF"/>
    <w:rsid w:val="00F21D52"/>
    <w:rsid w:val="00F22161"/>
    <w:rsid w:val="00F223EF"/>
    <w:rsid w:val="00F22452"/>
    <w:rsid w:val="00F225B5"/>
    <w:rsid w:val="00F227F5"/>
    <w:rsid w:val="00F23019"/>
    <w:rsid w:val="00F2340C"/>
    <w:rsid w:val="00F237E6"/>
    <w:rsid w:val="00F23836"/>
    <w:rsid w:val="00F23B7F"/>
    <w:rsid w:val="00F23BB3"/>
    <w:rsid w:val="00F23E3F"/>
    <w:rsid w:val="00F23F07"/>
    <w:rsid w:val="00F24021"/>
    <w:rsid w:val="00F2413A"/>
    <w:rsid w:val="00F24263"/>
    <w:rsid w:val="00F242E1"/>
    <w:rsid w:val="00F2472D"/>
    <w:rsid w:val="00F24930"/>
    <w:rsid w:val="00F24A04"/>
    <w:rsid w:val="00F24A51"/>
    <w:rsid w:val="00F24D18"/>
    <w:rsid w:val="00F24E53"/>
    <w:rsid w:val="00F24EF6"/>
    <w:rsid w:val="00F250F1"/>
    <w:rsid w:val="00F25101"/>
    <w:rsid w:val="00F258F0"/>
    <w:rsid w:val="00F25922"/>
    <w:rsid w:val="00F260B5"/>
    <w:rsid w:val="00F261AA"/>
    <w:rsid w:val="00F261EB"/>
    <w:rsid w:val="00F26341"/>
    <w:rsid w:val="00F264E9"/>
    <w:rsid w:val="00F26575"/>
    <w:rsid w:val="00F26620"/>
    <w:rsid w:val="00F266B8"/>
    <w:rsid w:val="00F26800"/>
    <w:rsid w:val="00F26901"/>
    <w:rsid w:val="00F269A0"/>
    <w:rsid w:val="00F2731B"/>
    <w:rsid w:val="00F2750E"/>
    <w:rsid w:val="00F27840"/>
    <w:rsid w:val="00F27843"/>
    <w:rsid w:val="00F27DA5"/>
    <w:rsid w:val="00F27DA6"/>
    <w:rsid w:val="00F3002B"/>
    <w:rsid w:val="00F30290"/>
    <w:rsid w:val="00F3034C"/>
    <w:rsid w:val="00F30387"/>
    <w:rsid w:val="00F303FF"/>
    <w:rsid w:val="00F30753"/>
    <w:rsid w:val="00F307A7"/>
    <w:rsid w:val="00F30D1F"/>
    <w:rsid w:val="00F3105B"/>
    <w:rsid w:val="00F310A0"/>
    <w:rsid w:val="00F310B5"/>
    <w:rsid w:val="00F310B9"/>
    <w:rsid w:val="00F3136B"/>
    <w:rsid w:val="00F31A06"/>
    <w:rsid w:val="00F31D41"/>
    <w:rsid w:val="00F32339"/>
    <w:rsid w:val="00F32360"/>
    <w:rsid w:val="00F32A8C"/>
    <w:rsid w:val="00F32AB1"/>
    <w:rsid w:val="00F32CC0"/>
    <w:rsid w:val="00F32DCA"/>
    <w:rsid w:val="00F33100"/>
    <w:rsid w:val="00F3311F"/>
    <w:rsid w:val="00F33121"/>
    <w:rsid w:val="00F33149"/>
    <w:rsid w:val="00F332B9"/>
    <w:rsid w:val="00F33410"/>
    <w:rsid w:val="00F334CA"/>
    <w:rsid w:val="00F33724"/>
    <w:rsid w:val="00F33817"/>
    <w:rsid w:val="00F33AA1"/>
    <w:rsid w:val="00F33BB1"/>
    <w:rsid w:val="00F33C42"/>
    <w:rsid w:val="00F33C4C"/>
    <w:rsid w:val="00F33C75"/>
    <w:rsid w:val="00F33F2B"/>
    <w:rsid w:val="00F34157"/>
    <w:rsid w:val="00F345A2"/>
    <w:rsid w:val="00F347BB"/>
    <w:rsid w:val="00F347E7"/>
    <w:rsid w:val="00F348E7"/>
    <w:rsid w:val="00F348F6"/>
    <w:rsid w:val="00F34CC6"/>
    <w:rsid w:val="00F34CFD"/>
    <w:rsid w:val="00F35019"/>
    <w:rsid w:val="00F35193"/>
    <w:rsid w:val="00F3543E"/>
    <w:rsid w:val="00F3553F"/>
    <w:rsid w:val="00F3560E"/>
    <w:rsid w:val="00F357A3"/>
    <w:rsid w:val="00F35A06"/>
    <w:rsid w:val="00F35B1A"/>
    <w:rsid w:val="00F35BC7"/>
    <w:rsid w:val="00F35E35"/>
    <w:rsid w:val="00F3604B"/>
    <w:rsid w:val="00F3616D"/>
    <w:rsid w:val="00F36432"/>
    <w:rsid w:val="00F36891"/>
    <w:rsid w:val="00F36E74"/>
    <w:rsid w:val="00F37146"/>
    <w:rsid w:val="00F371A0"/>
    <w:rsid w:val="00F371EC"/>
    <w:rsid w:val="00F372BA"/>
    <w:rsid w:val="00F375BB"/>
    <w:rsid w:val="00F37744"/>
    <w:rsid w:val="00F377B8"/>
    <w:rsid w:val="00F377F7"/>
    <w:rsid w:val="00F3798B"/>
    <w:rsid w:val="00F379CB"/>
    <w:rsid w:val="00F37B57"/>
    <w:rsid w:val="00F37E56"/>
    <w:rsid w:val="00F404AF"/>
    <w:rsid w:val="00F40568"/>
    <w:rsid w:val="00F407C2"/>
    <w:rsid w:val="00F408AA"/>
    <w:rsid w:val="00F4098A"/>
    <w:rsid w:val="00F409DF"/>
    <w:rsid w:val="00F40B96"/>
    <w:rsid w:val="00F40BE4"/>
    <w:rsid w:val="00F40D42"/>
    <w:rsid w:val="00F410C8"/>
    <w:rsid w:val="00F41416"/>
    <w:rsid w:val="00F4223F"/>
    <w:rsid w:val="00F4288A"/>
    <w:rsid w:val="00F42A36"/>
    <w:rsid w:val="00F42EEE"/>
    <w:rsid w:val="00F431A5"/>
    <w:rsid w:val="00F43398"/>
    <w:rsid w:val="00F4354F"/>
    <w:rsid w:val="00F43B72"/>
    <w:rsid w:val="00F43C99"/>
    <w:rsid w:val="00F43F92"/>
    <w:rsid w:val="00F441A4"/>
    <w:rsid w:val="00F442DB"/>
    <w:rsid w:val="00F44412"/>
    <w:rsid w:val="00F44C03"/>
    <w:rsid w:val="00F44C36"/>
    <w:rsid w:val="00F44C5E"/>
    <w:rsid w:val="00F44D57"/>
    <w:rsid w:val="00F452E6"/>
    <w:rsid w:val="00F453FA"/>
    <w:rsid w:val="00F455DA"/>
    <w:rsid w:val="00F45779"/>
    <w:rsid w:val="00F458EA"/>
    <w:rsid w:val="00F45B7E"/>
    <w:rsid w:val="00F45C3B"/>
    <w:rsid w:val="00F45E6F"/>
    <w:rsid w:val="00F46004"/>
    <w:rsid w:val="00F46168"/>
    <w:rsid w:val="00F461C9"/>
    <w:rsid w:val="00F463A1"/>
    <w:rsid w:val="00F4651A"/>
    <w:rsid w:val="00F46588"/>
    <w:rsid w:val="00F466E3"/>
    <w:rsid w:val="00F46755"/>
    <w:rsid w:val="00F46B64"/>
    <w:rsid w:val="00F46BE9"/>
    <w:rsid w:val="00F46FA9"/>
    <w:rsid w:val="00F4704A"/>
    <w:rsid w:val="00F4728C"/>
    <w:rsid w:val="00F4744E"/>
    <w:rsid w:val="00F476E6"/>
    <w:rsid w:val="00F47877"/>
    <w:rsid w:val="00F47B4A"/>
    <w:rsid w:val="00F5007C"/>
    <w:rsid w:val="00F50108"/>
    <w:rsid w:val="00F50494"/>
    <w:rsid w:val="00F50727"/>
    <w:rsid w:val="00F50786"/>
    <w:rsid w:val="00F50AC7"/>
    <w:rsid w:val="00F50B33"/>
    <w:rsid w:val="00F50CAD"/>
    <w:rsid w:val="00F50E5F"/>
    <w:rsid w:val="00F510CD"/>
    <w:rsid w:val="00F51220"/>
    <w:rsid w:val="00F5130A"/>
    <w:rsid w:val="00F513AE"/>
    <w:rsid w:val="00F51507"/>
    <w:rsid w:val="00F5168F"/>
    <w:rsid w:val="00F518BB"/>
    <w:rsid w:val="00F519BB"/>
    <w:rsid w:val="00F519C0"/>
    <w:rsid w:val="00F51D98"/>
    <w:rsid w:val="00F51FF3"/>
    <w:rsid w:val="00F5200F"/>
    <w:rsid w:val="00F52BC0"/>
    <w:rsid w:val="00F52E51"/>
    <w:rsid w:val="00F53215"/>
    <w:rsid w:val="00F5364C"/>
    <w:rsid w:val="00F5379C"/>
    <w:rsid w:val="00F53885"/>
    <w:rsid w:val="00F53BC5"/>
    <w:rsid w:val="00F53D43"/>
    <w:rsid w:val="00F53D54"/>
    <w:rsid w:val="00F53DF8"/>
    <w:rsid w:val="00F5421F"/>
    <w:rsid w:val="00F54288"/>
    <w:rsid w:val="00F5444F"/>
    <w:rsid w:val="00F54A8D"/>
    <w:rsid w:val="00F55374"/>
    <w:rsid w:val="00F55385"/>
    <w:rsid w:val="00F555AB"/>
    <w:rsid w:val="00F55731"/>
    <w:rsid w:val="00F5596F"/>
    <w:rsid w:val="00F55B6E"/>
    <w:rsid w:val="00F55C63"/>
    <w:rsid w:val="00F55CF3"/>
    <w:rsid w:val="00F55EAB"/>
    <w:rsid w:val="00F563ED"/>
    <w:rsid w:val="00F56496"/>
    <w:rsid w:val="00F564C5"/>
    <w:rsid w:val="00F5653F"/>
    <w:rsid w:val="00F5694F"/>
    <w:rsid w:val="00F56A4D"/>
    <w:rsid w:val="00F56B98"/>
    <w:rsid w:val="00F56C6F"/>
    <w:rsid w:val="00F56CF5"/>
    <w:rsid w:val="00F56DE5"/>
    <w:rsid w:val="00F570AD"/>
    <w:rsid w:val="00F5712B"/>
    <w:rsid w:val="00F575A0"/>
    <w:rsid w:val="00F57631"/>
    <w:rsid w:val="00F577DD"/>
    <w:rsid w:val="00F577F4"/>
    <w:rsid w:val="00F5794C"/>
    <w:rsid w:val="00F57B6F"/>
    <w:rsid w:val="00F57F12"/>
    <w:rsid w:val="00F60244"/>
    <w:rsid w:val="00F60312"/>
    <w:rsid w:val="00F60433"/>
    <w:rsid w:val="00F6059A"/>
    <w:rsid w:val="00F60647"/>
    <w:rsid w:val="00F6068B"/>
    <w:rsid w:val="00F60895"/>
    <w:rsid w:val="00F60950"/>
    <w:rsid w:val="00F60B9D"/>
    <w:rsid w:val="00F60BE0"/>
    <w:rsid w:val="00F60D39"/>
    <w:rsid w:val="00F60F2A"/>
    <w:rsid w:val="00F6149D"/>
    <w:rsid w:val="00F614DA"/>
    <w:rsid w:val="00F61A20"/>
    <w:rsid w:val="00F61A97"/>
    <w:rsid w:val="00F61B1E"/>
    <w:rsid w:val="00F61C01"/>
    <w:rsid w:val="00F61DEA"/>
    <w:rsid w:val="00F61DFF"/>
    <w:rsid w:val="00F61F55"/>
    <w:rsid w:val="00F622B0"/>
    <w:rsid w:val="00F62316"/>
    <w:rsid w:val="00F6233A"/>
    <w:rsid w:val="00F62476"/>
    <w:rsid w:val="00F628E4"/>
    <w:rsid w:val="00F62ACF"/>
    <w:rsid w:val="00F62C28"/>
    <w:rsid w:val="00F62FEC"/>
    <w:rsid w:val="00F63108"/>
    <w:rsid w:val="00F63170"/>
    <w:rsid w:val="00F63203"/>
    <w:rsid w:val="00F63439"/>
    <w:rsid w:val="00F6348F"/>
    <w:rsid w:val="00F63606"/>
    <w:rsid w:val="00F63709"/>
    <w:rsid w:val="00F6389E"/>
    <w:rsid w:val="00F639FA"/>
    <w:rsid w:val="00F63A61"/>
    <w:rsid w:val="00F63A70"/>
    <w:rsid w:val="00F63B29"/>
    <w:rsid w:val="00F63DFA"/>
    <w:rsid w:val="00F63E07"/>
    <w:rsid w:val="00F63F44"/>
    <w:rsid w:val="00F6440E"/>
    <w:rsid w:val="00F64432"/>
    <w:rsid w:val="00F646A9"/>
    <w:rsid w:val="00F64A55"/>
    <w:rsid w:val="00F64E1B"/>
    <w:rsid w:val="00F650B4"/>
    <w:rsid w:val="00F6515B"/>
    <w:rsid w:val="00F651F0"/>
    <w:rsid w:val="00F653BD"/>
    <w:rsid w:val="00F65608"/>
    <w:rsid w:val="00F6578F"/>
    <w:rsid w:val="00F65973"/>
    <w:rsid w:val="00F65EC7"/>
    <w:rsid w:val="00F6600B"/>
    <w:rsid w:val="00F6606A"/>
    <w:rsid w:val="00F66220"/>
    <w:rsid w:val="00F663FF"/>
    <w:rsid w:val="00F66454"/>
    <w:rsid w:val="00F665AC"/>
    <w:rsid w:val="00F66764"/>
    <w:rsid w:val="00F667E5"/>
    <w:rsid w:val="00F668C3"/>
    <w:rsid w:val="00F66F8D"/>
    <w:rsid w:val="00F6729A"/>
    <w:rsid w:val="00F673B3"/>
    <w:rsid w:val="00F6745C"/>
    <w:rsid w:val="00F67930"/>
    <w:rsid w:val="00F67AE8"/>
    <w:rsid w:val="00F67CF0"/>
    <w:rsid w:val="00F702DD"/>
    <w:rsid w:val="00F70340"/>
    <w:rsid w:val="00F7061D"/>
    <w:rsid w:val="00F7089C"/>
    <w:rsid w:val="00F709D2"/>
    <w:rsid w:val="00F70A01"/>
    <w:rsid w:val="00F70B79"/>
    <w:rsid w:val="00F70FBE"/>
    <w:rsid w:val="00F71338"/>
    <w:rsid w:val="00F71731"/>
    <w:rsid w:val="00F71863"/>
    <w:rsid w:val="00F71951"/>
    <w:rsid w:val="00F71B8C"/>
    <w:rsid w:val="00F71B9A"/>
    <w:rsid w:val="00F71E04"/>
    <w:rsid w:val="00F72214"/>
    <w:rsid w:val="00F72452"/>
    <w:rsid w:val="00F72469"/>
    <w:rsid w:val="00F72DB0"/>
    <w:rsid w:val="00F72DD9"/>
    <w:rsid w:val="00F72EFB"/>
    <w:rsid w:val="00F7338B"/>
    <w:rsid w:val="00F733F5"/>
    <w:rsid w:val="00F736BC"/>
    <w:rsid w:val="00F73BC8"/>
    <w:rsid w:val="00F73FD9"/>
    <w:rsid w:val="00F7415B"/>
    <w:rsid w:val="00F74424"/>
    <w:rsid w:val="00F745F0"/>
    <w:rsid w:val="00F7462E"/>
    <w:rsid w:val="00F7466B"/>
    <w:rsid w:val="00F74724"/>
    <w:rsid w:val="00F74A01"/>
    <w:rsid w:val="00F74C9F"/>
    <w:rsid w:val="00F74CC5"/>
    <w:rsid w:val="00F74DC9"/>
    <w:rsid w:val="00F74F54"/>
    <w:rsid w:val="00F750F2"/>
    <w:rsid w:val="00F751E1"/>
    <w:rsid w:val="00F75247"/>
    <w:rsid w:val="00F753B9"/>
    <w:rsid w:val="00F7543C"/>
    <w:rsid w:val="00F75489"/>
    <w:rsid w:val="00F757A2"/>
    <w:rsid w:val="00F7583D"/>
    <w:rsid w:val="00F75B77"/>
    <w:rsid w:val="00F75C0D"/>
    <w:rsid w:val="00F75DAD"/>
    <w:rsid w:val="00F75E1E"/>
    <w:rsid w:val="00F75EF2"/>
    <w:rsid w:val="00F7639C"/>
    <w:rsid w:val="00F7649D"/>
    <w:rsid w:val="00F764AE"/>
    <w:rsid w:val="00F764F9"/>
    <w:rsid w:val="00F768D9"/>
    <w:rsid w:val="00F76996"/>
    <w:rsid w:val="00F76AA3"/>
    <w:rsid w:val="00F76E41"/>
    <w:rsid w:val="00F76E46"/>
    <w:rsid w:val="00F7710C"/>
    <w:rsid w:val="00F77136"/>
    <w:rsid w:val="00F77159"/>
    <w:rsid w:val="00F77186"/>
    <w:rsid w:val="00F772FB"/>
    <w:rsid w:val="00F77448"/>
    <w:rsid w:val="00F774CB"/>
    <w:rsid w:val="00F77550"/>
    <w:rsid w:val="00F7784A"/>
    <w:rsid w:val="00F7789B"/>
    <w:rsid w:val="00F77915"/>
    <w:rsid w:val="00F77EC3"/>
    <w:rsid w:val="00F77EE6"/>
    <w:rsid w:val="00F80026"/>
    <w:rsid w:val="00F800E6"/>
    <w:rsid w:val="00F802D2"/>
    <w:rsid w:val="00F8055B"/>
    <w:rsid w:val="00F80838"/>
    <w:rsid w:val="00F8090A"/>
    <w:rsid w:val="00F80A2B"/>
    <w:rsid w:val="00F80A80"/>
    <w:rsid w:val="00F80FA9"/>
    <w:rsid w:val="00F8121E"/>
    <w:rsid w:val="00F81288"/>
    <w:rsid w:val="00F815BF"/>
    <w:rsid w:val="00F8170A"/>
    <w:rsid w:val="00F81894"/>
    <w:rsid w:val="00F81D91"/>
    <w:rsid w:val="00F81F87"/>
    <w:rsid w:val="00F8200D"/>
    <w:rsid w:val="00F8225E"/>
    <w:rsid w:val="00F8240F"/>
    <w:rsid w:val="00F82541"/>
    <w:rsid w:val="00F82565"/>
    <w:rsid w:val="00F827C5"/>
    <w:rsid w:val="00F82848"/>
    <w:rsid w:val="00F82B08"/>
    <w:rsid w:val="00F82B8C"/>
    <w:rsid w:val="00F82E17"/>
    <w:rsid w:val="00F82F26"/>
    <w:rsid w:val="00F83306"/>
    <w:rsid w:val="00F833EA"/>
    <w:rsid w:val="00F833FB"/>
    <w:rsid w:val="00F8352F"/>
    <w:rsid w:val="00F835B0"/>
    <w:rsid w:val="00F835C3"/>
    <w:rsid w:val="00F8387E"/>
    <w:rsid w:val="00F83888"/>
    <w:rsid w:val="00F8397F"/>
    <w:rsid w:val="00F83E38"/>
    <w:rsid w:val="00F840E6"/>
    <w:rsid w:val="00F84579"/>
    <w:rsid w:val="00F84620"/>
    <w:rsid w:val="00F846A0"/>
    <w:rsid w:val="00F847E7"/>
    <w:rsid w:val="00F8491F"/>
    <w:rsid w:val="00F84A88"/>
    <w:rsid w:val="00F84B7D"/>
    <w:rsid w:val="00F84BA9"/>
    <w:rsid w:val="00F84C46"/>
    <w:rsid w:val="00F84F31"/>
    <w:rsid w:val="00F853FB"/>
    <w:rsid w:val="00F85586"/>
    <w:rsid w:val="00F857FF"/>
    <w:rsid w:val="00F85812"/>
    <w:rsid w:val="00F85842"/>
    <w:rsid w:val="00F85857"/>
    <w:rsid w:val="00F85C6B"/>
    <w:rsid w:val="00F85D6D"/>
    <w:rsid w:val="00F85E17"/>
    <w:rsid w:val="00F85E44"/>
    <w:rsid w:val="00F85E67"/>
    <w:rsid w:val="00F86701"/>
    <w:rsid w:val="00F86741"/>
    <w:rsid w:val="00F8675B"/>
    <w:rsid w:val="00F86A48"/>
    <w:rsid w:val="00F86B2B"/>
    <w:rsid w:val="00F86F83"/>
    <w:rsid w:val="00F86FD1"/>
    <w:rsid w:val="00F87133"/>
    <w:rsid w:val="00F876B0"/>
    <w:rsid w:val="00F879D9"/>
    <w:rsid w:val="00F87BB8"/>
    <w:rsid w:val="00F90589"/>
    <w:rsid w:val="00F9062F"/>
    <w:rsid w:val="00F907DF"/>
    <w:rsid w:val="00F90860"/>
    <w:rsid w:val="00F90862"/>
    <w:rsid w:val="00F908DE"/>
    <w:rsid w:val="00F90C0A"/>
    <w:rsid w:val="00F90CBC"/>
    <w:rsid w:val="00F90FFF"/>
    <w:rsid w:val="00F915C0"/>
    <w:rsid w:val="00F916F4"/>
    <w:rsid w:val="00F91860"/>
    <w:rsid w:val="00F9187B"/>
    <w:rsid w:val="00F91894"/>
    <w:rsid w:val="00F91955"/>
    <w:rsid w:val="00F919D3"/>
    <w:rsid w:val="00F91A01"/>
    <w:rsid w:val="00F91BBE"/>
    <w:rsid w:val="00F9215C"/>
    <w:rsid w:val="00F9229E"/>
    <w:rsid w:val="00F9250D"/>
    <w:rsid w:val="00F927B2"/>
    <w:rsid w:val="00F92A47"/>
    <w:rsid w:val="00F92B58"/>
    <w:rsid w:val="00F92BC2"/>
    <w:rsid w:val="00F92BD7"/>
    <w:rsid w:val="00F92FB7"/>
    <w:rsid w:val="00F932E7"/>
    <w:rsid w:val="00F93310"/>
    <w:rsid w:val="00F93408"/>
    <w:rsid w:val="00F9369D"/>
    <w:rsid w:val="00F93761"/>
    <w:rsid w:val="00F93774"/>
    <w:rsid w:val="00F93803"/>
    <w:rsid w:val="00F9392C"/>
    <w:rsid w:val="00F93C78"/>
    <w:rsid w:val="00F93E56"/>
    <w:rsid w:val="00F943D5"/>
    <w:rsid w:val="00F9478E"/>
    <w:rsid w:val="00F94B96"/>
    <w:rsid w:val="00F94DC0"/>
    <w:rsid w:val="00F94F0A"/>
    <w:rsid w:val="00F9505E"/>
    <w:rsid w:val="00F9524E"/>
    <w:rsid w:val="00F9589D"/>
    <w:rsid w:val="00F958EC"/>
    <w:rsid w:val="00F96005"/>
    <w:rsid w:val="00F960F4"/>
    <w:rsid w:val="00F96441"/>
    <w:rsid w:val="00F96711"/>
    <w:rsid w:val="00F96749"/>
    <w:rsid w:val="00F967B1"/>
    <w:rsid w:val="00F9688E"/>
    <w:rsid w:val="00F96D58"/>
    <w:rsid w:val="00F97166"/>
    <w:rsid w:val="00F971A5"/>
    <w:rsid w:val="00F975CD"/>
    <w:rsid w:val="00F97810"/>
    <w:rsid w:val="00F97A8C"/>
    <w:rsid w:val="00FA005A"/>
    <w:rsid w:val="00FA027A"/>
    <w:rsid w:val="00FA0499"/>
    <w:rsid w:val="00FA07D9"/>
    <w:rsid w:val="00FA09C6"/>
    <w:rsid w:val="00FA09DC"/>
    <w:rsid w:val="00FA0A74"/>
    <w:rsid w:val="00FA0EC8"/>
    <w:rsid w:val="00FA11B8"/>
    <w:rsid w:val="00FA18D8"/>
    <w:rsid w:val="00FA1912"/>
    <w:rsid w:val="00FA1A74"/>
    <w:rsid w:val="00FA1BB9"/>
    <w:rsid w:val="00FA2246"/>
    <w:rsid w:val="00FA2385"/>
    <w:rsid w:val="00FA2490"/>
    <w:rsid w:val="00FA24A7"/>
    <w:rsid w:val="00FA24D7"/>
    <w:rsid w:val="00FA2E2E"/>
    <w:rsid w:val="00FA2E61"/>
    <w:rsid w:val="00FA2F26"/>
    <w:rsid w:val="00FA3054"/>
    <w:rsid w:val="00FA307C"/>
    <w:rsid w:val="00FA30F1"/>
    <w:rsid w:val="00FA3594"/>
    <w:rsid w:val="00FA36E4"/>
    <w:rsid w:val="00FA37E3"/>
    <w:rsid w:val="00FA3C55"/>
    <w:rsid w:val="00FA3D9E"/>
    <w:rsid w:val="00FA3EA3"/>
    <w:rsid w:val="00FA3FD2"/>
    <w:rsid w:val="00FA4077"/>
    <w:rsid w:val="00FA40F6"/>
    <w:rsid w:val="00FA42EC"/>
    <w:rsid w:val="00FA4409"/>
    <w:rsid w:val="00FA4436"/>
    <w:rsid w:val="00FA49F4"/>
    <w:rsid w:val="00FA4B2D"/>
    <w:rsid w:val="00FA4E1D"/>
    <w:rsid w:val="00FA4ED3"/>
    <w:rsid w:val="00FA5175"/>
    <w:rsid w:val="00FA5536"/>
    <w:rsid w:val="00FA557C"/>
    <w:rsid w:val="00FA570B"/>
    <w:rsid w:val="00FA5790"/>
    <w:rsid w:val="00FA57CE"/>
    <w:rsid w:val="00FA5BA2"/>
    <w:rsid w:val="00FA5BD1"/>
    <w:rsid w:val="00FA61B5"/>
    <w:rsid w:val="00FA61F8"/>
    <w:rsid w:val="00FA6271"/>
    <w:rsid w:val="00FA6B7D"/>
    <w:rsid w:val="00FA6C5D"/>
    <w:rsid w:val="00FA6CF2"/>
    <w:rsid w:val="00FA6F9D"/>
    <w:rsid w:val="00FA7164"/>
    <w:rsid w:val="00FA7680"/>
    <w:rsid w:val="00FA78E4"/>
    <w:rsid w:val="00FA7980"/>
    <w:rsid w:val="00FA7B43"/>
    <w:rsid w:val="00FA7D80"/>
    <w:rsid w:val="00FB03E5"/>
    <w:rsid w:val="00FB04B6"/>
    <w:rsid w:val="00FB04CA"/>
    <w:rsid w:val="00FB055F"/>
    <w:rsid w:val="00FB0626"/>
    <w:rsid w:val="00FB0846"/>
    <w:rsid w:val="00FB0A3C"/>
    <w:rsid w:val="00FB0DA0"/>
    <w:rsid w:val="00FB1012"/>
    <w:rsid w:val="00FB135B"/>
    <w:rsid w:val="00FB1595"/>
    <w:rsid w:val="00FB17C8"/>
    <w:rsid w:val="00FB18A8"/>
    <w:rsid w:val="00FB19BC"/>
    <w:rsid w:val="00FB1CCC"/>
    <w:rsid w:val="00FB1F81"/>
    <w:rsid w:val="00FB2335"/>
    <w:rsid w:val="00FB24EB"/>
    <w:rsid w:val="00FB25DA"/>
    <w:rsid w:val="00FB2605"/>
    <w:rsid w:val="00FB26E9"/>
    <w:rsid w:val="00FB27CC"/>
    <w:rsid w:val="00FB27F2"/>
    <w:rsid w:val="00FB2881"/>
    <w:rsid w:val="00FB2908"/>
    <w:rsid w:val="00FB2B75"/>
    <w:rsid w:val="00FB2E95"/>
    <w:rsid w:val="00FB3122"/>
    <w:rsid w:val="00FB33B8"/>
    <w:rsid w:val="00FB35B0"/>
    <w:rsid w:val="00FB3A75"/>
    <w:rsid w:val="00FB3C88"/>
    <w:rsid w:val="00FB3E8E"/>
    <w:rsid w:val="00FB3EC1"/>
    <w:rsid w:val="00FB40A7"/>
    <w:rsid w:val="00FB41A9"/>
    <w:rsid w:val="00FB41E6"/>
    <w:rsid w:val="00FB4216"/>
    <w:rsid w:val="00FB45A0"/>
    <w:rsid w:val="00FB484B"/>
    <w:rsid w:val="00FB4D3A"/>
    <w:rsid w:val="00FB4DCA"/>
    <w:rsid w:val="00FB4DDD"/>
    <w:rsid w:val="00FB5024"/>
    <w:rsid w:val="00FB51AF"/>
    <w:rsid w:val="00FB57AE"/>
    <w:rsid w:val="00FB57D2"/>
    <w:rsid w:val="00FB5946"/>
    <w:rsid w:val="00FB5A17"/>
    <w:rsid w:val="00FB5B9E"/>
    <w:rsid w:val="00FB6076"/>
    <w:rsid w:val="00FB6083"/>
    <w:rsid w:val="00FB612D"/>
    <w:rsid w:val="00FB6293"/>
    <w:rsid w:val="00FB6301"/>
    <w:rsid w:val="00FB6364"/>
    <w:rsid w:val="00FB64E4"/>
    <w:rsid w:val="00FB6670"/>
    <w:rsid w:val="00FB6987"/>
    <w:rsid w:val="00FB6A77"/>
    <w:rsid w:val="00FB6AAB"/>
    <w:rsid w:val="00FB6BCE"/>
    <w:rsid w:val="00FB6CE7"/>
    <w:rsid w:val="00FB6ED5"/>
    <w:rsid w:val="00FB6FAD"/>
    <w:rsid w:val="00FB72A2"/>
    <w:rsid w:val="00FB7411"/>
    <w:rsid w:val="00FB74AD"/>
    <w:rsid w:val="00FB7645"/>
    <w:rsid w:val="00FC0161"/>
    <w:rsid w:val="00FC0293"/>
    <w:rsid w:val="00FC0529"/>
    <w:rsid w:val="00FC0621"/>
    <w:rsid w:val="00FC0641"/>
    <w:rsid w:val="00FC0739"/>
    <w:rsid w:val="00FC0B25"/>
    <w:rsid w:val="00FC0CD8"/>
    <w:rsid w:val="00FC0DC3"/>
    <w:rsid w:val="00FC0DDC"/>
    <w:rsid w:val="00FC0FCD"/>
    <w:rsid w:val="00FC1172"/>
    <w:rsid w:val="00FC129D"/>
    <w:rsid w:val="00FC1320"/>
    <w:rsid w:val="00FC176D"/>
    <w:rsid w:val="00FC1776"/>
    <w:rsid w:val="00FC1795"/>
    <w:rsid w:val="00FC17A5"/>
    <w:rsid w:val="00FC18E2"/>
    <w:rsid w:val="00FC1970"/>
    <w:rsid w:val="00FC1E6F"/>
    <w:rsid w:val="00FC2281"/>
    <w:rsid w:val="00FC266B"/>
    <w:rsid w:val="00FC2782"/>
    <w:rsid w:val="00FC27BF"/>
    <w:rsid w:val="00FC2BE8"/>
    <w:rsid w:val="00FC2C58"/>
    <w:rsid w:val="00FC2DD6"/>
    <w:rsid w:val="00FC2DF2"/>
    <w:rsid w:val="00FC3004"/>
    <w:rsid w:val="00FC33CF"/>
    <w:rsid w:val="00FC3856"/>
    <w:rsid w:val="00FC3AD3"/>
    <w:rsid w:val="00FC3B0F"/>
    <w:rsid w:val="00FC3DA6"/>
    <w:rsid w:val="00FC3DA7"/>
    <w:rsid w:val="00FC3E2D"/>
    <w:rsid w:val="00FC3F43"/>
    <w:rsid w:val="00FC3F6F"/>
    <w:rsid w:val="00FC3FEE"/>
    <w:rsid w:val="00FC4596"/>
    <w:rsid w:val="00FC47A6"/>
    <w:rsid w:val="00FC47A8"/>
    <w:rsid w:val="00FC48BE"/>
    <w:rsid w:val="00FC49CE"/>
    <w:rsid w:val="00FC4AEA"/>
    <w:rsid w:val="00FC4B59"/>
    <w:rsid w:val="00FC4B72"/>
    <w:rsid w:val="00FC4B86"/>
    <w:rsid w:val="00FC4CE9"/>
    <w:rsid w:val="00FC4F59"/>
    <w:rsid w:val="00FC5078"/>
    <w:rsid w:val="00FC50E6"/>
    <w:rsid w:val="00FC53AF"/>
    <w:rsid w:val="00FC57EF"/>
    <w:rsid w:val="00FC59C8"/>
    <w:rsid w:val="00FC5A98"/>
    <w:rsid w:val="00FC5ADD"/>
    <w:rsid w:val="00FC5B22"/>
    <w:rsid w:val="00FC5F0E"/>
    <w:rsid w:val="00FC6406"/>
    <w:rsid w:val="00FC640B"/>
    <w:rsid w:val="00FC6612"/>
    <w:rsid w:val="00FC6798"/>
    <w:rsid w:val="00FC694C"/>
    <w:rsid w:val="00FC6FD9"/>
    <w:rsid w:val="00FC730F"/>
    <w:rsid w:val="00FC7455"/>
    <w:rsid w:val="00FC7A1D"/>
    <w:rsid w:val="00FC7F1D"/>
    <w:rsid w:val="00FD00D5"/>
    <w:rsid w:val="00FD04AF"/>
    <w:rsid w:val="00FD060D"/>
    <w:rsid w:val="00FD0D42"/>
    <w:rsid w:val="00FD0E84"/>
    <w:rsid w:val="00FD0EB3"/>
    <w:rsid w:val="00FD0FBD"/>
    <w:rsid w:val="00FD10D4"/>
    <w:rsid w:val="00FD1329"/>
    <w:rsid w:val="00FD156F"/>
    <w:rsid w:val="00FD1647"/>
    <w:rsid w:val="00FD18F2"/>
    <w:rsid w:val="00FD1927"/>
    <w:rsid w:val="00FD19B7"/>
    <w:rsid w:val="00FD2102"/>
    <w:rsid w:val="00FD21FF"/>
    <w:rsid w:val="00FD2960"/>
    <w:rsid w:val="00FD2CC4"/>
    <w:rsid w:val="00FD2E6F"/>
    <w:rsid w:val="00FD2F5C"/>
    <w:rsid w:val="00FD362E"/>
    <w:rsid w:val="00FD372B"/>
    <w:rsid w:val="00FD3BDC"/>
    <w:rsid w:val="00FD3C53"/>
    <w:rsid w:val="00FD3F8C"/>
    <w:rsid w:val="00FD42F1"/>
    <w:rsid w:val="00FD4454"/>
    <w:rsid w:val="00FD44E8"/>
    <w:rsid w:val="00FD4603"/>
    <w:rsid w:val="00FD479E"/>
    <w:rsid w:val="00FD47BA"/>
    <w:rsid w:val="00FD47C4"/>
    <w:rsid w:val="00FD488C"/>
    <w:rsid w:val="00FD48AF"/>
    <w:rsid w:val="00FD4D90"/>
    <w:rsid w:val="00FD5135"/>
    <w:rsid w:val="00FD51BB"/>
    <w:rsid w:val="00FD52DF"/>
    <w:rsid w:val="00FD54E4"/>
    <w:rsid w:val="00FD595F"/>
    <w:rsid w:val="00FD5B19"/>
    <w:rsid w:val="00FD5C3D"/>
    <w:rsid w:val="00FD5D37"/>
    <w:rsid w:val="00FD5D7A"/>
    <w:rsid w:val="00FD5DD0"/>
    <w:rsid w:val="00FD7053"/>
    <w:rsid w:val="00FD7139"/>
    <w:rsid w:val="00FD74B2"/>
    <w:rsid w:val="00FD762B"/>
    <w:rsid w:val="00FD768E"/>
    <w:rsid w:val="00FD7754"/>
    <w:rsid w:val="00FD7CBA"/>
    <w:rsid w:val="00FD7EFD"/>
    <w:rsid w:val="00FD7FB5"/>
    <w:rsid w:val="00FE0128"/>
    <w:rsid w:val="00FE0267"/>
    <w:rsid w:val="00FE02B3"/>
    <w:rsid w:val="00FE02F7"/>
    <w:rsid w:val="00FE057E"/>
    <w:rsid w:val="00FE05D2"/>
    <w:rsid w:val="00FE06D3"/>
    <w:rsid w:val="00FE0775"/>
    <w:rsid w:val="00FE0948"/>
    <w:rsid w:val="00FE0960"/>
    <w:rsid w:val="00FE0971"/>
    <w:rsid w:val="00FE09C2"/>
    <w:rsid w:val="00FE0CB2"/>
    <w:rsid w:val="00FE1077"/>
    <w:rsid w:val="00FE1247"/>
    <w:rsid w:val="00FE13CA"/>
    <w:rsid w:val="00FE18A7"/>
    <w:rsid w:val="00FE18F0"/>
    <w:rsid w:val="00FE1953"/>
    <w:rsid w:val="00FE1A82"/>
    <w:rsid w:val="00FE1B6B"/>
    <w:rsid w:val="00FE1CBD"/>
    <w:rsid w:val="00FE1F50"/>
    <w:rsid w:val="00FE2265"/>
    <w:rsid w:val="00FE24E5"/>
    <w:rsid w:val="00FE24F4"/>
    <w:rsid w:val="00FE266A"/>
    <w:rsid w:val="00FE26AB"/>
    <w:rsid w:val="00FE27CB"/>
    <w:rsid w:val="00FE2B09"/>
    <w:rsid w:val="00FE2B0F"/>
    <w:rsid w:val="00FE2F39"/>
    <w:rsid w:val="00FE3453"/>
    <w:rsid w:val="00FE3514"/>
    <w:rsid w:val="00FE3661"/>
    <w:rsid w:val="00FE36BC"/>
    <w:rsid w:val="00FE3880"/>
    <w:rsid w:val="00FE3A3B"/>
    <w:rsid w:val="00FE3CBD"/>
    <w:rsid w:val="00FE3CF8"/>
    <w:rsid w:val="00FE3D2A"/>
    <w:rsid w:val="00FE3DED"/>
    <w:rsid w:val="00FE3FDC"/>
    <w:rsid w:val="00FE4450"/>
    <w:rsid w:val="00FE44CD"/>
    <w:rsid w:val="00FE45B4"/>
    <w:rsid w:val="00FE48B8"/>
    <w:rsid w:val="00FE494C"/>
    <w:rsid w:val="00FE4D84"/>
    <w:rsid w:val="00FE54E4"/>
    <w:rsid w:val="00FE5598"/>
    <w:rsid w:val="00FE5B57"/>
    <w:rsid w:val="00FE5C5D"/>
    <w:rsid w:val="00FE5D22"/>
    <w:rsid w:val="00FE6096"/>
    <w:rsid w:val="00FE60D5"/>
    <w:rsid w:val="00FE6180"/>
    <w:rsid w:val="00FE65F8"/>
    <w:rsid w:val="00FE66DC"/>
    <w:rsid w:val="00FE67FE"/>
    <w:rsid w:val="00FE69D5"/>
    <w:rsid w:val="00FE69EE"/>
    <w:rsid w:val="00FE69FD"/>
    <w:rsid w:val="00FE6D71"/>
    <w:rsid w:val="00FE6D94"/>
    <w:rsid w:val="00FE71E5"/>
    <w:rsid w:val="00FE753B"/>
    <w:rsid w:val="00FE753E"/>
    <w:rsid w:val="00FE7A05"/>
    <w:rsid w:val="00FE7ACC"/>
    <w:rsid w:val="00FE7E0C"/>
    <w:rsid w:val="00FF004C"/>
    <w:rsid w:val="00FF05A9"/>
    <w:rsid w:val="00FF0B4E"/>
    <w:rsid w:val="00FF0D0B"/>
    <w:rsid w:val="00FF0D4B"/>
    <w:rsid w:val="00FF1250"/>
    <w:rsid w:val="00FF154A"/>
    <w:rsid w:val="00FF1885"/>
    <w:rsid w:val="00FF1DC9"/>
    <w:rsid w:val="00FF1EBE"/>
    <w:rsid w:val="00FF1FA3"/>
    <w:rsid w:val="00FF21DE"/>
    <w:rsid w:val="00FF2279"/>
    <w:rsid w:val="00FF2331"/>
    <w:rsid w:val="00FF24F5"/>
    <w:rsid w:val="00FF29CD"/>
    <w:rsid w:val="00FF2BE4"/>
    <w:rsid w:val="00FF2C68"/>
    <w:rsid w:val="00FF2F22"/>
    <w:rsid w:val="00FF306A"/>
    <w:rsid w:val="00FF3147"/>
    <w:rsid w:val="00FF37EF"/>
    <w:rsid w:val="00FF392F"/>
    <w:rsid w:val="00FF39D4"/>
    <w:rsid w:val="00FF3ABA"/>
    <w:rsid w:val="00FF3ACB"/>
    <w:rsid w:val="00FF3C29"/>
    <w:rsid w:val="00FF3C39"/>
    <w:rsid w:val="00FF3C44"/>
    <w:rsid w:val="00FF3CE8"/>
    <w:rsid w:val="00FF400D"/>
    <w:rsid w:val="00FF4065"/>
    <w:rsid w:val="00FF40A9"/>
    <w:rsid w:val="00FF43F3"/>
    <w:rsid w:val="00FF456B"/>
    <w:rsid w:val="00FF48B7"/>
    <w:rsid w:val="00FF48E8"/>
    <w:rsid w:val="00FF496E"/>
    <w:rsid w:val="00FF4975"/>
    <w:rsid w:val="00FF49DC"/>
    <w:rsid w:val="00FF4D94"/>
    <w:rsid w:val="00FF4E25"/>
    <w:rsid w:val="00FF51A3"/>
    <w:rsid w:val="00FF51E4"/>
    <w:rsid w:val="00FF52D7"/>
    <w:rsid w:val="00FF550C"/>
    <w:rsid w:val="00FF5574"/>
    <w:rsid w:val="00FF5583"/>
    <w:rsid w:val="00FF5594"/>
    <w:rsid w:val="00FF5603"/>
    <w:rsid w:val="00FF5886"/>
    <w:rsid w:val="00FF5902"/>
    <w:rsid w:val="00FF5BE3"/>
    <w:rsid w:val="00FF5C86"/>
    <w:rsid w:val="00FF5D3B"/>
    <w:rsid w:val="00FF5D44"/>
    <w:rsid w:val="00FF5DF1"/>
    <w:rsid w:val="00FF5DFA"/>
    <w:rsid w:val="00FF5FA9"/>
    <w:rsid w:val="00FF6129"/>
    <w:rsid w:val="00FF630B"/>
    <w:rsid w:val="00FF6488"/>
    <w:rsid w:val="00FF65E2"/>
    <w:rsid w:val="00FF68A6"/>
    <w:rsid w:val="00FF6B1A"/>
    <w:rsid w:val="00FF6D40"/>
    <w:rsid w:val="00FF6E43"/>
    <w:rsid w:val="00FF6E7C"/>
    <w:rsid w:val="00FF7304"/>
    <w:rsid w:val="00FF7321"/>
    <w:rsid w:val="00FF7323"/>
    <w:rsid w:val="00FF7728"/>
    <w:rsid w:val="00FF7950"/>
    <w:rsid w:val="00FF795E"/>
    <w:rsid w:val="00FF79AB"/>
    <w:rsid w:val="00FF7E82"/>
    <w:rsid w:val="0108D2EA"/>
    <w:rsid w:val="01355909"/>
    <w:rsid w:val="013E142D"/>
    <w:rsid w:val="0143C297"/>
    <w:rsid w:val="01445796"/>
    <w:rsid w:val="018C0E09"/>
    <w:rsid w:val="018F0466"/>
    <w:rsid w:val="01A786C8"/>
    <w:rsid w:val="01CB0345"/>
    <w:rsid w:val="01D397F2"/>
    <w:rsid w:val="01D42604"/>
    <w:rsid w:val="021AA29D"/>
    <w:rsid w:val="02214F24"/>
    <w:rsid w:val="02286F91"/>
    <w:rsid w:val="0237AE52"/>
    <w:rsid w:val="02809407"/>
    <w:rsid w:val="028EEFFB"/>
    <w:rsid w:val="029105E2"/>
    <w:rsid w:val="02957092"/>
    <w:rsid w:val="029AD12D"/>
    <w:rsid w:val="02B4F4A4"/>
    <w:rsid w:val="02BDCD02"/>
    <w:rsid w:val="02F9D32D"/>
    <w:rsid w:val="0326744E"/>
    <w:rsid w:val="03371E07"/>
    <w:rsid w:val="033DEFA7"/>
    <w:rsid w:val="0346F4CF"/>
    <w:rsid w:val="036F5EED"/>
    <w:rsid w:val="038603C1"/>
    <w:rsid w:val="03A5E9B9"/>
    <w:rsid w:val="03B5C3CA"/>
    <w:rsid w:val="03D42B6B"/>
    <w:rsid w:val="041A33B7"/>
    <w:rsid w:val="043482AB"/>
    <w:rsid w:val="0454CE9B"/>
    <w:rsid w:val="048508FC"/>
    <w:rsid w:val="04AE9E04"/>
    <w:rsid w:val="04E6BD0A"/>
    <w:rsid w:val="04F532F4"/>
    <w:rsid w:val="0520207C"/>
    <w:rsid w:val="052FA9C3"/>
    <w:rsid w:val="0531C8A8"/>
    <w:rsid w:val="0558085A"/>
    <w:rsid w:val="055EB744"/>
    <w:rsid w:val="05742018"/>
    <w:rsid w:val="05880DE2"/>
    <w:rsid w:val="05946EF2"/>
    <w:rsid w:val="059880D5"/>
    <w:rsid w:val="05D315D7"/>
    <w:rsid w:val="05EB8C57"/>
    <w:rsid w:val="06466BF0"/>
    <w:rsid w:val="064BCAC4"/>
    <w:rsid w:val="069F7BA5"/>
    <w:rsid w:val="06BDA0A5"/>
    <w:rsid w:val="06C79AD4"/>
    <w:rsid w:val="0708C313"/>
    <w:rsid w:val="073D7383"/>
    <w:rsid w:val="075C3A1C"/>
    <w:rsid w:val="076BA66E"/>
    <w:rsid w:val="07883FDD"/>
    <w:rsid w:val="078B8C36"/>
    <w:rsid w:val="07A05622"/>
    <w:rsid w:val="07A24A86"/>
    <w:rsid w:val="07A48E96"/>
    <w:rsid w:val="07B9AC7B"/>
    <w:rsid w:val="07C1CFB1"/>
    <w:rsid w:val="07C2B439"/>
    <w:rsid w:val="080525FA"/>
    <w:rsid w:val="082124C9"/>
    <w:rsid w:val="083675D9"/>
    <w:rsid w:val="083C5A09"/>
    <w:rsid w:val="08409640"/>
    <w:rsid w:val="08891695"/>
    <w:rsid w:val="088C1AA3"/>
    <w:rsid w:val="088DC04B"/>
    <w:rsid w:val="08967FE5"/>
    <w:rsid w:val="08EBBEC5"/>
    <w:rsid w:val="0905E357"/>
    <w:rsid w:val="0937AB4B"/>
    <w:rsid w:val="09575A08"/>
    <w:rsid w:val="096971E2"/>
    <w:rsid w:val="09B6FF30"/>
    <w:rsid w:val="09C726BD"/>
    <w:rsid w:val="09FEB636"/>
    <w:rsid w:val="0A0698CF"/>
    <w:rsid w:val="0A1A0B0A"/>
    <w:rsid w:val="0A25CD57"/>
    <w:rsid w:val="0A2B5580"/>
    <w:rsid w:val="0A3CA0C8"/>
    <w:rsid w:val="0A6F5308"/>
    <w:rsid w:val="0A7D598D"/>
    <w:rsid w:val="0A9DE7F3"/>
    <w:rsid w:val="0AF7F8C4"/>
    <w:rsid w:val="0B09C787"/>
    <w:rsid w:val="0B0BC250"/>
    <w:rsid w:val="0B2F451C"/>
    <w:rsid w:val="0B75181A"/>
    <w:rsid w:val="0B779CCB"/>
    <w:rsid w:val="0B990ABB"/>
    <w:rsid w:val="0B9A60C8"/>
    <w:rsid w:val="0BA3814F"/>
    <w:rsid w:val="0BA87E3A"/>
    <w:rsid w:val="0BC25BF1"/>
    <w:rsid w:val="0BEF6227"/>
    <w:rsid w:val="0C0C319A"/>
    <w:rsid w:val="0C16F4E1"/>
    <w:rsid w:val="0C78079D"/>
    <w:rsid w:val="0C7C5519"/>
    <w:rsid w:val="0C9B4580"/>
    <w:rsid w:val="0CAFE6AD"/>
    <w:rsid w:val="0CB29716"/>
    <w:rsid w:val="0CD2148D"/>
    <w:rsid w:val="0CE57991"/>
    <w:rsid w:val="0CFDE7F4"/>
    <w:rsid w:val="0D01F98F"/>
    <w:rsid w:val="0D02B044"/>
    <w:rsid w:val="0D060567"/>
    <w:rsid w:val="0D125AC5"/>
    <w:rsid w:val="0D170F01"/>
    <w:rsid w:val="0D2F4F2C"/>
    <w:rsid w:val="0D4A9EEC"/>
    <w:rsid w:val="0D878D07"/>
    <w:rsid w:val="0D8F8833"/>
    <w:rsid w:val="0DA7026A"/>
    <w:rsid w:val="0DAFBE51"/>
    <w:rsid w:val="0DF47DF5"/>
    <w:rsid w:val="0E0D9DC8"/>
    <w:rsid w:val="0E158D18"/>
    <w:rsid w:val="0E1E9ED8"/>
    <w:rsid w:val="0E20B45B"/>
    <w:rsid w:val="0E34678A"/>
    <w:rsid w:val="0E71ED9F"/>
    <w:rsid w:val="0E97DF2B"/>
    <w:rsid w:val="0EA06679"/>
    <w:rsid w:val="0EE84799"/>
    <w:rsid w:val="0F763D4D"/>
    <w:rsid w:val="0F8A2EE5"/>
    <w:rsid w:val="0F8FB9B8"/>
    <w:rsid w:val="0F93F73B"/>
    <w:rsid w:val="0F9C35D2"/>
    <w:rsid w:val="0FA2C500"/>
    <w:rsid w:val="0FA5C3C7"/>
    <w:rsid w:val="1002DA56"/>
    <w:rsid w:val="1010DC66"/>
    <w:rsid w:val="102F7281"/>
    <w:rsid w:val="108D32D1"/>
    <w:rsid w:val="109AFA9A"/>
    <w:rsid w:val="10A7F24F"/>
    <w:rsid w:val="10D58F2C"/>
    <w:rsid w:val="10EC2F11"/>
    <w:rsid w:val="111068FA"/>
    <w:rsid w:val="111495FD"/>
    <w:rsid w:val="111B9035"/>
    <w:rsid w:val="114FB367"/>
    <w:rsid w:val="116C2351"/>
    <w:rsid w:val="11999B88"/>
    <w:rsid w:val="11CBD2A5"/>
    <w:rsid w:val="11D1EF94"/>
    <w:rsid w:val="11D9E990"/>
    <w:rsid w:val="1200F738"/>
    <w:rsid w:val="1222AF58"/>
    <w:rsid w:val="12A3B428"/>
    <w:rsid w:val="12A42FF5"/>
    <w:rsid w:val="12B8A0D3"/>
    <w:rsid w:val="12CB1A23"/>
    <w:rsid w:val="12E173B1"/>
    <w:rsid w:val="131EA823"/>
    <w:rsid w:val="132BB51B"/>
    <w:rsid w:val="134FD6DA"/>
    <w:rsid w:val="1363E679"/>
    <w:rsid w:val="1364732A"/>
    <w:rsid w:val="136E9B2D"/>
    <w:rsid w:val="1375AF40"/>
    <w:rsid w:val="13C4605C"/>
    <w:rsid w:val="13DBD787"/>
    <w:rsid w:val="13EC657B"/>
    <w:rsid w:val="13EF465D"/>
    <w:rsid w:val="13EFAF7D"/>
    <w:rsid w:val="13FDE8A5"/>
    <w:rsid w:val="14012EF0"/>
    <w:rsid w:val="140A820A"/>
    <w:rsid w:val="140C1174"/>
    <w:rsid w:val="141BDB1E"/>
    <w:rsid w:val="1432D1B1"/>
    <w:rsid w:val="14AC90C7"/>
    <w:rsid w:val="14B3CD08"/>
    <w:rsid w:val="14B45A79"/>
    <w:rsid w:val="150CF331"/>
    <w:rsid w:val="155718CC"/>
    <w:rsid w:val="1571F500"/>
    <w:rsid w:val="1588CAD7"/>
    <w:rsid w:val="15E7B7FF"/>
    <w:rsid w:val="15EC8D14"/>
    <w:rsid w:val="15FA3353"/>
    <w:rsid w:val="1649907F"/>
    <w:rsid w:val="16515BD8"/>
    <w:rsid w:val="16820558"/>
    <w:rsid w:val="16C842B7"/>
    <w:rsid w:val="16D04866"/>
    <w:rsid w:val="170CDF38"/>
    <w:rsid w:val="175176D9"/>
    <w:rsid w:val="175D92CC"/>
    <w:rsid w:val="17780EC2"/>
    <w:rsid w:val="177AA59A"/>
    <w:rsid w:val="1799D47E"/>
    <w:rsid w:val="179E0C84"/>
    <w:rsid w:val="17B2DA26"/>
    <w:rsid w:val="17B970DC"/>
    <w:rsid w:val="17CCD2B6"/>
    <w:rsid w:val="17D5DE7B"/>
    <w:rsid w:val="17D9FC8C"/>
    <w:rsid w:val="17E3F566"/>
    <w:rsid w:val="17EA0515"/>
    <w:rsid w:val="17F10F21"/>
    <w:rsid w:val="1862E595"/>
    <w:rsid w:val="18811941"/>
    <w:rsid w:val="18A5DC29"/>
    <w:rsid w:val="18EC76B9"/>
    <w:rsid w:val="18F76D66"/>
    <w:rsid w:val="19036451"/>
    <w:rsid w:val="194B8CB2"/>
    <w:rsid w:val="194CE99E"/>
    <w:rsid w:val="1956E075"/>
    <w:rsid w:val="19644F6D"/>
    <w:rsid w:val="19739206"/>
    <w:rsid w:val="19829DF4"/>
    <w:rsid w:val="19868033"/>
    <w:rsid w:val="19A78D9A"/>
    <w:rsid w:val="19D4E21D"/>
    <w:rsid w:val="19F4F556"/>
    <w:rsid w:val="1A1CE3D4"/>
    <w:rsid w:val="1A3C685B"/>
    <w:rsid w:val="1A57E725"/>
    <w:rsid w:val="1A6437C4"/>
    <w:rsid w:val="1A92BA0F"/>
    <w:rsid w:val="1AB2E0FF"/>
    <w:rsid w:val="1AC0AD46"/>
    <w:rsid w:val="1AC74F9B"/>
    <w:rsid w:val="1B2D01F6"/>
    <w:rsid w:val="1B52AB56"/>
    <w:rsid w:val="1B886EB3"/>
    <w:rsid w:val="1BD67FD5"/>
    <w:rsid w:val="1C0BD692"/>
    <w:rsid w:val="1C43BE8B"/>
    <w:rsid w:val="1C603FF2"/>
    <w:rsid w:val="1C8CF150"/>
    <w:rsid w:val="1C95944B"/>
    <w:rsid w:val="1CB7D213"/>
    <w:rsid w:val="1CC0DC39"/>
    <w:rsid w:val="1CE76E27"/>
    <w:rsid w:val="1CE9D40E"/>
    <w:rsid w:val="1D075C72"/>
    <w:rsid w:val="1D221A92"/>
    <w:rsid w:val="1D5371F8"/>
    <w:rsid w:val="1D775538"/>
    <w:rsid w:val="1D806766"/>
    <w:rsid w:val="1DA7C6CB"/>
    <w:rsid w:val="1DC1E17F"/>
    <w:rsid w:val="1DC315E0"/>
    <w:rsid w:val="1DE59F42"/>
    <w:rsid w:val="1DF2B0A8"/>
    <w:rsid w:val="1DF4AFC7"/>
    <w:rsid w:val="1E053BA0"/>
    <w:rsid w:val="1E1C96AC"/>
    <w:rsid w:val="1E4E03C4"/>
    <w:rsid w:val="1E550E46"/>
    <w:rsid w:val="1E6E7BE2"/>
    <w:rsid w:val="1E99FAD9"/>
    <w:rsid w:val="1EC5036B"/>
    <w:rsid w:val="1EE92A91"/>
    <w:rsid w:val="1F741FA0"/>
    <w:rsid w:val="1F82B1FF"/>
    <w:rsid w:val="1F8F08B0"/>
    <w:rsid w:val="1F986DDD"/>
    <w:rsid w:val="1FD0365C"/>
    <w:rsid w:val="1FDB9FFA"/>
    <w:rsid w:val="1FFEFB06"/>
    <w:rsid w:val="20234A39"/>
    <w:rsid w:val="20531B9D"/>
    <w:rsid w:val="209DEA01"/>
    <w:rsid w:val="20CE6846"/>
    <w:rsid w:val="20FB5B88"/>
    <w:rsid w:val="210AFFBB"/>
    <w:rsid w:val="210C67ED"/>
    <w:rsid w:val="2113A681"/>
    <w:rsid w:val="2142C5AC"/>
    <w:rsid w:val="21747812"/>
    <w:rsid w:val="218B75AC"/>
    <w:rsid w:val="21AF73B2"/>
    <w:rsid w:val="21B0999B"/>
    <w:rsid w:val="21B70E7F"/>
    <w:rsid w:val="21D9CDDF"/>
    <w:rsid w:val="21E6351D"/>
    <w:rsid w:val="2204B0E8"/>
    <w:rsid w:val="2241EA19"/>
    <w:rsid w:val="2244B5BF"/>
    <w:rsid w:val="2255C379"/>
    <w:rsid w:val="227A8C16"/>
    <w:rsid w:val="22820E1E"/>
    <w:rsid w:val="229DD91C"/>
    <w:rsid w:val="22A87EC7"/>
    <w:rsid w:val="22D0521B"/>
    <w:rsid w:val="231B469A"/>
    <w:rsid w:val="23292072"/>
    <w:rsid w:val="2330B566"/>
    <w:rsid w:val="234BA93A"/>
    <w:rsid w:val="2359D6D9"/>
    <w:rsid w:val="23613F04"/>
    <w:rsid w:val="23894F7F"/>
    <w:rsid w:val="2397AB08"/>
    <w:rsid w:val="23AB8F0C"/>
    <w:rsid w:val="23DD53C1"/>
    <w:rsid w:val="2418B4C5"/>
    <w:rsid w:val="241AC2AD"/>
    <w:rsid w:val="243437B5"/>
    <w:rsid w:val="243F21C2"/>
    <w:rsid w:val="2449A9B9"/>
    <w:rsid w:val="248ACBB9"/>
    <w:rsid w:val="2498219F"/>
    <w:rsid w:val="24B7514E"/>
    <w:rsid w:val="24C74E02"/>
    <w:rsid w:val="24D145FE"/>
    <w:rsid w:val="24D5AFDB"/>
    <w:rsid w:val="25012F1D"/>
    <w:rsid w:val="250459AE"/>
    <w:rsid w:val="251ECFE3"/>
    <w:rsid w:val="2576DB1F"/>
    <w:rsid w:val="2584E35C"/>
    <w:rsid w:val="25EC4CB7"/>
    <w:rsid w:val="263DE876"/>
    <w:rsid w:val="263EA7F4"/>
    <w:rsid w:val="264051AC"/>
    <w:rsid w:val="2647017F"/>
    <w:rsid w:val="2648B1D0"/>
    <w:rsid w:val="264BE934"/>
    <w:rsid w:val="2687B352"/>
    <w:rsid w:val="269A044D"/>
    <w:rsid w:val="26A096B7"/>
    <w:rsid w:val="26A7A4C0"/>
    <w:rsid w:val="26C1C9A0"/>
    <w:rsid w:val="26D28EE9"/>
    <w:rsid w:val="26E004D7"/>
    <w:rsid w:val="26E7F60A"/>
    <w:rsid w:val="26F5BD83"/>
    <w:rsid w:val="26FA9685"/>
    <w:rsid w:val="273FE9C8"/>
    <w:rsid w:val="275186C4"/>
    <w:rsid w:val="27802BE5"/>
    <w:rsid w:val="2785F69E"/>
    <w:rsid w:val="2787FD3E"/>
    <w:rsid w:val="279CA41B"/>
    <w:rsid w:val="27BB4ABE"/>
    <w:rsid w:val="27C8CE14"/>
    <w:rsid w:val="27DF3389"/>
    <w:rsid w:val="282480DD"/>
    <w:rsid w:val="28696C31"/>
    <w:rsid w:val="28CD062E"/>
    <w:rsid w:val="28F882AE"/>
    <w:rsid w:val="291204A7"/>
    <w:rsid w:val="292C72D4"/>
    <w:rsid w:val="29A5D948"/>
    <w:rsid w:val="29A827E0"/>
    <w:rsid w:val="29C303A1"/>
    <w:rsid w:val="29E131D3"/>
    <w:rsid w:val="29EDDCEF"/>
    <w:rsid w:val="2A183906"/>
    <w:rsid w:val="2A31AB8B"/>
    <w:rsid w:val="2A449D69"/>
    <w:rsid w:val="2A73B451"/>
    <w:rsid w:val="2AA56E10"/>
    <w:rsid w:val="2AB9B12C"/>
    <w:rsid w:val="2AC07F2F"/>
    <w:rsid w:val="2AFE7CFC"/>
    <w:rsid w:val="2B72B668"/>
    <w:rsid w:val="2B8D1F38"/>
    <w:rsid w:val="2B979558"/>
    <w:rsid w:val="2BAC9FBD"/>
    <w:rsid w:val="2BC18C9D"/>
    <w:rsid w:val="2BF8E949"/>
    <w:rsid w:val="2BFA60CE"/>
    <w:rsid w:val="2C0F9D63"/>
    <w:rsid w:val="2C157531"/>
    <w:rsid w:val="2C183B3A"/>
    <w:rsid w:val="2C526AE7"/>
    <w:rsid w:val="2C5BA117"/>
    <w:rsid w:val="2C949733"/>
    <w:rsid w:val="2CA939A2"/>
    <w:rsid w:val="2CC00F79"/>
    <w:rsid w:val="2CDEE329"/>
    <w:rsid w:val="2D431A1C"/>
    <w:rsid w:val="2D5C0AE6"/>
    <w:rsid w:val="2D906F38"/>
    <w:rsid w:val="2DAC2C06"/>
    <w:rsid w:val="2E189DA4"/>
    <w:rsid w:val="2E305C96"/>
    <w:rsid w:val="2E36C4AA"/>
    <w:rsid w:val="2E55F692"/>
    <w:rsid w:val="2E5A5D0F"/>
    <w:rsid w:val="2E6163F1"/>
    <w:rsid w:val="2E742D18"/>
    <w:rsid w:val="2EDC037F"/>
    <w:rsid w:val="2EE693CD"/>
    <w:rsid w:val="2F006502"/>
    <w:rsid w:val="2F01B4FC"/>
    <w:rsid w:val="2F723497"/>
    <w:rsid w:val="2F817CFB"/>
    <w:rsid w:val="2F81DDA8"/>
    <w:rsid w:val="2F897431"/>
    <w:rsid w:val="2F91F931"/>
    <w:rsid w:val="2FFC15D0"/>
    <w:rsid w:val="304EF84B"/>
    <w:rsid w:val="3060679E"/>
    <w:rsid w:val="30729346"/>
    <w:rsid w:val="3074A950"/>
    <w:rsid w:val="30A781B9"/>
    <w:rsid w:val="30B03C93"/>
    <w:rsid w:val="30BEE281"/>
    <w:rsid w:val="30DE5443"/>
    <w:rsid w:val="30ECDB4D"/>
    <w:rsid w:val="313B9CAC"/>
    <w:rsid w:val="313D3D3F"/>
    <w:rsid w:val="316514FC"/>
    <w:rsid w:val="316E271A"/>
    <w:rsid w:val="3177EB7E"/>
    <w:rsid w:val="31B25C3D"/>
    <w:rsid w:val="31EBBC4E"/>
    <w:rsid w:val="31F8F3FE"/>
    <w:rsid w:val="31FC19C8"/>
    <w:rsid w:val="3213DF56"/>
    <w:rsid w:val="32160C3E"/>
    <w:rsid w:val="323686F1"/>
    <w:rsid w:val="325A5F56"/>
    <w:rsid w:val="327763FE"/>
    <w:rsid w:val="3293A91D"/>
    <w:rsid w:val="32D4157A"/>
    <w:rsid w:val="33175D9C"/>
    <w:rsid w:val="33256AF1"/>
    <w:rsid w:val="332D964B"/>
    <w:rsid w:val="333710CF"/>
    <w:rsid w:val="334AC72A"/>
    <w:rsid w:val="33587765"/>
    <w:rsid w:val="3362291F"/>
    <w:rsid w:val="33755F85"/>
    <w:rsid w:val="337EA1AA"/>
    <w:rsid w:val="338FA3AC"/>
    <w:rsid w:val="33E23F3B"/>
    <w:rsid w:val="33F713D8"/>
    <w:rsid w:val="3421769A"/>
    <w:rsid w:val="344182E9"/>
    <w:rsid w:val="345091FA"/>
    <w:rsid w:val="345B74E3"/>
    <w:rsid w:val="3469F98D"/>
    <w:rsid w:val="34A561E4"/>
    <w:rsid w:val="34B95D65"/>
    <w:rsid w:val="34E11038"/>
    <w:rsid w:val="35121580"/>
    <w:rsid w:val="3570C470"/>
    <w:rsid w:val="3586232B"/>
    <w:rsid w:val="35BD3928"/>
    <w:rsid w:val="35D68A82"/>
    <w:rsid w:val="3608E091"/>
    <w:rsid w:val="3625034F"/>
    <w:rsid w:val="36341C79"/>
    <w:rsid w:val="36523D24"/>
    <w:rsid w:val="3673534F"/>
    <w:rsid w:val="3697C524"/>
    <w:rsid w:val="37191005"/>
    <w:rsid w:val="3726B24A"/>
    <w:rsid w:val="375EC415"/>
    <w:rsid w:val="379DAFD2"/>
    <w:rsid w:val="37C40953"/>
    <w:rsid w:val="37CF0647"/>
    <w:rsid w:val="37E0AD7E"/>
    <w:rsid w:val="37E74DCB"/>
    <w:rsid w:val="382DCF8B"/>
    <w:rsid w:val="3838CC90"/>
    <w:rsid w:val="3877EC7F"/>
    <w:rsid w:val="38A3B6C9"/>
    <w:rsid w:val="38ADAC40"/>
    <w:rsid w:val="38B0F71D"/>
    <w:rsid w:val="38B79AB6"/>
    <w:rsid w:val="38E1CBD5"/>
    <w:rsid w:val="38FDA2A2"/>
    <w:rsid w:val="39216C79"/>
    <w:rsid w:val="3958341F"/>
    <w:rsid w:val="395A046E"/>
    <w:rsid w:val="396C108C"/>
    <w:rsid w:val="397410CB"/>
    <w:rsid w:val="397A327A"/>
    <w:rsid w:val="39BBDA70"/>
    <w:rsid w:val="39C7FBDD"/>
    <w:rsid w:val="39DA9A0F"/>
    <w:rsid w:val="39DE309E"/>
    <w:rsid w:val="39E5763C"/>
    <w:rsid w:val="39EC9BBB"/>
    <w:rsid w:val="3A0F1320"/>
    <w:rsid w:val="3A1413B0"/>
    <w:rsid w:val="3A4635E4"/>
    <w:rsid w:val="3A64C5F1"/>
    <w:rsid w:val="3A84F464"/>
    <w:rsid w:val="3A9565ED"/>
    <w:rsid w:val="3A98BE3B"/>
    <w:rsid w:val="3AB87AB3"/>
    <w:rsid w:val="3ACF5693"/>
    <w:rsid w:val="3ADF4C15"/>
    <w:rsid w:val="3B084EB0"/>
    <w:rsid w:val="3B12C23F"/>
    <w:rsid w:val="3B3FC345"/>
    <w:rsid w:val="3B410721"/>
    <w:rsid w:val="3B4E5FF6"/>
    <w:rsid w:val="3B560AE5"/>
    <w:rsid w:val="3B7F7E20"/>
    <w:rsid w:val="3B8B09EE"/>
    <w:rsid w:val="3BA53B6F"/>
    <w:rsid w:val="3BACB697"/>
    <w:rsid w:val="3BB09CF6"/>
    <w:rsid w:val="3BDFCC07"/>
    <w:rsid w:val="3BEADAE2"/>
    <w:rsid w:val="3BEC4359"/>
    <w:rsid w:val="3C027264"/>
    <w:rsid w:val="3C22A2BB"/>
    <w:rsid w:val="3C3801B1"/>
    <w:rsid w:val="3C3E1D6E"/>
    <w:rsid w:val="3C79FC67"/>
    <w:rsid w:val="3C88510A"/>
    <w:rsid w:val="3CAB722E"/>
    <w:rsid w:val="3CBFD950"/>
    <w:rsid w:val="3CE61AB7"/>
    <w:rsid w:val="3CEDD5BD"/>
    <w:rsid w:val="3D27E389"/>
    <w:rsid w:val="3D3D0D07"/>
    <w:rsid w:val="3D79942F"/>
    <w:rsid w:val="3D9DEFB0"/>
    <w:rsid w:val="3DAEEDC4"/>
    <w:rsid w:val="3DC030EE"/>
    <w:rsid w:val="3DE44A9A"/>
    <w:rsid w:val="3DF2041A"/>
    <w:rsid w:val="3E16ECD7"/>
    <w:rsid w:val="3E31D4CA"/>
    <w:rsid w:val="3E40533E"/>
    <w:rsid w:val="3E7383CF"/>
    <w:rsid w:val="3E8186A3"/>
    <w:rsid w:val="3EA71156"/>
    <w:rsid w:val="3EC55AF2"/>
    <w:rsid w:val="3F06CF3F"/>
    <w:rsid w:val="3F29BA55"/>
    <w:rsid w:val="3F47593F"/>
    <w:rsid w:val="3F4C09E6"/>
    <w:rsid w:val="3F5407B0"/>
    <w:rsid w:val="3F6681F7"/>
    <w:rsid w:val="3F753B5B"/>
    <w:rsid w:val="3F7C0D21"/>
    <w:rsid w:val="3FB2BD38"/>
    <w:rsid w:val="3FBA0DF8"/>
    <w:rsid w:val="3FC06EC4"/>
    <w:rsid w:val="3FC6E3EA"/>
    <w:rsid w:val="3FCC1C2A"/>
    <w:rsid w:val="3FDD409B"/>
    <w:rsid w:val="3FFA4E0C"/>
    <w:rsid w:val="401F87D2"/>
    <w:rsid w:val="402E38E7"/>
    <w:rsid w:val="403BC592"/>
    <w:rsid w:val="4058E98A"/>
    <w:rsid w:val="405D5FF6"/>
    <w:rsid w:val="406AF141"/>
    <w:rsid w:val="406FB11F"/>
    <w:rsid w:val="407D2580"/>
    <w:rsid w:val="408810E4"/>
    <w:rsid w:val="409B2F6F"/>
    <w:rsid w:val="40E013B4"/>
    <w:rsid w:val="40E17692"/>
    <w:rsid w:val="40F8C45E"/>
    <w:rsid w:val="4119E03A"/>
    <w:rsid w:val="41450DA6"/>
    <w:rsid w:val="4156ACF5"/>
    <w:rsid w:val="41ADE94A"/>
    <w:rsid w:val="41C4117F"/>
    <w:rsid w:val="41CC1570"/>
    <w:rsid w:val="41D70DE8"/>
    <w:rsid w:val="42326207"/>
    <w:rsid w:val="427DA424"/>
    <w:rsid w:val="429D6777"/>
    <w:rsid w:val="42B32B02"/>
    <w:rsid w:val="42C04772"/>
    <w:rsid w:val="42EC9FE8"/>
    <w:rsid w:val="430BDEA3"/>
    <w:rsid w:val="4316E043"/>
    <w:rsid w:val="43246571"/>
    <w:rsid w:val="432B85CE"/>
    <w:rsid w:val="432DD7ED"/>
    <w:rsid w:val="435ADAB1"/>
    <w:rsid w:val="437F445F"/>
    <w:rsid w:val="43B8EBF8"/>
    <w:rsid w:val="43C4D860"/>
    <w:rsid w:val="43D26C9D"/>
    <w:rsid w:val="43DD7B00"/>
    <w:rsid w:val="440D2EBD"/>
    <w:rsid w:val="440E8808"/>
    <w:rsid w:val="441CDCBD"/>
    <w:rsid w:val="4454786C"/>
    <w:rsid w:val="4487B944"/>
    <w:rsid w:val="44B6061B"/>
    <w:rsid w:val="4506A190"/>
    <w:rsid w:val="4534998F"/>
    <w:rsid w:val="458A337E"/>
    <w:rsid w:val="45A4F03D"/>
    <w:rsid w:val="45B2B1E0"/>
    <w:rsid w:val="45EFEF23"/>
    <w:rsid w:val="462A1E18"/>
    <w:rsid w:val="46367DC4"/>
    <w:rsid w:val="4648447F"/>
    <w:rsid w:val="464BAFB7"/>
    <w:rsid w:val="46589489"/>
    <w:rsid w:val="4665D16F"/>
    <w:rsid w:val="4677D4E3"/>
    <w:rsid w:val="46D94A18"/>
    <w:rsid w:val="46F61CD3"/>
    <w:rsid w:val="4704F338"/>
    <w:rsid w:val="470D73FC"/>
    <w:rsid w:val="47472E9F"/>
    <w:rsid w:val="4747D1E1"/>
    <w:rsid w:val="4748460F"/>
    <w:rsid w:val="47492192"/>
    <w:rsid w:val="477705F8"/>
    <w:rsid w:val="477C5BB8"/>
    <w:rsid w:val="479A21CA"/>
    <w:rsid w:val="479FD595"/>
    <w:rsid w:val="47A3E336"/>
    <w:rsid w:val="47A51164"/>
    <w:rsid w:val="47B4EFA5"/>
    <w:rsid w:val="47D39352"/>
    <w:rsid w:val="47FC2B64"/>
    <w:rsid w:val="481A15E8"/>
    <w:rsid w:val="48493DAD"/>
    <w:rsid w:val="484D9AE6"/>
    <w:rsid w:val="485E5AF8"/>
    <w:rsid w:val="48C37C4C"/>
    <w:rsid w:val="48DE128F"/>
    <w:rsid w:val="492D490E"/>
    <w:rsid w:val="492DA8B4"/>
    <w:rsid w:val="497C3F97"/>
    <w:rsid w:val="499D1FC2"/>
    <w:rsid w:val="49A9F0D4"/>
    <w:rsid w:val="49B8ADE9"/>
    <w:rsid w:val="4A0375AD"/>
    <w:rsid w:val="4A30A9F8"/>
    <w:rsid w:val="4A3E6E88"/>
    <w:rsid w:val="4A40E963"/>
    <w:rsid w:val="4A431D08"/>
    <w:rsid w:val="4A7C9153"/>
    <w:rsid w:val="4A7D5DF0"/>
    <w:rsid w:val="4A803280"/>
    <w:rsid w:val="4A8F9801"/>
    <w:rsid w:val="4AD01883"/>
    <w:rsid w:val="4AF3862E"/>
    <w:rsid w:val="4B0A7EA8"/>
    <w:rsid w:val="4B3996A0"/>
    <w:rsid w:val="4B46AAC6"/>
    <w:rsid w:val="4B569E40"/>
    <w:rsid w:val="4B763556"/>
    <w:rsid w:val="4B81C58C"/>
    <w:rsid w:val="4BA792C8"/>
    <w:rsid w:val="4BAF8384"/>
    <w:rsid w:val="4C6DC9A5"/>
    <w:rsid w:val="4C7FF446"/>
    <w:rsid w:val="4C93F177"/>
    <w:rsid w:val="4CD3AFC8"/>
    <w:rsid w:val="4CE11D68"/>
    <w:rsid w:val="4CE2EF14"/>
    <w:rsid w:val="4CF9ECFC"/>
    <w:rsid w:val="4CFF2085"/>
    <w:rsid w:val="4D186842"/>
    <w:rsid w:val="4D863031"/>
    <w:rsid w:val="4D8B6560"/>
    <w:rsid w:val="4D957079"/>
    <w:rsid w:val="4D98A7E3"/>
    <w:rsid w:val="4DB72583"/>
    <w:rsid w:val="4DBF0360"/>
    <w:rsid w:val="4DCA04D6"/>
    <w:rsid w:val="4DEE935E"/>
    <w:rsid w:val="4E03B281"/>
    <w:rsid w:val="4E57282B"/>
    <w:rsid w:val="4E66209D"/>
    <w:rsid w:val="4E68F4AE"/>
    <w:rsid w:val="4E83200A"/>
    <w:rsid w:val="4EC069FA"/>
    <w:rsid w:val="4EC93EB4"/>
    <w:rsid w:val="4EF2C6AB"/>
    <w:rsid w:val="4F0B0FD3"/>
    <w:rsid w:val="4F2321F1"/>
    <w:rsid w:val="4F33E683"/>
    <w:rsid w:val="4F447C8C"/>
    <w:rsid w:val="4F521404"/>
    <w:rsid w:val="4F6D6C24"/>
    <w:rsid w:val="4F80FE29"/>
    <w:rsid w:val="4FA5B182"/>
    <w:rsid w:val="4FAB6CFF"/>
    <w:rsid w:val="4FC22F30"/>
    <w:rsid w:val="4FD4BA17"/>
    <w:rsid w:val="4FFE6AA1"/>
    <w:rsid w:val="4FFFF79F"/>
    <w:rsid w:val="5020D084"/>
    <w:rsid w:val="502A6DFC"/>
    <w:rsid w:val="50309DFA"/>
    <w:rsid w:val="5048F16F"/>
    <w:rsid w:val="504A70E5"/>
    <w:rsid w:val="506A75D3"/>
    <w:rsid w:val="507349FC"/>
    <w:rsid w:val="508C7151"/>
    <w:rsid w:val="50976BA9"/>
    <w:rsid w:val="50BF0C9A"/>
    <w:rsid w:val="50D64C93"/>
    <w:rsid w:val="50DAD226"/>
    <w:rsid w:val="50EA92C7"/>
    <w:rsid w:val="51006BF4"/>
    <w:rsid w:val="510686C6"/>
    <w:rsid w:val="5160F3CF"/>
    <w:rsid w:val="51819296"/>
    <w:rsid w:val="51942B5A"/>
    <w:rsid w:val="51A2BC7D"/>
    <w:rsid w:val="51C9A637"/>
    <w:rsid w:val="51E90FAC"/>
    <w:rsid w:val="51F2CD33"/>
    <w:rsid w:val="521EA93E"/>
    <w:rsid w:val="5258DC58"/>
    <w:rsid w:val="52924BE7"/>
    <w:rsid w:val="52B84481"/>
    <w:rsid w:val="52D447E9"/>
    <w:rsid w:val="5312E014"/>
    <w:rsid w:val="532E4C05"/>
    <w:rsid w:val="5331B797"/>
    <w:rsid w:val="537793AB"/>
    <w:rsid w:val="53A362FD"/>
    <w:rsid w:val="53EC2DAE"/>
    <w:rsid w:val="540CE061"/>
    <w:rsid w:val="54150150"/>
    <w:rsid w:val="54424375"/>
    <w:rsid w:val="5451E5B4"/>
    <w:rsid w:val="54933241"/>
    <w:rsid w:val="54DC3D94"/>
    <w:rsid w:val="54E20252"/>
    <w:rsid w:val="5509175B"/>
    <w:rsid w:val="55183B5C"/>
    <w:rsid w:val="5576FBB6"/>
    <w:rsid w:val="55A1E109"/>
    <w:rsid w:val="55BF6E62"/>
    <w:rsid w:val="55CA2ECB"/>
    <w:rsid w:val="55D5C2FE"/>
    <w:rsid w:val="55DF8F4B"/>
    <w:rsid w:val="55EB4511"/>
    <w:rsid w:val="560FF021"/>
    <w:rsid w:val="5639B827"/>
    <w:rsid w:val="5670C93A"/>
    <w:rsid w:val="56981C98"/>
    <w:rsid w:val="56A8916F"/>
    <w:rsid w:val="56AE2457"/>
    <w:rsid w:val="570A7B0F"/>
    <w:rsid w:val="572CDD66"/>
    <w:rsid w:val="575195E2"/>
    <w:rsid w:val="5769B4D4"/>
    <w:rsid w:val="576C713B"/>
    <w:rsid w:val="576F703D"/>
    <w:rsid w:val="57A7BB10"/>
    <w:rsid w:val="57C1F5AA"/>
    <w:rsid w:val="57E504B4"/>
    <w:rsid w:val="57F034FC"/>
    <w:rsid w:val="584B3FE8"/>
    <w:rsid w:val="584E0995"/>
    <w:rsid w:val="588A089C"/>
    <w:rsid w:val="58C1934A"/>
    <w:rsid w:val="58E4DE40"/>
    <w:rsid w:val="58F4C717"/>
    <w:rsid w:val="59405AF0"/>
    <w:rsid w:val="59616B9D"/>
    <w:rsid w:val="597A3246"/>
    <w:rsid w:val="599FAB7F"/>
    <w:rsid w:val="59B8C239"/>
    <w:rsid w:val="59C11568"/>
    <w:rsid w:val="59E3D244"/>
    <w:rsid w:val="5A227E92"/>
    <w:rsid w:val="5A7B9726"/>
    <w:rsid w:val="5A802ADD"/>
    <w:rsid w:val="5A89189A"/>
    <w:rsid w:val="5A917783"/>
    <w:rsid w:val="5A9FDEC6"/>
    <w:rsid w:val="5AAB301C"/>
    <w:rsid w:val="5AE61A9C"/>
    <w:rsid w:val="5AFACD50"/>
    <w:rsid w:val="5B084F95"/>
    <w:rsid w:val="5B10ECDF"/>
    <w:rsid w:val="5B3557DD"/>
    <w:rsid w:val="5B4E77EF"/>
    <w:rsid w:val="5B532FD1"/>
    <w:rsid w:val="5B582A69"/>
    <w:rsid w:val="5B5B7C15"/>
    <w:rsid w:val="5B830F08"/>
    <w:rsid w:val="5B8546C2"/>
    <w:rsid w:val="5B8825D9"/>
    <w:rsid w:val="5BA5E0C2"/>
    <w:rsid w:val="5BB20E10"/>
    <w:rsid w:val="5BB2ED07"/>
    <w:rsid w:val="5BB859CC"/>
    <w:rsid w:val="5BC30E88"/>
    <w:rsid w:val="5C0099C9"/>
    <w:rsid w:val="5C0CDB9B"/>
    <w:rsid w:val="5C11FB42"/>
    <w:rsid w:val="5C13A1AB"/>
    <w:rsid w:val="5C2C4CDA"/>
    <w:rsid w:val="5C3117E4"/>
    <w:rsid w:val="5C352F72"/>
    <w:rsid w:val="5C44B3B0"/>
    <w:rsid w:val="5C554F21"/>
    <w:rsid w:val="5C73718B"/>
    <w:rsid w:val="5C83C407"/>
    <w:rsid w:val="5C840CA0"/>
    <w:rsid w:val="5CAE3820"/>
    <w:rsid w:val="5CBF2BCE"/>
    <w:rsid w:val="5CFD0137"/>
    <w:rsid w:val="5D0680C4"/>
    <w:rsid w:val="5D49098D"/>
    <w:rsid w:val="5D65ADCB"/>
    <w:rsid w:val="5D766C25"/>
    <w:rsid w:val="5DB8E90D"/>
    <w:rsid w:val="5DBE1FA4"/>
    <w:rsid w:val="5DE0C4FE"/>
    <w:rsid w:val="5DE676E1"/>
    <w:rsid w:val="5DEC01F1"/>
    <w:rsid w:val="5DF22EF3"/>
    <w:rsid w:val="5DF62EDF"/>
    <w:rsid w:val="5E04FC7F"/>
    <w:rsid w:val="5E1854EF"/>
    <w:rsid w:val="5E252475"/>
    <w:rsid w:val="5E32A294"/>
    <w:rsid w:val="5E455700"/>
    <w:rsid w:val="5E4CC2CE"/>
    <w:rsid w:val="5E775FB2"/>
    <w:rsid w:val="5EA5D552"/>
    <w:rsid w:val="5EB23981"/>
    <w:rsid w:val="5EB2E345"/>
    <w:rsid w:val="5EE1EEEA"/>
    <w:rsid w:val="5EE3A666"/>
    <w:rsid w:val="5EF9EF02"/>
    <w:rsid w:val="5F11A50E"/>
    <w:rsid w:val="5F1AD06B"/>
    <w:rsid w:val="5F2D1D06"/>
    <w:rsid w:val="5F4DADF8"/>
    <w:rsid w:val="5F756528"/>
    <w:rsid w:val="5F7FEA45"/>
    <w:rsid w:val="5F8961C9"/>
    <w:rsid w:val="5F95B088"/>
    <w:rsid w:val="5F95F5DB"/>
    <w:rsid w:val="5FB08519"/>
    <w:rsid w:val="5FC87CEE"/>
    <w:rsid w:val="5FCE504F"/>
    <w:rsid w:val="5FDC428B"/>
    <w:rsid w:val="5FE17334"/>
    <w:rsid w:val="602FFAB9"/>
    <w:rsid w:val="60309F18"/>
    <w:rsid w:val="60535F4E"/>
    <w:rsid w:val="605D5655"/>
    <w:rsid w:val="608F0FA6"/>
    <w:rsid w:val="60B77B50"/>
    <w:rsid w:val="60C6EEBF"/>
    <w:rsid w:val="60D9304D"/>
    <w:rsid w:val="6110820B"/>
    <w:rsid w:val="61123EA2"/>
    <w:rsid w:val="6126DE3E"/>
    <w:rsid w:val="61334334"/>
    <w:rsid w:val="616282F1"/>
    <w:rsid w:val="617587F2"/>
    <w:rsid w:val="617B7752"/>
    <w:rsid w:val="618EB3D5"/>
    <w:rsid w:val="618F75AB"/>
    <w:rsid w:val="61942FA6"/>
    <w:rsid w:val="61A21CF3"/>
    <w:rsid w:val="61ABA85A"/>
    <w:rsid w:val="61C84197"/>
    <w:rsid w:val="61FAE616"/>
    <w:rsid w:val="6210D7A7"/>
    <w:rsid w:val="62130E09"/>
    <w:rsid w:val="621A7D7A"/>
    <w:rsid w:val="62229F18"/>
    <w:rsid w:val="624C9F9B"/>
    <w:rsid w:val="626BF14B"/>
    <w:rsid w:val="62848929"/>
    <w:rsid w:val="629BCCE8"/>
    <w:rsid w:val="62D5BD16"/>
    <w:rsid w:val="62D95D2A"/>
    <w:rsid w:val="62E27556"/>
    <w:rsid w:val="62F26FCF"/>
    <w:rsid w:val="63229AD4"/>
    <w:rsid w:val="632A98DE"/>
    <w:rsid w:val="632C6B10"/>
    <w:rsid w:val="632D1226"/>
    <w:rsid w:val="63674A6E"/>
    <w:rsid w:val="636A11DE"/>
    <w:rsid w:val="636EA26E"/>
    <w:rsid w:val="6374B2EC"/>
    <w:rsid w:val="63946C37"/>
    <w:rsid w:val="63ADDAE6"/>
    <w:rsid w:val="63C2E63F"/>
    <w:rsid w:val="63DA4C6A"/>
    <w:rsid w:val="63E1F6A0"/>
    <w:rsid w:val="63E4AB21"/>
    <w:rsid w:val="640D3753"/>
    <w:rsid w:val="6435B15E"/>
    <w:rsid w:val="64522758"/>
    <w:rsid w:val="64584FC0"/>
    <w:rsid w:val="6460500C"/>
    <w:rsid w:val="64679673"/>
    <w:rsid w:val="64707227"/>
    <w:rsid w:val="6487EE3A"/>
    <w:rsid w:val="649655AD"/>
    <w:rsid w:val="649DD7A5"/>
    <w:rsid w:val="64A95A74"/>
    <w:rsid w:val="64AC7E08"/>
    <w:rsid w:val="64AD5E1C"/>
    <w:rsid w:val="64ADA2CF"/>
    <w:rsid w:val="64AEE8CB"/>
    <w:rsid w:val="64B89161"/>
    <w:rsid w:val="64C4BB16"/>
    <w:rsid w:val="64CEE488"/>
    <w:rsid w:val="64D331F0"/>
    <w:rsid w:val="64E62ECD"/>
    <w:rsid w:val="64ECC5C6"/>
    <w:rsid w:val="64F74ACC"/>
    <w:rsid w:val="65155091"/>
    <w:rsid w:val="65183845"/>
    <w:rsid w:val="653B1B77"/>
    <w:rsid w:val="6552A226"/>
    <w:rsid w:val="65940742"/>
    <w:rsid w:val="65BED28C"/>
    <w:rsid w:val="65C4745E"/>
    <w:rsid w:val="65FA86E2"/>
    <w:rsid w:val="65FF13C3"/>
    <w:rsid w:val="6611111A"/>
    <w:rsid w:val="661EF3E3"/>
    <w:rsid w:val="662F076A"/>
    <w:rsid w:val="663D0D30"/>
    <w:rsid w:val="665BFC17"/>
    <w:rsid w:val="666DE824"/>
    <w:rsid w:val="668B6212"/>
    <w:rsid w:val="669BBCD4"/>
    <w:rsid w:val="66A69858"/>
    <w:rsid w:val="66AF3A9A"/>
    <w:rsid w:val="66B81EF8"/>
    <w:rsid w:val="66C74C8A"/>
    <w:rsid w:val="66F3BDD6"/>
    <w:rsid w:val="67739761"/>
    <w:rsid w:val="677ED341"/>
    <w:rsid w:val="67800F4B"/>
    <w:rsid w:val="67ADEE83"/>
    <w:rsid w:val="67B3B17D"/>
    <w:rsid w:val="67B8E69D"/>
    <w:rsid w:val="67CF9B3B"/>
    <w:rsid w:val="67DA2CD5"/>
    <w:rsid w:val="6804AF6E"/>
    <w:rsid w:val="680A4767"/>
    <w:rsid w:val="6825127D"/>
    <w:rsid w:val="6897A187"/>
    <w:rsid w:val="68B466C1"/>
    <w:rsid w:val="6917CB50"/>
    <w:rsid w:val="69400961"/>
    <w:rsid w:val="694C77A8"/>
    <w:rsid w:val="6977109F"/>
    <w:rsid w:val="698C2DFE"/>
    <w:rsid w:val="699403B0"/>
    <w:rsid w:val="69A21877"/>
    <w:rsid w:val="69AADEF5"/>
    <w:rsid w:val="69BD4312"/>
    <w:rsid w:val="69BF8E50"/>
    <w:rsid w:val="69D4E5FC"/>
    <w:rsid w:val="69F60E9F"/>
    <w:rsid w:val="6A05CE91"/>
    <w:rsid w:val="6A308680"/>
    <w:rsid w:val="6A37CFF6"/>
    <w:rsid w:val="6A5347E2"/>
    <w:rsid w:val="6AC339D1"/>
    <w:rsid w:val="6ACB4A72"/>
    <w:rsid w:val="6B4B43D3"/>
    <w:rsid w:val="6BAE12CB"/>
    <w:rsid w:val="6BC37CAC"/>
    <w:rsid w:val="6BD4DF33"/>
    <w:rsid w:val="6BE7ECA7"/>
    <w:rsid w:val="6BF6F64D"/>
    <w:rsid w:val="6C34B371"/>
    <w:rsid w:val="6C356C1E"/>
    <w:rsid w:val="6C39CEF0"/>
    <w:rsid w:val="6C43175A"/>
    <w:rsid w:val="6C7175D3"/>
    <w:rsid w:val="6C7AD633"/>
    <w:rsid w:val="6C8FF53E"/>
    <w:rsid w:val="6C911342"/>
    <w:rsid w:val="6CB0F66F"/>
    <w:rsid w:val="6CE12C92"/>
    <w:rsid w:val="6D104746"/>
    <w:rsid w:val="6D34C4C7"/>
    <w:rsid w:val="6D3850CD"/>
    <w:rsid w:val="6D5D66F1"/>
    <w:rsid w:val="6D73AA31"/>
    <w:rsid w:val="6D740ABF"/>
    <w:rsid w:val="6D75F0E0"/>
    <w:rsid w:val="6D85876D"/>
    <w:rsid w:val="6DB56B40"/>
    <w:rsid w:val="6DCE8829"/>
    <w:rsid w:val="6DD77B2B"/>
    <w:rsid w:val="6DD7F659"/>
    <w:rsid w:val="6DDEEE1D"/>
    <w:rsid w:val="6DDFE07C"/>
    <w:rsid w:val="6DF3E587"/>
    <w:rsid w:val="6DFCDD15"/>
    <w:rsid w:val="6E174F53"/>
    <w:rsid w:val="6E5530B1"/>
    <w:rsid w:val="6E601D1C"/>
    <w:rsid w:val="6EE5C5AD"/>
    <w:rsid w:val="6F0281BB"/>
    <w:rsid w:val="6F2E3949"/>
    <w:rsid w:val="6F72F2AB"/>
    <w:rsid w:val="6F9EFD21"/>
    <w:rsid w:val="6FA68505"/>
    <w:rsid w:val="6FBEE8CC"/>
    <w:rsid w:val="6FC3DD35"/>
    <w:rsid w:val="6FD1C83B"/>
    <w:rsid w:val="6FD66449"/>
    <w:rsid w:val="6FFE1390"/>
    <w:rsid w:val="7031A426"/>
    <w:rsid w:val="704D01EC"/>
    <w:rsid w:val="70B0CEA0"/>
    <w:rsid w:val="70BD8AB8"/>
    <w:rsid w:val="712F58A6"/>
    <w:rsid w:val="71363BA9"/>
    <w:rsid w:val="71435FC4"/>
    <w:rsid w:val="7154D3ED"/>
    <w:rsid w:val="716BFE09"/>
    <w:rsid w:val="719CE22C"/>
    <w:rsid w:val="71A48BA9"/>
    <w:rsid w:val="71B85580"/>
    <w:rsid w:val="71D0C3A3"/>
    <w:rsid w:val="71ED952B"/>
    <w:rsid w:val="71FEF3BB"/>
    <w:rsid w:val="723CDAE7"/>
    <w:rsid w:val="7241BBF0"/>
    <w:rsid w:val="724CFB6B"/>
    <w:rsid w:val="72533B59"/>
    <w:rsid w:val="72676A2B"/>
    <w:rsid w:val="72783F0E"/>
    <w:rsid w:val="72853A56"/>
    <w:rsid w:val="72B9FB74"/>
    <w:rsid w:val="72BE221F"/>
    <w:rsid w:val="72D1AEFE"/>
    <w:rsid w:val="731C0718"/>
    <w:rsid w:val="731D8B3F"/>
    <w:rsid w:val="73397C81"/>
    <w:rsid w:val="7352832F"/>
    <w:rsid w:val="7355BB17"/>
    <w:rsid w:val="7381327D"/>
    <w:rsid w:val="739808A0"/>
    <w:rsid w:val="739DEB3E"/>
    <w:rsid w:val="73A85740"/>
    <w:rsid w:val="73C21A5A"/>
    <w:rsid w:val="73DAA8D7"/>
    <w:rsid w:val="73DDE8DE"/>
    <w:rsid w:val="73F6D464"/>
    <w:rsid w:val="74451E5D"/>
    <w:rsid w:val="744D6E17"/>
    <w:rsid w:val="747B53F6"/>
    <w:rsid w:val="749B164D"/>
    <w:rsid w:val="749C8D7E"/>
    <w:rsid w:val="74A67249"/>
    <w:rsid w:val="74BCF3B5"/>
    <w:rsid w:val="74CB2602"/>
    <w:rsid w:val="74D16E87"/>
    <w:rsid w:val="74E3DC98"/>
    <w:rsid w:val="74F7312A"/>
    <w:rsid w:val="75039D50"/>
    <w:rsid w:val="7504B4FF"/>
    <w:rsid w:val="750A895C"/>
    <w:rsid w:val="751AA6C8"/>
    <w:rsid w:val="75403619"/>
    <w:rsid w:val="755316DF"/>
    <w:rsid w:val="7570F9CA"/>
    <w:rsid w:val="757BD127"/>
    <w:rsid w:val="757EB97A"/>
    <w:rsid w:val="75922374"/>
    <w:rsid w:val="7618B77D"/>
    <w:rsid w:val="761B4719"/>
    <w:rsid w:val="76573FAF"/>
    <w:rsid w:val="7672BB56"/>
    <w:rsid w:val="7675DFE8"/>
    <w:rsid w:val="7676C149"/>
    <w:rsid w:val="7685ABBB"/>
    <w:rsid w:val="7688BA16"/>
    <w:rsid w:val="768A9B8A"/>
    <w:rsid w:val="76A8AC1D"/>
    <w:rsid w:val="76C6F184"/>
    <w:rsid w:val="76E424C1"/>
    <w:rsid w:val="76F2C96D"/>
    <w:rsid w:val="7702DB06"/>
    <w:rsid w:val="770336AA"/>
    <w:rsid w:val="7725C0DE"/>
    <w:rsid w:val="7732F493"/>
    <w:rsid w:val="77401674"/>
    <w:rsid w:val="7743D3F7"/>
    <w:rsid w:val="7759BEA2"/>
    <w:rsid w:val="775A9D46"/>
    <w:rsid w:val="7787F355"/>
    <w:rsid w:val="778E15C9"/>
    <w:rsid w:val="779D1D0D"/>
    <w:rsid w:val="779FF80F"/>
    <w:rsid w:val="77C1484F"/>
    <w:rsid w:val="77CF2460"/>
    <w:rsid w:val="77CFD659"/>
    <w:rsid w:val="77FF4575"/>
    <w:rsid w:val="78035AB5"/>
    <w:rsid w:val="78437842"/>
    <w:rsid w:val="7850FDA4"/>
    <w:rsid w:val="78537986"/>
    <w:rsid w:val="7853FD8C"/>
    <w:rsid w:val="787069AC"/>
    <w:rsid w:val="78956977"/>
    <w:rsid w:val="789C8DDE"/>
    <w:rsid w:val="78AAAA2E"/>
    <w:rsid w:val="78E3E84F"/>
    <w:rsid w:val="790DE33F"/>
    <w:rsid w:val="795B2DD7"/>
    <w:rsid w:val="79622626"/>
    <w:rsid w:val="797AA214"/>
    <w:rsid w:val="79C0297D"/>
    <w:rsid w:val="79CD68ED"/>
    <w:rsid w:val="79D235AF"/>
    <w:rsid w:val="79DC0D1E"/>
    <w:rsid w:val="79DDE83F"/>
    <w:rsid w:val="79EBF537"/>
    <w:rsid w:val="7A09E5C6"/>
    <w:rsid w:val="7A208C16"/>
    <w:rsid w:val="7A26047A"/>
    <w:rsid w:val="7A458545"/>
    <w:rsid w:val="7A464368"/>
    <w:rsid w:val="7A904992"/>
    <w:rsid w:val="7AA47CD7"/>
    <w:rsid w:val="7ACCB526"/>
    <w:rsid w:val="7ADA39E2"/>
    <w:rsid w:val="7ADF51E8"/>
    <w:rsid w:val="7AE23B17"/>
    <w:rsid w:val="7AFBFF51"/>
    <w:rsid w:val="7B06B01D"/>
    <w:rsid w:val="7B4E0114"/>
    <w:rsid w:val="7B6C75B0"/>
    <w:rsid w:val="7B6D04BA"/>
    <w:rsid w:val="7B814ACF"/>
    <w:rsid w:val="7B970C67"/>
    <w:rsid w:val="7B9A342E"/>
    <w:rsid w:val="7BAC4D81"/>
    <w:rsid w:val="7BEEAB46"/>
    <w:rsid w:val="7C095A58"/>
    <w:rsid w:val="7C14DC80"/>
    <w:rsid w:val="7C332B74"/>
    <w:rsid w:val="7C57F9B5"/>
    <w:rsid w:val="7C804F01"/>
    <w:rsid w:val="7C840F75"/>
    <w:rsid w:val="7CCB7D4D"/>
    <w:rsid w:val="7CD8C813"/>
    <w:rsid w:val="7D4D2854"/>
    <w:rsid w:val="7D55C263"/>
    <w:rsid w:val="7D7A81F9"/>
    <w:rsid w:val="7D8E8322"/>
    <w:rsid w:val="7D8F23F7"/>
    <w:rsid w:val="7DB9FC05"/>
    <w:rsid w:val="7DC24FFE"/>
    <w:rsid w:val="7DCCD45B"/>
    <w:rsid w:val="7E0F0821"/>
    <w:rsid w:val="7E42F527"/>
    <w:rsid w:val="7E4BFAFB"/>
    <w:rsid w:val="7E4FD9D9"/>
    <w:rsid w:val="7E6BF631"/>
    <w:rsid w:val="7E7D9F42"/>
    <w:rsid w:val="7E851C21"/>
    <w:rsid w:val="7ED90580"/>
    <w:rsid w:val="7EE233E6"/>
    <w:rsid w:val="7EED9CAA"/>
    <w:rsid w:val="7EF7A907"/>
    <w:rsid w:val="7F01E4F6"/>
    <w:rsid w:val="7F05E889"/>
    <w:rsid w:val="7F12AB9E"/>
    <w:rsid w:val="7F1F82B3"/>
    <w:rsid w:val="7F4398EE"/>
    <w:rsid w:val="7F5CFDEB"/>
    <w:rsid w:val="7FB5F9D5"/>
    <w:rsid w:val="7FC7CEA1"/>
    <w:rsid w:val="7FFAD5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CD8EB"/>
  <w15:chartTrackingRefBased/>
  <w15:docId w15:val="{7B7B715A-590A-44E3-B45D-4AD5E0FA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68C"/>
  </w:style>
  <w:style w:type="paragraph" w:styleId="Heading1">
    <w:name w:val="heading 1"/>
    <w:basedOn w:val="Normal"/>
    <w:next w:val="Normal"/>
    <w:link w:val="Heading1Char"/>
    <w:uiPriority w:val="9"/>
    <w:qFormat/>
    <w:rsid w:val="00F13451"/>
    <w:pPr>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basedOn w:val="Normal"/>
    <w:next w:val="Normal"/>
    <w:link w:val="Heading2Char"/>
    <w:uiPriority w:val="9"/>
    <w:unhideWhenUsed/>
    <w:qFormat/>
    <w:rsid w:val="00F13451"/>
    <w:pPr>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basedOn w:val="Normal"/>
    <w:next w:val="Normal"/>
    <w:link w:val="Heading3Char"/>
    <w:uiPriority w:val="9"/>
    <w:unhideWhenUsed/>
    <w:qFormat/>
    <w:rsid w:val="00F13451"/>
    <w:pPr>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basedOn w:val="Normal"/>
    <w:next w:val="Normal"/>
    <w:link w:val="Heading4Char"/>
    <w:uiPriority w:val="9"/>
    <w:unhideWhenUsed/>
    <w:qFormat/>
    <w:rsid w:val="00A6656C"/>
    <w:pPr>
      <w:keepNext/>
      <w:keepLines/>
      <w:spacing w:before="240" w:after="0"/>
      <w:outlineLvl w:val="3"/>
    </w:pPr>
    <w:rPr>
      <w:rFonts w:ascii="Work Sans" w:eastAsiaTheme="majorEastAsia" w:hAnsi="Work Sans" w:cstheme="majorBidi"/>
      <w:i/>
      <w:iCs/>
      <w:color w:val="2F5496" w:themeColor="accent1" w:themeShade="BF"/>
      <w:sz w:val="24"/>
      <w:szCs w:val="24"/>
    </w:rPr>
  </w:style>
  <w:style w:type="paragraph" w:styleId="Heading5">
    <w:name w:val="heading 5"/>
    <w:basedOn w:val="Normal"/>
    <w:next w:val="Normal"/>
    <w:link w:val="Heading5Char"/>
    <w:uiPriority w:val="9"/>
    <w:unhideWhenUsed/>
    <w:qFormat/>
    <w:rsid w:val="00605C59"/>
    <w:pPr>
      <w:keepNext/>
      <w:keepLines/>
      <w:spacing w:before="240" w:after="0"/>
      <w:outlineLvl w:val="4"/>
    </w:pPr>
    <w:rPr>
      <w:rFonts w:ascii="Work Sans" w:eastAsiaTheme="majorEastAsia" w:hAnsi="Work Sans" w:cstheme="majorBidi"/>
      <w:color w:val="767171" w:themeColor="background2" w:themeShade="80"/>
      <w:sz w:val="24"/>
      <w:szCs w:val="24"/>
    </w:rPr>
  </w:style>
  <w:style w:type="paragraph" w:styleId="Heading6">
    <w:name w:val="heading 6"/>
    <w:basedOn w:val="Normal"/>
    <w:next w:val="Normal"/>
    <w:link w:val="Heading6Char"/>
    <w:uiPriority w:val="9"/>
    <w:unhideWhenUsed/>
    <w:qFormat/>
    <w:rsid w:val="00FE077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9341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8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841"/>
  </w:style>
  <w:style w:type="paragraph" w:styleId="Footer">
    <w:name w:val="footer"/>
    <w:basedOn w:val="Normal"/>
    <w:link w:val="FooterChar"/>
    <w:uiPriority w:val="99"/>
    <w:unhideWhenUsed/>
    <w:rsid w:val="00CF28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841"/>
  </w:style>
  <w:style w:type="character" w:customStyle="1" w:styleId="Heading1Char">
    <w:name w:val="Heading 1 Char"/>
    <w:basedOn w:val="DefaultParagraphFont"/>
    <w:link w:val="Heading1"/>
    <w:uiPriority w:val="9"/>
    <w:rsid w:val="00F13451"/>
    <w:rPr>
      <w:rFonts w:ascii="Work Sans" w:eastAsia="Times New Roman" w:hAnsi="Work Sans" w:cs="Open Sans"/>
      <w:b/>
      <w:bCs/>
      <w:color w:val="006991"/>
      <w:sz w:val="40"/>
      <w:szCs w:val="40"/>
    </w:rPr>
  </w:style>
  <w:style w:type="character" w:customStyle="1" w:styleId="Heading2Char">
    <w:name w:val="Heading 2 Char"/>
    <w:basedOn w:val="DefaultParagraphFont"/>
    <w:link w:val="Heading2"/>
    <w:uiPriority w:val="9"/>
    <w:rsid w:val="00F13451"/>
    <w:rPr>
      <w:rFonts w:ascii="Work Sans" w:eastAsia="Times New Roman" w:hAnsi="Work Sans" w:cs="Open Sans"/>
      <w:b/>
      <w:bCs/>
      <w:color w:val="006991"/>
      <w:sz w:val="36"/>
      <w:szCs w:val="36"/>
    </w:rPr>
  </w:style>
  <w:style w:type="character" w:customStyle="1" w:styleId="Heading3Char">
    <w:name w:val="Heading 3 Char"/>
    <w:basedOn w:val="DefaultParagraphFont"/>
    <w:link w:val="Heading3"/>
    <w:uiPriority w:val="9"/>
    <w:rsid w:val="00F13451"/>
    <w:rPr>
      <w:rFonts w:ascii="Work Sans" w:eastAsia="Times New Roman" w:hAnsi="Work Sans" w:cs="Open Sans"/>
      <w:b/>
      <w:bCs/>
      <w:color w:val="006991"/>
      <w:sz w:val="28"/>
      <w:szCs w:val="28"/>
    </w:rPr>
  </w:style>
  <w:style w:type="table" w:styleId="TableGrid">
    <w:name w:val="Table Grid"/>
    <w:basedOn w:val="TableNormal"/>
    <w:uiPriority w:val="39"/>
    <w:rsid w:val="00D60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D12F46"/>
    <w:pPr>
      <w:keepNext/>
      <w:keepLines/>
      <w:tabs>
        <w:tab w:val="left" w:pos="1134"/>
        <w:tab w:val="left" w:pos="1418"/>
      </w:tabs>
      <w:spacing w:before="240" w:after="120" w:line="240" w:lineRule="auto"/>
      <w:ind w:left="1134" w:hanging="1134"/>
    </w:pPr>
    <w:rPr>
      <w:rFonts w:ascii="Work Sans" w:eastAsia="Calibri" w:hAnsi="Work Sans" w:cs="Times New Roman"/>
      <w:sz w:val="20"/>
      <w:szCs w:val="20"/>
    </w:rPr>
  </w:style>
  <w:style w:type="character" w:customStyle="1" w:styleId="CaptionChar">
    <w:name w:val="Caption Char"/>
    <w:basedOn w:val="DefaultParagraphFont"/>
    <w:link w:val="Caption"/>
    <w:rsid w:val="00D12F46"/>
    <w:rPr>
      <w:rFonts w:ascii="Work Sans" w:eastAsia="Calibri" w:hAnsi="Work Sans" w:cs="Times New Roman"/>
      <w:sz w:val="20"/>
      <w:szCs w:val="20"/>
    </w:rPr>
  </w:style>
  <w:style w:type="paragraph" w:styleId="FootnoteText">
    <w:name w:val="footnote text"/>
    <w:basedOn w:val="Normal"/>
    <w:link w:val="FootnoteTextChar"/>
    <w:uiPriority w:val="99"/>
    <w:semiHidden/>
    <w:unhideWhenUsed/>
    <w:rsid w:val="00FB6F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6FAD"/>
    <w:rPr>
      <w:sz w:val="20"/>
      <w:szCs w:val="20"/>
    </w:rPr>
  </w:style>
  <w:style w:type="character" w:styleId="FootnoteReference">
    <w:name w:val="footnote reference"/>
    <w:uiPriority w:val="99"/>
    <w:unhideWhenUsed/>
    <w:qFormat/>
    <w:rsid w:val="00566C73"/>
    <w:rPr>
      <w:rFonts w:ascii="Work Sans" w:hAnsi="Work Sans"/>
      <w:sz w:val="16"/>
      <w:szCs w:val="16"/>
    </w:rPr>
  </w:style>
  <w:style w:type="paragraph" w:styleId="ListParagraph">
    <w:name w:val="List Paragraph"/>
    <w:basedOn w:val="Normal"/>
    <w:link w:val="ListParagraphChar"/>
    <w:uiPriority w:val="34"/>
    <w:qFormat/>
    <w:rsid w:val="00F13451"/>
    <w:pPr>
      <w:tabs>
        <w:tab w:val="left" w:pos="567"/>
      </w:tabs>
      <w:spacing w:before="240" w:after="0" w:line="300" w:lineRule="atLeast"/>
      <w:jc w:val="both"/>
    </w:pPr>
    <w:rPr>
      <w:rFonts w:ascii="Work Sans" w:eastAsia="Times New Roman" w:hAnsi="Work Sans" w:cs="Times New Roman"/>
      <w:sz w:val="24"/>
      <w:szCs w:val="24"/>
      <w:lang w:eastAsia="en-AU"/>
    </w:rPr>
  </w:style>
  <w:style w:type="character" w:styleId="CommentReference">
    <w:name w:val="annotation reference"/>
    <w:basedOn w:val="DefaultParagraphFont"/>
    <w:uiPriority w:val="99"/>
    <w:semiHidden/>
    <w:unhideWhenUsed/>
    <w:rsid w:val="00700D8A"/>
    <w:rPr>
      <w:sz w:val="16"/>
      <w:szCs w:val="16"/>
    </w:rPr>
  </w:style>
  <w:style w:type="paragraph" w:styleId="CommentText">
    <w:name w:val="annotation text"/>
    <w:basedOn w:val="Normal"/>
    <w:link w:val="CommentTextChar"/>
    <w:uiPriority w:val="99"/>
    <w:unhideWhenUsed/>
    <w:rsid w:val="00700D8A"/>
    <w:pPr>
      <w:spacing w:line="240" w:lineRule="auto"/>
    </w:pPr>
    <w:rPr>
      <w:sz w:val="20"/>
      <w:szCs w:val="20"/>
    </w:rPr>
  </w:style>
  <w:style w:type="character" w:customStyle="1" w:styleId="CommentTextChar">
    <w:name w:val="Comment Text Char"/>
    <w:basedOn w:val="DefaultParagraphFont"/>
    <w:link w:val="CommentText"/>
    <w:uiPriority w:val="99"/>
    <w:rsid w:val="00700D8A"/>
    <w:rPr>
      <w:sz w:val="20"/>
      <w:szCs w:val="20"/>
    </w:rPr>
  </w:style>
  <w:style w:type="paragraph" w:styleId="CommentSubject">
    <w:name w:val="annotation subject"/>
    <w:basedOn w:val="CommentText"/>
    <w:next w:val="CommentText"/>
    <w:link w:val="CommentSubjectChar"/>
    <w:uiPriority w:val="99"/>
    <w:semiHidden/>
    <w:unhideWhenUsed/>
    <w:rsid w:val="00700D8A"/>
    <w:rPr>
      <w:b/>
      <w:bCs/>
    </w:rPr>
  </w:style>
  <w:style w:type="character" w:customStyle="1" w:styleId="CommentSubjectChar">
    <w:name w:val="Comment Subject Char"/>
    <w:basedOn w:val="CommentTextChar"/>
    <w:link w:val="CommentSubject"/>
    <w:uiPriority w:val="99"/>
    <w:semiHidden/>
    <w:rsid w:val="00700D8A"/>
    <w:rPr>
      <w:b/>
      <w:bCs/>
      <w:sz w:val="20"/>
      <w:szCs w:val="20"/>
    </w:rPr>
  </w:style>
  <w:style w:type="character" w:styleId="Hyperlink">
    <w:name w:val="Hyperlink"/>
    <w:basedOn w:val="DefaultParagraphFont"/>
    <w:uiPriority w:val="99"/>
    <w:unhideWhenUsed/>
    <w:rsid w:val="009C7631"/>
    <w:rPr>
      <w:color w:val="0563C1" w:themeColor="hyperlink"/>
      <w:u w:val="single"/>
    </w:rPr>
  </w:style>
  <w:style w:type="character" w:styleId="UnresolvedMention">
    <w:name w:val="Unresolved Mention"/>
    <w:basedOn w:val="DefaultParagraphFont"/>
    <w:uiPriority w:val="99"/>
    <w:unhideWhenUsed/>
    <w:rsid w:val="009C7631"/>
    <w:rPr>
      <w:color w:val="605E5C"/>
      <w:shd w:val="clear" w:color="auto" w:fill="E1DFDD"/>
    </w:rPr>
  </w:style>
  <w:style w:type="character" w:styleId="FollowedHyperlink">
    <w:name w:val="FollowedHyperlink"/>
    <w:basedOn w:val="DefaultParagraphFont"/>
    <w:uiPriority w:val="99"/>
    <w:semiHidden/>
    <w:unhideWhenUsed/>
    <w:rsid w:val="00891BAA"/>
    <w:rPr>
      <w:color w:val="954F72" w:themeColor="followedHyperlink"/>
      <w:u w:val="single"/>
    </w:rPr>
  </w:style>
  <w:style w:type="table" w:customStyle="1" w:styleId="TableGrid1">
    <w:name w:val="Table Grid1"/>
    <w:basedOn w:val="TableNormal"/>
    <w:next w:val="TableGrid"/>
    <w:uiPriority w:val="39"/>
    <w:rsid w:val="00873C95"/>
    <w:pPr>
      <w:tabs>
        <w:tab w:val="left" w:pos="1418"/>
        <w:tab w:val="left" w:pos="2268"/>
        <w:tab w:val="left" w:pos="2835"/>
      </w:tab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 note"/>
    <w:basedOn w:val="Normal"/>
    <w:link w:val="TablenoteChar"/>
    <w:qFormat/>
    <w:rsid w:val="002A718F"/>
    <w:pPr>
      <w:tabs>
        <w:tab w:val="left" w:pos="567"/>
        <w:tab w:val="left" w:pos="680"/>
      </w:tabs>
      <w:spacing w:before="40" w:after="0" w:line="240" w:lineRule="auto"/>
      <w:ind w:left="340" w:hanging="227"/>
    </w:pPr>
    <w:rPr>
      <w:rFonts w:ascii="Open Sans Light" w:eastAsia="Calibri" w:hAnsi="Open Sans Light" w:cs="Times New Roman"/>
      <w:sz w:val="14"/>
    </w:rPr>
  </w:style>
  <w:style w:type="paragraph" w:customStyle="1" w:styleId="CGCTablenote">
    <w:name w:val="CGC Table note"/>
    <w:basedOn w:val="Normal"/>
    <w:next w:val="Normal"/>
    <w:qFormat/>
    <w:rsid w:val="002A718F"/>
    <w:pPr>
      <w:tabs>
        <w:tab w:val="left" w:pos="567"/>
        <w:tab w:val="left" w:pos="680"/>
      </w:tabs>
      <w:spacing w:before="40" w:after="0" w:line="240" w:lineRule="auto"/>
      <w:ind w:left="340" w:hanging="227"/>
    </w:pPr>
    <w:rPr>
      <w:rFonts w:ascii="Open Sans Light" w:hAnsi="Open Sans Light"/>
      <w:sz w:val="14"/>
    </w:rPr>
  </w:style>
  <w:style w:type="character" w:customStyle="1" w:styleId="TablenoteChar">
    <w:name w:val="Table note Char"/>
    <w:basedOn w:val="DefaultParagraphFont"/>
    <w:link w:val="Tablenote"/>
    <w:rsid w:val="002A718F"/>
    <w:rPr>
      <w:rFonts w:ascii="Open Sans Light" w:eastAsia="Calibri" w:hAnsi="Open Sans Light" w:cs="Times New Roman"/>
      <w:sz w:val="14"/>
    </w:rPr>
  </w:style>
  <w:style w:type="paragraph" w:customStyle="1" w:styleId="Bulletpoint">
    <w:name w:val="Bullet point"/>
    <w:basedOn w:val="ListParagraph"/>
    <w:link w:val="BulletpointChar"/>
    <w:qFormat/>
    <w:rsid w:val="001F2C60"/>
    <w:pPr>
      <w:jc w:val="left"/>
    </w:pPr>
  </w:style>
  <w:style w:type="character" w:customStyle="1" w:styleId="ListParagraphChar">
    <w:name w:val="List Paragraph Char"/>
    <w:basedOn w:val="DefaultParagraphFont"/>
    <w:link w:val="ListParagraph"/>
    <w:uiPriority w:val="34"/>
    <w:rsid w:val="002A718F"/>
    <w:rPr>
      <w:rFonts w:ascii="Work Sans" w:eastAsia="Times New Roman" w:hAnsi="Work Sans" w:cs="Times New Roman"/>
      <w:sz w:val="24"/>
      <w:szCs w:val="24"/>
      <w:lang w:eastAsia="en-AU"/>
    </w:rPr>
  </w:style>
  <w:style w:type="character" w:customStyle="1" w:styleId="BulletpointChar">
    <w:name w:val="Bullet point Char"/>
    <w:basedOn w:val="ListParagraphChar"/>
    <w:link w:val="Bulletpoint"/>
    <w:rsid w:val="002A718F"/>
    <w:rPr>
      <w:rFonts w:ascii="Work Sans" w:eastAsia="Times New Roman" w:hAnsi="Work Sans" w:cs="Times New Roman"/>
      <w:sz w:val="24"/>
      <w:szCs w:val="24"/>
      <w:lang w:eastAsia="en-AU"/>
    </w:rPr>
  </w:style>
  <w:style w:type="paragraph" w:customStyle="1" w:styleId="CGCParaNumber">
    <w:name w:val="CGC Para Number"/>
    <w:basedOn w:val="Normal"/>
    <w:qFormat/>
    <w:rsid w:val="00B5532F"/>
    <w:pPr>
      <w:numPr>
        <w:numId w:val="2"/>
      </w:numPr>
      <w:tabs>
        <w:tab w:val="left" w:pos="567"/>
      </w:tabs>
      <w:spacing w:before="120" w:after="0" w:line="254" w:lineRule="auto"/>
    </w:pPr>
    <w:rPr>
      <w:rFonts w:ascii="Work Sans" w:hAnsi="Work Sans"/>
      <w:sz w:val="20"/>
      <w:szCs w:val="20"/>
    </w:rPr>
  </w:style>
  <w:style w:type="character" w:customStyle="1" w:styleId="Heading4Char">
    <w:name w:val="Heading 4 Char"/>
    <w:basedOn w:val="DefaultParagraphFont"/>
    <w:link w:val="Heading4"/>
    <w:uiPriority w:val="9"/>
    <w:rsid w:val="002C78BA"/>
    <w:rPr>
      <w:rFonts w:ascii="Work Sans" w:eastAsiaTheme="majorEastAsia" w:hAnsi="Work Sans" w:cstheme="majorBidi"/>
      <w:i/>
      <w:iCs/>
      <w:color w:val="2F5496" w:themeColor="accent1" w:themeShade="BF"/>
      <w:sz w:val="24"/>
      <w:szCs w:val="24"/>
    </w:rPr>
  </w:style>
  <w:style w:type="character" w:customStyle="1" w:styleId="Heading5Char">
    <w:name w:val="Heading 5 Char"/>
    <w:basedOn w:val="DefaultParagraphFont"/>
    <w:link w:val="Heading5"/>
    <w:uiPriority w:val="9"/>
    <w:rsid w:val="002C78BA"/>
    <w:rPr>
      <w:rFonts w:ascii="Work Sans" w:eastAsiaTheme="majorEastAsia" w:hAnsi="Work Sans" w:cstheme="majorBidi"/>
      <w:color w:val="767171" w:themeColor="background2" w:themeShade="80"/>
      <w:sz w:val="24"/>
      <w:szCs w:val="24"/>
    </w:rPr>
  </w:style>
  <w:style w:type="paragraph" w:customStyle="1" w:styleId="CGCTablerow">
    <w:name w:val="CGC Table row"/>
    <w:basedOn w:val="Normal"/>
    <w:qFormat/>
    <w:rsid w:val="001C7DFA"/>
    <w:pPr>
      <w:tabs>
        <w:tab w:val="left" w:pos="567"/>
      </w:tabs>
      <w:spacing w:after="0" w:line="240" w:lineRule="auto"/>
    </w:pPr>
    <w:rPr>
      <w:rFonts w:ascii="Work Sans" w:hAnsi="Work Sans"/>
      <w:sz w:val="16"/>
    </w:rPr>
  </w:style>
  <w:style w:type="paragraph" w:customStyle="1" w:styleId="CGCBullet1">
    <w:name w:val="CGC Bullet 1"/>
    <w:basedOn w:val="BodyText"/>
    <w:qFormat/>
    <w:rsid w:val="00F6729A"/>
    <w:pPr>
      <w:numPr>
        <w:numId w:val="1"/>
      </w:numPr>
      <w:spacing w:before="120" w:line="254" w:lineRule="auto"/>
      <w:jc w:val="left"/>
    </w:pPr>
    <w:rPr>
      <w:rFonts w:ascii="Work Sans" w:hAnsi="Work Sans"/>
      <w:sz w:val="20"/>
    </w:rPr>
  </w:style>
  <w:style w:type="paragraph" w:styleId="Revision">
    <w:name w:val="Revision"/>
    <w:hidden/>
    <w:uiPriority w:val="99"/>
    <w:semiHidden/>
    <w:rsid w:val="00557ED7"/>
    <w:pPr>
      <w:spacing w:after="0" w:line="240" w:lineRule="auto"/>
    </w:pPr>
  </w:style>
  <w:style w:type="paragraph" w:styleId="TOC3">
    <w:name w:val="toc 3"/>
    <w:basedOn w:val="TOC2"/>
    <w:next w:val="Normal"/>
    <w:uiPriority w:val="39"/>
    <w:rsid w:val="00C3169C"/>
    <w:pPr>
      <w:tabs>
        <w:tab w:val="right" w:pos="8942"/>
      </w:tabs>
      <w:spacing w:before="120" w:after="0" w:line="254" w:lineRule="auto"/>
      <w:ind w:left="397"/>
    </w:pPr>
    <w:rPr>
      <w:rFonts w:ascii="Open Sans Light" w:hAnsi="Open Sans Light"/>
      <w:bCs/>
      <w:iCs/>
      <w:color w:val="636466"/>
      <w:sz w:val="20"/>
      <w:szCs w:val="20"/>
    </w:rPr>
  </w:style>
  <w:style w:type="paragraph" w:styleId="TOC2">
    <w:name w:val="toc 2"/>
    <w:basedOn w:val="Normal"/>
    <w:next w:val="Normal"/>
    <w:autoRedefine/>
    <w:uiPriority w:val="39"/>
    <w:semiHidden/>
    <w:unhideWhenUsed/>
    <w:rsid w:val="00C3169C"/>
    <w:pPr>
      <w:spacing w:after="100"/>
      <w:ind w:left="220"/>
    </w:pPr>
  </w:style>
  <w:style w:type="paragraph" w:styleId="NoSpacing">
    <w:name w:val="No Spacing"/>
    <w:uiPriority w:val="1"/>
    <w:qFormat/>
    <w:rsid w:val="00DF6D8D"/>
    <w:pPr>
      <w:spacing w:after="0" w:line="240" w:lineRule="auto"/>
    </w:pPr>
  </w:style>
  <w:style w:type="character" w:styleId="Mention">
    <w:name w:val="Mention"/>
    <w:basedOn w:val="DefaultParagraphFont"/>
    <w:uiPriority w:val="99"/>
    <w:unhideWhenUsed/>
    <w:rsid w:val="0008044E"/>
    <w:rPr>
      <w:color w:val="2B579A"/>
      <w:shd w:val="clear" w:color="auto" w:fill="E1DFDD"/>
    </w:rPr>
  </w:style>
  <w:style w:type="character" w:styleId="Emphasis">
    <w:name w:val="Emphasis"/>
    <w:basedOn w:val="DefaultParagraphFont"/>
    <w:uiPriority w:val="20"/>
    <w:qFormat/>
    <w:rsid w:val="008034EE"/>
    <w:rPr>
      <w:i/>
      <w:iCs/>
    </w:rPr>
  </w:style>
  <w:style w:type="character" w:customStyle="1" w:styleId="Heading6Char">
    <w:name w:val="Heading 6 Char"/>
    <w:basedOn w:val="DefaultParagraphFont"/>
    <w:link w:val="Heading6"/>
    <w:uiPriority w:val="9"/>
    <w:rsid w:val="00FE0775"/>
    <w:rPr>
      <w:rFonts w:asciiTheme="majorHAnsi" w:eastAsiaTheme="majorEastAsia" w:hAnsiTheme="majorHAnsi" w:cstheme="majorBidi"/>
      <w:color w:val="1F3763" w:themeColor="accent1" w:themeShade="7F"/>
    </w:rPr>
  </w:style>
  <w:style w:type="paragraph" w:styleId="BodyText">
    <w:name w:val="Body Text"/>
    <w:link w:val="BodyTextChar"/>
    <w:qFormat/>
    <w:rsid w:val="00003EA5"/>
    <w:pPr>
      <w:spacing w:before="240" w:after="0" w:line="300" w:lineRule="atLeast"/>
      <w:jc w:val="both"/>
    </w:pPr>
    <w:rPr>
      <w:rFonts w:ascii="Open Sans Light" w:eastAsia="Times New Roman" w:hAnsi="Open Sans Light" w:cs="Times New Roman"/>
      <w:sz w:val="24"/>
      <w:szCs w:val="20"/>
      <w:lang w:eastAsia="en-AU"/>
    </w:rPr>
  </w:style>
  <w:style w:type="character" w:customStyle="1" w:styleId="BodyTextChar">
    <w:name w:val="Body Text Char"/>
    <w:basedOn w:val="DefaultParagraphFont"/>
    <w:link w:val="BodyText"/>
    <w:rsid w:val="00003EA5"/>
    <w:rPr>
      <w:rFonts w:ascii="Open Sans Light" w:eastAsia="Times New Roman" w:hAnsi="Open Sans Light" w:cs="Times New Roman"/>
      <w:sz w:val="24"/>
      <w:szCs w:val="20"/>
      <w:lang w:eastAsia="en-AU"/>
    </w:rPr>
  </w:style>
  <w:style w:type="character" w:customStyle="1" w:styleId="normaltextrun">
    <w:name w:val="normaltextrun"/>
    <w:basedOn w:val="DefaultParagraphFont"/>
    <w:rsid w:val="001B511F"/>
  </w:style>
  <w:style w:type="character" w:customStyle="1" w:styleId="eop">
    <w:name w:val="eop"/>
    <w:basedOn w:val="DefaultParagraphFont"/>
    <w:rsid w:val="001B511F"/>
  </w:style>
  <w:style w:type="paragraph" w:customStyle="1" w:styleId="paragraph">
    <w:name w:val="paragraph"/>
    <w:basedOn w:val="Normal"/>
    <w:rsid w:val="0044704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7Char">
    <w:name w:val="Heading 7 Char"/>
    <w:basedOn w:val="DefaultParagraphFont"/>
    <w:link w:val="Heading7"/>
    <w:uiPriority w:val="9"/>
    <w:rsid w:val="00A93413"/>
    <w:rPr>
      <w:rFonts w:asciiTheme="majorHAnsi" w:eastAsiaTheme="majorEastAsia" w:hAnsiTheme="majorHAnsi" w:cstheme="majorBidi"/>
      <w:i/>
      <w:iCs/>
      <w:color w:val="1F3763" w:themeColor="accent1" w:themeShade="7F"/>
    </w:rPr>
  </w:style>
  <w:style w:type="paragraph" w:customStyle="1" w:styleId="CGC2025ParaNumbers">
    <w:name w:val="CGC 2025 Para Numbers"/>
    <w:basedOn w:val="Normal"/>
    <w:rsid w:val="003E03AF"/>
    <w:pPr>
      <w:tabs>
        <w:tab w:val="num" w:pos="567"/>
      </w:tabs>
      <w:spacing w:before="120" w:after="80" w:line="320" w:lineRule="atLeast"/>
      <w:ind w:left="567" w:hanging="567"/>
    </w:pPr>
    <w:rPr>
      <w:rFonts w:ascii="Work Sans" w:hAnsi="Work Sans"/>
      <w:sz w:val="20"/>
      <w:szCs w:val="24"/>
    </w:rPr>
  </w:style>
  <w:style w:type="paragraph" w:customStyle="1" w:styleId="CGC2025Bullet1">
    <w:name w:val="CGC 2025 Bullet 1"/>
    <w:basedOn w:val="Normal"/>
    <w:qFormat/>
    <w:rsid w:val="003E03AF"/>
    <w:pPr>
      <w:tabs>
        <w:tab w:val="left" w:pos="567"/>
      </w:tabs>
      <w:spacing w:before="120" w:after="0" w:line="254" w:lineRule="auto"/>
      <w:ind w:left="927"/>
    </w:pPr>
    <w:rPr>
      <w:rFonts w:ascii="Work Sans" w:hAnsi="Work Sans"/>
      <w:sz w:val="20"/>
      <w:szCs w:val="20"/>
    </w:rPr>
  </w:style>
  <w:style w:type="paragraph" w:customStyle="1" w:styleId="xmsonormal">
    <w:name w:val="x_msonormal"/>
    <w:basedOn w:val="Normal"/>
    <w:rsid w:val="007101C3"/>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7844">
      <w:bodyDiv w:val="1"/>
      <w:marLeft w:val="0"/>
      <w:marRight w:val="0"/>
      <w:marTop w:val="0"/>
      <w:marBottom w:val="0"/>
      <w:divBdr>
        <w:top w:val="none" w:sz="0" w:space="0" w:color="auto"/>
        <w:left w:val="none" w:sz="0" w:space="0" w:color="auto"/>
        <w:bottom w:val="none" w:sz="0" w:space="0" w:color="auto"/>
        <w:right w:val="none" w:sz="0" w:space="0" w:color="auto"/>
      </w:divBdr>
    </w:div>
    <w:div w:id="107431126">
      <w:bodyDiv w:val="1"/>
      <w:marLeft w:val="0"/>
      <w:marRight w:val="0"/>
      <w:marTop w:val="0"/>
      <w:marBottom w:val="0"/>
      <w:divBdr>
        <w:top w:val="none" w:sz="0" w:space="0" w:color="auto"/>
        <w:left w:val="none" w:sz="0" w:space="0" w:color="auto"/>
        <w:bottom w:val="none" w:sz="0" w:space="0" w:color="auto"/>
        <w:right w:val="none" w:sz="0" w:space="0" w:color="auto"/>
      </w:divBdr>
    </w:div>
    <w:div w:id="126550634">
      <w:bodyDiv w:val="1"/>
      <w:marLeft w:val="0"/>
      <w:marRight w:val="0"/>
      <w:marTop w:val="0"/>
      <w:marBottom w:val="0"/>
      <w:divBdr>
        <w:top w:val="none" w:sz="0" w:space="0" w:color="auto"/>
        <w:left w:val="none" w:sz="0" w:space="0" w:color="auto"/>
        <w:bottom w:val="none" w:sz="0" w:space="0" w:color="auto"/>
        <w:right w:val="none" w:sz="0" w:space="0" w:color="auto"/>
      </w:divBdr>
    </w:div>
    <w:div w:id="235358510">
      <w:bodyDiv w:val="1"/>
      <w:marLeft w:val="0"/>
      <w:marRight w:val="0"/>
      <w:marTop w:val="0"/>
      <w:marBottom w:val="0"/>
      <w:divBdr>
        <w:top w:val="none" w:sz="0" w:space="0" w:color="auto"/>
        <w:left w:val="none" w:sz="0" w:space="0" w:color="auto"/>
        <w:bottom w:val="none" w:sz="0" w:space="0" w:color="auto"/>
        <w:right w:val="none" w:sz="0" w:space="0" w:color="auto"/>
      </w:divBdr>
      <w:divsChild>
        <w:div w:id="5131947">
          <w:marLeft w:val="0"/>
          <w:marRight w:val="0"/>
          <w:marTop w:val="0"/>
          <w:marBottom w:val="0"/>
          <w:divBdr>
            <w:top w:val="none" w:sz="0" w:space="0" w:color="auto"/>
            <w:left w:val="none" w:sz="0" w:space="0" w:color="auto"/>
            <w:bottom w:val="none" w:sz="0" w:space="0" w:color="auto"/>
            <w:right w:val="none" w:sz="0" w:space="0" w:color="auto"/>
          </w:divBdr>
          <w:divsChild>
            <w:div w:id="747313027">
              <w:marLeft w:val="0"/>
              <w:marRight w:val="0"/>
              <w:marTop w:val="0"/>
              <w:marBottom w:val="0"/>
              <w:divBdr>
                <w:top w:val="none" w:sz="0" w:space="0" w:color="auto"/>
                <w:left w:val="none" w:sz="0" w:space="0" w:color="auto"/>
                <w:bottom w:val="none" w:sz="0" w:space="0" w:color="auto"/>
                <w:right w:val="none" w:sz="0" w:space="0" w:color="auto"/>
              </w:divBdr>
            </w:div>
          </w:divsChild>
        </w:div>
        <w:div w:id="37441151">
          <w:marLeft w:val="0"/>
          <w:marRight w:val="0"/>
          <w:marTop w:val="0"/>
          <w:marBottom w:val="0"/>
          <w:divBdr>
            <w:top w:val="none" w:sz="0" w:space="0" w:color="auto"/>
            <w:left w:val="none" w:sz="0" w:space="0" w:color="auto"/>
            <w:bottom w:val="none" w:sz="0" w:space="0" w:color="auto"/>
            <w:right w:val="none" w:sz="0" w:space="0" w:color="auto"/>
          </w:divBdr>
          <w:divsChild>
            <w:div w:id="582418462">
              <w:marLeft w:val="0"/>
              <w:marRight w:val="0"/>
              <w:marTop w:val="0"/>
              <w:marBottom w:val="0"/>
              <w:divBdr>
                <w:top w:val="none" w:sz="0" w:space="0" w:color="auto"/>
                <w:left w:val="none" w:sz="0" w:space="0" w:color="auto"/>
                <w:bottom w:val="none" w:sz="0" w:space="0" w:color="auto"/>
                <w:right w:val="none" w:sz="0" w:space="0" w:color="auto"/>
              </w:divBdr>
            </w:div>
          </w:divsChild>
        </w:div>
        <w:div w:id="50083381">
          <w:marLeft w:val="0"/>
          <w:marRight w:val="0"/>
          <w:marTop w:val="0"/>
          <w:marBottom w:val="0"/>
          <w:divBdr>
            <w:top w:val="none" w:sz="0" w:space="0" w:color="auto"/>
            <w:left w:val="none" w:sz="0" w:space="0" w:color="auto"/>
            <w:bottom w:val="none" w:sz="0" w:space="0" w:color="auto"/>
            <w:right w:val="none" w:sz="0" w:space="0" w:color="auto"/>
          </w:divBdr>
          <w:divsChild>
            <w:div w:id="139810005">
              <w:marLeft w:val="0"/>
              <w:marRight w:val="0"/>
              <w:marTop w:val="0"/>
              <w:marBottom w:val="0"/>
              <w:divBdr>
                <w:top w:val="none" w:sz="0" w:space="0" w:color="auto"/>
                <w:left w:val="none" w:sz="0" w:space="0" w:color="auto"/>
                <w:bottom w:val="none" w:sz="0" w:space="0" w:color="auto"/>
                <w:right w:val="none" w:sz="0" w:space="0" w:color="auto"/>
              </w:divBdr>
            </w:div>
          </w:divsChild>
        </w:div>
        <w:div w:id="62147790">
          <w:marLeft w:val="0"/>
          <w:marRight w:val="0"/>
          <w:marTop w:val="0"/>
          <w:marBottom w:val="0"/>
          <w:divBdr>
            <w:top w:val="none" w:sz="0" w:space="0" w:color="auto"/>
            <w:left w:val="none" w:sz="0" w:space="0" w:color="auto"/>
            <w:bottom w:val="none" w:sz="0" w:space="0" w:color="auto"/>
            <w:right w:val="none" w:sz="0" w:space="0" w:color="auto"/>
          </w:divBdr>
          <w:divsChild>
            <w:div w:id="1907178210">
              <w:marLeft w:val="0"/>
              <w:marRight w:val="0"/>
              <w:marTop w:val="0"/>
              <w:marBottom w:val="0"/>
              <w:divBdr>
                <w:top w:val="none" w:sz="0" w:space="0" w:color="auto"/>
                <w:left w:val="none" w:sz="0" w:space="0" w:color="auto"/>
                <w:bottom w:val="none" w:sz="0" w:space="0" w:color="auto"/>
                <w:right w:val="none" w:sz="0" w:space="0" w:color="auto"/>
              </w:divBdr>
            </w:div>
          </w:divsChild>
        </w:div>
        <w:div w:id="73599699">
          <w:marLeft w:val="0"/>
          <w:marRight w:val="0"/>
          <w:marTop w:val="0"/>
          <w:marBottom w:val="0"/>
          <w:divBdr>
            <w:top w:val="none" w:sz="0" w:space="0" w:color="auto"/>
            <w:left w:val="none" w:sz="0" w:space="0" w:color="auto"/>
            <w:bottom w:val="none" w:sz="0" w:space="0" w:color="auto"/>
            <w:right w:val="none" w:sz="0" w:space="0" w:color="auto"/>
          </w:divBdr>
          <w:divsChild>
            <w:div w:id="1702316127">
              <w:marLeft w:val="0"/>
              <w:marRight w:val="0"/>
              <w:marTop w:val="0"/>
              <w:marBottom w:val="0"/>
              <w:divBdr>
                <w:top w:val="none" w:sz="0" w:space="0" w:color="auto"/>
                <w:left w:val="none" w:sz="0" w:space="0" w:color="auto"/>
                <w:bottom w:val="none" w:sz="0" w:space="0" w:color="auto"/>
                <w:right w:val="none" w:sz="0" w:space="0" w:color="auto"/>
              </w:divBdr>
            </w:div>
          </w:divsChild>
        </w:div>
        <w:div w:id="98454405">
          <w:marLeft w:val="0"/>
          <w:marRight w:val="0"/>
          <w:marTop w:val="0"/>
          <w:marBottom w:val="0"/>
          <w:divBdr>
            <w:top w:val="none" w:sz="0" w:space="0" w:color="auto"/>
            <w:left w:val="none" w:sz="0" w:space="0" w:color="auto"/>
            <w:bottom w:val="none" w:sz="0" w:space="0" w:color="auto"/>
            <w:right w:val="none" w:sz="0" w:space="0" w:color="auto"/>
          </w:divBdr>
          <w:divsChild>
            <w:div w:id="641276650">
              <w:marLeft w:val="0"/>
              <w:marRight w:val="0"/>
              <w:marTop w:val="0"/>
              <w:marBottom w:val="0"/>
              <w:divBdr>
                <w:top w:val="none" w:sz="0" w:space="0" w:color="auto"/>
                <w:left w:val="none" w:sz="0" w:space="0" w:color="auto"/>
                <w:bottom w:val="none" w:sz="0" w:space="0" w:color="auto"/>
                <w:right w:val="none" w:sz="0" w:space="0" w:color="auto"/>
              </w:divBdr>
            </w:div>
          </w:divsChild>
        </w:div>
        <w:div w:id="129591834">
          <w:marLeft w:val="0"/>
          <w:marRight w:val="0"/>
          <w:marTop w:val="0"/>
          <w:marBottom w:val="0"/>
          <w:divBdr>
            <w:top w:val="none" w:sz="0" w:space="0" w:color="auto"/>
            <w:left w:val="none" w:sz="0" w:space="0" w:color="auto"/>
            <w:bottom w:val="none" w:sz="0" w:space="0" w:color="auto"/>
            <w:right w:val="none" w:sz="0" w:space="0" w:color="auto"/>
          </w:divBdr>
          <w:divsChild>
            <w:div w:id="672024868">
              <w:marLeft w:val="0"/>
              <w:marRight w:val="0"/>
              <w:marTop w:val="0"/>
              <w:marBottom w:val="0"/>
              <w:divBdr>
                <w:top w:val="none" w:sz="0" w:space="0" w:color="auto"/>
                <w:left w:val="none" w:sz="0" w:space="0" w:color="auto"/>
                <w:bottom w:val="none" w:sz="0" w:space="0" w:color="auto"/>
                <w:right w:val="none" w:sz="0" w:space="0" w:color="auto"/>
              </w:divBdr>
            </w:div>
          </w:divsChild>
        </w:div>
        <w:div w:id="142739797">
          <w:marLeft w:val="0"/>
          <w:marRight w:val="0"/>
          <w:marTop w:val="0"/>
          <w:marBottom w:val="0"/>
          <w:divBdr>
            <w:top w:val="none" w:sz="0" w:space="0" w:color="auto"/>
            <w:left w:val="none" w:sz="0" w:space="0" w:color="auto"/>
            <w:bottom w:val="none" w:sz="0" w:space="0" w:color="auto"/>
            <w:right w:val="none" w:sz="0" w:space="0" w:color="auto"/>
          </w:divBdr>
          <w:divsChild>
            <w:div w:id="168956299">
              <w:marLeft w:val="0"/>
              <w:marRight w:val="0"/>
              <w:marTop w:val="0"/>
              <w:marBottom w:val="0"/>
              <w:divBdr>
                <w:top w:val="none" w:sz="0" w:space="0" w:color="auto"/>
                <w:left w:val="none" w:sz="0" w:space="0" w:color="auto"/>
                <w:bottom w:val="none" w:sz="0" w:space="0" w:color="auto"/>
                <w:right w:val="none" w:sz="0" w:space="0" w:color="auto"/>
              </w:divBdr>
            </w:div>
          </w:divsChild>
        </w:div>
        <w:div w:id="149951370">
          <w:marLeft w:val="0"/>
          <w:marRight w:val="0"/>
          <w:marTop w:val="0"/>
          <w:marBottom w:val="0"/>
          <w:divBdr>
            <w:top w:val="none" w:sz="0" w:space="0" w:color="auto"/>
            <w:left w:val="none" w:sz="0" w:space="0" w:color="auto"/>
            <w:bottom w:val="none" w:sz="0" w:space="0" w:color="auto"/>
            <w:right w:val="none" w:sz="0" w:space="0" w:color="auto"/>
          </w:divBdr>
          <w:divsChild>
            <w:div w:id="1114861182">
              <w:marLeft w:val="0"/>
              <w:marRight w:val="0"/>
              <w:marTop w:val="0"/>
              <w:marBottom w:val="0"/>
              <w:divBdr>
                <w:top w:val="none" w:sz="0" w:space="0" w:color="auto"/>
                <w:left w:val="none" w:sz="0" w:space="0" w:color="auto"/>
                <w:bottom w:val="none" w:sz="0" w:space="0" w:color="auto"/>
                <w:right w:val="none" w:sz="0" w:space="0" w:color="auto"/>
              </w:divBdr>
            </w:div>
          </w:divsChild>
        </w:div>
        <w:div w:id="197084711">
          <w:marLeft w:val="0"/>
          <w:marRight w:val="0"/>
          <w:marTop w:val="0"/>
          <w:marBottom w:val="0"/>
          <w:divBdr>
            <w:top w:val="none" w:sz="0" w:space="0" w:color="auto"/>
            <w:left w:val="none" w:sz="0" w:space="0" w:color="auto"/>
            <w:bottom w:val="none" w:sz="0" w:space="0" w:color="auto"/>
            <w:right w:val="none" w:sz="0" w:space="0" w:color="auto"/>
          </w:divBdr>
          <w:divsChild>
            <w:div w:id="566762815">
              <w:marLeft w:val="0"/>
              <w:marRight w:val="0"/>
              <w:marTop w:val="0"/>
              <w:marBottom w:val="0"/>
              <w:divBdr>
                <w:top w:val="none" w:sz="0" w:space="0" w:color="auto"/>
                <w:left w:val="none" w:sz="0" w:space="0" w:color="auto"/>
                <w:bottom w:val="none" w:sz="0" w:space="0" w:color="auto"/>
                <w:right w:val="none" w:sz="0" w:space="0" w:color="auto"/>
              </w:divBdr>
            </w:div>
          </w:divsChild>
        </w:div>
        <w:div w:id="199175209">
          <w:marLeft w:val="0"/>
          <w:marRight w:val="0"/>
          <w:marTop w:val="0"/>
          <w:marBottom w:val="0"/>
          <w:divBdr>
            <w:top w:val="none" w:sz="0" w:space="0" w:color="auto"/>
            <w:left w:val="none" w:sz="0" w:space="0" w:color="auto"/>
            <w:bottom w:val="none" w:sz="0" w:space="0" w:color="auto"/>
            <w:right w:val="none" w:sz="0" w:space="0" w:color="auto"/>
          </w:divBdr>
          <w:divsChild>
            <w:div w:id="833958385">
              <w:marLeft w:val="0"/>
              <w:marRight w:val="0"/>
              <w:marTop w:val="0"/>
              <w:marBottom w:val="0"/>
              <w:divBdr>
                <w:top w:val="none" w:sz="0" w:space="0" w:color="auto"/>
                <w:left w:val="none" w:sz="0" w:space="0" w:color="auto"/>
                <w:bottom w:val="none" w:sz="0" w:space="0" w:color="auto"/>
                <w:right w:val="none" w:sz="0" w:space="0" w:color="auto"/>
              </w:divBdr>
            </w:div>
          </w:divsChild>
        </w:div>
        <w:div w:id="250354633">
          <w:marLeft w:val="0"/>
          <w:marRight w:val="0"/>
          <w:marTop w:val="0"/>
          <w:marBottom w:val="0"/>
          <w:divBdr>
            <w:top w:val="none" w:sz="0" w:space="0" w:color="auto"/>
            <w:left w:val="none" w:sz="0" w:space="0" w:color="auto"/>
            <w:bottom w:val="none" w:sz="0" w:space="0" w:color="auto"/>
            <w:right w:val="none" w:sz="0" w:space="0" w:color="auto"/>
          </w:divBdr>
          <w:divsChild>
            <w:div w:id="69937098">
              <w:marLeft w:val="0"/>
              <w:marRight w:val="0"/>
              <w:marTop w:val="0"/>
              <w:marBottom w:val="0"/>
              <w:divBdr>
                <w:top w:val="none" w:sz="0" w:space="0" w:color="auto"/>
                <w:left w:val="none" w:sz="0" w:space="0" w:color="auto"/>
                <w:bottom w:val="none" w:sz="0" w:space="0" w:color="auto"/>
                <w:right w:val="none" w:sz="0" w:space="0" w:color="auto"/>
              </w:divBdr>
            </w:div>
          </w:divsChild>
        </w:div>
        <w:div w:id="260140032">
          <w:marLeft w:val="0"/>
          <w:marRight w:val="0"/>
          <w:marTop w:val="0"/>
          <w:marBottom w:val="0"/>
          <w:divBdr>
            <w:top w:val="none" w:sz="0" w:space="0" w:color="auto"/>
            <w:left w:val="none" w:sz="0" w:space="0" w:color="auto"/>
            <w:bottom w:val="none" w:sz="0" w:space="0" w:color="auto"/>
            <w:right w:val="none" w:sz="0" w:space="0" w:color="auto"/>
          </w:divBdr>
          <w:divsChild>
            <w:div w:id="1426850740">
              <w:marLeft w:val="0"/>
              <w:marRight w:val="0"/>
              <w:marTop w:val="0"/>
              <w:marBottom w:val="0"/>
              <w:divBdr>
                <w:top w:val="none" w:sz="0" w:space="0" w:color="auto"/>
                <w:left w:val="none" w:sz="0" w:space="0" w:color="auto"/>
                <w:bottom w:val="none" w:sz="0" w:space="0" w:color="auto"/>
                <w:right w:val="none" w:sz="0" w:space="0" w:color="auto"/>
              </w:divBdr>
            </w:div>
          </w:divsChild>
        </w:div>
        <w:div w:id="277761778">
          <w:marLeft w:val="0"/>
          <w:marRight w:val="0"/>
          <w:marTop w:val="0"/>
          <w:marBottom w:val="0"/>
          <w:divBdr>
            <w:top w:val="none" w:sz="0" w:space="0" w:color="auto"/>
            <w:left w:val="none" w:sz="0" w:space="0" w:color="auto"/>
            <w:bottom w:val="none" w:sz="0" w:space="0" w:color="auto"/>
            <w:right w:val="none" w:sz="0" w:space="0" w:color="auto"/>
          </w:divBdr>
          <w:divsChild>
            <w:div w:id="278999631">
              <w:marLeft w:val="0"/>
              <w:marRight w:val="0"/>
              <w:marTop w:val="0"/>
              <w:marBottom w:val="0"/>
              <w:divBdr>
                <w:top w:val="none" w:sz="0" w:space="0" w:color="auto"/>
                <w:left w:val="none" w:sz="0" w:space="0" w:color="auto"/>
                <w:bottom w:val="none" w:sz="0" w:space="0" w:color="auto"/>
                <w:right w:val="none" w:sz="0" w:space="0" w:color="auto"/>
              </w:divBdr>
            </w:div>
          </w:divsChild>
        </w:div>
        <w:div w:id="288898817">
          <w:marLeft w:val="0"/>
          <w:marRight w:val="0"/>
          <w:marTop w:val="0"/>
          <w:marBottom w:val="0"/>
          <w:divBdr>
            <w:top w:val="none" w:sz="0" w:space="0" w:color="auto"/>
            <w:left w:val="none" w:sz="0" w:space="0" w:color="auto"/>
            <w:bottom w:val="none" w:sz="0" w:space="0" w:color="auto"/>
            <w:right w:val="none" w:sz="0" w:space="0" w:color="auto"/>
          </w:divBdr>
          <w:divsChild>
            <w:div w:id="1711491598">
              <w:marLeft w:val="0"/>
              <w:marRight w:val="0"/>
              <w:marTop w:val="0"/>
              <w:marBottom w:val="0"/>
              <w:divBdr>
                <w:top w:val="none" w:sz="0" w:space="0" w:color="auto"/>
                <w:left w:val="none" w:sz="0" w:space="0" w:color="auto"/>
                <w:bottom w:val="none" w:sz="0" w:space="0" w:color="auto"/>
                <w:right w:val="none" w:sz="0" w:space="0" w:color="auto"/>
              </w:divBdr>
            </w:div>
          </w:divsChild>
        </w:div>
        <w:div w:id="303504853">
          <w:marLeft w:val="0"/>
          <w:marRight w:val="0"/>
          <w:marTop w:val="0"/>
          <w:marBottom w:val="0"/>
          <w:divBdr>
            <w:top w:val="none" w:sz="0" w:space="0" w:color="auto"/>
            <w:left w:val="none" w:sz="0" w:space="0" w:color="auto"/>
            <w:bottom w:val="none" w:sz="0" w:space="0" w:color="auto"/>
            <w:right w:val="none" w:sz="0" w:space="0" w:color="auto"/>
          </w:divBdr>
          <w:divsChild>
            <w:div w:id="1163618839">
              <w:marLeft w:val="0"/>
              <w:marRight w:val="0"/>
              <w:marTop w:val="0"/>
              <w:marBottom w:val="0"/>
              <w:divBdr>
                <w:top w:val="none" w:sz="0" w:space="0" w:color="auto"/>
                <w:left w:val="none" w:sz="0" w:space="0" w:color="auto"/>
                <w:bottom w:val="none" w:sz="0" w:space="0" w:color="auto"/>
                <w:right w:val="none" w:sz="0" w:space="0" w:color="auto"/>
              </w:divBdr>
            </w:div>
          </w:divsChild>
        </w:div>
        <w:div w:id="305358978">
          <w:marLeft w:val="0"/>
          <w:marRight w:val="0"/>
          <w:marTop w:val="0"/>
          <w:marBottom w:val="0"/>
          <w:divBdr>
            <w:top w:val="none" w:sz="0" w:space="0" w:color="auto"/>
            <w:left w:val="none" w:sz="0" w:space="0" w:color="auto"/>
            <w:bottom w:val="none" w:sz="0" w:space="0" w:color="auto"/>
            <w:right w:val="none" w:sz="0" w:space="0" w:color="auto"/>
          </w:divBdr>
          <w:divsChild>
            <w:div w:id="1575580744">
              <w:marLeft w:val="0"/>
              <w:marRight w:val="0"/>
              <w:marTop w:val="0"/>
              <w:marBottom w:val="0"/>
              <w:divBdr>
                <w:top w:val="none" w:sz="0" w:space="0" w:color="auto"/>
                <w:left w:val="none" w:sz="0" w:space="0" w:color="auto"/>
                <w:bottom w:val="none" w:sz="0" w:space="0" w:color="auto"/>
                <w:right w:val="none" w:sz="0" w:space="0" w:color="auto"/>
              </w:divBdr>
            </w:div>
          </w:divsChild>
        </w:div>
        <w:div w:id="337730765">
          <w:marLeft w:val="0"/>
          <w:marRight w:val="0"/>
          <w:marTop w:val="0"/>
          <w:marBottom w:val="0"/>
          <w:divBdr>
            <w:top w:val="none" w:sz="0" w:space="0" w:color="auto"/>
            <w:left w:val="none" w:sz="0" w:space="0" w:color="auto"/>
            <w:bottom w:val="none" w:sz="0" w:space="0" w:color="auto"/>
            <w:right w:val="none" w:sz="0" w:space="0" w:color="auto"/>
          </w:divBdr>
          <w:divsChild>
            <w:div w:id="55399854">
              <w:marLeft w:val="0"/>
              <w:marRight w:val="0"/>
              <w:marTop w:val="0"/>
              <w:marBottom w:val="0"/>
              <w:divBdr>
                <w:top w:val="none" w:sz="0" w:space="0" w:color="auto"/>
                <w:left w:val="none" w:sz="0" w:space="0" w:color="auto"/>
                <w:bottom w:val="none" w:sz="0" w:space="0" w:color="auto"/>
                <w:right w:val="none" w:sz="0" w:space="0" w:color="auto"/>
              </w:divBdr>
            </w:div>
          </w:divsChild>
        </w:div>
        <w:div w:id="350185684">
          <w:marLeft w:val="0"/>
          <w:marRight w:val="0"/>
          <w:marTop w:val="0"/>
          <w:marBottom w:val="0"/>
          <w:divBdr>
            <w:top w:val="none" w:sz="0" w:space="0" w:color="auto"/>
            <w:left w:val="none" w:sz="0" w:space="0" w:color="auto"/>
            <w:bottom w:val="none" w:sz="0" w:space="0" w:color="auto"/>
            <w:right w:val="none" w:sz="0" w:space="0" w:color="auto"/>
          </w:divBdr>
          <w:divsChild>
            <w:div w:id="971715214">
              <w:marLeft w:val="0"/>
              <w:marRight w:val="0"/>
              <w:marTop w:val="0"/>
              <w:marBottom w:val="0"/>
              <w:divBdr>
                <w:top w:val="none" w:sz="0" w:space="0" w:color="auto"/>
                <w:left w:val="none" w:sz="0" w:space="0" w:color="auto"/>
                <w:bottom w:val="none" w:sz="0" w:space="0" w:color="auto"/>
                <w:right w:val="none" w:sz="0" w:space="0" w:color="auto"/>
              </w:divBdr>
            </w:div>
          </w:divsChild>
        </w:div>
        <w:div w:id="354041024">
          <w:marLeft w:val="0"/>
          <w:marRight w:val="0"/>
          <w:marTop w:val="0"/>
          <w:marBottom w:val="0"/>
          <w:divBdr>
            <w:top w:val="none" w:sz="0" w:space="0" w:color="auto"/>
            <w:left w:val="none" w:sz="0" w:space="0" w:color="auto"/>
            <w:bottom w:val="none" w:sz="0" w:space="0" w:color="auto"/>
            <w:right w:val="none" w:sz="0" w:space="0" w:color="auto"/>
          </w:divBdr>
          <w:divsChild>
            <w:div w:id="36929255">
              <w:marLeft w:val="0"/>
              <w:marRight w:val="0"/>
              <w:marTop w:val="0"/>
              <w:marBottom w:val="0"/>
              <w:divBdr>
                <w:top w:val="none" w:sz="0" w:space="0" w:color="auto"/>
                <w:left w:val="none" w:sz="0" w:space="0" w:color="auto"/>
                <w:bottom w:val="none" w:sz="0" w:space="0" w:color="auto"/>
                <w:right w:val="none" w:sz="0" w:space="0" w:color="auto"/>
              </w:divBdr>
            </w:div>
          </w:divsChild>
        </w:div>
        <w:div w:id="377708827">
          <w:marLeft w:val="0"/>
          <w:marRight w:val="0"/>
          <w:marTop w:val="0"/>
          <w:marBottom w:val="0"/>
          <w:divBdr>
            <w:top w:val="none" w:sz="0" w:space="0" w:color="auto"/>
            <w:left w:val="none" w:sz="0" w:space="0" w:color="auto"/>
            <w:bottom w:val="none" w:sz="0" w:space="0" w:color="auto"/>
            <w:right w:val="none" w:sz="0" w:space="0" w:color="auto"/>
          </w:divBdr>
          <w:divsChild>
            <w:div w:id="1582569014">
              <w:marLeft w:val="0"/>
              <w:marRight w:val="0"/>
              <w:marTop w:val="0"/>
              <w:marBottom w:val="0"/>
              <w:divBdr>
                <w:top w:val="none" w:sz="0" w:space="0" w:color="auto"/>
                <w:left w:val="none" w:sz="0" w:space="0" w:color="auto"/>
                <w:bottom w:val="none" w:sz="0" w:space="0" w:color="auto"/>
                <w:right w:val="none" w:sz="0" w:space="0" w:color="auto"/>
              </w:divBdr>
            </w:div>
          </w:divsChild>
        </w:div>
        <w:div w:id="381255420">
          <w:marLeft w:val="0"/>
          <w:marRight w:val="0"/>
          <w:marTop w:val="0"/>
          <w:marBottom w:val="0"/>
          <w:divBdr>
            <w:top w:val="none" w:sz="0" w:space="0" w:color="auto"/>
            <w:left w:val="none" w:sz="0" w:space="0" w:color="auto"/>
            <w:bottom w:val="none" w:sz="0" w:space="0" w:color="auto"/>
            <w:right w:val="none" w:sz="0" w:space="0" w:color="auto"/>
          </w:divBdr>
          <w:divsChild>
            <w:div w:id="1716272400">
              <w:marLeft w:val="0"/>
              <w:marRight w:val="0"/>
              <w:marTop w:val="0"/>
              <w:marBottom w:val="0"/>
              <w:divBdr>
                <w:top w:val="none" w:sz="0" w:space="0" w:color="auto"/>
                <w:left w:val="none" w:sz="0" w:space="0" w:color="auto"/>
                <w:bottom w:val="none" w:sz="0" w:space="0" w:color="auto"/>
                <w:right w:val="none" w:sz="0" w:space="0" w:color="auto"/>
              </w:divBdr>
            </w:div>
          </w:divsChild>
        </w:div>
        <w:div w:id="420300932">
          <w:marLeft w:val="0"/>
          <w:marRight w:val="0"/>
          <w:marTop w:val="0"/>
          <w:marBottom w:val="0"/>
          <w:divBdr>
            <w:top w:val="none" w:sz="0" w:space="0" w:color="auto"/>
            <w:left w:val="none" w:sz="0" w:space="0" w:color="auto"/>
            <w:bottom w:val="none" w:sz="0" w:space="0" w:color="auto"/>
            <w:right w:val="none" w:sz="0" w:space="0" w:color="auto"/>
          </w:divBdr>
          <w:divsChild>
            <w:div w:id="764805828">
              <w:marLeft w:val="0"/>
              <w:marRight w:val="0"/>
              <w:marTop w:val="0"/>
              <w:marBottom w:val="0"/>
              <w:divBdr>
                <w:top w:val="none" w:sz="0" w:space="0" w:color="auto"/>
                <w:left w:val="none" w:sz="0" w:space="0" w:color="auto"/>
                <w:bottom w:val="none" w:sz="0" w:space="0" w:color="auto"/>
                <w:right w:val="none" w:sz="0" w:space="0" w:color="auto"/>
              </w:divBdr>
            </w:div>
          </w:divsChild>
        </w:div>
        <w:div w:id="433014645">
          <w:marLeft w:val="0"/>
          <w:marRight w:val="0"/>
          <w:marTop w:val="0"/>
          <w:marBottom w:val="0"/>
          <w:divBdr>
            <w:top w:val="none" w:sz="0" w:space="0" w:color="auto"/>
            <w:left w:val="none" w:sz="0" w:space="0" w:color="auto"/>
            <w:bottom w:val="none" w:sz="0" w:space="0" w:color="auto"/>
            <w:right w:val="none" w:sz="0" w:space="0" w:color="auto"/>
          </w:divBdr>
          <w:divsChild>
            <w:div w:id="503935855">
              <w:marLeft w:val="0"/>
              <w:marRight w:val="0"/>
              <w:marTop w:val="0"/>
              <w:marBottom w:val="0"/>
              <w:divBdr>
                <w:top w:val="none" w:sz="0" w:space="0" w:color="auto"/>
                <w:left w:val="none" w:sz="0" w:space="0" w:color="auto"/>
                <w:bottom w:val="none" w:sz="0" w:space="0" w:color="auto"/>
                <w:right w:val="none" w:sz="0" w:space="0" w:color="auto"/>
              </w:divBdr>
            </w:div>
          </w:divsChild>
        </w:div>
        <w:div w:id="455685389">
          <w:marLeft w:val="0"/>
          <w:marRight w:val="0"/>
          <w:marTop w:val="0"/>
          <w:marBottom w:val="0"/>
          <w:divBdr>
            <w:top w:val="none" w:sz="0" w:space="0" w:color="auto"/>
            <w:left w:val="none" w:sz="0" w:space="0" w:color="auto"/>
            <w:bottom w:val="none" w:sz="0" w:space="0" w:color="auto"/>
            <w:right w:val="none" w:sz="0" w:space="0" w:color="auto"/>
          </w:divBdr>
          <w:divsChild>
            <w:div w:id="1092121876">
              <w:marLeft w:val="0"/>
              <w:marRight w:val="0"/>
              <w:marTop w:val="0"/>
              <w:marBottom w:val="0"/>
              <w:divBdr>
                <w:top w:val="none" w:sz="0" w:space="0" w:color="auto"/>
                <w:left w:val="none" w:sz="0" w:space="0" w:color="auto"/>
                <w:bottom w:val="none" w:sz="0" w:space="0" w:color="auto"/>
                <w:right w:val="none" w:sz="0" w:space="0" w:color="auto"/>
              </w:divBdr>
            </w:div>
          </w:divsChild>
        </w:div>
        <w:div w:id="464470213">
          <w:marLeft w:val="0"/>
          <w:marRight w:val="0"/>
          <w:marTop w:val="0"/>
          <w:marBottom w:val="0"/>
          <w:divBdr>
            <w:top w:val="none" w:sz="0" w:space="0" w:color="auto"/>
            <w:left w:val="none" w:sz="0" w:space="0" w:color="auto"/>
            <w:bottom w:val="none" w:sz="0" w:space="0" w:color="auto"/>
            <w:right w:val="none" w:sz="0" w:space="0" w:color="auto"/>
          </w:divBdr>
          <w:divsChild>
            <w:div w:id="361446265">
              <w:marLeft w:val="0"/>
              <w:marRight w:val="0"/>
              <w:marTop w:val="0"/>
              <w:marBottom w:val="0"/>
              <w:divBdr>
                <w:top w:val="none" w:sz="0" w:space="0" w:color="auto"/>
                <w:left w:val="none" w:sz="0" w:space="0" w:color="auto"/>
                <w:bottom w:val="none" w:sz="0" w:space="0" w:color="auto"/>
                <w:right w:val="none" w:sz="0" w:space="0" w:color="auto"/>
              </w:divBdr>
            </w:div>
          </w:divsChild>
        </w:div>
        <w:div w:id="467095033">
          <w:marLeft w:val="0"/>
          <w:marRight w:val="0"/>
          <w:marTop w:val="0"/>
          <w:marBottom w:val="0"/>
          <w:divBdr>
            <w:top w:val="none" w:sz="0" w:space="0" w:color="auto"/>
            <w:left w:val="none" w:sz="0" w:space="0" w:color="auto"/>
            <w:bottom w:val="none" w:sz="0" w:space="0" w:color="auto"/>
            <w:right w:val="none" w:sz="0" w:space="0" w:color="auto"/>
          </w:divBdr>
          <w:divsChild>
            <w:div w:id="960114091">
              <w:marLeft w:val="0"/>
              <w:marRight w:val="0"/>
              <w:marTop w:val="0"/>
              <w:marBottom w:val="0"/>
              <w:divBdr>
                <w:top w:val="none" w:sz="0" w:space="0" w:color="auto"/>
                <w:left w:val="none" w:sz="0" w:space="0" w:color="auto"/>
                <w:bottom w:val="none" w:sz="0" w:space="0" w:color="auto"/>
                <w:right w:val="none" w:sz="0" w:space="0" w:color="auto"/>
              </w:divBdr>
            </w:div>
          </w:divsChild>
        </w:div>
        <w:div w:id="474033729">
          <w:marLeft w:val="0"/>
          <w:marRight w:val="0"/>
          <w:marTop w:val="0"/>
          <w:marBottom w:val="0"/>
          <w:divBdr>
            <w:top w:val="none" w:sz="0" w:space="0" w:color="auto"/>
            <w:left w:val="none" w:sz="0" w:space="0" w:color="auto"/>
            <w:bottom w:val="none" w:sz="0" w:space="0" w:color="auto"/>
            <w:right w:val="none" w:sz="0" w:space="0" w:color="auto"/>
          </w:divBdr>
          <w:divsChild>
            <w:div w:id="2076463310">
              <w:marLeft w:val="0"/>
              <w:marRight w:val="0"/>
              <w:marTop w:val="0"/>
              <w:marBottom w:val="0"/>
              <w:divBdr>
                <w:top w:val="none" w:sz="0" w:space="0" w:color="auto"/>
                <w:left w:val="none" w:sz="0" w:space="0" w:color="auto"/>
                <w:bottom w:val="none" w:sz="0" w:space="0" w:color="auto"/>
                <w:right w:val="none" w:sz="0" w:space="0" w:color="auto"/>
              </w:divBdr>
            </w:div>
          </w:divsChild>
        </w:div>
        <w:div w:id="511771950">
          <w:marLeft w:val="0"/>
          <w:marRight w:val="0"/>
          <w:marTop w:val="0"/>
          <w:marBottom w:val="0"/>
          <w:divBdr>
            <w:top w:val="none" w:sz="0" w:space="0" w:color="auto"/>
            <w:left w:val="none" w:sz="0" w:space="0" w:color="auto"/>
            <w:bottom w:val="none" w:sz="0" w:space="0" w:color="auto"/>
            <w:right w:val="none" w:sz="0" w:space="0" w:color="auto"/>
          </w:divBdr>
          <w:divsChild>
            <w:div w:id="808012709">
              <w:marLeft w:val="0"/>
              <w:marRight w:val="0"/>
              <w:marTop w:val="0"/>
              <w:marBottom w:val="0"/>
              <w:divBdr>
                <w:top w:val="none" w:sz="0" w:space="0" w:color="auto"/>
                <w:left w:val="none" w:sz="0" w:space="0" w:color="auto"/>
                <w:bottom w:val="none" w:sz="0" w:space="0" w:color="auto"/>
                <w:right w:val="none" w:sz="0" w:space="0" w:color="auto"/>
              </w:divBdr>
            </w:div>
          </w:divsChild>
        </w:div>
        <w:div w:id="521359366">
          <w:marLeft w:val="0"/>
          <w:marRight w:val="0"/>
          <w:marTop w:val="0"/>
          <w:marBottom w:val="0"/>
          <w:divBdr>
            <w:top w:val="none" w:sz="0" w:space="0" w:color="auto"/>
            <w:left w:val="none" w:sz="0" w:space="0" w:color="auto"/>
            <w:bottom w:val="none" w:sz="0" w:space="0" w:color="auto"/>
            <w:right w:val="none" w:sz="0" w:space="0" w:color="auto"/>
          </w:divBdr>
          <w:divsChild>
            <w:div w:id="879514330">
              <w:marLeft w:val="0"/>
              <w:marRight w:val="0"/>
              <w:marTop w:val="0"/>
              <w:marBottom w:val="0"/>
              <w:divBdr>
                <w:top w:val="none" w:sz="0" w:space="0" w:color="auto"/>
                <w:left w:val="none" w:sz="0" w:space="0" w:color="auto"/>
                <w:bottom w:val="none" w:sz="0" w:space="0" w:color="auto"/>
                <w:right w:val="none" w:sz="0" w:space="0" w:color="auto"/>
              </w:divBdr>
            </w:div>
          </w:divsChild>
        </w:div>
        <w:div w:id="549414264">
          <w:marLeft w:val="0"/>
          <w:marRight w:val="0"/>
          <w:marTop w:val="0"/>
          <w:marBottom w:val="0"/>
          <w:divBdr>
            <w:top w:val="none" w:sz="0" w:space="0" w:color="auto"/>
            <w:left w:val="none" w:sz="0" w:space="0" w:color="auto"/>
            <w:bottom w:val="none" w:sz="0" w:space="0" w:color="auto"/>
            <w:right w:val="none" w:sz="0" w:space="0" w:color="auto"/>
          </w:divBdr>
          <w:divsChild>
            <w:div w:id="820392951">
              <w:marLeft w:val="0"/>
              <w:marRight w:val="0"/>
              <w:marTop w:val="0"/>
              <w:marBottom w:val="0"/>
              <w:divBdr>
                <w:top w:val="none" w:sz="0" w:space="0" w:color="auto"/>
                <w:left w:val="none" w:sz="0" w:space="0" w:color="auto"/>
                <w:bottom w:val="none" w:sz="0" w:space="0" w:color="auto"/>
                <w:right w:val="none" w:sz="0" w:space="0" w:color="auto"/>
              </w:divBdr>
            </w:div>
          </w:divsChild>
        </w:div>
        <w:div w:id="560945263">
          <w:marLeft w:val="0"/>
          <w:marRight w:val="0"/>
          <w:marTop w:val="0"/>
          <w:marBottom w:val="0"/>
          <w:divBdr>
            <w:top w:val="none" w:sz="0" w:space="0" w:color="auto"/>
            <w:left w:val="none" w:sz="0" w:space="0" w:color="auto"/>
            <w:bottom w:val="none" w:sz="0" w:space="0" w:color="auto"/>
            <w:right w:val="none" w:sz="0" w:space="0" w:color="auto"/>
          </w:divBdr>
          <w:divsChild>
            <w:div w:id="1314290107">
              <w:marLeft w:val="0"/>
              <w:marRight w:val="0"/>
              <w:marTop w:val="0"/>
              <w:marBottom w:val="0"/>
              <w:divBdr>
                <w:top w:val="none" w:sz="0" w:space="0" w:color="auto"/>
                <w:left w:val="none" w:sz="0" w:space="0" w:color="auto"/>
                <w:bottom w:val="none" w:sz="0" w:space="0" w:color="auto"/>
                <w:right w:val="none" w:sz="0" w:space="0" w:color="auto"/>
              </w:divBdr>
            </w:div>
          </w:divsChild>
        </w:div>
        <w:div w:id="562646463">
          <w:marLeft w:val="0"/>
          <w:marRight w:val="0"/>
          <w:marTop w:val="0"/>
          <w:marBottom w:val="0"/>
          <w:divBdr>
            <w:top w:val="none" w:sz="0" w:space="0" w:color="auto"/>
            <w:left w:val="none" w:sz="0" w:space="0" w:color="auto"/>
            <w:bottom w:val="none" w:sz="0" w:space="0" w:color="auto"/>
            <w:right w:val="none" w:sz="0" w:space="0" w:color="auto"/>
          </w:divBdr>
          <w:divsChild>
            <w:div w:id="1066418061">
              <w:marLeft w:val="0"/>
              <w:marRight w:val="0"/>
              <w:marTop w:val="0"/>
              <w:marBottom w:val="0"/>
              <w:divBdr>
                <w:top w:val="none" w:sz="0" w:space="0" w:color="auto"/>
                <w:left w:val="none" w:sz="0" w:space="0" w:color="auto"/>
                <w:bottom w:val="none" w:sz="0" w:space="0" w:color="auto"/>
                <w:right w:val="none" w:sz="0" w:space="0" w:color="auto"/>
              </w:divBdr>
            </w:div>
          </w:divsChild>
        </w:div>
        <w:div w:id="563293599">
          <w:marLeft w:val="0"/>
          <w:marRight w:val="0"/>
          <w:marTop w:val="0"/>
          <w:marBottom w:val="0"/>
          <w:divBdr>
            <w:top w:val="none" w:sz="0" w:space="0" w:color="auto"/>
            <w:left w:val="none" w:sz="0" w:space="0" w:color="auto"/>
            <w:bottom w:val="none" w:sz="0" w:space="0" w:color="auto"/>
            <w:right w:val="none" w:sz="0" w:space="0" w:color="auto"/>
          </w:divBdr>
          <w:divsChild>
            <w:div w:id="565729714">
              <w:marLeft w:val="0"/>
              <w:marRight w:val="0"/>
              <w:marTop w:val="0"/>
              <w:marBottom w:val="0"/>
              <w:divBdr>
                <w:top w:val="none" w:sz="0" w:space="0" w:color="auto"/>
                <w:left w:val="none" w:sz="0" w:space="0" w:color="auto"/>
                <w:bottom w:val="none" w:sz="0" w:space="0" w:color="auto"/>
                <w:right w:val="none" w:sz="0" w:space="0" w:color="auto"/>
              </w:divBdr>
            </w:div>
          </w:divsChild>
        </w:div>
        <w:div w:id="563759938">
          <w:marLeft w:val="0"/>
          <w:marRight w:val="0"/>
          <w:marTop w:val="0"/>
          <w:marBottom w:val="0"/>
          <w:divBdr>
            <w:top w:val="none" w:sz="0" w:space="0" w:color="auto"/>
            <w:left w:val="none" w:sz="0" w:space="0" w:color="auto"/>
            <w:bottom w:val="none" w:sz="0" w:space="0" w:color="auto"/>
            <w:right w:val="none" w:sz="0" w:space="0" w:color="auto"/>
          </w:divBdr>
          <w:divsChild>
            <w:div w:id="1050573336">
              <w:marLeft w:val="0"/>
              <w:marRight w:val="0"/>
              <w:marTop w:val="0"/>
              <w:marBottom w:val="0"/>
              <w:divBdr>
                <w:top w:val="none" w:sz="0" w:space="0" w:color="auto"/>
                <w:left w:val="none" w:sz="0" w:space="0" w:color="auto"/>
                <w:bottom w:val="none" w:sz="0" w:space="0" w:color="auto"/>
                <w:right w:val="none" w:sz="0" w:space="0" w:color="auto"/>
              </w:divBdr>
            </w:div>
          </w:divsChild>
        </w:div>
        <w:div w:id="586573758">
          <w:marLeft w:val="0"/>
          <w:marRight w:val="0"/>
          <w:marTop w:val="0"/>
          <w:marBottom w:val="0"/>
          <w:divBdr>
            <w:top w:val="none" w:sz="0" w:space="0" w:color="auto"/>
            <w:left w:val="none" w:sz="0" w:space="0" w:color="auto"/>
            <w:bottom w:val="none" w:sz="0" w:space="0" w:color="auto"/>
            <w:right w:val="none" w:sz="0" w:space="0" w:color="auto"/>
          </w:divBdr>
          <w:divsChild>
            <w:div w:id="1461534762">
              <w:marLeft w:val="0"/>
              <w:marRight w:val="0"/>
              <w:marTop w:val="0"/>
              <w:marBottom w:val="0"/>
              <w:divBdr>
                <w:top w:val="none" w:sz="0" w:space="0" w:color="auto"/>
                <w:left w:val="none" w:sz="0" w:space="0" w:color="auto"/>
                <w:bottom w:val="none" w:sz="0" w:space="0" w:color="auto"/>
                <w:right w:val="none" w:sz="0" w:space="0" w:color="auto"/>
              </w:divBdr>
            </w:div>
          </w:divsChild>
        </w:div>
        <w:div w:id="593831123">
          <w:marLeft w:val="0"/>
          <w:marRight w:val="0"/>
          <w:marTop w:val="0"/>
          <w:marBottom w:val="0"/>
          <w:divBdr>
            <w:top w:val="none" w:sz="0" w:space="0" w:color="auto"/>
            <w:left w:val="none" w:sz="0" w:space="0" w:color="auto"/>
            <w:bottom w:val="none" w:sz="0" w:space="0" w:color="auto"/>
            <w:right w:val="none" w:sz="0" w:space="0" w:color="auto"/>
          </w:divBdr>
          <w:divsChild>
            <w:div w:id="467629422">
              <w:marLeft w:val="0"/>
              <w:marRight w:val="0"/>
              <w:marTop w:val="0"/>
              <w:marBottom w:val="0"/>
              <w:divBdr>
                <w:top w:val="none" w:sz="0" w:space="0" w:color="auto"/>
                <w:left w:val="none" w:sz="0" w:space="0" w:color="auto"/>
                <w:bottom w:val="none" w:sz="0" w:space="0" w:color="auto"/>
                <w:right w:val="none" w:sz="0" w:space="0" w:color="auto"/>
              </w:divBdr>
            </w:div>
          </w:divsChild>
        </w:div>
        <w:div w:id="593980703">
          <w:marLeft w:val="0"/>
          <w:marRight w:val="0"/>
          <w:marTop w:val="0"/>
          <w:marBottom w:val="0"/>
          <w:divBdr>
            <w:top w:val="none" w:sz="0" w:space="0" w:color="auto"/>
            <w:left w:val="none" w:sz="0" w:space="0" w:color="auto"/>
            <w:bottom w:val="none" w:sz="0" w:space="0" w:color="auto"/>
            <w:right w:val="none" w:sz="0" w:space="0" w:color="auto"/>
          </w:divBdr>
          <w:divsChild>
            <w:div w:id="306202687">
              <w:marLeft w:val="0"/>
              <w:marRight w:val="0"/>
              <w:marTop w:val="0"/>
              <w:marBottom w:val="0"/>
              <w:divBdr>
                <w:top w:val="none" w:sz="0" w:space="0" w:color="auto"/>
                <w:left w:val="none" w:sz="0" w:space="0" w:color="auto"/>
                <w:bottom w:val="none" w:sz="0" w:space="0" w:color="auto"/>
                <w:right w:val="none" w:sz="0" w:space="0" w:color="auto"/>
              </w:divBdr>
            </w:div>
          </w:divsChild>
        </w:div>
        <w:div w:id="638338389">
          <w:marLeft w:val="0"/>
          <w:marRight w:val="0"/>
          <w:marTop w:val="0"/>
          <w:marBottom w:val="0"/>
          <w:divBdr>
            <w:top w:val="none" w:sz="0" w:space="0" w:color="auto"/>
            <w:left w:val="none" w:sz="0" w:space="0" w:color="auto"/>
            <w:bottom w:val="none" w:sz="0" w:space="0" w:color="auto"/>
            <w:right w:val="none" w:sz="0" w:space="0" w:color="auto"/>
          </w:divBdr>
          <w:divsChild>
            <w:div w:id="2004821603">
              <w:marLeft w:val="0"/>
              <w:marRight w:val="0"/>
              <w:marTop w:val="0"/>
              <w:marBottom w:val="0"/>
              <w:divBdr>
                <w:top w:val="none" w:sz="0" w:space="0" w:color="auto"/>
                <w:left w:val="none" w:sz="0" w:space="0" w:color="auto"/>
                <w:bottom w:val="none" w:sz="0" w:space="0" w:color="auto"/>
                <w:right w:val="none" w:sz="0" w:space="0" w:color="auto"/>
              </w:divBdr>
            </w:div>
          </w:divsChild>
        </w:div>
        <w:div w:id="638461196">
          <w:marLeft w:val="0"/>
          <w:marRight w:val="0"/>
          <w:marTop w:val="0"/>
          <w:marBottom w:val="0"/>
          <w:divBdr>
            <w:top w:val="none" w:sz="0" w:space="0" w:color="auto"/>
            <w:left w:val="none" w:sz="0" w:space="0" w:color="auto"/>
            <w:bottom w:val="none" w:sz="0" w:space="0" w:color="auto"/>
            <w:right w:val="none" w:sz="0" w:space="0" w:color="auto"/>
          </w:divBdr>
          <w:divsChild>
            <w:div w:id="218056496">
              <w:marLeft w:val="0"/>
              <w:marRight w:val="0"/>
              <w:marTop w:val="0"/>
              <w:marBottom w:val="0"/>
              <w:divBdr>
                <w:top w:val="none" w:sz="0" w:space="0" w:color="auto"/>
                <w:left w:val="none" w:sz="0" w:space="0" w:color="auto"/>
                <w:bottom w:val="none" w:sz="0" w:space="0" w:color="auto"/>
                <w:right w:val="none" w:sz="0" w:space="0" w:color="auto"/>
              </w:divBdr>
            </w:div>
          </w:divsChild>
        </w:div>
        <w:div w:id="667946099">
          <w:marLeft w:val="0"/>
          <w:marRight w:val="0"/>
          <w:marTop w:val="0"/>
          <w:marBottom w:val="0"/>
          <w:divBdr>
            <w:top w:val="none" w:sz="0" w:space="0" w:color="auto"/>
            <w:left w:val="none" w:sz="0" w:space="0" w:color="auto"/>
            <w:bottom w:val="none" w:sz="0" w:space="0" w:color="auto"/>
            <w:right w:val="none" w:sz="0" w:space="0" w:color="auto"/>
          </w:divBdr>
          <w:divsChild>
            <w:div w:id="1641381247">
              <w:marLeft w:val="0"/>
              <w:marRight w:val="0"/>
              <w:marTop w:val="0"/>
              <w:marBottom w:val="0"/>
              <w:divBdr>
                <w:top w:val="none" w:sz="0" w:space="0" w:color="auto"/>
                <w:left w:val="none" w:sz="0" w:space="0" w:color="auto"/>
                <w:bottom w:val="none" w:sz="0" w:space="0" w:color="auto"/>
                <w:right w:val="none" w:sz="0" w:space="0" w:color="auto"/>
              </w:divBdr>
            </w:div>
          </w:divsChild>
        </w:div>
        <w:div w:id="677536770">
          <w:marLeft w:val="0"/>
          <w:marRight w:val="0"/>
          <w:marTop w:val="0"/>
          <w:marBottom w:val="0"/>
          <w:divBdr>
            <w:top w:val="none" w:sz="0" w:space="0" w:color="auto"/>
            <w:left w:val="none" w:sz="0" w:space="0" w:color="auto"/>
            <w:bottom w:val="none" w:sz="0" w:space="0" w:color="auto"/>
            <w:right w:val="none" w:sz="0" w:space="0" w:color="auto"/>
          </w:divBdr>
          <w:divsChild>
            <w:div w:id="1150054839">
              <w:marLeft w:val="0"/>
              <w:marRight w:val="0"/>
              <w:marTop w:val="0"/>
              <w:marBottom w:val="0"/>
              <w:divBdr>
                <w:top w:val="none" w:sz="0" w:space="0" w:color="auto"/>
                <w:left w:val="none" w:sz="0" w:space="0" w:color="auto"/>
                <w:bottom w:val="none" w:sz="0" w:space="0" w:color="auto"/>
                <w:right w:val="none" w:sz="0" w:space="0" w:color="auto"/>
              </w:divBdr>
            </w:div>
          </w:divsChild>
        </w:div>
        <w:div w:id="682975630">
          <w:marLeft w:val="0"/>
          <w:marRight w:val="0"/>
          <w:marTop w:val="0"/>
          <w:marBottom w:val="0"/>
          <w:divBdr>
            <w:top w:val="none" w:sz="0" w:space="0" w:color="auto"/>
            <w:left w:val="none" w:sz="0" w:space="0" w:color="auto"/>
            <w:bottom w:val="none" w:sz="0" w:space="0" w:color="auto"/>
            <w:right w:val="none" w:sz="0" w:space="0" w:color="auto"/>
          </w:divBdr>
          <w:divsChild>
            <w:div w:id="1533497210">
              <w:marLeft w:val="0"/>
              <w:marRight w:val="0"/>
              <w:marTop w:val="0"/>
              <w:marBottom w:val="0"/>
              <w:divBdr>
                <w:top w:val="none" w:sz="0" w:space="0" w:color="auto"/>
                <w:left w:val="none" w:sz="0" w:space="0" w:color="auto"/>
                <w:bottom w:val="none" w:sz="0" w:space="0" w:color="auto"/>
                <w:right w:val="none" w:sz="0" w:space="0" w:color="auto"/>
              </w:divBdr>
            </w:div>
          </w:divsChild>
        </w:div>
        <w:div w:id="685054683">
          <w:marLeft w:val="0"/>
          <w:marRight w:val="0"/>
          <w:marTop w:val="0"/>
          <w:marBottom w:val="0"/>
          <w:divBdr>
            <w:top w:val="none" w:sz="0" w:space="0" w:color="auto"/>
            <w:left w:val="none" w:sz="0" w:space="0" w:color="auto"/>
            <w:bottom w:val="none" w:sz="0" w:space="0" w:color="auto"/>
            <w:right w:val="none" w:sz="0" w:space="0" w:color="auto"/>
          </w:divBdr>
          <w:divsChild>
            <w:div w:id="1729917717">
              <w:marLeft w:val="0"/>
              <w:marRight w:val="0"/>
              <w:marTop w:val="0"/>
              <w:marBottom w:val="0"/>
              <w:divBdr>
                <w:top w:val="none" w:sz="0" w:space="0" w:color="auto"/>
                <w:left w:val="none" w:sz="0" w:space="0" w:color="auto"/>
                <w:bottom w:val="none" w:sz="0" w:space="0" w:color="auto"/>
                <w:right w:val="none" w:sz="0" w:space="0" w:color="auto"/>
              </w:divBdr>
            </w:div>
          </w:divsChild>
        </w:div>
        <w:div w:id="714547963">
          <w:marLeft w:val="0"/>
          <w:marRight w:val="0"/>
          <w:marTop w:val="0"/>
          <w:marBottom w:val="0"/>
          <w:divBdr>
            <w:top w:val="none" w:sz="0" w:space="0" w:color="auto"/>
            <w:left w:val="none" w:sz="0" w:space="0" w:color="auto"/>
            <w:bottom w:val="none" w:sz="0" w:space="0" w:color="auto"/>
            <w:right w:val="none" w:sz="0" w:space="0" w:color="auto"/>
          </w:divBdr>
          <w:divsChild>
            <w:div w:id="349455416">
              <w:marLeft w:val="0"/>
              <w:marRight w:val="0"/>
              <w:marTop w:val="0"/>
              <w:marBottom w:val="0"/>
              <w:divBdr>
                <w:top w:val="none" w:sz="0" w:space="0" w:color="auto"/>
                <w:left w:val="none" w:sz="0" w:space="0" w:color="auto"/>
                <w:bottom w:val="none" w:sz="0" w:space="0" w:color="auto"/>
                <w:right w:val="none" w:sz="0" w:space="0" w:color="auto"/>
              </w:divBdr>
            </w:div>
          </w:divsChild>
        </w:div>
        <w:div w:id="728261748">
          <w:marLeft w:val="0"/>
          <w:marRight w:val="0"/>
          <w:marTop w:val="0"/>
          <w:marBottom w:val="0"/>
          <w:divBdr>
            <w:top w:val="none" w:sz="0" w:space="0" w:color="auto"/>
            <w:left w:val="none" w:sz="0" w:space="0" w:color="auto"/>
            <w:bottom w:val="none" w:sz="0" w:space="0" w:color="auto"/>
            <w:right w:val="none" w:sz="0" w:space="0" w:color="auto"/>
          </w:divBdr>
          <w:divsChild>
            <w:div w:id="7603018">
              <w:marLeft w:val="0"/>
              <w:marRight w:val="0"/>
              <w:marTop w:val="0"/>
              <w:marBottom w:val="0"/>
              <w:divBdr>
                <w:top w:val="none" w:sz="0" w:space="0" w:color="auto"/>
                <w:left w:val="none" w:sz="0" w:space="0" w:color="auto"/>
                <w:bottom w:val="none" w:sz="0" w:space="0" w:color="auto"/>
                <w:right w:val="none" w:sz="0" w:space="0" w:color="auto"/>
              </w:divBdr>
            </w:div>
          </w:divsChild>
        </w:div>
        <w:div w:id="753090504">
          <w:marLeft w:val="0"/>
          <w:marRight w:val="0"/>
          <w:marTop w:val="0"/>
          <w:marBottom w:val="0"/>
          <w:divBdr>
            <w:top w:val="none" w:sz="0" w:space="0" w:color="auto"/>
            <w:left w:val="none" w:sz="0" w:space="0" w:color="auto"/>
            <w:bottom w:val="none" w:sz="0" w:space="0" w:color="auto"/>
            <w:right w:val="none" w:sz="0" w:space="0" w:color="auto"/>
          </w:divBdr>
          <w:divsChild>
            <w:div w:id="1926646110">
              <w:marLeft w:val="0"/>
              <w:marRight w:val="0"/>
              <w:marTop w:val="0"/>
              <w:marBottom w:val="0"/>
              <w:divBdr>
                <w:top w:val="none" w:sz="0" w:space="0" w:color="auto"/>
                <w:left w:val="none" w:sz="0" w:space="0" w:color="auto"/>
                <w:bottom w:val="none" w:sz="0" w:space="0" w:color="auto"/>
                <w:right w:val="none" w:sz="0" w:space="0" w:color="auto"/>
              </w:divBdr>
            </w:div>
          </w:divsChild>
        </w:div>
        <w:div w:id="850145980">
          <w:marLeft w:val="0"/>
          <w:marRight w:val="0"/>
          <w:marTop w:val="0"/>
          <w:marBottom w:val="0"/>
          <w:divBdr>
            <w:top w:val="none" w:sz="0" w:space="0" w:color="auto"/>
            <w:left w:val="none" w:sz="0" w:space="0" w:color="auto"/>
            <w:bottom w:val="none" w:sz="0" w:space="0" w:color="auto"/>
            <w:right w:val="none" w:sz="0" w:space="0" w:color="auto"/>
          </w:divBdr>
          <w:divsChild>
            <w:div w:id="1771195195">
              <w:marLeft w:val="0"/>
              <w:marRight w:val="0"/>
              <w:marTop w:val="0"/>
              <w:marBottom w:val="0"/>
              <w:divBdr>
                <w:top w:val="none" w:sz="0" w:space="0" w:color="auto"/>
                <w:left w:val="none" w:sz="0" w:space="0" w:color="auto"/>
                <w:bottom w:val="none" w:sz="0" w:space="0" w:color="auto"/>
                <w:right w:val="none" w:sz="0" w:space="0" w:color="auto"/>
              </w:divBdr>
            </w:div>
          </w:divsChild>
        </w:div>
        <w:div w:id="883710899">
          <w:marLeft w:val="0"/>
          <w:marRight w:val="0"/>
          <w:marTop w:val="0"/>
          <w:marBottom w:val="0"/>
          <w:divBdr>
            <w:top w:val="none" w:sz="0" w:space="0" w:color="auto"/>
            <w:left w:val="none" w:sz="0" w:space="0" w:color="auto"/>
            <w:bottom w:val="none" w:sz="0" w:space="0" w:color="auto"/>
            <w:right w:val="none" w:sz="0" w:space="0" w:color="auto"/>
          </w:divBdr>
          <w:divsChild>
            <w:div w:id="1260913866">
              <w:marLeft w:val="0"/>
              <w:marRight w:val="0"/>
              <w:marTop w:val="0"/>
              <w:marBottom w:val="0"/>
              <w:divBdr>
                <w:top w:val="none" w:sz="0" w:space="0" w:color="auto"/>
                <w:left w:val="none" w:sz="0" w:space="0" w:color="auto"/>
                <w:bottom w:val="none" w:sz="0" w:space="0" w:color="auto"/>
                <w:right w:val="none" w:sz="0" w:space="0" w:color="auto"/>
              </w:divBdr>
            </w:div>
          </w:divsChild>
        </w:div>
        <w:div w:id="884753429">
          <w:marLeft w:val="0"/>
          <w:marRight w:val="0"/>
          <w:marTop w:val="0"/>
          <w:marBottom w:val="0"/>
          <w:divBdr>
            <w:top w:val="none" w:sz="0" w:space="0" w:color="auto"/>
            <w:left w:val="none" w:sz="0" w:space="0" w:color="auto"/>
            <w:bottom w:val="none" w:sz="0" w:space="0" w:color="auto"/>
            <w:right w:val="none" w:sz="0" w:space="0" w:color="auto"/>
          </w:divBdr>
          <w:divsChild>
            <w:div w:id="1727872112">
              <w:marLeft w:val="0"/>
              <w:marRight w:val="0"/>
              <w:marTop w:val="0"/>
              <w:marBottom w:val="0"/>
              <w:divBdr>
                <w:top w:val="none" w:sz="0" w:space="0" w:color="auto"/>
                <w:left w:val="none" w:sz="0" w:space="0" w:color="auto"/>
                <w:bottom w:val="none" w:sz="0" w:space="0" w:color="auto"/>
                <w:right w:val="none" w:sz="0" w:space="0" w:color="auto"/>
              </w:divBdr>
            </w:div>
          </w:divsChild>
        </w:div>
        <w:div w:id="936837979">
          <w:marLeft w:val="0"/>
          <w:marRight w:val="0"/>
          <w:marTop w:val="0"/>
          <w:marBottom w:val="0"/>
          <w:divBdr>
            <w:top w:val="none" w:sz="0" w:space="0" w:color="auto"/>
            <w:left w:val="none" w:sz="0" w:space="0" w:color="auto"/>
            <w:bottom w:val="none" w:sz="0" w:space="0" w:color="auto"/>
            <w:right w:val="none" w:sz="0" w:space="0" w:color="auto"/>
          </w:divBdr>
          <w:divsChild>
            <w:div w:id="127476466">
              <w:marLeft w:val="0"/>
              <w:marRight w:val="0"/>
              <w:marTop w:val="0"/>
              <w:marBottom w:val="0"/>
              <w:divBdr>
                <w:top w:val="none" w:sz="0" w:space="0" w:color="auto"/>
                <w:left w:val="none" w:sz="0" w:space="0" w:color="auto"/>
                <w:bottom w:val="none" w:sz="0" w:space="0" w:color="auto"/>
                <w:right w:val="none" w:sz="0" w:space="0" w:color="auto"/>
              </w:divBdr>
            </w:div>
          </w:divsChild>
        </w:div>
        <w:div w:id="961309391">
          <w:marLeft w:val="0"/>
          <w:marRight w:val="0"/>
          <w:marTop w:val="0"/>
          <w:marBottom w:val="0"/>
          <w:divBdr>
            <w:top w:val="none" w:sz="0" w:space="0" w:color="auto"/>
            <w:left w:val="none" w:sz="0" w:space="0" w:color="auto"/>
            <w:bottom w:val="none" w:sz="0" w:space="0" w:color="auto"/>
            <w:right w:val="none" w:sz="0" w:space="0" w:color="auto"/>
          </w:divBdr>
          <w:divsChild>
            <w:div w:id="1090077615">
              <w:marLeft w:val="0"/>
              <w:marRight w:val="0"/>
              <w:marTop w:val="0"/>
              <w:marBottom w:val="0"/>
              <w:divBdr>
                <w:top w:val="none" w:sz="0" w:space="0" w:color="auto"/>
                <w:left w:val="none" w:sz="0" w:space="0" w:color="auto"/>
                <w:bottom w:val="none" w:sz="0" w:space="0" w:color="auto"/>
                <w:right w:val="none" w:sz="0" w:space="0" w:color="auto"/>
              </w:divBdr>
            </w:div>
          </w:divsChild>
        </w:div>
        <w:div w:id="970600366">
          <w:marLeft w:val="0"/>
          <w:marRight w:val="0"/>
          <w:marTop w:val="0"/>
          <w:marBottom w:val="0"/>
          <w:divBdr>
            <w:top w:val="none" w:sz="0" w:space="0" w:color="auto"/>
            <w:left w:val="none" w:sz="0" w:space="0" w:color="auto"/>
            <w:bottom w:val="none" w:sz="0" w:space="0" w:color="auto"/>
            <w:right w:val="none" w:sz="0" w:space="0" w:color="auto"/>
          </w:divBdr>
          <w:divsChild>
            <w:div w:id="1954356865">
              <w:marLeft w:val="0"/>
              <w:marRight w:val="0"/>
              <w:marTop w:val="0"/>
              <w:marBottom w:val="0"/>
              <w:divBdr>
                <w:top w:val="none" w:sz="0" w:space="0" w:color="auto"/>
                <w:left w:val="none" w:sz="0" w:space="0" w:color="auto"/>
                <w:bottom w:val="none" w:sz="0" w:space="0" w:color="auto"/>
                <w:right w:val="none" w:sz="0" w:space="0" w:color="auto"/>
              </w:divBdr>
            </w:div>
          </w:divsChild>
        </w:div>
        <w:div w:id="1001353662">
          <w:marLeft w:val="0"/>
          <w:marRight w:val="0"/>
          <w:marTop w:val="0"/>
          <w:marBottom w:val="0"/>
          <w:divBdr>
            <w:top w:val="none" w:sz="0" w:space="0" w:color="auto"/>
            <w:left w:val="none" w:sz="0" w:space="0" w:color="auto"/>
            <w:bottom w:val="none" w:sz="0" w:space="0" w:color="auto"/>
            <w:right w:val="none" w:sz="0" w:space="0" w:color="auto"/>
          </w:divBdr>
          <w:divsChild>
            <w:div w:id="511528056">
              <w:marLeft w:val="0"/>
              <w:marRight w:val="0"/>
              <w:marTop w:val="0"/>
              <w:marBottom w:val="0"/>
              <w:divBdr>
                <w:top w:val="none" w:sz="0" w:space="0" w:color="auto"/>
                <w:left w:val="none" w:sz="0" w:space="0" w:color="auto"/>
                <w:bottom w:val="none" w:sz="0" w:space="0" w:color="auto"/>
                <w:right w:val="none" w:sz="0" w:space="0" w:color="auto"/>
              </w:divBdr>
            </w:div>
          </w:divsChild>
        </w:div>
        <w:div w:id="1014065713">
          <w:marLeft w:val="0"/>
          <w:marRight w:val="0"/>
          <w:marTop w:val="0"/>
          <w:marBottom w:val="0"/>
          <w:divBdr>
            <w:top w:val="none" w:sz="0" w:space="0" w:color="auto"/>
            <w:left w:val="none" w:sz="0" w:space="0" w:color="auto"/>
            <w:bottom w:val="none" w:sz="0" w:space="0" w:color="auto"/>
            <w:right w:val="none" w:sz="0" w:space="0" w:color="auto"/>
          </w:divBdr>
          <w:divsChild>
            <w:div w:id="215162617">
              <w:marLeft w:val="0"/>
              <w:marRight w:val="0"/>
              <w:marTop w:val="0"/>
              <w:marBottom w:val="0"/>
              <w:divBdr>
                <w:top w:val="none" w:sz="0" w:space="0" w:color="auto"/>
                <w:left w:val="none" w:sz="0" w:space="0" w:color="auto"/>
                <w:bottom w:val="none" w:sz="0" w:space="0" w:color="auto"/>
                <w:right w:val="none" w:sz="0" w:space="0" w:color="auto"/>
              </w:divBdr>
            </w:div>
          </w:divsChild>
        </w:div>
        <w:div w:id="1015036369">
          <w:marLeft w:val="0"/>
          <w:marRight w:val="0"/>
          <w:marTop w:val="0"/>
          <w:marBottom w:val="0"/>
          <w:divBdr>
            <w:top w:val="none" w:sz="0" w:space="0" w:color="auto"/>
            <w:left w:val="none" w:sz="0" w:space="0" w:color="auto"/>
            <w:bottom w:val="none" w:sz="0" w:space="0" w:color="auto"/>
            <w:right w:val="none" w:sz="0" w:space="0" w:color="auto"/>
          </w:divBdr>
          <w:divsChild>
            <w:div w:id="1562444825">
              <w:marLeft w:val="0"/>
              <w:marRight w:val="0"/>
              <w:marTop w:val="0"/>
              <w:marBottom w:val="0"/>
              <w:divBdr>
                <w:top w:val="none" w:sz="0" w:space="0" w:color="auto"/>
                <w:left w:val="none" w:sz="0" w:space="0" w:color="auto"/>
                <w:bottom w:val="none" w:sz="0" w:space="0" w:color="auto"/>
                <w:right w:val="none" w:sz="0" w:space="0" w:color="auto"/>
              </w:divBdr>
            </w:div>
          </w:divsChild>
        </w:div>
        <w:div w:id="1036807137">
          <w:marLeft w:val="0"/>
          <w:marRight w:val="0"/>
          <w:marTop w:val="0"/>
          <w:marBottom w:val="0"/>
          <w:divBdr>
            <w:top w:val="none" w:sz="0" w:space="0" w:color="auto"/>
            <w:left w:val="none" w:sz="0" w:space="0" w:color="auto"/>
            <w:bottom w:val="none" w:sz="0" w:space="0" w:color="auto"/>
            <w:right w:val="none" w:sz="0" w:space="0" w:color="auto"/>
          </w:divBdr>
          <w:divsChild>
            <w:div w:id="277299506">
              <w:marLeft w:val="0"/>
              <w:marRight w:val="0"/>
              <w:marTop w:val="0"/>
              <w:marBottom w:val="0"/>
              <w:divBdr>
                <w:top w:val="none" w:sz="0" w:space="0" w:color="auto"/>
                <w:left w:val="none" w:sz="0" w:space="0" w:color="auto"/>
                <w:bottom w:val="none" w:sz="0" w:space="0" w:color="auto"/>
                <w:right w:val="none" w:sz="0" w:space="0" w:color="auto"/>
              </w:divBdr>
            </w:div>
          </w:divsChild>
        </w:div>
        <w:div w:id="1077242379">
          <w:marLeft w:val="0"/>
          <w:marRight w:val="0"/>
          <w:marTop w:val="0"/>
          <w:marBottom w:val="0"/>
          <w:divBdr>
            <w:top w:val="none" w:sz="0" w:space="0" w:color="auto"/>
            <w:left w:val="none" w:sz="0" w:space="0" w:color="auto"/>
            <w:bottom w:val="none" w:sz="0" w:space="0" w:color="auto"/>
            <w:right w:val="none" w:sz="0" w:space="0" w:color="auto"/>
          </w:divBdr>
          <w:divsChild>
            <w:div w:id="965351077">
              <w:marLeft w:val="0"/>
              <w:marRight w:val="0"/>
              <w:marTop w:val="0"/>
              <w:marBottom w:val="0"/>
              <w:divBdr>
                <w:top w:val="none" w:sz="0" w:space="0" w:color="auto"/>
                <w:left w:val="none" w:sz="0" w:space="0" w:color="auto"/>
                <w:bottom w:val="none" w:sz="0" w:space="0" w:color="auto"/>
                <w:right w:val="none" w:sz="0" w:space="0" w:color="auto"/>
              </w:divBdr>
            </w:div>
          </w:divsChild>
        </w:div>
        <w:div w:id="1083186808">
          <w:marLeft w:val="0"/>
          <w:marRight w:val="0"/>
          <w:marTop w:val="0"/>
          <w:marBottom w:val="0"/>
          <w:divBdr>
            <w:top w:val="none" w:sz="0" w:space="0" w:color="auto"/>
            <w:left w:val="none" w:sz="0" w:space="0" w:color="auto"/>
            <w:bottom w:val="none" w:sz="0" w:space="0" w:color="auto"/>
            <w:right w:val="none" w:sz="0" w:space="0" w:color="auto"/>
          </w:divBdr>
          <w:divsChild>
            <w:div w:id="1480076209">
              <w:marLeft w:val="0"/>
              <w:marRight w:val="0"/>
              <w:marTop w:val="0"/>
              <w:marBottom w:val="0"/>
              <w:divBdr>
                <w:top w:val="none" w:sz="0" w:space="0" w:color="auto"/>
                <w:left w:val="none" w:sz="0" w:space="0" w:color="auto"/>
                <w:bottom w:val="none" w:sz="0" w:space="0" w:color="auto"/>
                <w:right w:val="none" w:sz="0" w:space="0" w:color="auto"/>
              </w:divBdr>
            </w:div>
          </w:divsChild>
        </w:div>
        <w:div w:id="1089931795">
          <w:marLeft w:val="0"/>
          <w:marRight w:val="0"/>
          <w:marTop w:val="0"/>
          <w:marBottom w:val="0"/>
          <w:divBdr>
            <w:top w:val="none" w:sz="0" w:space="0" w:color="auto"/>
            <w:left w:val="none" w:sz="0" w:space="0" w:color="auto"/>
            <w:bottom w:val="none" w:sz="0" w:space="0" w:color="auto"/>
            <w:right w:val="none" w:sz="0" w:space="0" w:color="auto"/>
          </w:divBdr>
          <w:divsChild>
            <w:div w:id="884412882">
              <w:marLeft w:val="0"/>
              <w:marRight w:val="0"/>
              <w:marTop w:val="0"/>
              <w:marBottom w:val="0"/>
              <w:divBdr>
                <w:top w:val="none" w:sz="0" w:space="0" w:color="auto"/>
                <w:left w:val="none" w:sz="0" w:space="0" w:color="auto"/>
                <w:bottom w:val="none" w:sz="0" w:space="0" w:color="auto"/>
                <w:right w:val="none" w:sz="0" w:space="0" w:color="auto"/>
              </w:divBdr>
            </w:div>
          </w:divsChild>
        </w:div>
        <w:div w:id="1106538457">
          <w:marLeft w:val="0"/>
          <w:marRight w:val="0"/>
          <w:marTop w:val="0"/>
          <w:marBottom w:val="0"/>
          <w:divBdr>
            <w:top w:val="none" w:sz="0" w:space="0" w:color="auto"/>
            <w:left w:val="none" w:sz="0" w:space="0" w:color="auto"/>
            <w:bottom w:val="none" w:sz="0" w:space="0" w:color="auto"/>
            <w:right w:val="none" w:sz="0" w:space="0" w:color="auto"/>
          </w:divBdr>
          <w:divsChild>
            <w:div w:id="743601182">
              <w:marLeft w:val="0"/>
              <w:marRight w:val="0"/>
              <w:marTop w:val="0"/>
              <w:marBottom w:val="0"/>
              <w:divBdr>
                <w:top w:val="none" w:sz="0" w:space="0" w:color="auto"/>
                <w:left w:val="none" w:sz="0" w:space="0" w:color="auto"/>
                <w:bottom w:val="none" w:sz="0" w:space="0" w:color="auto"/>
                <w:right w:val="none" w:sz="0" w:space="0" w:color="auto"/>
              </w:divBdr>
            </w:div>
          </w:divsChild>
        </w:div>
        <w:div w:id="1129006828">
          <w:marLeft w:val="0"/>
          <w:marRight w:val="0"/>
          <w:marTop w:val="0"/>
          <w:marBottom w:val="0"/>
          <w:divBdr>
            <w:top w:val="none" w:sz="0" w:space="0" w:color="auto"/>
            <w:left w:val="none" w:sz="0" w:space="0" w:color="auto"/>
            <w:bottom w:val="none" w:sz="0" w:space="0" w:color="auto"/>
            <w:right w:val="none" w:sz="0" w:space="0" w:color="auto"/>
          </w:divBdr>
          <w:divsChild>
            <w:div w:id="475681509">
              <w:marLeft w:val="0"/>
              <w:marRight w:val="0"/>
              <w:marTop w:val="0"/>
              <w:marBottom w:val="0"/>
              <w:divBdr>
                <w:top w:val="none" w:sz="0" w:space="0" w:color="auto"/>
                <w:left w:val="none" w:sz="0" w:space="0" w:color="auto"/>
                <w:bottom w:val="none" w:sz="0" w:space="0" w:color="auto"/>
                <w:right w:val="none" w:sz="0" w:space="0" w:color="auto"/>
              </w:divBdr>
            </w:div>
          </w:divsChild>
        </w:div>
        <w:div w:id="1135564403">
          <w:marLeft w:val="0"/>
          <w:marRight w:val="0"/>
          <w:marTop w:val="0"/>
          <w:marBottom w:val="0"/>
          <w:divBdr>
            <w:top w:val="none" w:sz="0" w:space="0" w:color="auto"/>
            <w:left w:val="none" w:sz="0" w:space="0" w:color="auto"/>
            <w:bottom w:val="none" w:sz="0" w:space="0" w:color="auto"/>
            <w:right w:val="none" w:sz="0" w:space="0" w:color="auto"/>
          </w:divBdr>
          <w:divsChild>
            <w:div w:id="1883520006">
              <w:marLeft w:val="0"/>
              <w:marRight w:val="0"/>
              <w:marTop w:val="0"/>
              <w:marBottom w:val="0"/>
              <w:divBdr>
                <w:top w:val="none" w:sz="0" w:space="0" w:color="auto"/>
                <w:left w:val="none" w:sz="0" w:space="0" w:color="auto"/>
                <w:bottom w:val="none" w:sz="0" w:space="0" w:color="auto"/>
                <w:right w:val="none" w:sz="0" w:space="0" w:color="auto"/>
              </w:divBdr>
            </w:div>
          </w:divsChild>
        </w:div>
        <w:div w:id="1159418589">
          <w:marLeft w:val="0"/>
          <w:marRight w:val="0"/>
          <w:marTop w:val="0"/>
          <w:marBottom w:val="0"/>
          <w:divBdr>
            <w:top w:val="none" w:sz="0" w:space="0" w:color="auto"/>
            <w:left w:val="none" w:sz="0" w:space="0" w:color="auto"/>
            <w:bottom w:val="none" w:sz="0" w:space="0" w:color="auto"/>
            <w:right w:val="none" w:sz="0" w:space="0" w:color="auto"/>
          </w:divBdr>
          <w:divsChild>
            <w:div w:id="1062951280">
              <w:marLeft w:val="0"/>
              <w:marRight w:val="0"/>
              <w:marTop w:val="0"/>
              <w:marBottom w:val="0"/>
              <w:divBdr>
                <w:top w:val="none" w:sz="0" w:space="0" w:color="auto"/>
                <w:left w:val="none" w:sz="0" w:space="0" w:color="auto"/>
                <w:bottom w:val="none" w:sz="0" w:space="0" w:color="auto"/>
                <w:right w:val="none" w:sz="0" w:space="0" w:color="auto"/>
              </w:divBdr>
            </w:div>
          </w:divsChild>
        </w:div>
        <w:div w:id="1161315025">
          <w:marLeft w:val="0"/>
          <w:marRight w:val="0"/>
          <w:marTop w:val="0"/>
          <w:marBottom w:val="0"/>
          <w:divBdr>
            <w:top w:val="none" w:sz="0" w:space="0" w:color="auto"/>
            <w:left w:val="none" w:sz="0" w:space="0" w:color="auto"/>
            <w:bottom w:val="none" w:sz="0" w:space="0" w:color="auto"/>
            <w:right w:val="none" w:sz="0" w:space="0" w:color="auto"/>
          </w:divBdr>
          <w:divsChild>
            <w:div w:id="680012885">
              <w:marLeft w:val="0"/>
              <w:marRight w:val="0"/>
              <w:marTop w:val="0"/>
              <w:marBottom w:val="0"/>
              <w:divBdr>
                <w:top w:val="none" w:sz="0" w:space="0" w:color="auto"/>
                <w:left w:val="none" w:sz="0" w:space="0" w:color="auto"/>
                <w:bottom w:val="none" w:sz="0" w:space="0" w:color="auto"/>
                <w:right w:val="none" w:sz="0" w:space="0" w:color="auto"/>
              </w:divBdr>
            </w:div>
          </w:divsChild>
        </w:div>
        <w:div w:id="1230724608">
          <w:marLeft w:val="0"/>
          <w:marRight w:val="0"/>
          <w:marTop w:val="0"/>
          <w:marBottom w:val="0"/>
          <w:divBdr>
            <w:top w:val="none" w:sz="0" w:space="0" w:color="auto"/>
            <w:left w:val="none" w:sz="0" w:space="0" w:color="auto"/>
            <w:bottom w:val="none" w:sz="0" w:space="0" w:color="auto"/>
            <w:right w:val="none" w:sz="0" w:space="0" w:color="auto"/>
          </w:divBdr>
          <w:divsChild>
            <w:div w:id="375354601">
              <w:marLeft w:val="0"/>
              <w:marRight w:val="0"/>
              <w:marTop w:val="0"/>
              <w:marBottom w:val="0"/>
              <w:divBdr>
                <w:top w:val="none" w:sz="0" w:space="0" w:color="auto"/>
                <w:left w:val="none" w:sz="0" w:space="0" w:color="auto"/>
                <w:bottom w:val="none" w:sz="0" w:space="0" w:color="auto"/>
                <w:right w:val="none" w:sz="0" w:space="0" w:color="auto"/>
              </w:divBdr>
            </w:div>
          </w:divsChild>
        </w:div>
        <w:div w:id="1250038200">
          <w:marLeft w:val="0"/>
          <w:marRight w:val="0"/>
          <w:marTop w:val="0"/>
          <w:marBottom w:val="0"/>
          <w:divBdr>
            <w:top w:val="none" w:sz="0" w:space="0" w:color="auto"/>
            <w:left w:val="none" w:sz="0" w:space="0" w:color="auto"/>
            <w:bottom w:val="none" w:sz="0" w:space="0" w:color="auto"/>
            <w:right w:val="none" w:sz="0" w:space="0" w:color="auto"/>
          </w:divBdr>
          <w:divsChild>
            <w:div w:id="1366634434">
              <w:marLeft w:val="0"/>
              <w:marRight w:val="0"/>
              <w:marTop w:val="0"/>
              <w:marBottom w:val="0"/>
              <w:divBdr>
                <w:top w:val="none" w:sz="0" w:space="0" w:color="auto"/>
                <w:left w:val="none" w:sz="0" w:space="0" w:color="auto"/>
                <w:bottom w:val="none" w:sz="0" w:space="0" w:color="auto"/>
                <w:right w:val="none" w:sz="0" w:space="0" w:color="auto"/>
              </w:divBdr>
            </w:div>
          </w:divsChild>
        </w:div>
        <w:div w:id="1278104281">
          <w:marLeft w:val="0"/>
          <w:marRight w:val="0"/>
          <w:marTop w:val="0"/>
          <w:marBottom w:val="0"/>
          <w:divBdr>
            <w:top w:val="none" w:sz="0" w:space="0" w:color="auto"/>
            <w:left w:val="none" w:sz="0" w:space="0" w:color="auto"/>
            <w:bottom w:val="none" w:sz="0" w:space="0" w:color="auto"/>
            <w:right w:val="none" w:sz="0" w:space="0" w:color="auto"/>
          </w:divBdr>
          <w:divsChild>
            <w:div w:id="291601398">
              <w:marLeft w:val="0"/>
              <w:marRight w:val="0"/>
              <w:marTop w:val="0"/>
              <w:marBottom w:val="0"/>
              <w:divBdr>
                <w:top w:val="none" w:sz="0" w:space="0" w:color="auto"/>
                <w:left w:val="none" w:sz="0" w:space="0" w:color="auto"/>
                <w:bottom w:val="none" w:sz="0" w:space="0" w:color="auto"/>
                <w:right w:val="none" w:sz="0" w:space="0" w:color="auto"/>
              </w:divBdr>
            </w:div>
          </w:divsChild>
        </w:div>
        <w:div w:id="1290278401">
          <w:marLeft w:val="0"/>
          <w:marRight w:val="0"/>
          <w:marTop w:val="0"/>
          <w:marBottom w:val="0"/>
          <w:divBdr>
            <w:top w:val="none" w:sz="0" w:space="0" w:color="auto"/>
            <w:left w:val="none" w:sz="0" w:space="0" w:color="auto"/>
            <w:bottom w:val="none" w:sz="0" w:space="0" w:color="auto"/>
            <w:right w:val="none" w:sz="0" w:space="0" w:color="auto"/>
          </w:divBdr>
          <w:divsChild>
            <w:div w:id="886797889">
              <w:marLeft w:val="0"/>
              <w:marRight w:val="0"/>
              <w:marTop w:val="0"/>
              <w:marBottom w:val="0"/>
              <w:divBdr>
                <w:top w:val="none" w:sz="0" w:space="0" w:color="auto"/>
                <w:left w:val="none" w:sz="0" w:space="0" w:color="auto"/>
                <w:bottom w:val="none" w:sz="0" w:space="0" w:color="auto"/>
                <w:right w:val="none" w:sz="0" w:space="0" w:color="auto"/>
              </w:divBdr>
            </w:div>
          </w:divsChild>
        </w:div>
        <w:div w:id="1295719280">
          <w:marLeft w:val="0"/>
          <w:marRight w:val="0"/>
          <w:marTop w:val="0"/>
          <w:marBottom w:val="0"/>
          <w:divBdr>
            <w:top w:val="none" w:sz="0" w:space="0" w:color="auto"/>
            <w:left w:val="none" w:sz="0" w:space="0" w:color="auto"/>
            <w:bottom w:val="none" w:sz="0" w:space="0" w:color="auto"/>
            <w:right w:val="none" w:sz="0" w:space="0" w:color="auto"/>
          </w:divBdr>
          <w:divsChild>
            <w:div w:id="383068795">
              <w:marLeft w:val="0"/>
              <w:marRight w:val="0"/>
              <w:marTop w:val="0"/>
              <w:marBottom w:val="0"/>
              <w:divBdr>
                <w:top w:val="none" w:sz="0" w:space="0" w:color="auto"/>
                <w:left w:val="none" w:sz="0" w:space="0" w:color="auto"/>
                <w:bottom w:val="none" w:sz="0" w:space="0" w:color="auto"/>
                <w:right w:val="none" w:sz="0" w:space="0" w:color="auto"/>
              </w:divBdr>
            </w:div>
          </w:divsChild>
        </w:div>
        <w:div w:id="1296641044">
          <w:marLeft w:val="0"/>
          <w:marRight w:val="0"/>
          <w:marTop w:val="0"/>
          <w:marBottom w:val="0"/>
          <w:divBdr>
            <w:top w:val="none" w:sz="0" w:space="0" w:color="auto"/>
            <w:left w:val="none" w:sz="0" w:space="0" w:color="auto"/>
            <w:bottom w:val="none" w:sz="0" w:space="0" w:color="auto"/>
            <w:right w:val="none" w:sz="0" w:space="0" w:color="auto"/>
          </w:divBdr>
          <w:divsChild>
            <w:div w:id="1741902859">
              <w:marLeft w:val="0"/>
              <w:marRight w:val="0"/>
              <w:marTop w:val="0"/>
              <w:marBottom w:val="0"/>
              <w:divBdr>
                <w:top w:val="none" w:sz="0" w:space="0" w:color="auto"/>
                <w:left w:val="none" w:sz="0" w:space="0" w:color="auto"/>
                <w:bottom w:val="none" w:sz="0" w:space="0" w:color="auto"/>
                <w:right w:val="none" w:sz="0" w:space="0" w:color="auto"/>
              </w:divBdr>
            </w:div>
          </w:divsChild>
        </w:div>
        <w:div w:id="1299872568">
          <w:marLeft w:val="0"/>
          <w:marRight w:val="0"/>
          <w:marTop w:val="0"/>
          <w:marBottom w:val="0"/>
          <w:divBdr>
            <w:top w:val="none" w:sz="0" w:space="0" w:color="auto"/>
            <w:left w:val="none" w:sz="0" w:space="0" w:color="auto"/>
            <w:bottom w:val="none" w:sz="0" w:space="0" w:color="auto"/>
            <w:right w:val="none" w:sz="0" w:space="0" w:color="auto"/>
          </w:divBdr>
          <w:divsChild>
            <w:div w:id="509026358">
              <w:marLeft w:val="0"/>
              <w:marRight w:val="0"/>
              <w:marTop w:val="0"/>
              <w:marBottom w:val="0"/>
              <w:divBdr>
                <w:top w:val="none" w:sz="0" w:space="0" w:color="auto"/>
                <w:left w:val="none" w:sz="0" w:space="0" w:color="auto"/>
                <w:bottom w:val="none" w:sz="0" w:space="0" w:color="auto"/>
                <w:right w:val="none" w:sz="0" w:space="0" w:color="auto"/>
              </w:divBdr>
            </w:div>
          </w:divsChild>
        </w:div>
        <w:div w:id="1301227971">
          <w:marLeft w:val="0"/>
          <w:marRight w:val="0"/>
          <w:marTop w:val="0"/>
          <w:marBottom w:val="0"/>
          <w:divBdr>
            <w:top w:val="none" w:sz="0" w:space="0" w:color="auto"/>
            <w:left w:val="none" w:sz="0" w:space="0" w:color="auto"/>
            <w:bottom w:val="none" w:sz="0" w:space="0" w:color="auto"/>
            <w:right w:val="none" w:sz="0" w:space="0" w:color="auto"/>
          </w:divBdr>
          <w:divsChild>
            <w:div w:id="1939946716">
              <w:marLeft w:val="0"/>
              <w:marRight w:val="0"/>
              <w:marTop w:val="0"/>
              <w:marBottom w:val="0"/>
              <w:divBdr>
                <w:top w:val="none" w:sz="0" w:space="0" w:color="auto"/>
                <w:left w:val="none" w:sz="0" w:space="0" w:color="auto"/>
                <w:bottom w:val="none" w:sz="0" w:space="0" w:color="auto"/>
                <w:right w:val="none" w:sz="0" w:space="0" w:color="auto"/>
              </w:divBdr>
            </w:div>
          </w:divsChild>
        </w:div>
        <w:div w:id="1308827789">
          <w:marLeft w:val="0"/>
          <w:marRight w:val="0"/>
          <w:marTop w:val="0"/>
          <w:marBottom w:val="0"/>
          <w:divBdr>
            <w:top w:val="none" w:sz="0" w:space="0" w:color="auto"/>
            <w:left w:val="none" w:sz="0" w:space="0" w:color="auto"/>
            <w:bottom w:val="none" w:sz="0" w:space="0" w:color="auto"/>
            <w:right w:val="none" w:sz="0" w:space="0" w:color="auto"/>
          </w:divBdr>
          <w:divsChild>
            <w:div w:id="486282413">
              <w:marLeft w:val="0"/>
              <w:marRight w:val="0"/>
              <w:marTop w:val="0"/>
              <w:marBottom w:val="0"/>
              <w:divBdr>
                <w:top w:val="none" w:sz="0" w:space="0" w:color="auto"/>
                <w:left w:val="none" w:sz="0" w:space="0" w:color="auto"/>
                <w:bottom w:val="none" w:sz="0" w:space="0" w:color="auto"/>
                <w:right w:val="none" w:sz="0" w:space="0" w:color="auto"/>
              </w:divBdr>
            </w:div>
          </w:divsChild>
        </w:div>
        <w:div w:id="1326276353">
          <w:marLeft w:val="0"/>
          <w:marRight w:val="0"/>
          <w:marTop w:val="0"/>
          <w:marBottom w:val="0"/>
          <w:divBdr>
            <w:top w:val="none" w:sz="0" w:space="0" w:color="auto"/>
            <w:left w:val="none" w:sz="0" w:space="0" w:color="auto"/>
            <w:bottom w:val="none" w:sz="0" w:space="0" w:color="auto"/>
            <w:right w:val="none" w:sz="0" w:space="0" w:color="auto"/>
          </w:divBdr>
          <w:divsChild>
            <w:div w:id="377242073">
              <w:marLeft w:val="0"/>
              <w:marRight w:val="0"/>
              <w:marTop w:val="0"/>
              <w:marBottom w:val="0"/>
              <w:divBdr>
                <w:top w:val="none" w:sz="0" w:space="0" w:color="auto"/>
                <w:left w:val="none" w:sz="0" w:space="0" w:color="auto"/>
                <w:bottom w:val="none" w:sz="0" w:space="0" w:color="auto"/>
                <w:right w:val="none" w:sz="0" w:space="0" w:color="auto"/>
              </w:divBdr>
            </w:div>
          </w:divsChild>
        </w:div>
        <w:div w:id="1353263988">
          <w:marLeft w:val="0"/>
          <w:marRight w:val="0"/>
          <w:marTop w:val="0"/>
          <w:marBottom w:val="0"/>
          <w:divBdr>
            <w:top w:val="none" w:sz="0" w:space="0" w:color="auto"/>
            <w:left w:val="none" w:sz="0" w:space="0" w:color="auto"/>
            <w:bottom w:val="none" w:sz="0" w:space="0" w:color="auto"/>
            <w:right w:val="none" w:sz="0" w:space="0" w:color="auto"/>
          </w:divBdr>
          <w:divsChild>
            <w:div w:id="2142185724">
              <w:marLeft w:val="0"/>
              <w:marRight w:val="0"/>
              <w:marTop w:val="0"/>
              <w:marBottom w:val="0"/>
              <w:divBdr>
                <w:top w:val="none" w:sz="0" w:space="0" w:color="auto"/>
                <w:left w:val="none" w:sz="0" w:space="0" w:color="auto"/>
                <w:bottom w:val="none" w:sz="0" w:space="0" w:color="auto"/>
                <w:right w:val="none" w:sz="0" w:space="0" w:color="auto"/>
              </w:divBdr>
            </w:div>
          </w:divsChild>
        </w:div>
        <w:div w:id="1389306181">
          <w:marLeft w:val="0"/>
          <w:marRight w:val="0"/>
          <w:marTop w:val="0"/>
          <w:marBottom w:val="0"/>
          <w:divBdr>
            <w:top w:val="none" w:sz="0" w:space="0" w:color="auto"/>
            <w:left w:val="none" w:sz="0" w:space="0" w:color="auto"/>
            <w:bottom w:val="none" w:sz="0" w:space="0" w:color="auto"/>
            <w:right w:val="none" w:sz="0" w:space="0" w:color="auto"/>
          </w:divBdr>
          <w:divsChild>
            <w:div w:id="1617757213">
              <w:marLeft w:val="0"/>
              <w:marRight w:val="0"/>
              <w:marTop w:val="0"/>
              <w:marBottom w:val="0"/>
              <w:divBdr>
                <w:top w:val="none" w:sz="0" w:space="0" w:color="auto"/>
                <w:left w:val="none" w:sz="0" w:space="0" w:color="auto"/>
                <w:bottom w:val="none" w:sz="0" w:space="0" w:color="auto"/>
                <w:right w:val="none" w:sz="0" w:space="0" w:color="auto"/>
              </w:divBdr>
            </w:div>
          </w:divsChild>
        </w:div>
        <w:div w:id="1406680105">
          <w:marLeft w:val="0"/>
          <w:marRight w:val="0"/>
          <w:marTop w:val="0"/>
          <w:marBottom w:val="0"/>
          <w:divBdr>
            <w:top w:val="none" w:sz="0" w:space="0" w:color="auto"/>
            <w:left w:val="none" w:sz="0" w:space="0" w:color="auto"/>
            <w:bottom w:val="none" w:sz="0" w:space="0" w:color="auto"/>
            <w:right w:val="none" w:sz="0" w:space="0" w:color="auto"/>
          </w:divBdr>
          <w:divsChild>
            <w:div w:id="2044094326">
              <w:marLeft w:val="0"/>
              <w:marRight w:val="0"/>
              <w:marTop w:val="0"/>
              <w:marBottom w:val="0"/>
              <w:divBdr>
                <w:top w:val="none" w:sz="0" w:space="0" w:color="auto"/>
                <w:left w:val="none" w:sz="0" w:space="0" w:color="auto"/>
                <w:bottom w:val="none" w:sz="0" w:space="0" w:color="auto"/>
                <w:right w:val="none" w:sz="0" w:space="0" w:color="auto"/>
              </w:divBdr>
            </w:div>
          </w:divsChild>
        </w:div>
        <w:div w:id="1409183045">
          <w:marLeft w:val="0"/>
          <w:marRight w:val="0"/>
          <w:marTop w:val="0"/>
          <w:marBottom w:val="0"/>
          <w:divBdr>
            <w:top w:val="none" w:sz="0" w:space="0" w:color="auto"/>
            <w:left w:val="none" w:sz="0" w:space="0" w:color="auto"/>
            <w:bottom w:val="none" w:sz="0" w:space="0" w:color="auto"/>
            <w:right w:val="none" w:sz="0" w:space="0" w:color="auto"/>
          </w:divBdr>
          <w:divsChild>
            <w:div w:id="344984249">
              <w:marLeft w:val="0"/>
              <w:marRight w:val="0"/>
              <w:marTop w:val="0"/>
              <w:marBottom w:val="0"/>
              <w:divBdr>
                <w:top w:val="none" w:sz="0" w:space="0" w:color="auto"/>
                <w:left w:val="none" w:sz="0" w:space="0" w:color="auto"/>
                <w:bottom w:val="none" w:sz="0" w:space="0" w:color="auto"/>
                <w:right w:val="none" w:sz="0" w:space="0" w:color="auto"/>
              </w:divBdr>
            </w:div>
          </w:divsChild>
        </w:div>
        <w:div w:id="1441412068">
          <w:marLeft w:val="0"/>
          <w:marRight w:val="0"/>
          <w:marTop w:val="0"/>
          <w:marBottom w:val="0"/>
          <w:divBdr>
            <w:top w:val="none" w:sz="0" w:space="0" w:color="auto"/>
            <w:left w:val="none" w:sz="0" w:space="0" w:color="auto"/>
            <w:bottom w:val="none" w:sz="0" w:space="0" w:color="auto"/>
            <w:right w:val="none" w:sz="0" w:space="0" w:color="auto"/>
          </w:divBdr>
          <w:divsChild>
            <w:div w:id="576092351">
              <w:marLeft w:val="0"/>
              <w:marRight w:val="0"/>
              <w:marTop w:val="0"/>
              <w:marBottom w:val="0"/>
              <w:divBdr>
                <w:top w:val="none" w:sz="0" w:space="0" w:color="auto"/>
                <w:left w:val="none" w:sz="0" w:space="0" w:color="auto"/>
                <w:bottom w:val="none" w:sz="0" w:space="0" w:color="auto"/>
                <w:right w:val="none" w:sz="0" w:space="0" w:color="auto"/>
              </w:divBdr>
            </w:div>
          </w:divsChild>
        </w:div>
        <w:div w:id="1452360716">
          <w:marLeft w:val="0"/>
          <w:marRight w:val="0"/>
          <w:marTop w:val="0"/>
          <w:marBottom w:val="0"/>
          <w:divBdr>
            <w:top w:val="none" w:sz="0" w:space="0" w:color="auto"/>
            <w:left w:val="none" w:sz="0" w:space="0" w:color="auto"/>
            <w:bottom w:val="none" w:sz="0" w:space="0" w:color="auto"/>
            <w:right w:val="none" w:sz="0" w:space="0" w:color="auto"/>
          </w:divBdr>
          <w:divsChild>
            <w:div w:id="1227375599">
              <w:marLeft w:val="0"/>
              <w:marRight w:val="0"/>
              <w:marTop w:val="0"/>
              <w:marBottom w:val="0"/>
              <w:divBdr>
                <w:top w:val="none" w:sz="0" w:space="0" w:color="auto"/>
                <w:left w:val="none" w:sz="0" w:space="0" w:color="auto"/>
                <w:bottom w:val="none" w:sz="0" w:space="0" w:color="auto"/>
                <w:right w:val="none" w:sz="0" w:space="0" w:color="auto"/>
              </w:divBdr>
            </w:div>
          </w:divsChild>
        </w:div>
        <w:div w:id="1470978524">
          <w:marLeft w:val="0"/>
          <w:marRight w:val="0"/>
          <w:marTop w:val="0"/>
          <w:marBottom w:val="0"/>
          <w:divBdr>
            <w:top w:val="none" w:sz="0" w:space="0" w:color="auto"/>
            <w:left w:val="none" w:sz="0" w:space="0" w:color="auto"/>
            <w:bottom w:val="none" w:sz="0" w:space="0" w:color="auto"/>
            <w:right w:val="none" w:sz="0" w:space="0" w:color="auto"/>
          </w:divBdr>
          <w:divsChild>
            <w:div w:id="1170607864">
              <w:marLeft w:val="0"/>
              <w:marRight w:val="0"/>
              <w:marTop w:val="0"/>
              <w:marBottom w:val="0"/>
              <w:divBdr>
                <w:top w:val="none" w:sz="0" w:space="0" w:color="auto"/>
                <w:left w:val="none" w:sz="0" w:space="0" w:color="auto"/>
                <w:bottom w:val="none" w:sz="0" w:space="0" w:color="auto"/>
                <w:right w:val="none" w:sz="0" w:space="0" w:color="auto"/>
              </w:divBdr>
            </w:div>
          </w:divsChild>
        </w:div>
        <w:div w:id="1501967713">
          <w:marLeft w:val="0"/>
          <w:marRight w:val="0"/>
          <w:marTop w:val="0"/>
          <w:marBottom w:val="0"/>
          <w:divBdr>
            <w:top w:val="none" w:sz="0" w:space="0" w:color="auto"/>
            <w:left w:val="none" w:sz="0" w:space="0" w:color="auto"/>
            <w:bottom w:val="none" w:sz="0" w:space="0" w:color="auto"/>
            <w:right w:val="none" w:sz="0" w:space="0" w:color="auto"/>
          </w:divBdr>
          <w:divsChild>
            <w:div w:id="1277755431">
              <w:marLeft w:val="0"/>
              <w:marRight w:val="0"/>
              <w:marTop w:val="0"/>
              <w:marBottom w:val="0"/>
              <w:divBdr>
                <w:top w:val="none" w:sz="0" w:space="0" w:color="auto"/>
                <w:left w:val="none" w:sz="0" w:space="0" w:color="auto"/>
                <w:bottom w:val="none" w:sz="0" w:space="0" w:color="auto"/>
                <w:right w:val="none" w:sz="0" w:space="0" w:color="auto"/>
              </w:divBdr>
            </w:div>
          </w:divsChild>
        </w:div>
        <w:div w:id="1529172763">
          <w:marLeft w:val="0"/>
          <w:marRight w:val="0"/>
          <w:marTop w:val="0"/>
          <w:marBottom w:val="0"/>
          <w:divBdr>
            <w:top w:val="none" w:sz="0" w:space="0" w:color="auto"/>
            <w:left w:val="none" w:sz="0" w:space="0" w:color="auto"/>
            <w:bottom w:val="none" w:sz="0" w:space="0" w:color="auto"/>
            <w:right w:val="none" w:sz="0" w:space="0" w:color="auto"/>
          </w:divBdr>
          <w:divsChild>
            <w:div w:id="655770404">
              <w:marLeft w:val="0"/>
              <w:marRight w:val="0"/>
              <w:marTop w:val="0"/>
              <w:marBottom w:val="0"/>
              <w:divBdr>
                <w:top w:val="none" w:sz="0" w:space="0" w:color="auto"/>
                <w:left w:val="none" w:sz="0" w:space="0" w:color="auto"/>
                <w:bottom w:val="none" w:sz="0" w:space="0" w:color="auto"/>
                <w:right w:val="none" w:sz="0" w:space="0" w:color="auto"/>
              </w:divBdr>
            </w:div>
          </w:divsChild>
        </w:div>
        <w:div w:id="1532376776">
          <w:marLeft w:val="0"/>
          <w:marRight w:val="0"/>
          <w:marTop w:val="0"/>
          <w:marBottom w:val="0"/>
          <w:divBdr>
            <w:top w:val="none" w:sz="0" w:space="0" w:color="auto"/>
            <w:left w:val="none" w:sz="0" w:space="0" w:color="auto"/>
            <w:bottom w:val="none" w:sz="0" w:space="0" w:color="auto"/>
            <w:right w:val="none" w:sz="0" w:space="0" w:color="auto"/>
          </w:divBdr>
          <w:divsChild>
            <w:div w:id="632057002">
              <w:marLeft w:val="0"/>
              <w:marRight w:val="0"/>
              <w:marTop w:val="0"/>
              <w:marBottom w:val="0"/>
              <w:divBdr>
                <w:top w:val="none" w:sz="0" w:space="0" w:color="auto"/>
                <w:left w:val="none" w:sz="0" w:space="0" w:color="auto"/>
                <w:bottom w:val="none" w:sz="0" w:space="0" w:color="auto"/>
                <w:right w:val="none" w:sz="0" w:space="0" w:color="auto"/>
              </w:divBdr>
            </w:div>
          </w:divsChild>
        </w:div>
        <w:div w:id="1533686350">
          <w:marLeft w:val="0"/>
          <w:marRight w:val="0"/>
          <w:marTop w:val="0"/>
          <w:marBottom w:val="0"/>
          <w:divBdr>
            <w:top w:val="none" w:sz="0" w:space="0" w:color="auto"/>
            <w:left w:val="none" w:sz="0" w:space="0" w:color="auto"/>
            <w:bottom w:val="none" w:sz="0" w:space="0" w:color="auto"/>
            <w:right w:val="none" w:sz="0" w:space="0" w:color="auto"/>
          </w:divBdr>
          <w:divsChild>
            <w:div w:id="1675375662">
              <w:marLeft w:val="0"/>
              <w:marRight w:val="0"/>
              <w:marTop w:val="0"/>
              <w:marBottom w:val="0"/>
              <w:divBdr>
                <w:top w:val="none" w:sz="0" w:space="0" w:color="auto"/>
                <w:left w:val="none" w:sz="0" w:space="0" w:color="auto"/>
                <w:bottom w:val="none" w:sz="0" w:space="0" w:color="auto"/>
                <w:right w:val="none" w:sz="0" w:space="0" w:color="auto"/>
              </w:divBdr>
            </w:div>
          </w:divsChild>
        </w:div>
        <w:div w:id="1538275635">
          <w:marLeft w:val="0"/>
          <w:marRight w:val="0"/>
          <w:marTop w:val="0"/>
          <w:marBottom w:val="0"/>
          <w:divBdr>
            <w:top w:val="none" w:sz="0" w:space="0" w:color="auto"/>
            <w:left w:val="none" w:sz="0" w:space="0" w:color="auto"/>
            <w:bottom w:val="none" w:sz="0" w:space="0" w:color="auto"/>
            <w:right w:val="none" w:sz="0" w:space="0" w:color="auto"/>
          </w:divBdr>
          <w:divsChild>
            <w:div w:id="1874343488">
              <w:marLeft w:val="0"/>
              <w:marRight w:val="0"/>
              <w:marTop w:val="0"/>
              <w:marBottom w:val="0"/>
              <w:divBdr>
                <w:top w:val="none" w:sz="0" w:space="0" w:color="auto"/>
                <w:left w:val="none" w:sz="0" w:space="0" w:color="auto"/>
                <w:bottom w:val="none" w:sz="0" w:space="0" w:color="auto"/>
                <w:right w:val="none" w:sz="0" w:space="0" w:color="auto"/>
              </w:divBdr>
            </w:div>
          </w:divsChild>
        </w:div>
        <w:div w:id="1539858036">
          <w:marLeft w:val="0"/>
          <w:marRight w:val="0"/>
          <w:marTop w:val="0"/>
          <w:marBottom w:val="0"/>
          <w:divBdr>
            <w:top w:val="none" w:sz="0" w:space="0" w:color="auto"/>
            <w:left w:val="none" w:sz="0" w:space="0" w:color="auto"/>
            <w:bottom w:val="none" w:sz="0" w:space="0" w:color="auto"/>
            <w:right w:val="none" w:sz="0" w:space="0" w:color="auto"/>
          </w:divBdr>
          <w:divsChild>
            <w:div w:id="247663102">
              <w:marLeft w:val="0"/>
              <w:marRight w:val="0"/>
              <w:marTop w:val="0"/>
              <w:marBottom w:val="0"/>
              <w:divBdr>
                <w:top w:val="none" w:sz="0" w:space="0" w:color="auto"/>
                <w:left w:val="none" w:sz="0" w:space="0" w:color="auto"/>
                <w:bottom w:val="none" w:sz="0" w:space="0" w:color="auto"/>
                <w:right w:val="none" w:sz="0" w:space="0" w:color="auto"/>
              </w:divBdr>
            </w:div>
          </w:divsChild>
        </w:div>
        <w:div w:id="1561793941">
          <w:marLeft w:val="0"/>
          <w:marRight w:val="0"/>
          <w:marTop w:val="0"/>
          <w:marBottom w:val="0"/>
          <w:divBdr>
            <w:top w:val="none" w:sz="0" w:space="0" w:color="auto"/>
            <w:left w:val="none" w:sz="0" w:space="0" w:color="auto"/>
            <w:bottom w:val="none" w:sz="0" w:space="0" w:color="auto"/>
            <w:right w:val="none" w:sz="0" w:space="0" w:color="auto"/>
          </w:divBdr>
          <w:divsChild>
            <w:div w:id="49769962">
              <w:marLeft w:val="0"/>
              <w:marRight w:val="0"/>
              <w:marTop w:val="0"/>
              <w:marBottom w:val="0"/>
              <w:divBdr>
                <w:top w:val="none" w:sz="0" w:space="0" w:color="auto"/>
                <w:left w:val="none" w:sz="0" w:space="0" w:color="auto"/>
                <w:bottom w:val="none" w:sz="0" w:space="0" w:color="auto"/>
                <w:right w:val="none" w:sz="0" w:space="0" w:color="auto"/>
              </w:divBdr>
            </w:div>
          </w:divsChild>
        </w:div>
        <w:div w:id="1567569328">
          <w:marLeft w:val="0"/>
          <w:marRight w:val="0"/>
          <w:marTop w:val="0"/>
          <w:marBottom w:val="0"/>
          <w:divBdr>
            <w:top w:val="none" w:sz="0" w:space="0" w:color="auto"/>
            <w:left w:val="none" w:sz="0" w:space="0" w:color="auto"/>
            <w:bottom w:val="none" w:sz="0" w:space="0" w:color="auto"/>
            <w:right w:val="none" w:sz="0" w:space="0" w:color="auto"/>
          </w:divBdr>
          <w:divsChild>
            <w:div w:id="229971955">
              <w:marLeft w:val="0"/>
              <w:marRight w:val="0"/>
              <w:marTop w:val="0"/>
              <w:marBottom w:val="0"/>
              <w:divBdr>
                <w:top w:val="none" w:sz="0" w:space="0" w:color="auto"/>
                <w:left w:val="none" w:sz="0" w:space="0" w:color="auto"/>
                <w:bottom w:val="none" w:sz="0" w:space="0" w:color="auto"/>
                <w:right w:val="none" w:sz="0" w:space="0" w:color="auto"/>
              </w:divBdr>
            </w:div>
          </w:divsChild>
        </w:div>
        <w:div w:id="1603613990">
          <w:marLeft w:val="0"/>
          <w:marRight w:val="0"/>
          <w:marTop w:val="0"/>
          <w:marBottom w:val="0"/>
          <w:divBdr>
            <w:top w:val="none" w:sz="0" w:space="0" w:color="auto"/>
            <w:left w:val="none" w:sz="0" w:space="0" w:color="auto"/>
            <w:bottom w:val="none" w:sz="0" w:space="0" w:color="auto"/>
            <w:right w:val="none" w:sz="0" w:space="0" w:color="auto"/>
          </w:divBdr>
          <w:divsChild>
            <w:div w:id="1435977976">
              <w:marLeft w:val="0"/>
              <w:marRight w:val="0"/>
              <w:marTop w:val="0"/>
              <w:marBottom w:val="0"/>
              <w:divBdr>
                <w:top w:val="none" w:sz="0" w:space="0" w:color="auto"/>
                <w:left w:val="none" w:sz="0" w:space="0" w:color="auto"/>
                <w:bottom w:val="none" w:sz="0" w:space="0" w:color="auto"/>
                <w:right w:val="none" w:sz="0" w:space="0" w:color="auto"/>
              </w:divBdr>
            </w:div>
          </w:divsChild>
        </w:div>
        <w:div w:id="1611205396">
          <w:marLeft w:val="0"/>
          <w:marRight w:val="0"/>
          <w:marTop w:val="0"/>
          <w:marBottom w:val="0"/>
          <w:divBdr>
            <w:top w:val="none" w:sz="0" w:space="0" w:color="auto"/>
            <w:left w:val="none" w:sz="0" w:space="0" w:color="auto"/>
            <w:bottom w:val="none" w:sz="0" w:space="0" w:color="auto"/>
            <w:right w:val="none" w:sz="0" w:space="0" w:color="auto"/>
          </w:divBdr>
          <w:divsChild>
            <w:div w:id="1362633423">
              <w:marLeft w:val="0"/>
              <w:marRight w:val="0"/>
              <w:marTop w:val="0"/>
              <w:marBottom w:val="0"/>
              <w:divBdr>
                <w:top w:val="none" w:sz="0" w:space="0" w:color="auto"/>
                <w:left w:val="none" w:sz="0" w:space="0" w:color="auto"/>
                <w:bottom w:val="none" w:sz="0" w:space="0" w:color="auto"/>
                <w:right w:val="none" w:sz="0" w:space="0" w:color="auto"/>
              </w:divBdr>
            </w:div>
          </w:divsChild>
        </w:div>
        <w:div w:id="1630740048">
          <w:marLeft w:val="0"/>
          <w:marRight w:val="0"/>
          <w:marTop w:val="0"/>
          <w:marBottom w:val="0"/>
          <w:divBdr>
            <w:top w:val="none" w:sz="0" w:space="0" w:color="auto"/>
            <w:left w:val="none" w:sz="0" w:space="0" w:color="auto"/>
            <w:bottom w:val="none" w:sz="0" w:space="0" w:color="auto"/>
            <w:right w:val="none" w:sz="0" w:space="0" w:color="auto"/>
          </w:divBdr>
          <w:divsChild>
            <w:div w:id="473061815">
              <w:marLeft w:val="0"/>
              <w:marRight w:val="0"/>
              <w:marTop w:val="0"/>
              <w:marBottom w:val="0"/>
              <w:divBdr>
                <w:top w:val="none" w:sz="0" w:space="0" w:color="auto"/>
                <w:left w:val="none" w:sz="0" w:space="0" w:color="auto"/>
                <w:bottom w:val="none" w:sz="0" w:space="0" w:color="auto"/>
                <w:right w:val="none" w:sz="0" w:space="0" w:color="auto"/>
              </w:divBdr>
            </w:div>
          </w:divsChild>
        </w:div>
        <w:div w:id="1646007862">
          <w:marLeft w:val="0"/>
          <w:marRight w:val="0"/>
          <w:marTop w:val="0"/>
          <w:marBottom w:val="0"/>
          <w:divBdr>
            <w:top w:val="none" w:sz="0" w:space="0" w:color="auto"/>
            <w:left w:val="none" w:sz="0" w:space="0" w:color="auto"/>
            <w:bottom w:val="none" w:sz="0" w:space="0" w:color="auto"/>
            <w:right w:val="none" w:sz="0" w:space="0" w:color="auto"/>
          </w:divBdr>
          <w:divsChild>
            <w:div w:id="1360668180">
              <w:marLeft w:val="0"/>
              <w:marRight w:val="0"/>
              <w:marTop w:val="0"/>
              <w:marBottom w:val="0"/>
              <w:divBdr>
                <w:top w:val="none" w:sz="0" w:space="0" w:color="auto"/>
                <w:left w:val="none" w:sz="0" w:space="0" w:color="auto"/>
                <w:bottom w:val="none" w:sz="0" w:space="0" w:color="auto"/>
                <w:right w:val="none" w:sz="0" w:space="0" w:color="auto"/>
              </w:divBdr>
            </w:div>
          </w:divsChild>
        </w:div>
        <w:div w:id="1652322694">
          <w:marLeft w:val="0"/>
          <w:marRight w:val="0"/>
          <w:marTop w:val="0"/>
          <w:marBottom w:val="0"/>
          <w:divBdr>
            <w:top w:val="none" w:sz="0" w:space="0" w:color="auto"/>
            <w:left w:val="none" w:sz="0" w:space="0" w:color="auto"/>
            <w:bottom w:val="none" w:sz="0" w:space="0" w:color="auto"/>
            <w:right w:val="none" w:sz="0" w:space="0" w:color="auto"/>
          </w:divBdr>
          <w:divsChild>
            <w:div w:id="1894198411">
              <w:marLeft w:val="0"/>
              <w:marRight w:val="0"/>
              <w:marTop w:val="0"/>
              <w:marBottom w:val="0"/>
              <w:divBdr>
                <w:top w:val="none" w:sz="0" w:space="0" w:color="auto"/>
                <w:left w:val="none" w:sz="0" w:space="0" w:color="auto"/>
                <w:bottom w:val="none" w:sz="0" w:space="0" w:color="auto"/>
                <w:right w:val="none" w:sz="0" w:space="0" w:color="auto"/>
              </w:divBdr>
            </w:div>
          </w:divsChild>
        </w:div>
        <w:div w:id="1658150695">
          <w:marLeft w:val="0"/>
          <w:marRight w:val="0"/>
          <w:marTop w:val="0"/>
          <w:marBottom w:val="0"/>
          <w:divBdr>
            <w:top w:val="none" w:sz="0" w:space="0" w:color="auto"/>
            <w:left w:val="none" w:sz="0" w:space="0" w:color="auto"/>
            <w:bottom w:val="none" w:sz="0" w:space="0" w:color="auto"/>
            <w:right w:val="none" w:sz="0" w:space="0" w:color="auto"/>
          </w:divBdr>
          <w:divsChild>
            <w:div w:id="362749873">
              <w:marLeft w:val="0"/>
              <w:marRight w:val="0"/>
              <w:marTop w:val="0"/>
              <w:marBottom w:val="0"/>
              <w:divBdr>
                <w:top w:val="none" w:sz="0" w:space="0" w:color="auto"/>
                <w:left w:val="none" w:sz="0" w:space="0" w:color="auto"/>
                <w:bottom w:val="none" w:sz="0" w:space="0" w:color="auto"/>
                <w:right w:val="none" w:sz="0" w:space="0" w:color="auto"/>
              </w:divBdr>
            </w:div>
          </w:divsChild>
        </w:div>
        <w:div w:id="1665742359">
          <w:marLeft w:val="0"/>
          <w:marRight w:val="0"/>
          <w:marTop w:val="0"/>
          <w:marBottom w:val="0"/>
          <w:divBdr>
            <w:top w:val="none" w:sz="0" w:space="0" w:color="auto"/>
            <w:left w:val="none" w:sz="0" w:space="0" w:color="auto"/>
            <w:bottom w:val="none" w:sz="0" w:space="0" w:color="auto"/>
            <w:right w:val="none" w:sz="0" w:space="0" w:color="auto"/>
          </w:divBdr>
          <w:divsChild>
            <w:div w:id="1451052961">
              <w:marLeft w:val="0"/>
              <w:marRight w:val="0"/>
              <w:marTop w:val="0"/>
              <w:marBottom w:val="0"/>
              <w:divBdr>
                <w:top w:val="none" w:sz="0" w:space="0" w:color="auto"/>
                <w:left w:val="none" w:sz="0" w:space="0" w:color="auto"/>
                <w:bottom w:val="none" w:sz="0" w:space="0" w:color="auto"/>
                <w:right w:val="none" w:sz="0" w:space="0" w:color="auto"/>
              </w:divBdr>
            </w:div>
          </w:divsChild>
        </w:div>
        <w:div w:id="1703241963">
          <w:marLeft w:val="0"/>
          <w:marRight w:val="0"/>
          <w:marTop w:val="0"/>
          <w:marBottom w:val="0"/>
          <w:divBdr>
            <w:top w:val="none" w:sz="0" w:space="0" w:color="auto"/>
            <w:left w:val="none" w:sz="0" w:space="0" w:color="auto"/>
            <w:bottom w:val="none" w:sz="0" w:space="0" w:color="auto"/>
            <w:right w:val="none" w:sz="0" w:space="0" w:color="auto"/>
          </w:divBdr>
          <w:divsChild>
            <w:div w:id="1894582165">
              <w:marLeft w:val="0"/>
              <w:marRight w:val="0"/>
              <w:marTop w:val="0"/>
              <w:marBottom w:val="0"/>
              <w:divBdr>
                <w:top w:val="none" w:sz="0" w:space="0" w:color="auto"/>
                <w:left w:val="none" w:sz="0" w:space="0" w:color="auto"/>
                <w:bottom w:val="none" w:sz="0" w:space="0" w:color="auto"/>
                <w:right w:val="none" w:sz="0" w:space="0" w:color="auto"/>
              </w:divBdr>
            </w:div>
          </w:divsChild>
        </w:div>
        <w:div w:id="1716352361">
          <w:marLeft w:val="0"/>
          <w:marRight w:val="0"/>
          <w:marTop w:val="0"/>
          <w:marBottom w:val="0"/>
          <w:divBdr>
            <w:top w:val="none" w:sz="0" w:space="0" w:color="auto"/>
            <w:left w:val="none" w:sz="0" w:space="0" w:color="auto"/>
            <w:bottom w:val="none" w:sz="0" w:space="0" w:color="auto"/>
            <w:right w:val="none" w:sz="0" w:space="0" w:color="auto"/>
          </w:divBdr>
          <w:divsChild>
            <w:div w:id="1840850082">
              <w:marLeft w:val="0"/>
              <w:marRight w:val="0"/>
              <w:marTop w:val="0"/>
              <w:marBottom w:val="0"/>
              <w:divBdr>
                <w:top w:val="none" w:sz="0" w:space="0" w:color="auto"/>
                <w:left w:val="none" w:sz="0" w:space="0" w:color="auto"/>
                <w:bottom w:val="none" w:sz="0" w:space="0" w:color="auto"/>
                <w:right w:val="none" w:sz="0" w:space="0" w:color="auto"/>
              </w:divBdr>
            </w:div>
          </w:divsChild>
        </w:div>
        <w:div w:id="1721435204">
          <w:marLeft w:val="0"/>
          <w:marRight w:val="0"/>
          <w:marTop w:val="0"/>
          <w:marBottom w:val="0"/>
          <w:divBdr>
            <w:top w:val="none" w:sz="0" w:space="0" w:color="auto"/>
            <w:left w:val="none" w:sz="0" w:space="0" w:color="auto"/>
            <w:bottom w:val="none" w:sz="0" w:space="0" w:color="auto"/>
            <w:right w:val="none" w:sz="0" w:space="0" w:color="auto"/>
          </w:divBdr>
          <w:divsChild>
            <w:div w:id="1076393034">
              <w:marLeft w:val="0"/>
              <w:marRight w:val="0"/>
              <w:marTop w:val="0"/>
              <w:marBottom w:val="0"/>
              <w:divBdr>
                <w:top w:val="none" w:sz="0" w:space="0" w:color="auto"/>
                <w:left w:val="none" w:sz="0" w:space="0" w:color="auto"/>
                <w:bottom w:val="none" w:sz="0" w:space="0" w:color="auto"/>
                <w:right w:val="none" w:sz="0" w:space="0" w:color="auto"/>
              </w:divBdr>
            </w:div>
          </w:divsChild>
        </w:div>
        <w:div w:id="1822891494">
          <w:marLeft w:val="0"/>
          <w:marRight w:val="0"/>
          <w:marTop w:val="0"/>
          <w:marBottom w:val="0"/>
          <w:divBdr>
            <w:top w:val="none" w:sz="0" w:space="0" w:color="auto"/>
            <w:left w:val="none" w:sz="0" w:space="0" w:color="auto"/>
            <w:bottom w:val="none" w:sz="0" w:space="0" w:color="auto"/>
            <w:right w:val="none" w:sz="0" w:space="0" w:color="auto"/>
          </w:divBdr>
          <w:divsChild>
            <w:div w:id="480270969">
              <w:marLeft w:val="0"/>
              <w:marRight w:val="0"/>
              <w:marTop w:val="0"/>
              <w:marBottom w:val="0"/>
              <w:divBdr>
                <w:top w:val="none" w:sz="0" w:space="0" w:color="auto"/>
                <w:left w:val="none" w:sz="0" w:space="0" w:color="auto"/>
                <w:bottom w:val="none" w:sz="0" w:space="0" w:color="auto"/>
                <w:right w:val="none" w:sz="0" w:space="0" w:color="auto"/>
              </w:divBdr>
            </w:div>
          </w:divsChild>
        </w:div>
        <w:div w:id="1833063110">
          <w:marLeft w:val="0"/>
          <w:marRight w:val="0"/>
          <w:marTop w:val="0"/>
          <w:marBottom w:val="0"/>
          <w:divBdr>
            <w:top w:val="none" w:sz="0" w:space="0" w:color="auto"/>
            <w:left w:val="none" w:sz="0" w:space="0" w:color="auto"/>
            <w:bottom w:val="none" w:sz="0" w:space="0" w:color="auto"/>
            <w:right w:val="none" w:sz="0" w:space="0" w:color="auto"/>
          </w:divBdr>
          <w:divsChild>
            <w:div w:id="1600525389">
              <w:marLeft w:val="0"/>
              <w:marRight w:val="0"/>
              <w:marTop w:val="0"/>
              <w:marBottom w:val="0"/>
              <w:divBdr>
                <w:top w:val="none" w:sz="0" w:space="0" w:color="auto"/>
                <w:left w:val="none" w:sz="0" w:space="0" w:color="auto"/>
                <w:bottom w:val="none" w:sz="0" w:space="0" w:color="auto"/>
                <w:right w:val="none" w:sz="0" w:space="0" w:color="auto"/>
              </w:divBdr>
            </w:div>
          </w:divsChild>
        </w:div>
        <w:div w:id="1838033011">
          <w:marLeft w:val="0"/>
          <w:marRight w:val="0"/>
          <w:marTop w:val="0"/>
          <w:marBottom w:val="0"/>
          <w:divBdr>
            <w:top w:val="none" w:sz="0" w:space="0" w:color="auto"/>
            <w:left w:val="none" w:sz="0" w:space="0" w:color="auto"/>
            <w:bottom w:val="none" w:sz="0" w:space="0" w:color="auto"/>
            <w:right w:val="none" w:sz="0" w:space="0" w:color="auto"/>
          </w:divBdr>
          <w:divsChild>
            <w:div w:id="1277060853">
              <w:marLeft w:val="0"/>
              <w:marRight w:val="0"/>
              <w:marTop w:val="0"/>
              <w:marBottom w:val="0"/>
              <w:divBdr>
                <w:top w:val="none" w:sz="0" w:space="0" w:color="auto"/>
                <w:left w:val="none" w:sz="0" w:space="0" w:color="auto"/>
                <w:bottom w:val="none" w:sz="0" w:space="0" w:color="auto"/>
                <w:right w:val="none" w:sz="0" w:space="0" w:color="auto"/>
              </w:divBdr>
            </w:div>
          </w:divsChild>
        </w:div>
        <w:div w:id="1840610807">
          <w:marLeft w:val="0"/>
          <w:marRight w:val="0"/>
          <w:marTop w:val="0"/>
          <w:marBottom w:val="0"/>
          <w:divBdr>
            <w:top w:val="none" w:sz="0" w:space="0" w:color="auto"/>
            <w:left w:val="none" w:sz="0" w:space="0" w:color="auto"/>
            <w:bottom w:val="none" w:sz="0" w:space="0" w:color="auto"/>
            <w:right w:val="none" w:sz="0" w:space="0" w:color="auto"/>
          </w:divBdr>
          <w:divsChild>
            <w:div w:id="1747452888">
              <w:marLeft w:val="0"/>
              <w:marRight w:val="0"/>
              <w:marTop w:val="0"/>
              <w:marBottom w:val="0"/>
              <w:divBdr>
                <w:top w:val="none" w:sz="0" w:space="0" w:color="auto"/>
                <w:left w:val="none" w:sz="0" w:space="0" w:color="auto"/>
                <w:bottom w:val="none" w:sz="0" w:space="0" w:color="auto"/>
                <w:right w:val="none" w:sz="0" w:space="0" w:color="auto"/>
              </w:divBdr>
            </w:div>
          </w:divsChild>
        </w:div>
        <w:div w:id="1850291949">
          <w:marLeft w:val="0"/>
          <w:marRight w:val="0"/>
          <w:marTop w:val="0"/>
          <w:marBottom w:val="0"/>
          <w:divBdr>
            <w:top w:val="none" w:sz="0" w:space="0" w:color="auto"/>
            <w:left w:val="none" w:sz="0" w:space="0" w:color="auto"/>
            <w:bottom w:val="none" w:sz="0" w:space="0" w:color="auto"/>
            <w:right w:val="none" w:sz="0" w:space="0" w:color="auto"/>
          </w:divBdr>
          <w:divsChild>
            <w:div w:id="1210994820">
              <w:marLeft w:val="0"/>
              <w:marRight w:val="0"/>
              <w:marTop w:val="0"/>
              <w:marBottom w:val="0"/>
              <w:divBdr>
                <w:top w:val="none" w:sz="0" w:space="0" w:color="auto"/>
                <w:left w:val="none" w:sz="0" w:space="0" w:color="auto"/>
                <w:bottom w:val="none" w:sz="0" w:space="0" w:color="auto"/>
                <w:right w:val="none" w:sz="0" w:space="0" w:color="auto"/>
              </w:divBdr>
            </w:div>
          </w:divsChild>
        </w:div>
        <w:div w:id="1855923751">
          <w:marLeft w:val="0"/>
          <w:marRight w:val="0"/>
          <w:marTop w:val="0"/>
          <w:marBottom w:val="0"/>
          <w:divBdr>
            <w:top w:val="none" w:sz="0" w:space="0" w:color="auto"/>
            <w:left w:val="none" w:sz="0" w:space="0" w:color="auto"/>
            <w:bottom w:val="none" w:sz="0" w:space="0" w:color="auto"/>
            <w:right w:val="none" w:sz="0" w:space="0" w:color="auto"/>
          </w:divBdr>
          <w:divsChild>
            <w:div w:id="1482846295">
              <w:marLeft w:val="0"/>
              <w:marRight w:val="0"/>
              <w:marTop w:val="0"/>
              <w:marBottom w:val="0"/>
              <w:divBdr>
                <w:top w:val="none" w:sz="0" w:space="0" w:color="auto"/>
                <w:left w:val="none" w:sz="0" w:space="0" w:color="auto"/>
                <w:bottom w:val="none" w:sz="0" w:space="0" w:color="auto"/>
                <w:right w:val="none" w:sz="0" w:space="0" w:color="auto"/>
              </w:divBdr>
            </w:div>
          </w:divsChild>
        </w:div>
        <w:div w:id="1859346629">
          <w:marLeft w:val="0"/>
          <w:marRight w:val="0"/>
          <w:marTop w:val="0"/>
          <w:marBottom w:val="0"/>
          <w:divBdr>
            <w:top w:val="none" w:sz="0" w:space="0" w:color="auto"/>
            <w:left w:val="none" w:sz="0" w:space="0" w:color="auto"/>
            <w:bottom w:val="none" w:sz="0" w:space="0" w:color="auto"/>
            <w:right w:val="none" w:sz="0" w:space="0" w:color="auto"/>
          </w:divBdr>
          <w:divsChild>
            <w:div w:id="2092505469">
              <w:marLeft w:val="0"/>
              <w:marRight w:val="0"/>
              <w:marTop w:val="0"/>
              <w:marBottom w:val="0"/>
              <w:divBdr>
                <w:top w:val="none" w:sz="0" w:space="0" w:color="auto"/>
                <w:left w:val="none" w:sz="0" w:space="0" w:color="auto"/>
                <w:bottom w:val="none" w:sz="0" w:space="0" w:color="auto"/>
                <w:right w:val="none" w:sz="0" w:space="0" w:color="auto"/>
              </w:divBdr>
            </w:div>
          </w:divsChild>
        </w:div>
        <w:div w:id="1881897959">
          <w:marLeft w:val="0"/>
          <w:marRight w:val="0"/>
          <w:marTop w:val="0"/>
          <w:marBottom w:val="0"/>
          <w:divBdr>
            <w:top w:val="none" w:sz="0" w:space="0" w:color="auto"/>
            <w:left w:val="none" w:sz="0" w:space="0" w:color="auto"/>
            <w:bottom w:val="none" w:sz="0" w:space="0" w:color="auto"/>
            <w:right w:val="none" w:sz="0" w:space="0" w:color="auto"/>
          </w:divBdr>
          <w:divsChild>
            <w:div w:id="480201129">
              <w:marLeft w:val="0"/>
              <w:marRight w:val="0"/>
              <w:marTop w:val="0"/>
              <w:marBottom w:val="0"/>
              <w:divBdr>
                <w:top w:val="none" w:sz="0" w:space="0" w:color="auto"/>
                <w:left w:val="none" w:sz="0" w:space="0" w:color="auto"/>
                <w:bottom w:val="none" w:sz="0" w:space="0" w:color="auto"/>
                <w:right w:val="none" w:sz="0" w:space="0" w:color="auto"/>
              </w:divBdr>
            </w:div>
          </w:divsChild>
        </w:div>
        <w:div w:id="1916282747">
          <w:marLeft w:val="0"/>
          <w:marRight w:val="0"/>
          <w:marTop w:val="0"/>
          <w:marBottom w:val="0"/>
          <w:divBdr>
            <w:top w:val="none" w:sz="0" w:space="0" w:color="auto"/>
            <w:left w:val="none" w:sz="0" w:space="0" w:color="auto"/>
            <w:bottom w:val="none" w:sz="0" w:space="0" w:color="auto"/>
            <w:right w:val="none" w:sz="0" w:space="0" w:color="auto"/>
          </w:divBdr>
          <w:divsChild>
            <w:div w:id="811289371">
              <w:marLeft w:val="0"/>
              <w:marRight w:val="0"/>
              <w:marTop w:val="0"/>
              <w:marBottom w:val="0"/>
              <w:divBdr>
                <w:top w:val="none" w:sz="0" w:space="0" w:color="auto"/>
                <w:left w:val="none" w:sz="0" w:space="0" w:color="auto"/>
                <w:bottom w:val="none" w:sz="0" w:space="0" w:color="auto"/>
                <w:right w:val="none" w:sz="0" w:space="0" w:color="auto"/>
              </w:divBdr>
            </w:div>
          </w:divsChild>
        </w:div>
        <w:div w:id="1937592713">
          <w:marLeft w:val="0"/>
          <w:marRight w:val="0"/>
          <w:marTop w:val="0"/>
          <w:marBottom w:val="0"/>
          <w:divBdr>
            <w:top w:val="none" w:sz="0" w:space="0" w:color="auto"/>
            <w:left w:val="none" w:sz="0" w:space="0" w:color="auto"/>
            <w:bottom w:val="none" w:sz="0" w:space="0" w:color="auto"/>
            <w:right w:val="none" w:sz="0" w:space="0" w:color="auto"/>
          </w:divBdr>
          <w:divsChild>
            <w:div w:id="694230675">
              <w:marLeft w:val="0"/>
              <w:marRight w:val="0"/>
              <w:marTop w:val="0"/>
              <w:marBottom w:val="0"/>
              <w:divBdr>
                <w:top w:val="none" w:sz="0" w:space="0" w:color="auto"/>
                <w:left w:val="none" w:sz="0" w:space="0" w:color="auto"/>
                <w:bottom w:val="none" w:sz="0" w:space="0" w:color="auto"/>
                <w:right w:val="none" w:sz="0" w:space="0" w:color="auto"/>
              </w:divBdr>
            </w:div>
          </w:divsChild>
        </w:div>
        <w:div w:id="1945187658">
          <w:marLeft w:val="0"/>
          <w:marRight w:val="0"/>
          <w:marTop w:val="0"/>
          <w:marBottom w:val="0"/>
          <w:divBdr>
            <w:top w:val="none" w:sz="0" w:space="0" w:color="auto"/>
            <w:left w:val="none" w:sz="0" w:space="0" w:color="auto"/>
            <w:bottom w:val="none" w:sz="0" w:space="0" w:color="auto"/>
            <w:right w:val="none" w:sz="0" w:space="0" w:color="auto"/>
          </w:divBdr>
          <w:divsChild>
            <w:div w:id="947204536">
              <w:marLeft w:val="0"/>
              <w:marRight w:val="0"/>
              <w:marTop w:val="0"/>
              <w:marBottom w:val="0"/>
              <w:divBdr>
                <w:top w:val="none" w:sz="0" w:space="0" w:color="auto"/>
                <w:left w:val="none" w:sz="0" w:space="0" w:color="auto"/>
                <w:bottom w:val="none" w:sz="0" w:space="0" w:color="auto"/>
                <w:right w:val="none" w:sz="0" w:space="0" w:color="auto"/>
              </w:divBdr>
            </w:div>
          </w:divsChild>
        </w:div>
        <w:div w:id="1951744422">
          <w:marLeft w:val="0"/>
          <w:marRight w:val="0"/>
          <w:marTop w:val="0"/>
          <w:marBottom w:val="0"/>
          <w:divBdr>
            <w:top w:val="none" w:sz="0" w:space="0" w:color="auto"/>
            <w:left w:val="none" w:sz="0" w:space="0" w:color="auto"/>
            <w:bottom w:val="none" w:sz="0" w:space="0" w:color="auto"/>
            <w:right w:val="none" w:sz="0" w:space="0" w:color="auto"/>
          </w:divBdr>
          <w:divsChild>
            <w:div w:id="1404253344">
              <w:marLeft w:val="0"/>
              <w:marRight w:val="0"/>
              <w:marTop w:val="0"/>
              <w:marBottom w:val="0"/>
              <w:divBdr>
                <w:top w:val="none" w:sz="0" w:space="0" w:color="auto"/>
                <w:left w:val="none" w:sz="0" w:space="0" w:color="auto"/>
                <w:bottom w:val="none" w:sz="0" w:space="0" w:color="auto"/>
                <w:right w:val="none" w:sz="0" w:space="0" w:color="auto"/>
              </w:divBdr>
            </w:div>
          </w:divsChild>
        </w:div>
        <w:div w:id="1966153587">
          <w:marLeft w:val="0"/>
          <w:marRight w:val="0"/>
          <w:marTop w:val="0"/>
          <w:marBottom w:val="0"/>
          <w:divBdr>
            <w:top w:val="none" w:sz="0" w:space="0" w:color="auto"/>
            <w:left w:val="none" w:sz="0" w:space="0" w:color="auto"/>
            <w:bottom w:val="none" w:sz="0" w:space="0" w:color="auto"/>
            <w:right w:val="none" w:sz="0" w:space="0" w:color="auto"/>
          </w:divBdr>
          <w:divsChild>
            <w:div w:id="562563486">
              <w:marLeft w:val="0"/>
              <w:marRight w:val="0"/>
              <w:marTop w:val="0"/>
              <w:marBottom w:val="0"/>
              <w:divBdr>
                <w:top w:val="none" w:sz="0" w:space="0" w:color="auto"/>
                <w:left w:val="none" w:sz="0" w:space="0" w:color="auto"/>
                <w:bottom w:val="none" w:sz="0" w:space="0" w:color="auto"/>
                <w:right w:val="none" w:sz="0" w:space="0" w:color="auto"/>
              </w:divBdr>
            </w:div>
          </w:divsChild>
        </w:div>
        <w:div w:id="1968705500">
          <w:marLeft w:val="0"/>
          <w:marRight w:val="0"/>
          <w:marTop w:val="0"/>
          <w:marBottom w:val="0"/>
          <w:divBdr>
            <w:top w:val="none" w:sz="0" w:space="0" w:color="auto"/>
            <w:left w:val="none" w:sz="0" w:space="0" w:color="auto"/>
            <w:bottom w:val="none" w:sz="0" w:space="0" w:color="auto"/>
            <w:right w:val="none" w:sz="0" w:space="0" w:color="auto"/>
          </w:divBdr>
          <w:divsChild>
            <w:div w:id="2143576024">
              <w:marLeft w:val="0"/>
              <w:marRight w:val="0"/>
              <w:marTop w:val="0"/>
              <w:marBottom w:val="0"/>
              <w:divBdr>
                <w:top w:val="none" w:sz="0" w:space="0" w:color="auto"/>
                <w:left w:val="none" w:sz="0" w:space="0" w:color="auto"/>
                <w:bottom w:val="none" w:sz="0" w:space="0" w:color="auto"/>
                <w:right w:val="none" w:sz="0" w:space="0" w:color="auto"/>
              </w:divBdr>
            </w:div>
          </w:divsChild>
        </w:div>
        <w:div w:id="1983074110">
          <w:marLeft w:val="0"/>
          <w:marRight w:val="0"/>
          <w:marTop w:val="0"/>
          <w:marBottom w:val="0"/>
          <w:divBdr>
            <w:top w:val="none" w:sz="0" w:space="0" w:color="auto"/>
            <w:left w:val="none" w:sz="0" w:space="0" w:color="auto"/>
            <w:bottom w:val="none" w:sz="0" w:space="0" w:color="auto"/>
            <w:right w:val="none" w:sz="0" w:space="0" w:color="auto"/>
          </w:divBdr>
          <w:divsChild>
            <w:div w:id="306128218">
              <w:marLeft w:val="0"/>
              <w:marRight w:val="0"/>
              <w:marTop w:val="0"/>
              <w:marBottom w:val="0"/>
              <w:divBdr>
                <w:top w:val="none" w:sz="0" w:space="0" w:color="auto"/>
                <w:left w:val="none" w:sz="0" w:space="0" w:color="auto"/>
                <w:bottom w:val="none" w:sz="0" w:space="0" w:color="auto"/>
                <w:right w:val="none" w:sz="0" w:space="0" w:color="auto"/>
              </w:divBdr>
            </w:div>
          </w:divsChild>
        </w:div>
        <w:div w:id="1987585142">
          <w:marLeft w:val="0"/>
          <w:marRight w:val="0"/>
          <w:marTop w:val="0"/>
          <w:marBottom w:val="0"/>
          <w:divBdr>
            <w:top w:val="none" w:sz="0" w:space="0" w:color="auto"/>
            <w:left w:val="none" w:sz="0" w:space="0" w:color="auto"/>
            <w:bottom w:val="none" w:sz="0" w:space="0" w:color="auto"/>
            <w:right w:val="none" w:sz="0" w:space="0" w:color="auto"/>
          </w:divBdr>
          <w:divsChild>
            <w:div w:id="857473981">
              <w:marLeft w:val="0"/>
              <w:marRight w:val="0"/>
              <w:marTop w:val="0"/>
              <w:marBottom w:val="0"/>
              <w:divBdr>
                <w:top w:val="none" w:sz="0" w:space="0" w:color="auto"/>
                <w:left w:val="none" w:sz="0" w:space="0" w:color="auto"/>
                <w:bottom w:val="none" w:sz="0" w:space="0" w:color="auto"/>
                <w:right w:val="none" w:sz="0" w:space="0" w:color="auto"/>
              </w:divBdr>
            </w:div>
          </w:divsChild>
        </w:div>
        <w:div w:id="1992362466">
          <w:marLeft w:val="0"/>
          <w:marRight w:val="0"/>
          <w:marTop w:val="0"/>
          <w:marBottom w:val="0"/>
          <w:divBdr>
            <w:top w:val="none" w:sz="0" w:space="0" w:color="auto"/>
            <w:left w:val="none" w:sz="0" w:space="0" w:color="auto"/>
            <w:bottom w:val="none" w:sz="0" w:space="0" w:color="auto"/>
            <w:right w:val="none" w:sz="0" w:space="0" w:color="auto"/>
          </w:divBdr>
          <w:divsChild>
            <w:div w:id="641429385">
              <w:marLeft w:val="0"/>
              <w:marRight w:val="0"/>
              <w:marTop w:val="0"/>
              <w:marBottom w:val="0"/>
              <w:divBdr>
                <w:top w:val="none" w:sz="0" w:space="0" w:color="auto"/>
                <w:left w:val="none" w:sz="0" w:space="0" w:color="auto"/>
                <w:bottom w:val="none" w:sz="0" w:space="0" w:color="auto"/>
                <w:right w:val="none" w:sz="0" w:space="0" w:color="auto"/>
              </w:divBdr>
            </w:div>
          </w:divsChild>
        </w:div>
        <w:div w:id="1994720168">
          <w:marLeft w:val="0"/>
          <w:marRight w:val="0"/>
          <w:marTop w:val="0"/>
          <w:marBottom w:val="0"/>
          <w:divBdr>
            <w:top w:val="none" w:sz="0" w:space="0" w:color="auto"/>
            <w:left w:val="none" w:sz="0" w:space="0" w:color="auto"/>
            <w:bottom w:val="none" w:sz="0" w:space="0" w:color="auto"/>
            <w:right w:val="none" w:sz="0" w:space="0" w:color="auto"/>
          </w:divBdr>
          <w:divsChild>
            <w:div w:id="1476794686">
              <w:marLeft w:val="0"/>
              <w:marRight w:val="0"/>
              <w:marTop w:val="0"/>
              <w:marBottom w:val="0"/>
              <w:divBdr>
                <w:top w:val="none" w:sz="0" w:space="0" w:color="auto"/>
                <w:left w:val="none" w:sz="0" w:space="0" w:color="auto"/>
                <w:bottom w:val="none" w:sz="0" w:space="0" w:color="auto"/>
                <w:right w:val="none" w:sz="0" w:space="0" w:color="auto"/>
              </w:divBdr>
            </w:div>
          </w:divsChild>
        </w:div>
        <w:div w:id="2006744698">
          <w:marLeft w:val="0"/>
          <w:marRight w:val="0"/>
          <w:marTop w:val="0"/>
          <w:marBottom w:val="0"/>
          <w:divBdr>
            <w:top w:val="none" w:sz="0" w:space="0" w:color="auto"/>
            <w:left w:val="none" w:sz="0" w:space="0" w:color="auto"/>
            <w:bottom w:val="none" w:sz="0" w:space="0" w:color="auto"/>
            <w:right w:val="none" w:sz="0" w:space="0" w:color="auto"/>
          </w:divBdr>
          <w:divsChild>
            <w:div w:id="1164013248">
              <w:marLeft w:val="0"/>
              <w:marRight w:val="0"/>
              <w:marTop w:val="0"/>
              <w:marBottom w:val="0"/>
              <w:divBdr>
                <w:top w:val="none" w:sz="0" w:space="0" w:color="auto"/>
                <w:left w:val="none" w:sz="0" w:space="0" w:color="auto"/>
                <w:bottom w:val="none" w:sz="0" w:space="0" w:color="auto"/>
                <w:right w:val="none" w:sz="0" w:space="0" w:color="auto"/>
              </w:divBdr>
            </w:div>
          </w:divsChild>
        </w:div>
        <w:div w:id="2072993509">
          <w:marLeft w:val="0"/>
          <w:marRight w:val="0"/>
          <w:marTop w:val="0"/>
          <w:marBottom w:val="0"/>
          <w:divBdr>
            <w:top w:val="none" w:sz="0" w:space="0" w:color="auto"/>
            <w:left w:val="none" w:sz="0" w:space="0" w:color="auto"/>
            <w:bottom w:val="none" w:sz="0" w:space="0" w:color="auto"/>
            <w:right w:val="none" w:sz="0" w:space="0" w:color="auto"/>
          </w:divBdr>
          <w:divsChild>
            <w:div w:id="222178857">
              <w:marLeft w:val="0"/>
              <w:marRight w:val="0"/>
              <w:marTop w:val="0"/>
              <w:marBottom w:val="0"/>
              <w:divBdr>
                <w:top w:val="none" w:sz="0" w:space="0" w:color="auto"/>
                <w:left w:val="none" w:sz="0" w:space="0" w:color="auto"/>
                <w:bottom w:val="none" w:sz="0" w:space="0" w:color="auto"/>
                <w:right w:val="none" w:sz="0" w:space="0" w:color="auto"/>
              </w:divBdr>
            </w:div>
          </w:divsChild>
        </w:div>
        <w:div w:id="2077195861">
          <w:marLeft w:val="0"/>
          <w:marRight w:val="0"/>
          <w:marTop w:val="0"/>
          <w:marBottom w:val="0"/>
          <w:divBdr>
            <w:top w:val="none" w:sz="0" w:space="0" w:color="auto"/>
            <w:left w:val="none" w:sz="0" w:space="0" w:color="auto"/>
            <w:bottom w:val="none" w:sz="0" w:space="0" w:color="auto"/>
            <w:right w:val="none" w:sz="0" w:space="0" w:color="auto"/>
          </w:divBdr>
          <w:divsChild>
            <w:div w:id="1528593920">
              <w:marLeft w:val="0"/>
              <w:marRight w:val="0"/>
              <w:marTop w:val="0"/>
              <w:marBottom w:val="0"/>
              <w:divBdr>
                <w:top w:val="none" w:sz="0" w:space="0" w:color="auto"/>
                <w:left w:val="none" w:sz="0" w:space="0" w:color="auto"/>
                <w:bottom w:val="none" w:sz="0" w:space="0" w:color="auto"/>
                <w:right w:val="none" w:sz="0" w:space="0" w:color="auto"/>
              </w:divBdr>
            </w:div>
          </w:divsChild>
        </w:div>
        <w:div w:id="2096710189">
          <w:marLeft w:val="0"/>
          <w:marRight w:val="0"/>
          <w:marTop w:val="0"/>
          <w:marBottom w:val="0"/>
          <w:divBdr>
            <w:top w:val="none" w:sz="0" w:space="0" w:color="auto"/>
            <w:left w:val="none" w:sz="0" w:space="0" w:color="auto"/>
            <w:bottom w:val="none" w:sz="0" w:space="0" w:color="auto"/>
            <w:right w:val="none" w:sz="0" w:space="0" w:color="auto"/>
          </w:divBdr>
          <w:divsChild>
            <w:div w:id="86196368">
              <w:marLeft w:val="0"/>
              <w:marRight w:val="0"/>
              <w:marTop w:val="0"/>
              <w:marBottom w:val="0"/>
              <w:divBdr>
                <w:top w:val="none" w:sz="0" w:space="0" w:color="auto"/>
                <w:left w:val="none" w:sz="0" w:space="0" w:color="auto"/>
                <w:bottom w:val="none" w:sz="0" w:space="0" w:color="auto"/>
                <w:right w:val="none" w:sz="0" w:space="0" w:color="auto"/>
              </w:divBdr>
            </w:div>
          </w:divsChild>
        </w:div>
        <w:div w:id="2101412989">
          <w:marLeft w:val="0"/>
          <w:marRight w:val="0"/>
          <w:marTop w:val="0"/>
          <w:marBottom w:val="0"/>
          <w:divBdr>
            <w:top w:val="none" w:sz="0" w:space="0" w:color="auto"/>
            <w:left w:val="none" w:sz="0" w:space="0" w:color="auto"/>
            <w:bottom w:val="none" w:sz="0" w:space="0" w:color="auto"/>
            <w:right w:val="none" w:sz="0" w:space="0" w:color="auto"/>
          </w:divBdr>
          <w:divsChild>
            <w:div w:id="305207838">
              <w:marLeft w:val="0"/>
              <w:marRight w:val="0"/>
              <w:marTop w:val="0"/>
              <w:marBottom w:val="0"/>
              <w:divBdr>
                <w:top w:val="none" w:sz="0" w:space="0" w:color="auto"/>
                <w:left w:val="none" w:sz="0" w:space="0" w:color="auto"/>
                <w:bottom w:val="none" w:sz="0" w:space="0" w:color="auto"/>
                <w:right w:val="none" w:sz="0" w:space="0" w:color="auto"/>
              </w:divBdr>
            </w:div>
          </w:divsChild>
        </w:div>
        <w:div w:id="2116170616">
          <w:marLeft w:val="0"/>
          <w:marRight w:val="0"/>
          <w:marTop w:val="0"/>
          <w:marBottom w:val="0"/>
          <w:divBdr>
            <w:top w:val="none" w:sz="0" w:space="0" w:color="auto"/>
            <w:left w:val="none" w:sz="0" w:space="0" w:color="auto"/>
            <w:bottom w:val="none" w:sz="0" w:space="0" w:color="auto"/>
            <w:right w:val="none" w:sz="0" w:space="0" w:color="auto"/>
          </w:divBdr>
          <w:divsChild>
            <w:div w:id="20600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1729">
      <w:bodyDiv w:val="1"/>
      <w:marLeft w:val="0"/>
      <w:marRight w:val="0"/>
      <w:marTop w:val="0"/>
      <w:marBottom w:val="0"/>
      <w:divBdr>
        <w:top w:val="none" w:sz="0" w:space="0" w:color="auto"/>
        <w:left w:val="none" w:sz="0" w:space="0" w:color="auto"/>
        <w:bottom w:val="none" w:sz="0" w:space="0" w:color="auto"/>
        <w:right w:val="none" w:sz="0" w:space="0" w:color="auto"/>
      </w:divBdr>
    </w:div>
    <w:div w:id="271938938">
      <w:bodyDiv w:val="1"/>
      <w:marLeft w:val="0"/>
      <w:marRight w:val="0"/>
      <w:marTop w:val="0"/>
      <w:marBottom w:val="0"/>
      <w:divBdr>
        <w:top w:val="none" w:sz="0" w:space="0" w:color="auto"/>
        <w:left w:val="none" w:sz="0" w:space="0" w:color="auto"/>
        <w:bottom w:val="none" w:sz="0" w:space="0" w:color="auto"/>
        <w:right w:val="none" w:sz="0" w:space="0" w:color="auto"/>
      </w:divBdr>
    </w:div>
    <w:div w:id="601570691">
      <w:bodyDiv w:val="1"/>
      <w:marLeft w:val="0"/>
      <w:marRight w:val="0"/>
      <w:marTop w:val="0"/>
      <w:marBottom w:val="0"/>
      <w:divBdr>
        <w:top w:val="none" w:sz="0" w:space="0" w:color="auto"/>
        <w:left w:val="none" w:sz="0" w:space="0" w:color="auto"/>
        <w:bottom w:val="none" w:sz="0" w:space="0" w:color="auto"/>
        <w:right w:val="none" w:sz="0" w:space="0" w:color="auto"/>
      </w:divBdr>
    </w:div>
    <w:div w:id="717323195">
      <w:bodyDiv w:val="1"/>
      <w:marLeft w:val="0"/>
      <w:marRight w:val="0"/>
      <w:marTop w:val="0"/>
      <w:marBottom w:val="0"/>
      <w:divBdr>
        <w:top w:val="none" w:sz="0" w:space="0" w:color="auto"/>
        <w:left w:val="none" w:sz="0" w:space="0" w:color="auto"/>
        <w:bottom w:val="none" w:sz="0" w:space="0" w:color="auto"/>
        <w:right w:val="none" w:sz="0" w:space="0" w:color="auto"/>
      </w:divBdr>
    </w:div>
    <w:div w:id="854462249">
      <w:bodyDiv w:val="1"/>
      <w:marLeft w:val="0"/>
      <w:marRight w:val="0"/>
      <w:marTop w:val="0"/>
      <w:marBottom w:val="0"/>
      <w:divBdr>
        <w:top w:val="none" w:sz="0" w:space="0" w:color="auto"/>
        <w:left w:val="none" w:sz="0" w:space="0" w:color="auto"/>
        <w:bottom w:val="none" w:sz="0" w:space="0" w:color="auto"/>
        <w:right w:val="none" w:sz="0" w:space="0" w:color="auto"/>
      </w:divBdr>
    </w:div>
    <w:div w:id="1018846106">
      <w:bodyDiv w:val="1"/>
      <w:marLeft w:val="0"/>
      <w:marRight w:val="0"/>
      <w:marTop w:val="0"/>
      <w:marBottom w:val="0"/>
      <w:divBdr>
        <w:top w:val="none" w:sz="0" w:space="0" w:color="auto"/>
        <w:left w:val="none" w:sz="0" w:space="0" w:color="auto"/>
        <w:bottom w:val="none" w:sz="0" w:space="0" w:color="auto"/>
        <w:right w:val="none" w:sz="0" w:space="0" w:color="auto"/>
      </w:divBdr>
    </w:div>
    <w:div w:id="1019504065">
      <w:bodyDiv w:val="1"/>
      <w:marLeft w:val="0"/>
      <w:marRight w:val="0"/>
      <w:marTop w:val="0"/>
      <w:marBottom w:val="0"/>
      <w:divBdr>
        <w:top w:val="none" w:sz="0" w:space="0" w:color="auto"/>
        <w:left w:val="none" w:sz="0" w:space="0" w:color="auto"/>
        <w:bottom w:val="none" w:sz="0" w:space="0" w:color="auto"/>
        <w:right w:val="none" w:sz="0" w:space="0" w:color="auto"/>
      </w:divBdr>
    </w:div>
    <w:div w:id="1029067118">
      <w:bodyDiv w:val="1"/>
      <w:marLeft w:val="0"/>
      <w:marRight w:val="0"/>
      <w:marTop w:val="0"/>
      <w:marBottom w:val="0"/>
      <w:divBdr>
        <w:top w:val="none" w:sz="0" w:space="0" w:color="auto"/>
        <w:left w:val="none" w:sz="0" w:space="0" w:color="auto"/>
        <w:bottom w:val="none" w:sz="0" w:space="0" w:color="auto"/>
        <w:right w:val="none" w:sz="0" w:space="0" w:color="auto"/>
      </w:divBdr>
    </w:div>
    <w:div w:id="1044717748">
      <w:bodyDiv w:val="1"/>
      <w:marLeft w:val="0"/>
      <w:marRight w:val="0"/>
      <w:marTop w:val="0"/>
      <w:marBottom w:val="0"/>
      <w:divBdr>
        <w:top w:val="none" w:sz="0" w:space="0" w:color="auto"/>
        <w:left w:val="none" w:sz="0" w:space="0" w:color="auto"/>
        <w:bottom w:val="none" w:sz="0" w:space="0" w:color="auto"/>
        <w:right w:val="none" w:sz="0" w:space="0" w:color="auto"/>
      </w:divBdr>
    </w:div>
    <w:div w:id="1075975791">
      <w:bodyDiv w:val="1"/>
      <w:marLeft w:val="0"/>
      <w:marRight w:val="0"/>
      <w:marTop w:val="0"/>
      <w:marBottom w:val="0"/>
      <w:divBdr>
        <w:top w:val="none" w:sz="0" w:space="0" w:color="auto"/>
        <w:left w:val="none" w:sz="0" w:space="0" w:color="auto"/>
        <w:bottom w:val="none" w:sz="0" w:space="0" w:color="auto"/>
        <w:right w:val="none" w:sz="0" w:space="0" w:color="auto"/>
      </w:divBdr>
    </w:div>
    <w:div w:id="1080641433">
      <w:bodyDiv w:val="1"/>
      <w:marLeft w:val="0"/>
      <w:marRight w:val="0"/>
      <w:marTop w:val="0"/>
      <w:marBottom w:val="0"/>
      <w:divBdr>
        <w:top w:val="none" w:sz="0" w:space="0" w:color="auto"/>
        <w:left w:val="none" w:sz="0" w:space="0" w:color="auto"/>
        <w:bottom w:val="none" w:sz="0" w:space="0" w:color="auto"/>
        <w:right w:val="none" w:sz="0" w:space="0" w:color="auto"/>
      </w:divBdr>
    </w:div>
    <w:div w:id="1134450637">
      <w:bodyDiv w:val="1"/>
      <w:marLeft w:val="0"/>
      <w:marRight w:val="0"/>
      <w:marTop w:val="0"/>
      <w:marBottom w:val="0"/>
      <w:divBdr>
        <w:top w:val="none" w:sz="0" w:space="0" w:color="auto"/>
        <w:left w:val="none" w:sz="0" w:space="0" w:color="auto"/>
        <w:bottom w:val="none" w:sz="0" w:space="0" w:color="auto"/>
        <w:right w:val="none" w:sz="0" w:space="0" w:color="auto"/>
      </w:divBdr>
    </w:div>
    <w:div w:id="1175267564">
      <w:bodyDiv w:val="1"/>
      <w:marLeft w:val="0"/>
      <w:marRight w:val="0"/>
      <w:marTop w:val="0"/>
      <w:marBottom w:val="0"/>
      <w:divBdr>
        <w:top w:val="none" w:sz="0" w:space="0" w:color="auto"/>
        <w:left w:val="none" w:sz="0" w:space="0" w:color="auto"/>
        <w:bottom w:val="none" w:sz="0" w:space="0" w:color="auto"/>
        <w:right w:val="none" w:sz="0" w:space="0" w:color="auto"/>
      </w:divBdr>
    </w:div>
    <w:div w:id="1245458977">
      <w:bodyDiv w:val="1"/>
      <w:marLeft w:val="0"/>
      <w:marRight w:val="0"/>
      <w:marTop w:val="0"/>
      <w:marBottom w:val="0"/>
      <w:divBdr>
        <w:top w:val="none" w:sz="0" w:space="0" w:color="auto"/>
        <w:left w:val="none" w:sz="0" w:space="0" w:color="auto"/>
        <w:bottom w:val="none" w:sz="0" w:space="0" w:color="auto"/>
        <w:right w:val="none" w:sz="0" w:space="0" w:color="auto"/>
      </w:divBdr>
    </w:div>
    <w:div w:id="1350258769">
      <w:bodyDiv w:val="1"/>
      <w:marLeft w:val="0"/>
      <w:marRight w:val="0"/>
      <w:marTop w:val="0"/>
      <w:marBottom w:val="0"/>
      <w:divBdr>
        <w:top w:val="none" w:sz="0" w:space="0" w:color="auto"/>
        <w:left w:val="none" w:sz="0" w:space="0" w:color="auto"/>
        <w:bottom w:val="none" w:sz="0" w:space="0" w:color="auto"/>
        <w:right w:val="none" w:sz="0" w:space="0" w:color="auto"/>
      </w:divBdr>
    </w:div>
    <w:div w:id="1353872355">
      <w:bodyDiv w:val="1"/>
      <w:marLeft w:val="0"/>
      <w:marRight w:val="0"/>
      <w:marTop w:val="0"/>
      <w:marBottom w:val="0"/>
      <w:divBdr>
        <w:top w:val="none" w:sz="0" w:space="0" w:color="auto"/>
        <w:left w:val="none" w:sz="0" w:space="0" w:color="auto"/>
        <w:bottom w:val="none" w:sz="0" w:space="0" w:color="auto"/>
        <w:right w:val="none" w:sz="0" w:space="0" w:color="auto"/>
      </w:divBdr>
    </w:div>
    <w:div w:id="1375740121">
      <w:bodyDiv w:val="1"/>
      <w:marLeft w:val="0"/>
      <w:marRight w:val="0"/>
      <w:marTop w:val="0"/>
      <w:marBottom w:val="0"/>
      <w:divBdr>
        <w:top w:val="none" w:sz="0" w:space="0" w:color="auto"/>
        <w:left w:val="none" w:sz="0" w:space="0" w:color="auto"/>
        <w:bottom w:val="none" w:sz="0" w:space="0" w:color="auto"/>
        <w:right w:val="none" w:sz="0" w:space="0" w:color="auto"/>
      </w:divBdr>
    </w:div>
    <w:div w:id="1394616941">
      <w:bodyDiv w:val="1"/>
      <w:marLeft w:val="0"/>
      <w:marRight w:val="0"/>
      <w:marTop w:val="0"/>
      <w:marBottom w:val="0"/>
      <w:divBdr>
        <w:top w:val="none" w:sz="0" w:space="0" w:color="auto"/>
        <w:left w:val="none" w:sz="0" w:space="0" w:color="auto"/>
        <w:bottom w:val="none" w:sz="0" w:space="0" w:color="auto"/>
        <w:right w:val="none" w:sz="0" w:space="0" w:color="auto"/>
      </w:divBdr>
    </w:div>
    <w:div w:id="1503664503">
      <w:bodyDiv w:val="1"/>
      <w:marLeft w:val="0"/>
      <w:marRight w:val="0"/>
      <w:marTop w:val="0"/>
      <w:marBottom w:val="0"/>
      <w:divBdr>
        <w:top w:val="none" w:sz="0" w:space="0" w:color="auto"/>
        <w:left w:val="none" w:sz="0" w:space="0" w:color="auto"/>
        <w:bottom w:val="none" w:sz="0" w:space="0" w:color="auto"/>
        <w:right w:val="none" w:sz="0" w:space="0" w:color="auto"/>
      </w:divBdr>
    </w:div>
    <w:div w:id="1628470806">
      <w:bodyDiv w:val="1"/>
      <w:marLeft w:val="0"/>
      <w:marRight w:val="0"/>
      <w:marTop w:val="0"/>
      <w:marBottom w:val="0"/>
      <w:divBdr>
        <w:top w:val="none" w:sz="0" w:space="0" w:color="auto"/>
        <w:left w:val="none" w:sz="0" w:space="0" w:color="auto"/>
        <w:bottom w:val="none" w:sz="0" w:space="0" w:color="auto"/>
        <w:right w:val="none" w:sz="0" w:space="0" w:color="auto"/>
      </w:divBdr>
    </w:div>
    <w:div w:id="1731878274">
      <w:bodyDiv w:val="1"/>
      <w:marLeft w:val="0"/>
      <w:marRight w:val="0"/>
      <w:marTop w:val="0"/>
      <w:marBottom w:val="0"/>
      <w:divBdr>
        <w:top w:val="none" w:sz="0" w:space="0" w:color="auto"/>
        <w:left w:val="none" w:sz="0" w:space="0" w:color="auto"/>
        <w:bottom w:val="none" w:sz="0" w:space="0" w:color="auto"/>
        <w:right w:val="none" w:sz="0" w:space="0" w:color="auto"/>
      </w:divBdr>
      <w:divsChild>
        <w:div w:id="687104451">
          <w:marLeft w:val="0"/>
          <w:marRight w:val="0"/>
          <w:marTop w:val="0"/>
          <w:marBottom w:val="0"/>
          <w:divBdr>
            <w:top w:val="none" w:sz="0" w:space="0" w:color="auto"/>
            <w:left w:val="none" w:sz="0" w:space="0" w:color="auto"/>
            <w:bottom w:val="none" w:sz="0" w:space="0" w:color="auto"/>
            <w:right w:val="none" w:sz="0" w:space="0" w:color="auto"/>
          </w:divBdr>
          <w:divsChild>
            <w:div w:id="21590390">
              <w:marLeft w:val="0"/>
              <w:marRight w:val="0"/>
              <w:marTop w:val="0"/>
              <w:marBottom w:val="0"/>
              <w:divBdr>
                <w:top w:val="none" w:sz="0" w:space="0" w:color="auto"/>
                <w:left w:val="none" w:sz="0" w:space="0" w:color="auto"/>
                <w:bottom w:val="none" w:sz="0" w:space="0" w:color="auto"/>
                <w:right w:val="none" w:sz="0" w:space="0" w:color="auto"/>
              </w:divBdr>
            </w:div>
            <w:div w:id="362168756">
              <w:marLeft w:val="0"/>
              <w:marRight w:val="0"/>
              <w:marTop w:val="0"/>
              <w:marBottom w:val="0"/>
              <w:divBdr>
                <w:top w:val="none" w:sz="0" w:space="0" w:color="auto"/>
                <w:left w:val="none" w:sz="0" w:space="0" w:color="auto"/>
                <w:bottom w:val="none" w:sz="0" w:space="0" w:color="auto"/>
                <w:right w:val="none" w:sz="0" w:space="0" w:color="auto"/>
              </w:divBdr>
            </w:div>
            <w:div w:id="1622345412">
              <w:marLeft w:val="0"/>
              <w:marRight w:val="0"/>
              <w:marTop w:val="0"/>
              <w:marBottom w:val="0"/>
              <w:divBdr>
                <w:top w:val="none" w:sz="0" w:space="0" w:color="auto"/>
                <w:left w:val="none" w:sz="0" w:space="0" w:color="auto"/>
                <w:bottom w:val="none" w:sz="0" w:space="0" w:color="auto"/>
                <w:right w:val="none" w:sz="0" w:space="0" w:color="auto"/>
              </w:divBdr>
            </w:div>
            <w:div w:id="1970092045">
              <w:marLeft w:val="0"/>
              <w:marRight w:val="0"/>
              <w:marTop w:val="0"/>
              <w:marBottom w:val="0"/>
              <w:divBdr>
                <w:top w:val="none" w:sz="0" w:space="0" w:color="auto"/>
                <w:left w:val="none" w:sz="0" w:space="0" w:color="auto"/>
                <w:bottom w:val="none" w:sz="0" w:space="0" w:color="auto"/>
                <w:right w:val="none" w:sz="0" w:space="0" w:color="auto"/>
              </w:divBdr>
            </w:div>
          </w:divsChild>
        </w:div>
        <w:div w:id="763846435">
          <w:marLeft w:val="0"/>
          <w:marRight w:val="0"/>
          <w:marTop w:val="0"/>
          <w:marBottom w:val="0"/>
          <w:divBdr>
            <w:top w:val="none" w:sz="0" w:space="0" w:color="auto"/>
            <w:left w:val="none" w:sz="0" w:space="0" w:color="auto"/>
            <w:bottom w:val="none" w:sz="0" w:space="0" w:color="auto"/>
            <w:right w:val="none" w:sz="0" w:space="0" w:color="auto"/>
          </w:divBdr>
          <w:divsChild>
            <w:div w:id="955410702">
              <w:marLeft w:val="0"/>
              <w:marRight w:val="0"/>
              <w:marTop w:val="0"/>
              <w:marBottom w:val="0"/>
              <w:divBdr>
                <w:top w:val="none" w:sz="0" w:space="0" w:color="auto"/>
                <w:left w:val="none" w:sz="0" w:space="0" w:color="auto"/>
                <w:bottom w:val="none" w:sz="0" w:space="0" w:color="auto"/>
                <w:right w:val="none" w:sz="0" w:space="0" w:color="auto"/>
              </w:divBdr>
            </w:div>
            <w:div w:id="1302155941">
              <w:marLeft w:val="0"/>
              <w:marRight w:val="0"/>
              <w:marTop w:val="0"/>
              <w:marBottom w:val="0"/>
              <w:divBdr>
                <w:top w:val="none" w:sz="0" w:space="0" w:color="auto"/>
                <w:left w:val="none" w:sz="0" w:space="0" w:color="auto"/>
                <w:bottom w:val="none" w:sz="0" w:space="0" w:color="auto"/>
                <w:right w:val="none" w:sz="0" w:space="0" w:color="auto"/>
              </w:divBdr>
            </w:div>
            <w:div w:id="20413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8662">
      <w:bodyDiv w:val="1"/>
      <w:marLeft w:val="0"/>
      <w:marRight w:val="0"/>
      <w:marTop w:val="0"/>
      <w:marBottom w:val="0"/>
      <w:divBdr>
        <w:top w:val="none" w:sz="0" w:space="0" w:color="auto"/>
        <w:left w:val="none" w:sz="0" w:space="0" w:color="auto"/>
        <w:bottom w:val="none" w:sz="0" w:space="0" w:color="auto"/>
        <w:right w:val="none" w:sz="0" w:space="0" w:color="auto"/>
      </w:divBdr>
    </w:div>
    <w:div w:id="2012641484">
      <w:bodyDiv w:val="1"/>
      <w:marLeft w:val="0"/>
      <w:marRight w:val="0"/>
      <w:marTop w:val="0"/>
      <w:marBottom w:val="0"/>
      <w:divBdr>
        <w:top w:val="none" w:sz="0" w:space="0" w:color="auto"/>
        <w:left w:val="none" w:sz="0" w:space="0" w:color="auto"/>
        <w:bottom w:val="none" w:sz="0" w:space="0" w:color="auto"/>
        <w:right w:val="none" w:sz="0" w:space="0" w:color="auto"/>
      </w:divBdr>
      <w:divsChild>
        <w:div w:id="378014605">
          <w:marLeft w:val="0"/>
          <w:marRight w:val="0"/>
          <w:marTop w:val="0"/>
          <w:marBottom w:val="0"/>
          <w:divBdr>
            <w:top w:val="none" w:sz="0" w:space="0" w:color="auto"/>
            <w:left w:val="none" w:sz="0" w:space="0" w:color="auto"/>
            <w:bottom w:val="none" w:sz="0" w:space="0" w:color="auto"/>
            <w:right w:val="none" w:sz="0" w:space="0" w:color="auto"/>
          </w:divBdr>
        </w:div>
        <w:div w:id="519398674">
          <w:marLeft w:val="0"/>
          <w:marRight w:val="0"/>
          <w:marTop w:val="0"/>
          <w:marBottom w:val="0"/>
          <w:divBdr>
            <w:top w:val="none" w:sz="0" w:space="0" w:color="auto"/>
            <w:left w:val="none" w:sz="0" w:space="0" w:color="auto"/>
            <w:bottom w:val="none" w:sz="0" w:space="0" w:color="auto"/>
            <w:right w:val="none" w:sz="0" w:space="0" w:color="auto"/>
          </w:divBdr>
        </w:div>
        <w:div w:id="568270321">
          <w:marLeft w:val="0"/>
          <w:marRight w:val="0"/>
          <w:marTop w:val="0"/>
          <w:marBottom w:val="0"/>
          <w:divBdr>
            <w:top w:val="none" w:sz="0" w:space="0" w:color="auto"/>
            <w:left w:val="none" w:sz="0" w:space="0" w:color="auto"/>
            <w:bottom w:val="none" w:sz="0" w:space="0" w:color="auto"/>
            <w:right w:val="none" w:sz="0" w:space="0" w:color="auto"/>
          </w:divBdr>
        </w:div>
        <w:div w:id="753935214">
          <w:marLeft w:val="0"/>
          <w:marRight w:val="0"/>
          <w:marTop w:val="0"/>
          <w:marBottom w:val="0"/>
          <w:divBdr>
            <w:top w:val="none" w:sz="0" w:space="0" w:color="auto"/>
            <w:left w:val="none" w:sz="0" w:space="0" w:color="auto"/>
            <w:bottom w:val="none" w:sz="0" w:space="0" w:color="auto"/>
            <w:right w:val="none" w:sz="0" w:space="0" w:color="auto"/>
          </w:divBdr>
        </w:div>
        <w:div w:id="836923703">
          <w:marLeft w:val="0"/>
          <w:marRight w:val="0"/>
          <w:marTop w:val="0"/>
          <w:marBottom w:val="0"/>
          <w:divBdr>
            <w:top w:val="none" w:sz="0" w:space="0" w:color="auto"/>
            <w:left w:val="none" w:sz="0" w:space="0" w:color="auto"/>
            <w:bottom w:val="none" w:sz="0" w:space="0" w:color="auto"/>
            <w:right w:val="none" w:sz="0" w:space="0" w:color="auto"/>
          </w:divBdr>
        </w:div>
        <w:div w:id="1271938562">
          <w:marLeft w:val="0"/>
          <w:marRight w:val="0"/>
          <w:marTop w:val="0"/>
          <w:marBottom w:val="0"/>
          <w:divBdr>
            <w:top w:val="none" w:sz="0" w:space="0" w:color="auto"/>
            <w:left w:val="none" w:sz="0" w:space="0" w:color="auto"/>
            <w:bottom w:val="none" w:sz="0" w:space="0" w:color="auto"/>
            <w:right w:val="none" w:sz="0" w:space="0" w:color="auto"/>
          </w:divBdr>
        </w:div>
        <w:div w:id="1276134701">
          <w:marLeft w:val="0"/>
          <w:marRight w:val="0"/>
          <w:marTop w:val="0"/>
          <w:marBottom w:val="0"/>
          <w:divBdr>
            <w:top w:val="none" w:sz="0" w:space="0" w:color="auto"/>
            <w:left w:val="none" w:sz="0" w:space="0" w:color="auto"/>
            <w:bottom w:val="none" w:sz="0" w:space="0" w:color="auto"/>
            <w:right w:val="none" w:sz="0" w:space="0" w:color="auto"/>
          </w:divBdr>
        </w:div>
        <w:div w:id="1291518671">
          <w:marLeft w:val="0"/>
          <w:marRight w:val="0"/>
          <w:marTop w:val="0"/>
          <w:marBottom w:val="0"/>
          <w:divBdr>
            <w:top w:val="none" w:sz="0" w:space="0" w:color="auto"/>
            <w:left w:val="none" w:sz="0" w:space="0" w:color="auto"/>
            <w:bottom w:val="none" w:sz="0" w:space="0" w:color="auto"/>
            <w:right w:val="none" w:sz="0" w:space="0" w:color="auto"/>
          </w:divBdr>
        </w:div>
        <w:div w:id="1294865891">
          <w:marLeft w:val="0"/>
          <w:marRight w:val="0"/>
          <w:marTop w:val="0"/>
          <w:marBottom w:val="0"/>
          <w:divBdr>
            <w:top w:val="none" w:sz="0" w:space="0" w:color="auto"/>
            <w:left w:val="none" w:sz="0" w:space="0" w:color="auto"/>
            <w:bottom w:val="none" w:sz="0" w:space="0" w:color="auto"/>
            <w:right w:val="none" w:sz="0" w:space="0" w:color="auto"/>
          </w:divBdr>
        </w:div>
        <w:div w:id="1704600533">
          <w:marLeft w:val="0"/>
          <w:marRight w:val="0"/>
          <w:marTop w:val="0"/>
          <w:marBottom w:val="0"/>
          <w:divBdr>
            <w:top w:val="none" w:sz="0" w:space="0" w:color="auto"/>
            <w:left w:val="none" w:sz="0" w:space="0" w:color="auto"/>
            <w:bottom w:val="none" w:sz="0" w:space="0" w:color="auto"/>
            <w:right w:val="none" w:sz="0" w:space="0" w:color="auto"/>
          </w:divBdr>
        </w:div>
        <w:div w:id="1949698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yperlink" Target="https://www.abs.gov.au/statistics/standards/australian-statistical-geography-standard-asgs-edition-3/jul2021-jun2026/access-and-downloads/allocation-fil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gc.gov.au/sites/default/files/2023-06/2025%20Methodology%20Review%20-%20Consultation%20paper%20-%20Justice_Final.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gc.gov.au/sites/default/files/2023-06/2025%20Methodology%20Review%20-%20Consultation%20paper%20-%20Transport_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abs.gov.au/statistics/people/aboriginal-and-torres-strait-islander-peoples/understanding-change-counts-aboriginal-and-torres-strait-islander-australians-census/20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gc.gov.au/reports-for-government/2018-update" TargetMode="External"/><Relationship Id="rId1" Type="http://schemas.openxmlformats.org/officeDocument/2006/relationships/hyperlink" Target="https://www.abs.gov.au/statistics/people/aboriginal-and-torres-strait-islander-peoples/understanding-change-counts-aboriginal-and-torres-strait-islander-australians-census/latest-relea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en.Stewart\Commonwealth%20Grants%20Commission\Communications%20-%20Office%20Templates\CGC%20Word%20Templates\Discuss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E6CE0E6E4CC94697A9F68B1C3F36F2" ma:contentTypeVersion="11" ma:contentTypeDescription="Create a new document." ma:contentTypeScope="" ma:versionID="dbbcbc3324dc6aaca0d69ec05e9969aa">
  <xsd:schema xmlns:xsd="http://www.w3.org/2001/XMLSchema" xmlns:xs="http://www.w3.org/2001/XMLSchema" xmlns:p="http://schemas.microsoft.com/office/2006/metadata/properties" xmlns:ns2="c1f37280-f85a-44c5-9b22-991a1a1da086" xmlns:ns3="199f48e7-77a2-4280-bd13-78cc6c8e9b3d" targetNamespace="http://schemas.microsoft.com/office/2006/metadata/properties" ma:root="true" ma:fieldsID="9928125a18f945a17fa46d8ccea2c14c" ns2:_="" ns3:_="">
    <xsd:import namespace="c1f37280-f85a-44c5-9b22-991a1a1da086"/>
    <xsd:import namespace="199f48e7-77a2-4280-bd13-78cc6c8e9b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37280-f85a-44c5-9b22-991a1a1d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9f48e7-77a2-4280-bd13-78cc6c8e9b3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303d50f-ef4c-4537-9195-677643098889}" ma:internalName="TaxCatchAll" ma:showField="CatchAllData" ma:web="199f48e7-77a2-4280-bd13-78cc6c8e9b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f37280-f85a-44c5-9b22-991a1a1da086">
      <Terms xmlns="http://schemas.microsoft.com/office/infopath/2007/PartnerControls"/>
    </lcf76f155ced4ddcb4097134ff3c332f>
    <TaxCatchAll xmlns="199f48e7-77a2-4280-bd13-78cc6c8e9b3d" xsi:nil="true"/>
    <SharedWithUsers xmlns="199f48e7-77a2-4280-bd13-78cc6c8e9b3d">
      <UserInfo>
        <DisplayName>Therese Maher</DisplayName>
        <AccountId>115</AccountId>
        <AccountType/>
      </UserInfo>
      <UserInfo>
        <DisplayName>Carrie Dreese</DisplayName>
        <AccountId>17</AccountId>
        <AccountType/>
      </UserInfo>
      <UserInfo>
        <DisplayName>Julie Jasas</DisplayName>
        <AccountId>98</AccountId>
        <AccountType/>
      </UserInfo>
      <UserInfo>
        <DisplayName>Jeffrey Evans</DisplayName>
        <AccountId>25</AccountId>
        <AccountType/>
      </UserInfo>
      <UserInfo>
        <DisplayName>Kathryn Conroy</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C9B718-98B6-46E7-B126-F2032D9114C4}">
  <ds:schemaRefs>
    <ds:schemaRef ds:uri="http://schemas.openxmlformats.org/officeDocument/2006/bibliography"/>
  </ds:schemaRefs>
</ds:datastoreItem>
</file>

<file path=customXml/itemProps2.xml><?xml version="1.0" encoding="utf-8"?>
<ds:datastoreItem xmlns:ds="http://schemas.openxmlformats.org/officeDocument/2006/customXml" ds:itemID="{9AE558F5-031D-494C-A301-E3C4E6D95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37280-f85a-44c5-9b22-991a1a1da086"/>
    <ds:schemaRef ds:uri="199f48e7-77a2-4280-bd13-78cc6c8e9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1099F4-D7FC-4E4E-9EF5-0B03D4C6EF81}">
  <ds:schemaRefs>
    <ds:schemaRef ds:uri="http://schemas.microsoft.com/office/2006/documentManagement/types"/>
    <ds:schemaRef ds:uri="199f48e7-77a2-4280-bd13-78cc6c8e9b3d"/>
    <ds:schemaRef ds:uri="http://www.w3.org/XML/1998/namespace"/>
    <ds:schemaRef ds:uri="http://purl.org/dc/terms/"/>
    <ds:schemaRef ds:uri="http://schemas.microsoft.com/office/infopath/2007/PartnerControls"/>
    <ds:schemaRef ds:uri="http://purl.org/dc/dcmitype/"/>
    <ds:schemaRef ds:uri="http://purl.org/dc/elements/1.1/"/>
    <ds:schemaRef ds:uri="http://schemas.openxmlformats.org/package/2006/metadata/core-properties"/>
    <ds:schemaRef ds:uri="c1f37280-f85a-44c5-9b22-991a1a1da086"/>
    <ds:schemaRef ds:uri="http://schemas.microsoft.com/office/2006/metadata/properties"/>
  </ds:schemaRefs>
</ds:datastoreItem>
</file>

<file path=customXml/itemProps4.xml><?xml version="1.0" encoding="utf-8"?>
<ds:datastoreItem xmlns:ds="http://schemas.openxmlformats.org/officeDocument/2006/customXml" ds:itemID="{F17E0862-B77E-4BE7-B7B8-7DA3CE9E53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Discussion paper</Template>
  <TotalTime>17</TotalTime>
  <Pages>24</Pages>
  <Words>6577</Words>
  <Characters>37495</Characters>
  <Application>Microsoft Office Word</Application>
  <DocSecurity>0</DocSecurity>
  <Lines>312</Lines>
  <Paragraphs>87</Paragraphs>
  <ScaleCrop>false</ScaleCrop>
  <Company/>
  <LinksUpToDate>false</LinksUpToDate>
  <CharactersWithSpaces>43985</CharactersWithSpaces>
  <SharedDoc>false</SharedDoc>
  <HLinks>
    <vt:vector size="72" baseType="variant">
      <vt:variant>
        <vt:i4>6619169</vt:i4>
      </vt:variant>
      <vt:variant>
        <vt:i4>39</vt:i4>
      </vt:variant>
      <vt:variant>
        <vt:i4>0</vt:i4>
      </vt:variant>
      <vt:variant>
        <vt:i4>5</vt:i4>
      </vt:variant>
      <vt:variant>
        <vt:lpwstr>https://www.abs.gov.au/statistics/standards/australian-statistical-geography-standard-asgs-edition-3/jul2021-jun2026/access-and-downloads/allocation-files</vt:lpwstr>
      </vt:variant>
      <vt:variant>
        <vt:lpwstr/>
      </vt:variant>
      <vt:variant>
        <vt:i4>2359311</vt:i4>
      </vt:variant>
      <vt:variant>
        <vt:i4>30</vt:i4>
      </vt:variant>
      <vt:variant>
        <vt:i4>0</vt:i4>
      </vt:variant>
      <vt:variant>
        <vt:i4>5</vt:i4>
      </vt:variant>
      <vt:variant>
        <vt:lpwstr>https://www.cgc.gov.au/sites/default/files/2023-06/2025 Methodology Review - Consultation paper - Transport_Final.pdf</vt:lpwstr>
      </vt:variant>
      <vt:variant>
        <vt:lpwstr/>
      </vt:variant>
      <vt:variant>
        <vt:i4>393306</vt:i4>
      </vt:variant>
      <vt:variant>
        <vt:i4>9</vt:i4>
      </vt:variant>
      <vt:variant>
        <vt:i4>0</vt:i4>
      </vt:variant>
      <vt:variant>
        <vt:i4>5</vt:i4>
      </vt:variant>
      <vt:variant>
        <vt:lpwstr>https://www.abs.gov.au/statistics/people/aboriginal-and-torres-strait-islander-peoples/understanding-change-counts-aboriginal-and-torres-strait-islander-australians-census/2021</vt:lpwstr>
      </vt:variant>
      <vt:variant>
        <vt:lpwstr/>
      </vt:variant>
      <vt:variant>
        <vt:i4>5767271</vt:i4>
      </vt:variant>
      <vt:variant>
        <vt:i4>3</vt:i4>
      </vt:variant>
      <vt:variant>
        <vt:i4>0</vt:i4>
      </vt:variant>
      <vt:variant>
        <vt:i4>5</vt:i4>
      </vt:variant>
      <vt:variant>
        <vt:lpwstr>https://www.cgc.gov.au/sites/default/files/2023-06/2025 Methodology Review - Consultation paper - Justice_Final.pdf</vt:lpwstr>
      </vt:variant>
      <vt:variant>
        <vt:lpwstr/>
      </vt:variant>
      <vt:variant>
        <vt:i4>5963856</vt:i4>
      </vt:variant>
      <vt:variant>
        <vt:i4>3</vt:i4>
      </vt:variant>
      <vt:variant>
        <vt:i4>0</vt:i4>
      </vt:variant>
      <vt:variant>
        <vt:i4>5</vt:i4>
      </vt:variant>
      <vt:variant>
        <vt:lpwstr>https://www.cgc.gov.au/reports-for-government/2018-update</vt:lpwstr>
      </vt:variant>
      <vt:variant>
        <vt:lpwstr>final-report</vt:lpwstr>
      </vt:variant>
      <vt:variant>
        <vt:i4>720964</vt:i4>
      </vt:variant>
      <vt:variant>
        <vt:i4>0</vt:i4>
      </vt:variant>
      <vt:variant>
        <vt:i4>0</vt:i4>
      </vt:variant>
      <vt:variant>
        <vt:i4>5</vt:i4>
      </vt:variant>
      <vt:variant>
        <vt:lpwstr>https://www.abs.gov.au/statistics/people/aboriginal-and-torres-strait-islander-peoples/understanding-change-counts-aboriginal-and-torres-strait-islander-australians-census/latest-release</vt:lpwstr>
      </vt:variant>
      <vt:variant>
        <vt:lpwstr>:~:text=There%20were%20812%2C728%20people%20who,2011%20and%202016%20(18.4%25).</vt:lpwstr>
      </vt:variant>
      <vt:variant>
        <vt:i4>6815825</vt:i4>
      </vt:variant>
      <vt:variant>
        <vt:i4>15</vt:i4>
      </vt:variant>
      <vt:variant>
        <vt:i4>0</vt:i4>
      </vt:variant>
      <vt:variant>
        <vt:i4>5</vt:i4>
      </vt:variant>
      <vt:variant>
        <vt:lpwstr>mailto:Naomi.Elliott@cgc.gov.au</vt:lpwstr>
      </vt:variant>
      <vt:variant>
        <vt:lpwstr/>
      </vt:variant>
      <vt:variant>
        <vt:i4>6815825</vt:i4>
      </vt:variant>
      <vt:variant>
        <vt:i4>12</vt:i4>
      </vt:variant>
      <vt:variant>
        <vt:i4>0</vt:i4>
      </vt:variant>
      <vt:variant>
        <vt:i4>5</vt:i4>
      </vt:variant>
      <vt:variant>
        <vt:lpwstr>mailto:Naomi.Elliott@cgc.gov.au</vt:lpwstr>
      </vt:variant>
      <vt:variant>
        <vt:lpwstr/>
      </vt:variant>
      <vt:variant>
        <vt:i4>655392</vt:i4>
      </vt:variant>
      <vt:variant>
        <vt:i4>9</vt:i4>
      </vt:variant>
      <vt:variant>
        <vt:i4>0</vt:i4>
      </vt:variant>
      <vt:variant>
        <vt:i4>5</vt:i4>
      </vt:variant>
      <vt:variant>
        <vt:lpwstr>mailto:Owen.Stewart@cgc.gov.au</vt:lpwstr>
      </vt:variant>
      <vt:variant>
        <vt:lpwstr/>
      </vt:variant>
      <vt:variant>
        <vt:i4>7798873</vt:i4>
      </vt:variant>
      <vt:variant>
        <vt:i4>6</vt:i4>
      </vt:variant>
      <vt:variant>
        <vt:i4>0</vt:i4>
      </vt:variant>
      <vt:variant>
        <vt:i4>5</vt:i4>
      </vt:variant>
      <vt:variant>
        <vt:lpwstr>mailto:Dana.McQuestin@cgc.gov.au</vt:lpwstr>
      </vt:variant>
      <vt:variant>
        <vt:lpwstr/>
      </vt:variant>
      <vt:variant>
        <vt:i4>6815825</vt:i4>
      </vt:variant>
      <vt:variant>
        <vt:i4>3</vt:i4>
      </vt:variant>
      <vt:variant>
        <vt:i4>0</vt:i4>
      </vt:variant>
      <vt:variant>
        <vt:i4>5</vt:i4>
      </vt:variant>
      <vt:variant>
        <vt:lpwstr>mailto:Naomi.Elliott@cgc.gov.au</vt:lpwstr>
      </vt:variant>
      <vt:variant>
        <vt:lpwstr/>
      </vt:variant>
      <vt:variant>
        <vt:i4>983095</vt:i4>
      </vt:variant>
      <vt:variant>
        <vt:i4>0</vt:i4>
      </vt:variant>
      <vt:variant>
        <vt:i4>0</vt:i4>
      </vt:variant>
      <vt:variant>
        <vt:i4>5</vt:i4>
      </vt:variant>
      <vt:variant>
        <vt:lpwstr>mailto:Katrina.Baldock@cgc.gov.au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Dreese</dc:creator>
  <cp:keywords/>
  <dc:description/>
  <cp:lastModifiedBy>Katrina Baldock</cp:lastModifiedBy>
  <cp:revision>12</cp:revision>
  <cp:lastPrinted>2022-10-13T21:07:00Z</cp:lastPrinted>
  <dcterms:created xsi:type="dcterms:W3CDTF">2023-09-29T01:00:00Z</dcterms:created>
  <dcterms:modified xsi:type="dcterms:W3CDTF">2023-09-29T01:22:00Z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0x010100E7E6CE0E6E4CC94697A9F68B1C3F36F2</vt:lpwstr>
  </property>
  <property fmtid="{D5CDD505-2E9C-101B-9397-08002B2CF9AE}" pid="3" name="MediaServiceImageTags">
    <vt:lpwstr/>
  </property>
  <property fmtid="{D5CDD505-2E9C-101B-9397-08002B2CF9AE}" pid="4" name="Order">
    <vt:r8>82000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