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C6846" w14:textId="5098C7AE" w:rsidR="004C78B6" w:rsidRDefault="006E6000" w:rsidP="004C78B6">
      <w:r>
        <w:rPr>
          <w:noProof/>
        </w:rPr>
        <w:drawing>
          <wp:anchor distT="0" distB="0" distL="114300" distR="114300" simplePos="0" relativeHeight="251655168" behindDoc="1" locked="0" layoutInCell="1" allowOverlap="1" wp14:anchorId="10314E4F" wp14:editId="3F852EFD">
            <wp:simplePos x="0" y="0"/>
            <wp:positionH relativeFrom="column">
              <wp:posOffset>-904323</wp:posOffset>
            </wp:positionH>
            <wp:positionV relativeFrom="paragraph">
              <wp:posOffset>-1493272</wp:posOffset>
            </wp:positionV>
            <wp:extent cx="7725600" cy="10922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5600" cy="10922400"/>
                    </a:xfrm>
                    <a:prstGeom prst="rect">
                      <a:avLst/>
                    </a:prstGeom>
                  </pic:spPr>
                </pic:pic>
              </a:graphicData>
            </a:graphic>
            <wp14:sizeRelH relativeFrom="margin">
              <wp14:pctWidth>0</wp14:pctWidth>
            </wp14:sizeRelH>
            <wp14:sizeRelV relativeFrom="margin">
              <wp14:pctHeight>0</wp14:pctHeight>
            </wp14:sizeRelV>
          </wp:anchor>
        </w:drawing>
      </w:r>
      <w:r w:rsidR="004C78B6">
        <w:rPr>
          <w:noProof/>
        </w:rPr>
        <w:drawing>
          <wp:inline distT="0" distB="0" distL="0" distR="0" wp14:anchorId="53D88FA4" wp14:editId="509D59A7">
            <wp:extent cx="2441749" cy="460926"/>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2597" cy="496952"/>
                    </a:xfrm>
                    <a:prstGeom prst="rect">
                      <a:avLst/>
                    </a:prstGeom>
                  </pic:spPr>
                </pic:pic>
              </a:graphicData>
            </a:graphic>
          </wp:inline>
        </w:drawing>
      </w:r>
    </w:p>
    <w:p w14:paraId="56AA9408" w14:textId="68FDD22B" w:rsidR="004C78B6" w:rsidRPr="00962EFF" w:rsidRDefault="004C78B6" w:rsidP="00962EFF"/>
    <w:p w14:paraId="6C749E99" w14:textId="7E1F7331" w:rsidR="004C78B6" w:rsidRPr="00962EFF" w:rsidRDefault="004C78B6" w:rsidP="00962EFF"/>
    <w:p w14:paraId="00648F61" w14:textId="7627E11B" w:rsidR="00D838D7" w:rsidRPr="00962EFF" w:rsidRDefault="00D838D7" w:rsidP="00962EFF"/>
    <w:p w14:paraId="1CD4EF8B" w14:textId="77777777" w:rsidR="00AD53D2" w:rsidRPr="00962EFF" w:rsidRDefault="00AD53D2" w:rsidP="00962EFF"/>
    <w:p w14:paraId="1BD893EE" w14:textId="77777777" w:rsidR="00AD53D2" w:rsidRPr="00962EFF" w:rsidRDefault="00AD53D2" w:rsidP="00962EFF"/>
    <w:p w14:paraId="19848CF4" w14:textId="77777777" w:rsidR="00AD53D2" w:rsidRPr="00962EFF" w:rsidRDefault="00AD53D2" w:rsidP="00962EFF"/>
    <w:p w14:paraId="699217D6" w14:textId="087D47E4" w:rsidR="00AD53D2" w:rsidRPr="00962EFF" w:rsidRDefault="00EC0F01" w:rsidP="00962EFF">
      <w:r w:rsidRPr="00962EFF">
        <w:rPr>
          <w:noProof/>
        </w:rPr>
        <mc:AlternateContent>
          <mc:Choice Requires="wps">
            <w:drawing>
              <wp:anchor distT="0" distB="0" distL="114300" distR="114300" simplePos="0" relativeHeight="251657216" behindDoc="0" locked="0" layoutInCell="1" allowOverlap="1" wp14:anchorId="13874347" wp14:editId="77F00492">
                <wp:simplePos x="0" y="0"/>
                <wp:positionH relativeFrom="column">
                  <wp:posOffset>43658</wp:posOffset>
                </wp:positionH>
                <wp:positionV relativeFrom="paragraph">
                  <wp:posOffset>79260</wp:posOffset>
                </wp:positionV>
                <wp:extent cx="5183580" cy="894080"/>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5183580" cy="894080"/>
                        </a:xfrm>
                        <a:prstGeom prst="rect">
                          <a:avLst/>
                        </a:prstGeom>
                        <a:noFill/>
                        <a:ln w="6350">
                          <a:noFill/>
                        </a:ln>
                      </wps:spPr>
                      <wps:txbx>
                        <w:txbxContent>
                          <w:p w14:paraId="2B443CCE" w14:textId="4EA77BD3" w:rsidR="00AD53D2" w:rsidRPr="00B417A0" w:rsidRDefault="00962EFF" w:rsidP="00AD53D2">
                            <w:pPr>
                              <w:rPr>
                                <w:rFonts w:cs="Open Sans"/>
                                <w:b/>
                                <w:bCs/>
                                <w:color w:val="FFFFFF"/>
                                <w:sz w:val="84"/>
                                <w:szCs w:val="84"/>
                              </w:rPr>
                            </w:pPr>
                            <w:r>
                              <w:rPr>
                                <w:rFonts w:cs="Open Sans"/>
                                <w:b/>
                                <w:bCs/>
                                <w:color w:val="FFFFFF"/>
                                <w:sz w:val="84"/>
                                <w:szCs w:val="84"/>
                              </w:rPr>
                              <w:t>Occasional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74347" id="_x0000_t202" coordsize="21600,21600" o:spt="202" path="m,l,21600r21600,l21600,xe">
                <v:stroke joinstyle="miter"/>
                <v:path gradientshapeok="t" o:connecttype="rect"/>
              </v:shapetype>
              <v:shape id="Text Box 13" o:spid="_x0000_s1026" type="#_x0000_t202" style="position:absolute;margin-left:3.45pt;margin-top:6.25pt;width:408.15pt;height:7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" filled="f" stroked="f" strokeweight=".5pt">
                <v:textbox>
                  <w:txbxContent>
                    <w:p w14:paraId="2B443CCE" w14:textId="4EA77BD3" w:rsidR="00AD53D2" w:rsidRPr="00B417A0" w:rsidRDefault="00962EFF" w:rsidP="00AD53D2">
                      <w:pPr>
                        <w:rPr>
                          <w:rFonts w:cs="Open Sans"/>
                          <w:b/>
                          <w:bCs/>
                          <w:color w:val="FFFFFF"/>
                          <w:sz w:val="84"/>
                          <w:szCs w:val="84"/>
                        </w:rPr>
                      </w:pPr>
                      <w:r>
                        <w:rPr>
                          <w:rFonts w:cs="Open Sans"/>
                          <w:b/>
                          <w:bCs/>
                          <w:color w:val="FFFFFF"/>
                          <w:sz w:val="84"/>
                          <w:szCs w:val="84"/>
                        </w:rPr>
                        <w:t>Occasional Paper</w:t>
                      </w:r>
                    </w:p>
                  </w:txbxContent>
                </v:textbox>
              </v:shape>
            </w:pict>
          </mc:Fallback>
        </mc:AlternateContent>
      </w:r>
    </w:p>
    <w:p w14:paraId="45D6F931" w14:textId="13806892" w:rsidR="00AD53D2" w:rsidRPr="00962EFF" w:rsidRDefault="00AD53D2" w:rsidP="00962EFF"/>
    <w:p w14:paraId="0568BBED" w14:textId="40254B98" w:rsidR="00AD53D2" w:rsidRPr="00962EFF" w:rsidRDefault="00AD53D2" w:rsidP="00962EFF"/>
    <w:p w14:paraId="39A7AC3F" w14:textId="493BB66B" w:rsidR="00AD53D2" w:rsidRDefault="00AD53D2" w:rsidP="00962EFF"/>
    <w:p w14:paraId="12D1F061" w14:textId="1AFF73FC" w:rsidR="00962EFF" w:rsidRDefault="00962EFF" w:rsidP="00962EFF"/>
    <w:p w14:paraId="55114D9B" w14:textId="77777777" w:rsidR="00962EFF" w:rsidRPr="00962EFF" w:rsidRDefault="00962EFF" w:rsidP="00962EFF"/>
    <w:p w14:paraId="25834C5D" w14:textId="15C123A2" w:rsidR="00AD53D2" w:rsidRPr="00962EFF" w:rsidRDefault="00EC0F01" w:rsidP="00962EFF">
      <w:r w:rsidRPr="00962EFF">
        <w:rPr>
          <w:noProof/>
        </w:rPr>
        <mc:AlternateContent>
          <mc:Choice Requires="wps">
            <w:drawing>
              <wp:anchor distT="0" distB="0" distL="114300" distR="114300" simplePos="0" relativeHeight="251658240" behindDoc="0" locked="0" layoutInCell="1" allowOverlap="1" wp14:anchorId="17BEE366" wp14:editId="05A8AEE3">
                <wp:simplePos x="0" y="0"/>
                <wp:positionH relativeFrom="margin">
                  <wp:align>left</wp:align>
                </wp:positionH>
                <wp:positionV relativeFrom="paragraph">
                  <wp:posOffset>13335</wp:posOffset>
                </wp:positionV>
                <wp:extent cx="4924425" cy="132383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924425" cy="1323833"/>
                        </a:xfrm>
                        <a:prstGeom prst="rect">
                          <a:avLst/>
                        </a:prstGeom>
                        <a:noFill/>
                        <a:ln w="6350">
                          <a:noFill/>
                        </a:ln>
                      </wps:spPr>
                      <wps:txbx>
                        <w:txbxContent>
                          <w:p w14:paraId="73DD6A39" w14:textId="2685034C" w:rsidR="00AD53D2" w:rsidRPr="00B417A0" w:rsidRDefault="00962EFF" w:rsidP="00AD53D2">
                            <w:pPr>
                              <w:rPr>
                                <w:rFonts w:cs="Open Sans"/>
                                <w:color w:val="FFFFFF"/>
                                <w:sz w:val="48"/>
                                <w:szCs w:val="48"/>
                              </w:rPr>
                            </w:pPr>
                            <w:r>
                              <w:rPr>
                                <w:rFonts w:cs="Open Sans"/>
                                <w:color w:val="FFFFFF"/>
                                <w:sz w:val="48"/>
                                <w:szCs w:val="48"/>
                              </w:rPr>
                              <w:t>No</w:t>
                            </w:r>
                            <w:r w:rsidR="00C87C4C">
                              <w:rPr>
                                <w:rFonts w:cs="Open Sans"/>
                                <w:color w:val="FFFFFF"/>
                                <w:sz w:val="48"/>
                                <w:szCs w:val="48"/>
                              </w:rPr>
                              <w:t>.</w:t>
                            </w:r>
                            <w:r w:rsidR="006B1C23">
                              <w:rPr>
                                <w:rFonts w:cs="Open Sans"/>
                                <w:color w:val="FFFFFF"/>
                                <w:sz w:val="48"/>
                                <w:szCs w:val="48"/>
                              </w:rPr>
                              <w:t>10</w:t>
                            </w:r>
                            <w:r w:rsidR="00C87C4C">
                              <w:rPr>
                                <w:rFonts w:cs="Open Sans"/>
                                <w:color w:val="FFFFFF"/>
                                <w:sz w:val="48"/>
                                <w:szCs w:val="48"/>
                              </w:rPr>
                              <w:t xml:space="preserve">: </w:t>
                            </w:r>
                            <w:r w:rsidR="00606E69">
                              <w:rPr>
                                <w:rFonts w:cs="Open Sans"/>
                                <w:color w:val="FFFFFF"/>
                                <w:sz w:val="48"/>
                                <w:szCs w:val="48"/>
                              </w:rPr>
                              <w:t xml:space="preserve">90 </w:t>
                            </w:r>
                            <w:r w:rsidR="000104A8">
                              <w:rPr>
                                <w:rFonts w:cs="Open Sans"/>
                                <w:color w:val="FFFFFF"/>
                                <w:sz w:val="48"/>
                                <w:szCs w:val="48"/>
                              </w:rPr>
                              <w:t>y</w:t>
                            </w:r>
                            <w:r w:rsidR="00606E69">
                              <w:rPr>
                                <w:rFonts w:cs="Open Sans"/>
                                <w:color w:val="FFFFFF"/>
                                <w:sz w:val="48"/>
                                <w:szCs w:val="48"/>
                              </w:rPr>
                              <w:t>ears of the Commonwealth Grants 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E366" id="Text Box 14" o:spid="_x0000_s1027" type="#_x0000_t202" style="position:absolute;margin-left:0;margin-top:1.05pt;width:387.75pt;height:104.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" filled="f" stroked="f" strokeweight=".5pt">
                <v:textbox>
                  <w:txbxContent>
                    <w:p w14:paraId="73DD6A39" w14:textId="2685034C" w:rsidR="00AD53D2" w:rsidRPr="00B417A0" w:rsidRDefault="00962EFF" w:rsidP="00AD53D2">
                      <w:pPr>
                        <w:rPr>
                          <w:rFonts w:cs="Open Sans"/>
                          <w:color w:val="FFFFFF"/>
                          <w:sz w:val="48"/>
                          <w:szCs w:val="48"/>
                        </w:rPr>
                      </w:pPr>
                      <w:r>
                        <w:rPr>
                          <w:rFonts w:cs="Open Sans"/>
                          <w:color w:val="FFFFFF"/>
                          <w:sz w:val="48"/>
                          <w:szCs w:val="48"/>
                        </w:rPr>
                        <w:t>No</w:t>
                      </w:r>
                      <w:r w:rsidR="00C87C4C">
                        <w:rPr>
                          <w:rFonts w:cs="Open Sans"/>
                          <w:color w:val="FFFFFF"/>
                          <w:sz w:val="48"/>
                          <w:szCs w:val="48"/>
                        </w:rPr>
                        <w:t>.</w:t>
                      </w:r>
                      <w:r w:rsidR="006B1C23">
                        <w:rPr>
                          <w:rFonts w:cs="Open Sans"/>
                          <w:color w:val="FFFFFF"/>
                          <w:sz w:val="48"/>
                          <w:szCs w:val="48"/>
                        </w:rPr>
                        <w:t>10</w:t>
                      </w:r>
                      <w:r w:rsidR="00C87C4C">
                        <w:rPr>
                          <w:rFonts w:cs="Open Sans"/>
                          <w:color w:val="FFFFFF"/>
                          <w:sz w:val="48"/>
                          <w:szCs w:val="48"/>
                        </w:rPr>
                        <w:t xml:space="preserve">: </w:t>
                      </w:r>
                      <w:r w:rsidR="00606E69">
                        <w:rPr>
                          <w:rFonts w:cs="Open Sans"/>
                          <w:color w:val="FFFFFF"/>
                          <w:sz w:val="48"/>
                          <w:szCs w:val="48"/>
                        </w:rPr>
                        <w:t xml:space="preserve">90 </w:t>
                      </w:r>
                      <w:r w:rsidR="000104A8">
                        <w:rPr>
                          <w:rFonts w:cs="Open Sans"/>
                          <w:color w:val="FFFFFF"/>
                          <w:sz w:val="48"/>
                          <w:szCs w:val="48"/>
                        </w:rPr>
                        <w:t>y</w:t>
                      </w:r>
                      <w:r w:rsidR="00606E69">
                        <w:rPr>
                          <w:rFonts w:cs="Open Sans"/>
                          <w:color w:val="FFFFFF"/>
                          <w:sz w:val="48"/>
                          <w:szCs w:val="48"/>
                        </w:rPr>
                        <w:t>ears of the Commonwealth Grants Commission</w:t>
                      </w:r>
                    </w:p>
                  </w:txbxContent>
                </v:textbox>
                <w10:wrap anchorx="margin"/>
              </v:shape>
            </w:pict>
          </mc:Fallback>
        </mc:AlternateContent>
      </w:r>
    </w:p>
    <w:p w14:paraId="00E92AD7" w14:textId="5FF0A900" w:rsidR="00AD53D2" w:rsidRPr="00962EFF" w:rsidRDefault="00AD53D2" w:rsidP="00962EFF"/>
    <w:p w14:paraId="57BDAF8A" w14:textId="07F6A63B" w:rsidR="00AD53D2" w:rsidRPr="00962EFF" w:rsidRDefault="00AD53D2" w:rsidP="00962EFF"/>
    <w:p w14:paraId="7310BB9F" w14:textId="77777777" w:rsidR="00AD53D2" w:rsidRPr="00962EFF" w:rsidRDefault="00AD53D2" w:rsidP="00962EFF"/>
    <w:p w14:paraId="22A6B70E" w14:textId="77777777" w:rsidR="00AD53D2" w:rsidRPr="00962EFF" w:rsidRDefault="00AD53D2" w:rsidP="00962EFF"/>
    <w:p w14:paraId="6A754D7C" w14:textId="77777777" w:rsidR="00C87C4C" w:rsidRDefault="00C87C4C" w:rsidP="00962EFF"/>
    <w:p w14:paraId="436A3AEE" w14:textId="77777777" w:rsidR="00C87C4C" w:rsidRDefault="00C87C4C" w:rsidP="00962EFF"/>
    <w:p w14:paraId="4F92A4C4" w14:textId="77777777" w:rsidR="00C87C4C" w:rsidRDefault="00C87C4C" w:rsidP="00962EFF"/>
    <w:p w14:paraId="585F61AA" w14:textId="77777777" w:rsidR="00C87C4C" w:rsidRDefault="00C87C4C" w:rsidP="00962EFF"/>
    <w:p w14:paraId="57EA2C56" w14:textId="77777777" w:rsidR="00C87C4C" w:rsidRDefault="00C87C4C" w:rsidP="00962EFF"/>
    <w:p w14:paraId="02B92D57" w14:textId="77777777" w:rsidR="00C87C4C" w:rsidRDefault="00C87C4C" w:rsidP="00962EFF"/>
    <w:p w14:paraId="3134BF64" w14:textId="77777777" w:rsidR="00C87C4C" w:rsidRDefault="00C87C4C" w:rsidP="00962EFF"/>
    <w:p w14:paraId="75078E44" w14:textId="150D103D" w:rsidR="00AD53D2" w:rsidRPr="00962EFF" w:rsidRDefault="00F8305F" w:rsidP="00962EFF">
      <w:r w:rsidRPr="00962EFF">
        <w:rPr>
          <w:noProof/>
        </w:rPr>
        <mc:AlternateContent>
          <mc:Choice Requires="wps">
            <w:drawing>
              <wp:anchor distT="0" distB="0" distL="114300" distR="114300" simplePos="0" relativeHeight="251659264" behindDoc="0" locked="0" layoutInCell="1" allowOverlap="1" wp14:anchorId="0A5643A7" wp14:editId="7B26F898">
                <wp:simplePos x="0" y="0"/>
                <wp:positionH relativeFrom="margin">
                  <wp:align>left</wp:align>
                </wp:positionH>
                <wp:positionV relativeFrom="paragraph">
                  <wp:posOffset>73660</wp:posOffset>
                </wp:positionV>
                <wp:extent cx="1704975" cy="439387"/>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04975" cy="439387"/>
                        </a:xfrm>
                        <a:prstGeom prst="rect">
                          <a:avLst/>
                        </a:prstGeom>
                        <a:noFill/>
                        <a:ln w="6350">
                          <a:noFill/>
                        </a:ln>
                      </wps:spPr>
                      <wps:txbx>
                        <w:txbxContent>
                          <w:p w14:paraId="1041002D" w14:textId="2147F22F" w:rsidR="00AD53D2" w:rsidRPr="00F8305F" w:rsidRDefault="00BD5D69" w:rsidP="00AD53D2">
                            <w:pPr>
                              <w:rPr>
                                <w:rFonts w:cs="Open Sans"/>
                                <w:color w:val="FFFFFF"/>
                                <w:sz w:val="28"/>
                                <w:szCs w:val="28"/>
                              </w:rPr>
                            </w:pPr>
                            <w:r>
                              <w:rPr>
                                <w:rFonts w:cs="Open Sans"/>
                                <w:color w:val="FFFFFF"/>
                                <w:sz w:val="28"/>
                                <w:szCs w:val="28"/>
                              </w:rPr>
                              <w:t>October</w:t>
                            </w:r>
                            <w:r w:rsidR="00606E69">
                              <w:rPr>
                                <w:rFonts w:cs="Open Sans"/>
                                <w:color w:val="FFFFFF"/>
                                <w:sz w:val="28"/>
                                <w:szCs w:val="28"/>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643A7" id="Text Box 15" o:spid="_x0000_s1028" type="#_x0000_t202" style="position:absolute;margin-left:0;margin-top:5.8pt;width:134.25pt;height:34.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" filled="f" stroked="f" strokeweight=".5pt">
                <v:textbox>
                  <w:txbxContent>
                    <w:p w14:paraId="1041002D" w14:textId="2147F22F" w:rsidR="00AD53D2" w:rsidRPr="00F8305F" w:rsidRDefault="00BD5D69" w:rsidP="00AD53D2">
                      <w:pPr>
                        <w:rPr>
                          <w:rFonts w:cs="Open Sans"/>
                          <w:color w:val="FFFFFF"/>
                          <w:sz w:val="28"/>
                          <w:szCs w:val="28"/>
                        </w:rPr>
                      </w:pPr>
                      <w:r>
                        <w:rPr>
                          <w:rFonts w:cs="Open Sans"/>
                          <w:color w:val="FFFFFF"/>
                          <w:sz w:val="28"/>
                          <w:szCs w:val="28"/>
                        </w:rPr>
                        <w:t>October</w:t>
                      </w:r>
                      <w:r w:rsidR="00606E69">
                        <w:rPr>
                          <w:rFonts w:cs="Open Sans"/>
                          <w:color w:val="FFFFFF"/>
                          <w:sz w:val="28"/>
                          <w:szCs w:val="28"/>
                        </w:rPr>
                        <w:t xml:space="preserve"> 2023</w:t>
                      </w:r>
                    </w:p>
                  </w:txbxContent>
                </v:textbox>
                <w10:wrap anchorx="margin"/>
              </v:shape>
            </w:pict>
          </mc:Fallback>
        </mc:AlternateContent>
      </w:r>
    </w:p>
    <w:p w14:paraId="4AF9959E" w14:textId="77777777" w:rsidR="00AD53D2" w:rsidRPr="00962EFF" w:rsidRDefault="00AD53D2" w:rsidP="00962EFF"/>
    <w:p w14:paraId="2E172C72" w14:textId="77777777" w:rsidR="00AD53D2" w:rsidRPr="00962EFF" w:rsidRDefault="00AD53D2" w:rsidP="00962EFF"/>
    <w:p w14:paraId="06D8C5E2" w14:textId="77777777" w:rsidR="00AD53D2" w:rsidRPr="00962EFF" w:rsidRDefault="00AD53D2" w:rsidP="00962EFF"/>
    <w:p w14:paraId="493FF90D" w14:textId="77777777" w:rsidR="00AD53D2" w:rsidRPr="00962EFF" w:rsidRDefault="00AD53D2" w:rsidP="00962EFF"/>
    <w:p w14:paraId="24EE791A" w14:textId="77777777" w:rsidR="00AD53D2" w:rsidRPr="00962EFF" w:rsidRDefault="00AD53D2" w:rsidP="00962EFF"/>
    <w:p w14:paraId="3E6770BD" w14:textId="77777777" w:rsidR="00AD53D2" w:rsidRPr="00962EFF" w:rsidRDefault="00AD53D2" w:rsidP="00962EFF"/>
    <w:p w14:paraId="164D3A4A" w14:textId="5B388E40" w:rsidR="00D838D7" w:rsidRPr="00962EFF" w:rsidRDefault="00D838D7" w:rsidP="00962EFF"/>
    <w:p w14:paraId="52BF4008" w14:textId="77777777" w:rsidR="00C87C4C" w:rsidRDefault="00C87C4C" w:rsidP="00962EFF">
      <w:pPr>
        <w:sectPr w:rsidR="00C87C4C" w:rsidSect="004C78B6">
          <w:headerReference w:type="default" r:id="rId13"/>
          <w:footerReference w:type="even" r:id="rId14"/>
          <w:footerReference w:type="default" r:id="rId15"/>
          <w:headerReference w:type="first" r:id="rId16"/>
          <w:pgSz w:w="11900" w:h="16840"/>
          <w:pgMar w:top="1985" w:right="1418" w:bottom="1418" w:left="1418" w:header="709" w:footer="284" w:gutter="0"/>
          <w:pgNumType w:start="1"/>
          <w:cols w:space="708"/>
          <w:docGrid w:linePitch="360"/>
        </w:sectPr>
      </w:pPr>
    </w:p>
    <w:p w14:paraId="0C42691F" w14:textId="77777777" w:rsidR="00C87C4C" w:rsidRDefault="00C87C4C" w:rsidP="00962EFF"/>
    <w:p w14:paraId="04857270" w14:textId="77777777" w:rsidR="00C87C4C" w:rsidRDefault="00C87C4C" w:rsidP="00962EFF"/>
    <w:p w14:paraId="731C4235" w14:textId="5AE3E4D8" w:rsidR="00C87C4C" w:rsidRDefault="00C87C4C" w:rsidP="00962EFF"/>
    <w:p w14:paraId="73CF16B8" w14:textId="6AA79264" w:rsidR="00C87C4C" w:rsidRDefault="00C87C4C" w:rsidP="00962EFF"/>
    <w:p w14:paraId="39A808C7" w14:textId="7E659D32" w:rsidR="00C87C4C" w:rsidRDefault="00C87C4C" w:rsidP="00962EFF"/>
    <w:p w14:paraId="1B4C7E61" w14:textId="6099026A" w:rsidR="00C87C4C" w:rsidRDefault="00C87C4C" w:rsidP="00962EFF"/>
    <w:p w14:paraId="68FE78AB" w14:textId="05682200" w:rsidR="00C87C4C" w:rsidRDefault="00C87C4C" w:rsidP="00962EFF"/>
    <w:p w14:paraId="06ED005E" w14:textId="4D33C9A0" w:rsidR="00C87C4C" w:rsidRDefault="00C87C4C" w:rsidP="00962EFF"/>
    <w:p w14:paraId="56CAD0CC" w14:textId="3DB8FB80" w:rsidR="00C87C4C" w:rsidRDefault="00C87C4C" w:rsidP="00962EFF"/>
    <w:p w14:paraId="7C952BB9" w14:textId="01BB4A54" w:rsidR="00C87C4C" w:rsidRDefault="00C87C4C" w:rsidP="00962EFF"/>
    <w:p w14:paraId="08AE986B" w14:textId="1143EF59" w:rsidR="00C87C4C" w:rsidRDefault="00C87C4C" w:rsidP="00962EFF">
      <w:pPr>
        <w:rPr>
          <w:szCs w:val="20"/>
        </w:rPr>
      </w:pPr>
    </w:p>
    <w:p w14:paraId="7641D337" w14:textId="5650D36C" w:rsidR="001C4DF3" w:rsidRDefault="001C4DF3" w:rsidP="00962EFF">
      <w:pPr>
        <w:rPr>
          <w:szCs w:val="20"/>
        </w:rPr>
      </w:pPr>
    </w:p>
    <w:p w14:paraId="75CBCC8B" w14:textId="2672E96F" w:rsidR="001C4DF3" w:rsidRDefault="001C4DF3" w:rsidP="00962EFF">
      <w:pPr>
        <w:rPr>
          <w:szCs w:val="20"/>
        </w:rPr>
      </w:pPr>
    </w:p>
    <w:p w14:paraId="21720165" w14:textId="2DAC50C4" w:rsidR="001C4DF3" w:rsidRDefault="001C4DF3" w:rsidP="00962EFF">
      <w:pPr>
        <w:rPr>
          <w:szCs w:val="20"/>
        </w:rPr>
      </w:pPr>
    </w:p>
    <w:p w14:paraId="46A33736" w14:textId="7E89DB72" w:rsidR="001C4DF3" w:rsidRDefault="001C4DF3" w:rsidP="00962EFF">
      <w:pPr>
        <w:rPr>
          <w:szCs w:val="20"/>
        </w:rPr>
      </w:pPr>
    </w:p>
    <w:p w14:paraId="09B49389" w14:textId="6F8CB0A1" w:rsidR="001C4DF3" w:rsidRDefault="001C4DF3" w:rsidP="00962EFF">
      <w:pPr>
        <w:rPr>
          <w:szCs w:val="20"/>
        </w:rPr>
      </w:pPr>
    </w:p>
    <w:p w14:paraId="036103BB" w14:textId="3BD8DE7F" w:rsidR="001C4DF3" w:rsidRDefault="001C4DF3" w:rsidP="00962EFF">
      <w:pPr>
        <w:rPr>
          <w:szCs w:val="20"/>
        </w:rPr>
      </w:pPr>
    </w:p>
    <w:p w14:paraId="02D13BC6" w14:textId="77777777" w:rsidR="001C4DF3" w:rsidRPr="001C4DF3" w:rsidRDefault="001C4DF3" w:rsidP="00962EFF">
      <w:pPr>
        <w:rPr>
          <w:szCs w:val="20"/>
        </w:rPr>
      </w:pPr>
    </w:p>
    <w:p w14:paraId="6EC995FC" w14:textId="77777777" w:rsidR="00C87C4C" w:rsidRPr="001C4DF3" w:rsidRDefault="00C87C4C" w:rsidP="00C87C4C">
      <w:pPr>
        <w:pStyle w:val="NormalWeb"/>
        <w:rPr>
          <w:rFonts w:ascii="Work Sans" w:hAnsi="Work Sans"/>
          <w:b/>
          <w:bCs/>
          <w:color w:val="000000"/>
          <w:sz w:val="20"/>
          <w:szCs w:val="20"/>
        </w:rPr>
      </w:pPr>
      <w:r w:rsidRPr="001C4DF3">
        <w:rPr>
          <w:rFonts w:ascii="Work Sans" w:hAnsi="Work Sans"/>
          <w:b/>
          <w:bCs/>
          <w:color w:val="000000"/>
          <w:sz w:val="20"/>
          <w:szCs w:val="20"/>
        </w:rPr>
        <w:t>Copyright</w:t>
      </w:r>
    </w:p>
    <w:p w14:paraId="468BC774" w14:textId="70399A4E" w:rsidR="00C87C4C" w:rsidRPr="001C4DF3" w:rsidRDefault="00C87C4C" w:rsidP="00C87C4C">
      <w:pPr>
        <w:pStyle w:val="NormalWeb"/>
        <w:rPr>
          <w:rFonts w:ascii="Work Sans" w:hAnsi="Work Sans"/>
          <w:color w:val="000000"/>
          <w:sz w:val="20"/>
          <w:szCs w:val="20"/>
        </w:rPr>
      </w:pPr>
      <w:r w:rsidRPr="001C4DF3">
        <w:rPr>
          <w:rFonts w:ascii="Work Sans" w:hAnsi="Work Sans"/>
          <w:color w:val="000000"/>
          <w:sz w:val="20"/>
          <w:szCs w:val="20"/>
        </w:rPr>
        <w:t>© Commonwealth of Australia 202</w:t>
      </w:r>
      <w:r w:rsidR="009C3AA4">
        <w:rPr>
          <w:rFonts w:ascii="Work Sans" w:hAnsi="Work Sans"/>
          <w:color w:val="000000"/>
          <w:sz w:val="20"/>
          <w:szCs w:val="20"/>
        </w:rPr>
        <w:t>3</w:t>
      </w:r>
    </w:p>
    <w:p w14:paraId="7B6F7DFC" w14:textId="77777777" w:rsidR="00C87C4C" w:rsidRPr="001C4DF3" w:rsidRDefault="00C87C4C" w:rsidP="00C87C4C">
      <w:pPr>
        <w:pStyle w:val="NormalWeb"/>
        <w:rPr>
          <w:rFonts w:ascii="Work Sans" w:hAnsi="Work Sans"/>
          <w:color w:val="000000"/>
          <w:sz w:val="20"/>
          <w:szCs w:val="20"/>
        </w:rPr>
      </w:pPr>
      <w:proofErr w:type="gramStart"/>
      <w:r w:rsidRPr="001C4DF3">
        <w:rPr>
          <w:rFonts w:ascii="Work Sans" w:hAnsi="Work Sans"/>
          <w:color w:val="000000"/>
          <w:sz w:val="20"/>
          <w:szCs w:val="20"/>
        </w:rPr>
        <w:t>With the exception of</w:t>
      </w:r>
      <w:proofErr w:type="gramEnd"/>
      <w:r w:rsidRPr="001C4DF3">
        <w:rPr>
          <w:rFonts w:ascii="Work Sans" w:hAnsi="Work Sans"/>
          <w:color w:val="000000"/>
          <w:sz w:val="20"/>
          <w:szCs w:val="20"/>
        </w:rPr>
        <w:t xml:space="preserve"> the Commonwealth Coat of Arms, all material presented in this document is provided under Creative Commons Attribution 4.0 (https://creativecommons.org/licenses/by/4.0/) licence. The details of the relevant licence conditions are available on the Creative Commons website as is the full legal code for CC BY 4.0 International (</w:t>
      </w:r>
      <w:hyperlink r:id="rId17" w:history="1">
        <w:r w:rsidRPr="001C4DF3">
          <w:rPr>
            <w:rStyle w:val="Hyperlink"/>
            <w:rFonts w:ascii="Work Sans" w:hAnsi="Work Sans"/>
            <w:sz w:val="20"/>
            <w:szCs w:val="20"/>
          </w:rPr>
          <w:t>https://creativecommons.org/licenses/by/4.0/legalcode</w:t>
        </w:r>
      </w:hyperlink>
      <w:r w:rsidRPr="001C4DF3">
        <w:rPr>
          <w:rFonts w:ascii="Work Sans" w:hAnsi="Work Sans"/>
          <w:color w:val="000000"/>
          <w:sz w:val="20"/>
          <w:szCs w:val="20"/>
        </w:rPr>
        <w:t>).</w:t>
      </w:r>
    </w:p>
    <w:p w14:paraId="7F412C5F" w14:textId="77777777" w:rsidR="00C87C4C" w:rsidRPr="001C4DF3" w:rsidRDefault="00C87C4C" w:rsidP="00C87C4C">
      <w:pPr>
        <w:pStyle w:val="NormalWeb"/>
        <w:rPr>
          <w:rFonts w:ascii="Work Sans" w:hAnsi="Work Sans"/>
          <w:color w:val="000000"/>
          <w:sz w:val="20"/>
          <w:szCs w:val="20"/>
        </w:rPr>
      </w:pPr>
      <w:r w:rsidRPr="001C4DF3">
        <w:rPr>
          <w:noProof/>
          <w:sz w:val="20"/>
          <w:szCs w:val="20"/>
        </w:rPr>
        <w:drawing>
          <wp:inline distT="0" distB="0" distL="0" distR="0" wp14:anchorId="42DDAA01" wp14:editId="4CCFCC78">
            <wp:extent cx="828675" cy="295275"/>
            <wp:effectExtent l="19050" t="0" r="9525" b="0"/>
            <wp:docPr id="1" name="Picture 1" descr="Creative Commons -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8" cstate="print"/>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14:paraId="02503439" w14:textId="77777777" w:rsidR="00C87C4C" w:rsidRPr="001C4DF3" w:rsidRDefault="00C87C4C" w:rsidP="00C87C4C">
      <w:pPr>
        <w:pStyle w:val="NormalWeb"/>
        <w:rPr>
          <w:rFonts w:ascii="Work Sans" w:hAnsi="Work Sans"/>
          <w:b/>
          <w:bCs/>
          <w:color w:val="000000"/>
          <w:sz w:val="20"/>
          <w:szCs w:val="20"/>
        </w:rPr>
      </w:pPr>
      <w:r w:rsidRPr="001C4DF3">
        <w:rPr>
          <w:rFonts w:ascii="Work Sans" w:hAnsi="Work Sans"/>
          <w:b/>
          <w:bCs/>
          <w:color w:val="000000"/>
          <w:sz w:val="20"/>
          <w:szCs w:val="20"/>
        </w:rPr>
        <w:t>Attribution</w:t>
      </w:r>
    </w:p>
    <w:p w14:paraId="59F01DFC" w14:textId="020E1B4E" w:rsidR="00C87C4C" w:rsidRPr="001C4DF3" w:rsidRDefault="00C87C4C" w:rsidP="00C87C4C">
      <w:pPr>
        <w:pStyle w:val="NormalWeb"/>
        <w:rPr>
          <w:rFonts w:ascii="Work Sans" w:hAnsi="Work Sans"/>
          <w:color w:val="000000"/>
          <w:sz w:val="20"/>
          <w:szCs w:val="20"/>
        </w:rPr>
      </w:pPr>
      <w:r w:rsidRPr="001C4DF3">
        <w:rPr>
          <w:rFonts w:ascii="Work Sans" w:hAnsi="Work Sans"/>
          <w:color w:val="000000"/>
          <w:sz w:val="20"/>
          <w:szCs w:val="20"/>
        </w:rPr>
        <w:t xml:space="preserve">The recommended attribution for this document is Commonwealth Grants Commission, Occasional Paper </w:t>
      </w:r>
      <w:r w:rsidRPr="00F65B11">
        <w:rPr>
          <w:rFonts w:ascii="Work Sans" w:hAnsi="Work Sans"/>
          <w:color w:val="000000"/>
          <w:sz w:val="20"/>
          <w:szCs w:val="20"/>
        </w:rPr>
        <w:t>No.</w:t>
      </w:r>
      <w:r w:rsidR="00D51CD2">
        <w:rPr>
          <w:rFonts w:ascii="Work Sans" w:hAnsi="Work Sans"/>
          <w:color w:val="000000"/>
          <w:sz w:val="20"/>
          <w:szCs w:val="20"/>
        </w:rPr>
        <w:t>10</w:t>
      </w:r>
      <w:r w:rsidR="00606E69" w:rsidRPr="00F65B11">
        <w:rPr>
          <w:rFonts w:ascii="Work Sans" w:hAnsi="Work Sans"/>
          <w:color w:val="000000"/>
          <w:sz w:val="20"/>
          <w:szCs w:val="20"/>
        </w:rPr>
        <w:t>: 90 Years of the Commonwealth Grants Commission</w:t>
      </w:r>
      <w:r w:rsidRPr="00F65B11">
        <w:rPr>
          <w:rFonts w:ascii="Work Sans" w:hAnsi="Work Sans"/>
          <w:color w:val="000000"/>
          <w:sz w:val="20"/>
          <w:szCs w:val="20"/>
        </w:rPr>
        <w:t>.</w:t>
      </w:r>
    </w:p>
    <w:p w14:paraId="6BBB3DFD" w14:textId="77777777" w:rsidR="00C87C4C" w:rsidRPr="001C4DF3" w:rsidRDefault="00C87C4C" w:rsidP="00C87C4C">
      <w:pPr>
        <w:pStyle w:val="NormalWeb"/>
        <w:rPr>
          <w:rFonts w:ascii="Work Sans" w:hAnsi="Work Sans"/>
          <w:color w:val="000000"/>
          <w:sz w:val="20"/>
          <w:szCs w:val="20"/>
        </w:rPr>
      </w:pPr>
      <w:r w:rsidRPr="001C4DF3">
        <w:rPr>
          <w:rFonts w:ascii="Work Sans" w:hAnsi="Work Sans"/>
          <w:b/>
          <w:bCs/>
          <w:color w:val="000000"/>
          <w:sz w:val="20"/>
          <w:szCs w:val="20"/>
        </w:rPr>
        <w:t xml:space="preserve">Contact </w:t>
      </w:r>
      <w:proofErr w:type="gramStart"/>
      <w:r w:rsidRPr="001C4DF3">
        <w:rPr>
          <w:rFonts w:ascii="Work Sans" w:hAnsi="Work Sans"/>
          <w:b/>
          <w:bCs/>
          <w:color w:val="000000"/>
          <w:sz w:val="20"/>
          <w:szCs w:val="20"/>
        </w:rPr>
        <w:t>us</w:t>
      </w:r>
      <w:proofErr w:type="gramEnd"/>
      <w:r w:rsidRPr="001C4DF3">
        <w:rPr>
          <w:rFonts w:ascii="Work Sans" w:hAnsi="Work Sans"/>
          <w:color w:val="000000"/>
          <w:sz w:val="20"/>
          <w:szCs w:val="20"/>
        </w:rPr>
        <w:t xml:space="preserve"> </w:t>
      </w:r>
    </w:p>
    <w:p w14:paraId="094603E8" w14:textId="77777777" w:rsidR="00C87C4C" w:rsidRPr="001C4DF3" w:rsidRDefault="00C87C4C" w:rsidP="00C87C4C">
      <w:pPr>
        <w:pStyle w:val="NormalWeb"/>
        <w:rPr>
          <w:rFonts w:ascii="Work Sans" w:hAnsi="Work Sans"/>
          <w:color w:val="000000"/>
          <w:sz w:val="20"/>
          <w:szCs w:val="20"/>
        </w:rPr>
      </w:pPr>
      <w:r w:rsidRPr="001C4DF3">
        <w:rPr>
          <w:rFonts w:ascii="Work Sans" w:hAnsi="Work Sans"/>
          <w:color w:val="000000"/>
          <w:sz w:val="20"/>
          <w:szCs w:val="20"/>
        </w:rPr>
        <w:t>Inquiries regarding the use of this document should be directed to secretary@cgc.gov.au.</w:t>
      </w:r>
    </w:p>
    <w:p w14:paraId="5E108B75" w14:textId="77777777" w:rsidR="00C87C4C" w:rsidRPr="001C4DF3" w:rsidRDefault="00C87C4C" w:rsidP="00C87C4C">
      <w:pPr>
        <w:pStyle w:val="NormalWeb"/>
        <w:rPr>
          <w:rFonts w:ascii="Work Sans" w:hAnsi="Work Sans"/>
          <w:b/>
          <w:bCs/>
          <w:color w:val="000000"/>
          <w:sz w:val="20"/>
          <w:szCs w:val="20"/>
        </w:rPr>
      </w:pPr>
      <w:r w:rsidRPr="001C4DF3">
        <w:rPr>
          <w:rFonts w:ascii="Work Sans" w:hAnsi="Work Sans"/>
          <w:b/>
          <w:bCs/>
          <w:color w:val="000000"/>
          <w:sz w:val="20"/>
          <w:szCs w:val="20"/>
        </w:rPr>
        <w:t xml:space="preserve">Internet </w:t>
      </w:r>
    </w:p>
    <w:p w14:paraId="05872600" w14:textId="2D19FE91" w:rsidR="00C87C4C" w:rsidRPr="001C4DF3" w:rsidRDefault="00C87C4C" w:rsidP="00C87C4C">
      <w:pPr>
        <w:pStyle w:val="NormalWeb"/>
        <w:rPr>
          <w:rFonts w:ascii="Work Sans" w:hAnsi="Work Sans"/>
          <w:color w:val="000000"/>
          <w:sz w:val="20"/>
          <w:szCs w:val="20"/>
        </w:rPr>
      </w:pPr>
      <w:r w:rsidRPr="001C4DF3">
        <w:rPr>
          <w:rFonts w:ascii="Work Sans" w:hAnsi="Work Sans"/>
          <w:color w:val="000000"/>
          <w:sz w:val="20"/>
          <w:szCs w:val="20"/>
        </w:rPr>
        <w:t>A copy of this paper is available on the Commission’s website (http://www.cgc.gov.au).</w:t>
      </w:r>
    </w:p>
    <w:p w14:paraId="5C1A54A8" w14:textId="736AEB60" w:rsidR="00AD53D2" w:rsidRDefault="00654790" w:rsidP="00AD53D2">
      <w:pPr>
        <w:pStyle w:val="BodyText"/>
        <w:rPr>
          <w:rFonts w:ascii="Work Sans" w:hAnsi="Work Sans"/>
        </w:rPr>
      </w:pPr>
      <w:r w:rsidRPr="00D94017">
        <w:rPr>
          <w:rFonts w:ascii="Work Sans" w:hAnsi="Work Sans"/>
          <w:noProof/>
        </w:rPr>
        <w:lastRenderedPageBreak/>
        <mc:AlternateContent>
          <mc:Choice Requires="wps">
            <w:drawing>
              <wp:anchor distT="0" distB="0" distL="114300" distR="114300" simplePos="0" relativeHeight="251660288" behindDoc="0" locked="0" layoutInCell="1" allowOverlap="1" wp14:anchorId="4C485912" wp14:editId="4962BA4A">
                <wp:simplePos x="0" y="0"/>
                <wp:positionH relativeFrom="column">
                  <wp:posOffset>-1933</wp:posOffset>
                </wp:positionH>
                <wp:positionV relativeFrom="paragraph">
                  <wp:posOffset>-35974</wp:posOffset>
                </wp:positionV>
                <wp:extent cx="5772647" cy="3116911"/>
                <wp:effectExtent l="0" t="0" r="0" b="7620"/>
                <wp:wrapNone/>
                <wp:docPr id="2079286891" name="Rectangle 20792868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2647" cy="3116911"/>
                        </a:xfrm>
                        <a:prstGeom prst="rect">
                          <a:avLst/>
                        </a:prstGeom>
                        <a:solidFill>
                          <a:srgbClr val="E5F8FF"/>
                        </a:solidFill>
                        <a:ln w="25400" cap="flat" cmpd="sng" algn="ctr">
                          <a:noFill/>
                          <a:prstDash val="solid"/>
                        </a:ln>
                        <a:effectLst/>
                      </wps:spPr>
                      <wps:txbx>
                        <w:txbxContent>
                          <w:p w14:paraId="797EF4C5" w14:textId="77777777" w:rsidR="00C9010E" w:rsidRPr="00F6416D" w:rsidRDefault="00C9010E" w:rsidP="005152F2">
                            <w:pPr>
                              <w:pStyle w:val="Heading2"/>
                              <w:spacing w:before="0" w:after="100"/>
                            </w:pPr>
                            <w:r w:rsidRPr="00F6416D">
                              <w:t>Summary</w:t>
                            </w:r>
                          </w:p>
                          <w:p w14:paraId="16811CBC" w14:textId="22AD21FF" w:rsidR="00C9010E" w:rsidRPr="0002506A" w:rsidRDefault="00C9010E" w:rsidP="0002506A">
                            <w:pPr>
                              <w:pStyle w:val="bulletbox"/>
                            </w:pPr>
                            <w:r w:rsidRPr="0002506A">
                              <w:t xml:space="preserve">The Commonwealth Grants Commission is an independent and </w:t>
                            </w:r>
                            <w:r w:rsidR="000C6FC5" w:rsidRPr="0002506A">
                              <w:t xml:space="preserve">specialist </w:t>
                            </w:r>
                            <w:r w:rsidRPr="0002506A">
                              <w:t xml:space="preserve">Australian Government </w:t>
                            </w:r>
                            <w:r w:rsidR="008C259F" w:rsidRPr="0002506A">
                              <w:t xml:space="preserve">body </w:t>
                            </w:r>
                            <w:r w:rsidRPr="0002506A">
                              <w:t>that has been operating since 1933</w:t>
                            </w:r>
                            <w:r w:rsidR="00B044AA" w:rsidRPr="0002506A">
                              <w:t xml:space="preserve">. </w:t>
                            </w:r>
                            <w:r w:rsidR="00282F46" w:rsidRPr="0002506A">
                              <w:t>Sin</w:t>
                            </w:r>
                            <w:r w:rsidR="00C068A7" w:rsidRPr="0002506A">
                              <w:t>c</w:t>
                            </w:r>
                            <w:r w:rsidR="00282F46" w:rsidRPr="0002506A">
                              <w:t xml:space="preserve">e its inception, </w:t>
                            </w:r>
                            <w:r w:rsidR="00C068A7" w:rsidRPr="0002506A">
                              <w:t>t</w:t>
                            </w:r>
                            <w:r w:rsidR="00282F46" w:rsidRPr="0002506A">
                              <w:t xml:space="preserve">he Commission has been providing advice to the Commonwealth Government </w:t>
                            </w:r>
                            <w:r w:rsidR="00C068A7" w:rsidRPr="0002506A">
                              <w:t>on how to provide fi</w:t>
                            </w:r>
                            <w:r w:rsidR="000D07DC" w:rsidRPr="0002506A">
                              <w:t>na</w:t>
                            </w:r>
                            <w:r w:rsidR="00C068A7" w:rsidRPr="0002506A">
                              <w:t>ncial assistan</w:t>
                            </w:r>
                            <w:r w:rsidR="000D07DC" w:rsidRPr="0002506A">
                              <w:t>ce to Australia’s states</w:t>
                            </w:r>
                            <w:r w:rsidR="000D3295" w:rsidRPr="0002506A">
                              <w:t xml:space="preserve"> </w:t>
                            </w:r>
                            <w:r w:rsidR="000D07DC" w:rsidRPr="0002506A">
                              <w:t xml:space="preserve">and territories (states) </w:t>
                            </w:r>
                            <w:r w:rsidR="00282F46" w:rsidRPr="0002506A">
                              <w:t>to bring the</w:t>
                            </w:r>
                            <w:r w:rsidR="000D07DC" w:rsidRPr="0002506A">
                              <w:t>ir</w:t>
                            </w:r>
                            <w:r w:rsidR="00282F46" w:rsidRPr="0002506A">
                              <w:t xml:space="preserve"> fiscal capacities closer together so they can provide a similar standard of services to their citizens.</w:t>
                            </w:r>
                          </w:p>
                          <w:p w14:paraId="1FD527DD" w14:textId="77777777" w:rsidR="007A4DC8" w:rsidRPr="0002506A" w:rsidRDefault="009D2649" w:rsidP="0002506A">
                            <w:pPr>
                              <w:pStyle w:val="bulletbox"/>
                            </w:pPr>
                            <w:r w:rsidRPr="0002506A">
                              <w:t xml:space="preserve">The arrangements for Commonwealth </w:t>
                            </w:r>
                            <w:r w:rsidR="000D3295" w:rsidRPr="0002506A">
                              <w:t>financial</w:t>
                            </w:r>
                            <w:r w:rsidRPr="0002506A">
                              <w:t xml:space="preserve"> assistance to the states have changed over tim</w:t>
                            </w:r>
                            <w:r w:rsidR="000D3295" w:rsidRPr="0002506A">
                              <w:t xml:space="preserve">e.  </w:t>
                            </w:r>
                          </w:p>
                          <w:p w14:paraId="370BDAC3" w14:textId="4B7C89E6" w:rsidR="00B5369A" w:rsidRPr="0002506A" w:rsidRDefault="00C4197F" w:rsidP="0002506A">
                            <w:pPr>
                              <w:pStyle w:val="bulletbox"/>
                            </w:pPr>
                            <w:r w:rsidRPr="0002506A">
                              <w:t xml:space="preserve">Initially, the Commission </w:t>
                            </w:r>
                            <w:r w:rsidR="00994DAA" w:rsidRPr="0002506A">
                              <w:t xml:space="preserve">made recommendations relating </w:t>
                            </w:r>
                            <w:r w:rsidR="0021630E" w:rsidRPr="0002506A">
                              <w:t xml:space="preserve">only </w:t>
                            </w:r>
                            <w:r w:rsidR="00994DAA" w:rsidRPr="0002506A">
                              <w:t xml:space="preserve">to </w:t>
                            </w:r>
                            <w:r w:rsidR="009F519D" w:rsidRPr="0002506A">
                              <w:t xml:space="preserve">fiscally weaker states. </w:t>
                            </w:r>
                            <w:r w:rsidR="00C670BF" w:rsidRPr="0002506A">
                              <w:t xml:space="preserve">Under </w:t>
                            </w:r>
                            <w:r w:rsidR="00265E30" w:rsidRPr="0002506A">
                              <w:t xml:space="preserve">the </w:t>
                            </w:r>
                            <w:r w:rsidR="00C670BF" w:rsidRPr="0002506A">
                              <w:t>Fraser</w:t>
                            </w:r>
                            <w:r w:rsidR="00265E30" w:rsidRPr="0002506A">
                              <w:t xml:space="preserve"> Government</w:t>
                            </w:r>
                            <w:r w:rsidR="00C670BF" w:rsidRPr="0002506A">
                              <w:t>’s New Federalism</w:t>
                            </w:r>
                            <w:r w:rsidR="00784ADA" w:rsidRPr="0002506A">
                              <w:t xml:space="preserve"> </w:t>
                            </w:r>
                            <w:r w:rsidR="00240E90" w:rsidRPr="0002506A">
                              <w:t>in the 1970s</w:t>
                            </w:r>
                            <w:r w:rsidR="00C670BF" w:rsidRPr="0002506A">
                              <w:t xml:space="preserve">, </w:t>
                            </w:r>
                            <w:r w:rsidR="00265E30" w:rsidRPr="0002506A">
                              <w:t xml:space="preserve">its role expanded to </w:t>
                            </w:r>
                            <w:r w:rsidR="000E2649" w:rsidRPr="0002506A">
                              <w:t>equalising the fiscal capacities of all states.</w:t>
                            </w:r>
                          </w:p>
                          <w:p w14:paraId="338D94CA" w14:textId="558A488D" w:rsidR="00C9010E" w:rsidRPr="0002506A" w:rsidRDefault="00AE434D" w:rsidP="0002506A">
                            <w:pPr>
                              <w:pStyle w:val="bulletbox"/>
                            </w:pPr>
                            <w:r w:rsidRPr="0002506A">
                              <w:t>Since</w:t>
                            </w:r>
                            <w:r w:rsidR="00C9010E" w:rsidRPr="0002506A">
                              <w:t xml:space="preserve"> July 2000, </w:t>
                            </w:r>
                            <w:r w:rsidR="004F0F6D" w:rsidRPr="0002506A">
                              <w:t xml:space="preserve">the </w:t>
                            </w:r>
                            <w:r w:rsidR="0003073A" w:rsidRPr="0002506A">
                              <w:t>Commission’s</w:t>
                            </w:r>
                            <w:r w:rsidR="004F0F6D" w:rsidRPr="0002506A">
                              <w:t xml:space="preserve"> </w:t>
                            </w:r>
                            <w:r w:rsidR="006E1F53" w:rsidRPr="0002506A">
                              <w:t xml:space="preserve">recommendations have formed the basis of </w:t>
                            </w:r>
                            <w:r w:rsidR="006D1728" w:rsidRPr="0002506A">
                              <w:t xml:space="preserve">states’ shares of </w:t>
                            </w:r>
                            <w:r w:rsidR="00C9010E" w:rsidRPr="0002506A">
                              <w:t xml:space="preserve">Goods and Services Tax (GST) </w:t>
                            </w:r>
                            <w:r w:rsidR="006D1728" w:rsidRPr="0002506A">
                              <w:t>revenue</w:t>
                            </w:r>
                            <w:r w:rsidR="00C9010E" w:rsidRPr="0002506A">
                              <w:t>.</w:t>
                            </w:r>
                          </w:p>
                          <w:p w14:paraId="085C587D" w14:textId="4AF3BD66" w:rsidR="00411336" w:rsidRPr="0002506A" w:rsidRDefault="00DA296D" w:rsidP="0002506A">
                            <w:pPr>
                              <w:pStyle w:val="bulletbox"/>
                            </w:pPr>
                            <w:r w:rsidRPr="0002506A">
                              <w:t>This paper provide</w:t>
                            </w:r>
                            <w:r w:rsidR="007F1925" w:rsidRPr="0002506A">
                              <w:t>s</w:t>
                            </w:r>
                            <w:r w:rsidRPr="0002506A">
                              <w:t xml:space="preserve"> a </w:t>
                            </w:r>
                            <w:r w:rsidR="00ED5ACF" w:rsidRPr="0002506A">
                              <w:t>concise</w:t>
                            </w:r>
                            <w:r w:rsidRPr="0002506A">
                              <w:t xml:space="preserve"> </w:t>
                            </w:r>
                            <w:r w:rsidR="000D3FC8" w:rsidRPr="0002506A">
                              <w:t>history</w:t>
                            </w:r>
                            <w:r w:rsidRPr="0002506A">
                              <w:t xml:space="preserve"> of the important rol</w:t>
                            </w:r>
                            <w:r w:rsidR="000D3FC8" w:rsidRPr="0002506A">
                              <w:t>e</w:t>
                            </w:r>
                            <w:r w:rsidRPr="0002506A">
                              <w:t xml:space="preserve"> the Co</w:t>
                            </w:r>
                            <w:r w:rsidR="000D3FC8" w:rsidRPr="0002506A">
                              <w:t xml:space="preserve">mmonwealth Grants Commission </w:t>
                            </w:r>
                            <w:r w:rsidR="001B6685" w:rsidRPr="0002506A">
                              <w:t xml:space="preserve">has played in </w:t>
                            </w:r>
                            <w:r w:rsidR="007F1925" w:rsidRPr="0002506A">
                              <w:t>Australia’s</w:t>
                            </w:r>
                            <w:r w:rsidR="001B6685" w:rsidRPr="0002506A">
                              <w:t xml:space="preserve"> </w:t>
                            </w:r>
                            <w:r w:rsidR="007F1925" w:rsidRPr="0002506A">
                              <w:t>federal financial arrangements since 1933.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85912" id="Rectangle 2079286891" o:spid="_x0000_s1029" alt="&quot;&quot;" style="position:absolute;left:0;text-align:left;margin-left:-.15pt;margin-top:-2.85pt;width:454.55pt;height:24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" fillcolor="#e5f8ff" stroked="f" strokeweight="2pt">
                <v:textbox>
                  <w:txbxContent>
                    <w:p w14:paraId="797EF4C5" w14:textId="77777777" w:rsidR="00C9010E" w:rsidRPr="00F6416D" w:rsidRDefault="00C9010E" w:rsidP="005152F2">
                      <w:pPr>
                        <w:pStyle w:val="Heading2"/>
                        <w:spacing w:before="0" w:after="100"/>
                      </w:pPr>
                      <w:r w:rsidRPr="00F6416D">
                        <w:t>Summary</w:t>
                      </w:r>
                    </w:p>
                    <w:p w14:paraId="16811CBC" w14:textId="22AD21FF" w:rsidR="00C9010E" w:rsidRPr="0002506A" w:rsidRDefault="00C9010E" w:rsidP="0002506A">
                      <w:pPr>
                        <w:pStyle w:val="bulletbox"/>
                      </w:pPr>
                      <w:r w:rsidRPr="0002506A">
                        <w:t xml:space="preserve">The Commonwealth Grants Commission is an independent and </w:t>
                      </w:r>
                      <w:r w:rsidR="000C6FC5" w:rsidRPr="0002506A">
                        <w:t xml:space="preserve">specialist </w:t>
                      </w:r>
                      <w:r w:rsidRPr="0002506A">
                        <w:t xml:space="preserve">Australian Government </w:t>
                      </w:r>
                      <w:r w:rsidR="008C259F" w:rsidRPr="0002506A">
                        <w:t xml:space="preserve">body </w:t>
                      </w:r>
                      <w:r w:rsidRPr="0002506A">
                        <w:t>that has been operating since 1933</w:t>
                      </w:r>
                      <w:r w:rsidR="00B044AA" w:rsidRPr="0002506A">
                        <w:t xml:space="preserve">. </w:t>
                      </w:r>
                      <w:r w:rsidR="00282F46" w:rsidRPr="0002506A">
                        <w:t>Sin</w:t>
                      </w:r>
                      <w:r w:rsidR="00C068A7" w:rsidRPr="0002506A">
                        <w:t>c</w:t>
                      </w:r>
                      <w:r w:rsidR="00282F46" w:rsidRPr="0002506A">
                        <w:t xml:space="preserve">e its inception, </w:t>
                      </w:r>
                      <w:r w:rsidR="00C068A7" w:rsidRPr="0002506A">
                        <w:t>t</w:t>
                      </w:r>
                      <w:r w:rsidR="00282F46" w:rsidRPr="0002506A">
                        <w:t xml:space="preserve">he Commission has been providing advice to the Commonwealth Government </w:t>
                      </w:r>
                      <w:r w:rsidR="00C068A7" w:rsidRPr="0002506A">
                        <w:t>on how to provide fi</w:t>
                      </w:r>
                      <w:r w:rsidR="000D07DC" w:rsidRPr="0002506A">
                        <w:t>na</w:t>
                      </w:r>
                      <w:r w:rsidR="00C068A7" w:rsidRPr="0002506A">
                        <w:t>ncial assistan</w:t>
                      </w:r>
                      <w:r w:rsidR="000D07DC" w:rsidRPr="0002506A">
                        <w:t>ce to Australia’s states</w:t>
                      </w:r>
                      <w:r w:rsidR="000D3295" w:rsidRPr="0002506A">
                        <w:t xml:space="preserve"> </w:t>
                      </w:r>
                      <w:r w:rsidR="000D07DC" w:rsidRPr="0002506A">
                        <w:t xml:space="preserve">and territories (states) </w:t>
                      </w:r>
                      <w:r w:rsidR="00282F46" w:rsidRPr="0002506A">
                        <w:t>to bring the</w:t>
                      </w:r>
                      <w:r w:rsidR="000D07DC" w:rsidRPr="0002506A">
                        <w:t>ir</w:t>
                      </w:r>
                      <w:r w:rsidR="00282F46" w:rsidRPr="0002506A">
                        <w:t xml:space="preserve"> fiscal capacities closer together so they can provide a similar standard of services to their citizens.</w:t>
                      </w:r>
                    </w:p>
                    <w:p w14:paraId="1FD527DD" w14:textId="77777777" w:rsidR="007A4DC8" w:rsidRPr="0002506A" w:rsidRDefault="009D2649" w:rsidP="0002506A">
                      <w:pPr>
                        <w:pStyle w:val="bulletbox"/>
                      </w:pPr>
                      <w:r w:rsidRPr="0002506A">
                        <w:t xml:space="preserve">The arrangements for Commonwealth </w:t>
                      </w:r>
                      <w:r w:rsidR="000D3295" w:rsidRPr="0002506A">
                        <w:t>financial</w:t>
                      </w:r>
                      <w:r w:rsidRPr="0002506A">
                        <w:t xml:space="preserve"> assistance to the states have changed over tim</w:t>
                      </w:r>
                      <w:r w:rsidR="000D3295" w:rsidRPr="0002506A">
                        <w:t xml:space="preserve">e.  </w:t>
                      </w:r>
                    </w:p>
                    <w:p w14:paraId="370BDAC3" w14:textId="4B7C89E6" w:rsidR="00B5369A" w:rsidRPr="0002506A" w:rsidRDefault="00C4197F" w:rsidP="0002506A">
                      <w:pPr>
                        <w:pStyle w:val="bulletbox"/>
                      </w:pPr>
                      <w:r w:rsidRPr="0002506A">
                        <w:t xml:space="preserve">Initially, the Commission </w:t>
                      </w:r>
                      <w:r w:rsidR="00994DAA" w:rsidRPr="0002506A">
                        <w:t xml:space="preserve">made recommendations relating </w:t>
                      </w:r>
                      <w:r w:rsidR="0021630E" w:rsidRPr="0002506A">
                        <w:t xml:space="preserve">only </w:t>
                      </w:r>
                      <w:r w:rsidR="00994DAA" w:rsidRPr="0002506A">
                        <w:t xml:space="preserve">to </w:t>
                      </w:r>
                      <w:r w:rsidR="009F519D" w:rsidRPr="0002506A">
                        <w:t xml:space="preserve">fiscally weaker states. </w:t>
                      </w:r>
                      <w:r w:rsidR="00C670BF" w:rsidRPr="0002506A">
                        <w:t xml:space="preserve">Under </w:t>
                      </w:r>
                      <w:r w:rsidR="00265E30" w:rsidRPr="0002506A">
                        <w:t xml:space="preserve">the </w:t>
                      </w:r>
                      <w:r w:rsidR="00C670BF" w:rsidRPr="0002506A">
                        <w:t>Fraser</w:t>
                      </w:r>
                      <w:r w:rsidR="00265E30" w:rsidRPr="0002506A">
                        <w:t xml:space="preserve"> Government</w:t>
                      </w:r>
                      <w:r w:rsidR="00C670BF" w:rsidRPr="0002506A">
                        <w:t>’s New Federalism</w:t>
                      </w:r>
                      <w:r w:rsidR="00784ADA" w:rsidRPr="0002506A">
                        <w:t xml:space="preserve"> </w:t>
                      </w:r>
                      <w:r w:rsidR="00240E90" w:rsidRPr="0002506A">
                        <w:t>in the 1970s</w:t>
                      </w:r>
                      <w:r w:rsidR="00C670BF" w:rsidRPr="0002506A">
                        <w:t xml:space="preserve">, </w:t>
                      </w:r>
                      <w:r w:rsidR="00265E30" w:rsidRPr="0002506A">
                        <w:t xml:space="preserve">its role expanded to </w:t>
                      </w:r>
                      <w:r w:rsidR="000E2649" w:rsidRPr="0002506A">
                        <w:t>equalising the fiscal capacities of all states.</w:t>
                      </w:r>
                    </w:p>
                    <w:p w14:paraId="338D94CA" w14:textId="558A488D" w:rsidR="00C9010E" w:rsidRPr="0002506A" w:rsidRDefault="00AE434D" w:rsidP="0002506A">
                      <w:pPr>
                        <w:pStyle w:val="bulletbox"/>
                      </w:pPr>
                      <w:r w:rsidRPr="0002506A">
                        <w:t>Since</w:t>
                      </w:r>
                      <w:r w:rsidR="00C9010E" w:rsidRPr="0002506A">
                        <w:t xml:space="preserve"> July 2000, </w:t>
                      </w:r>
                      <w:r w:rsidR="004F0F6D" w:rsidRPr="0002506A">
                        <w:t xml:space="preserve">the </w:t>
                      </w:r>
                      <w:r w:rsidR="0003073A" w:rsidRPr="0002506A">
                        <w:t>Commission’s</w:t>
                      </w:r>
                      <w:r w:rsidR="004F0F6D" w:rsidRPr="0002506A">
                        <w:t xml:space="preserve"> </w:t>
                      </w:r>
                      <w:r w:rsidR="006E1F53" w:rsidRPr="0002506A">
                        <w:t xml:space="preserve">recommendations have formed the basis of </w:t>
                      </w:r>
                      <w:r w:rsidR="006D1728" w:rsidRPr="0002506A">
                        <w:t xml:space="preserve">states’ shares of </w:t>
                      </w:r>
                      <w:r w:rsidR="00C9010E" w:rsidRPr="0002506A">
                        <w:t xml:space="preserve">Goods and Services Tax (GST) </w:t>
                      </w:r>
                      <w:r w:rsidR="006D1728" w:rsidRPr="0002506A">
                        <w:t>revenue</w:t>
                      </w:r>
                      <w:r w:rsidR="00C9010E" w:rsidRPr="0002506A">
                        <w:t>.</w:t>
                      </w:r>
                    </w:p>
                    <w:p w14:paraId="085C587D" w14:textId="4AF3BD66" w:rsidR="00411336" w:rsidRPr="0002506A" w:rsidRDefault="00DA296D" w:rsidP="0002506A">
                      <w:pPr>
                        <w:pStyle w:val="bulletbox"/>
                      </w:pPr>
                      <w:r w:rsidRPr="0002506A">
                        <w:t>This paper provide</w:t>
                      </w:r>
                      <w:r w:rsidR="007F1925" w:rsidRPr="0002506A">
                        <w:t>s</w:t>
                      </w:r>
                      <w:r w:rsidRPr="0002506A">
                        <w:t xml:space="preserve"> a </w:t>
                      </w:r>
                      <w:r w:rsidR="00ED5ACF" w:rsidRPr="0002506A">
                        <w:t>concise</w:t>
                      </w:r>
                      <w:r w:rsidRPr="0002506A">
                        <w:t xml:space="preserve"> </w:t>
                      </w:r>
                      <w:r w:rsidR="000D3FC8" w:rsidRPr="0002506A">
                        <w:t>history</w:t>
                      </w:r>
                      <w:r w:rsidRPr="0002506A">
                        <w:t xml:space="preserve"> of the important rol</w:t>
                      </w:r>
                      <w:r w:rsidR="000D3FC8" w:rsidRPr="0002506A">
                        <w:t>e</w:t>
                      </w:r>
                      <w:r w:rsidRPr="0002506A">
                        <w:t xml:space="preserve"> the Co</w:t>
                      </w:r>
                      <w:r w:rsidR="000D3FC8" w:rsidRPr="0002506A">
                        <w:t xml:space="preserve">mmonwealth Grants Commission </w:t>
                      </w:r>
                      <w:r w:rsidR="001B6685" w:rsidRPr="0002506A">
                        <w:t xml:space="preserve">has played in </w:t>
                      </w:r>
                      <w:r w:rsidR="007F1925" w:rsidRPr="0002506A">
                        <w:t>Australia’s</w:t>
                      </w:r>
                      <w:r w:rsidR="001B6685" w:rsidRPr="0002506A">
                        <w:t xml:space="preserve"> </w:t>
                      </w:r>
                      <w:r w:rsidR="007F1925" w:rsidRPr="0002506A">
                        <w:t>federal financial arrangements since 1933.</w:t>
                      </w:r>
                    </w:p>
                  </w:txbxContent>
                </v:textbox>
              </v:rect>
            </w:pict>
          </mc:Fallback>
        </mc:AlternateContent>
      </w:r>
    </w:p>
    <w:p w14:paraId="71ABF369" w14:textId="2E3F2C08" w:rsidR="009A3795" w:rsidRPr="0006231C" w:rsidRDefault="009A3795" w:rsidP="00AD53D2">
      <w:pPr>
        <w:pStyle w:val="BodyText"/>
        <w:rPr>
          <w:rFonts w:ascii="Work Sans" w:hAnsi="Work Sans"/>
        </w:rPr>
      </w:pPr>
    </w:p>
    <w:p w14:paraId="24BB5BD3" w14:textId="1A0209B7" w:rsidR="00AD53D2" w:rsidRDefault="00AD53D2" w:rsidP="00AD53D2">
      <w:pPr>
        <w:pStyle w:val="BodyText"/>
        <w:rPr>
          <w:rFonts w:ascii="Work Sans" w:hAnsi="Work Sans"/>
        </w:rPr>
      </w:pPr>
    </w:p>
    <w:p w14:paraId="3F354FBA" w14:textId="100037D7" w:rsidR="000E199C" w:rsidRDefault="000E199C">
      <w:pPr>
        <w:tabs>
          <w:tab w:val="clear" w:pos="567"/>
        </w:tabs>
        <w:spacing w:before="0" w:line="240" w:lineRule="auto"/>
        <w:rPr>
          <w:rFonts w:eastAsiaTheme="majorEastAsia" w:cs="Open Sans"/>
          <w:b/>
          <w:bCs/>
          <w:color w:val="006991"/>
          <w:sz w:val="36"/>
          <w:szCs w:val="36"/>
        </w:rPr>
      </w:pPr>
      <w:r>
        <w:br w:type="page"/>
      </w:r>
    </w:p>
    <w:p w14:paraId="60DCD934" w14:textId="230FE0AB" w:rsidR="00A1532B" w:rsidRPr="002A60CE" w:rsidRDefault="00F706F3" w:rsidP="00BC2A10">
      <w:pPr>
        <w:pStyle w:val="Heading2"/>
      </w:pPr>
      <w:r>
        <w:lastRenderedPageBreak/>
        <w:t>Introduction</w:t>
      </w:r>
    </w:p>
    <w:p w14:paraId="25C405A6" w14:textId="523D772B" w:rsidR="00105893" w:rsidRPr="008400D2" w:rsidRDefault="00105893" w:rsidP="008400D2">
      <w:pPr>
        <w:rPr>
          <w:szCs w:val="20"/>
        </w:rPr>
      </w:pPr>
      <w:r w:rsidRPr="008400D2">
        <w:rPr>
          <w:szCs w:val="20"/>
        </w:rPr>
        <w:t>For the past 9</w:t>
      </w:r>
      <w:r w:rsidR="00306CFD" w:rsidRPr="008400D2">
        <w:rPr>
          <w:szCs w:val="20"/>
        </w:rPr>
        <w:t>0 years</w:t>
      </w:r>
      <w:r w:rsidRPr="008400D2">
        <w:rPr>
          <w:szCs w:val="20"/>
        </w:rPr>
        <w:t>,</w:t>
      </w:r>
      <w:r w:rsidR="00763AC9" w:rsidRPr="008400D2">
        <w:rPr>
          <w:szCs w:val="20"/>
        </w:rPr>
        <w:t xml:space="preserve"> the Commonwealth </w:t>
      </w:r>
      <w:r w:rsidR="00D35EC1" w:rsidRPr="008400D2">
        <w:rPr>
          <w:szCs w:val="20"/>
        </w:rPr>
        <w:t>G</w:t>
      </w:r>
      <w:r w:rsidR="00763AC9" w:rsidRPr="008400D2">
        <w:rPr>
          <w:szCs w:val="20"/>
        </w:rPr>
        <w:t xml:space="preserve">rants Commission (the Commission) has been </w:t>
      </w:r>
      <w:r w:rsidR="0096383A">
        <w:rPr>
          <w:szCs w:val="20"/>
        </w:rPr>
        <w:t>an independent body</w:t>
      </w:r>
      <w:r w:rsidR="00FB3230">
        <w:rPr>
          <w:szCs w:val="20"/>
        </w:rPr>
        <w:t xml:space="preserve"> providing advice </w:t>
      </w:r>
      <w:r w:rsidR="007E4597">
        <w:rPr>
          <w:szCs w:val="20"/>
        </w:rPr>
        <w:t xml:space="preserve">to the </w:t>
      </w:r>
      <w:r w:rsidR="00754A94">
        <w:rPr>
          <w:szCs w:val="20"/>
        </w:rPr>
        <w:t>Commonwealth</w:t>
      </w:r>
      <w:r w:rsidR="000F223F">
        <w:rPr>
          <w:szCs w:val="20"/>
        </w:rPr>
        <w:t xml:space="preserve"> </w:t>
      </w:r>
      <w:r w:rsidR="007E4597">
        <w:rPr>
          <w:szCs w:val="20"/>
        </w:rPr>
        <w:t xml:space="preserve">Government </w:t>
      </w:r>
      <w:r w:rsidR="00DC17F4">
        <w:rPr>
          <w:szCs w:val="20"/>
        </w:rPr>
        <w:t>consistent with the objective of</w:t>
      </w:r>
      <w:r w:rsidR="00C17BCF" w:rsidRPr="008400D2">
        <w:rPr>
          <w:szCs w:val="20"/>
        </w:rPr>
        <w:t xml:space="preserve"> </w:t>
      </w:r>
      <w:r w:rsidR="00A503CC" w:rsidRPr="008400D2">
        <w:rPr>
          <w:szCs w:val="20"/>
        </w:rPr>
        <w:t>‘</w:t>
      </w:r>
      <w:r w:rsidR="00C17BCF" w:rsidRPr="008400D2">
        <w:rPr>
          <w:szCs w:val="20"/>
        </w:rPr>
        <w:t>horizontal fiscal equalisation</w:t>
      </w:r>
      <w:r w:rsidR="00A503CC" w:rsidRPr="008400D2">
        <w:rPr>
          <w:szCs w:val="20"/>
        </w:rPr>
        <w:t>’</w:t>
      </w:r>
      <w:r w:rsidR="00C17BCF" w:rsidRPr="008400D2">
        <w:rPr>
          <w:szCs w:val="20"/>
        </w:rPr>
        <w:t xml:space="preserve">. </w:t>
      </w:r>
      <w:r w:rsidR="009860C6">
        <w:rPr>
          <w:szCs w:val="20"/>
        </w:rPr>
        <w:t>This has involved</w:t>
      </w:r>
      <w:r w:rsidR="00322D25" w:rsidRPr="008400D2">
        <w:rPr>
          <w:szCs w:val="20"/>
        </w:rPr>
        <w:t xml:space="preserve"> </w:t>
      </w:r>
      <w:r w:rsidR="0058321E" w:rsidRPr="008400D2">
        <w:rPr>
          <w:szCs w:val="20"/>
        </w:rPr>
        <w:t xml:space="preserve">providing advice </w:t>
      </w:r>
      <w:r w:rsidR="006158B6">
        <w:rPr>
          <w:szCs w:val="20"/>
        </w:rPr>
        <w:t xml:space="preserve">to </w:t>
      </w:r>
      <w:r w:rsidR="00762046" w:rsidRPr="008400D2">
        <w:rPr>
          <w:szCs w:val="20"/>
        </w:rPr>
        <w:t xml:space="preserve">bring </w:t>
      </w:r>
      <w:r w:rsidR="006C26E6">
        <w:rPr>
          <w:szCs w:val="20"/>
        </w:rPr>
        <w:t xml:space="preserve">the fiscal capacities </w:t>
      </w:r>
      <w:r w:rsidR="00760407">
        <w:rPr>
          <w:szCs w:val="20"/>
        </w:rPr>
        <w:t>of</w:t>
      </w:r>
      <w:r w:rsidR="00762046" w:rsidRPr="008400D2">
        <w:rPr>
          <w:szCs w:val="20"/>
        </w:rPr>
        <w:t xml:space="preserve"> Australia’s states</w:t>
      </w:r>
      <w:r w:rsidR="00010914" w:rsidRPr="008400D2">
        <w:rPr>
          <w:szCs w:val="20"/>
        </w:rPr>
        <w:t xml:space="preserve"> and territories </w:t>
      </w:r>
      <w:r w:rsidR="0016353D" w:rsidRPr="008400D2">
        <w:rPr>
          <w:szCs w:val="20"/>
        </w:rPr>
        <w:t xml:space="preserve">(states) </w:t>
      </w:r>
      <w:r w:rsidR="00010914" w:rsidRPr="008400D2">
        <w:rPr>
          <w:szCs w:val="20"/>
        </w:rPr>
        <w:t xml:space="preserve">closer together </w:t>
      </w:r>
      <w:r w:rsidR="00760407">
        <w:rPr>
          <w:szCs w:val="20"/>
        </w:rPr>
        <w:t>so they can</w:t>
      </w:r>
      <w:r w:rsidR="00010914" w:rsidRPr="008400D2">
        <w:rPr>
          <w:szCs w:val="20"/>
        </w:rPr>
        <w:t xml:space="preserve"> provide </w:t>
      </w:r>
      <w:r w:rsidR="009F49B2">
        <w:rPr>
          <w:szCs w:val="20"/>
        </w:rPr>
        <w:t xml:space="preserve">a similar standard of </w:t>
      </w:r>
      <w:r w:rsidR="00010914" w:rsidRPr="008400D2">
        <w:rPr>
          <w:szCs w:val="20"/>
        </w:rPr>
        <w:t>services</w:t>
      </w:r>
      <w:r w:rsidR="009F49B2">
        <w:rPr>
          <w:szCs w:val="20"/>
        </w:rPr>
        <w:t xml:space="preserve"> to their </w:t>
      </w:r>
      <w:r w:rsidR="00EE03FF">
        <w:rPr>
          <w:szCs w:val="20"/>
        </w:rPr>
        <w:t>residents</w:t>
      </w:r>
      <w:r w:rsidR="00010914" w:rsidRPr="008400D2">
        <w:rPr>
          <w:szCs w:val="20"/>
        </w:rPr>
        <w:t>.</w:t>
      </w:r>
    </w:p>
    <w:p w14:paraId="516B8D8C" w14:textId="76B75158" w:rsidR="00BE7590" w:rsidRPr="008400D2" w:rsidRDefault="00BE7590" w:rsidP="008400D2">
      <w:pPr>
        <w:rPr>
          <w:szCs w:val="20"/>
        </w:rPr>
      </w:pPr>
      <w:r w:rsidRPr="008400D2">
        <w:rPr>
          <w:szCs w:val="20"/>
        </w:rPr>
        <w:t xml:space="preserve">Today, the main responsibility of the Commission </w:t>
      </w:r>
      <w:r w:rsidRPr="008400D2" w:rsidDel="00DE2BCF">
        <w:rPr>
          <w:szCs w:val="20"/>
        </w:rPr>
        <w:t xml:space="preserve">is to </w:t>
      </w:r>
      <w:r w:rsidRPr="008400D2">
        <w:rPr>
          <w:szCs w:val="20"/>
        </w:rPr>
        <w:t>advise the Australian Government on the distribution of GST revenue to the states.</w:t>
      </w:r>
      <w:r w:rsidRPr="00105763">
        <w:rPr>
          <w:szCs w:val="20"/>
          <w:vertAlign w:val="superscript"/>
        </w:rPr>
        <w:footnoteReference w:id="2"/>
      </w:r>
      <w:r w:rsidRPr="008400D2">
        <w:rPr>
          <w:szCs w:val="20"/>
        </w:rPr>
        <w:t xml:space="preserve"> Due to their different service delivery needs and revenue raising abilities, each state requires a different amount of GST per person to be able to provide </w:t>
      </w:r>
      <w:r w:rsidR="00F57D45">
        <w:rPr>
          <w:szCs w:val="20"/>
        </w:rPr>
        <w:t xml:space="preserve">similar </w:t>
      </w:r>
      <w:r w:rsidRPr="008400D2">
        <w:rPr>
          <w:szCs w:val="20"/>
        </w:rPr>
        <w:t>services and infrastructure to its residents.</w:t>
      </w:r>
      <w:r w:rsidRPr="00105763">
        <w:rPr>
          <w:szCs w:val="20"/>
          <w:vertAlign w:val="superscript"/>
        </w:rPr>
        <w:footnoteReference w:id="3"/>
      </w:r>
      <w:r w:rsidRPr="008400D2">
        <w:rPr>
          <w:szCs w:val="20"/>
        </w:rPr>
        <w:t xml:space="preserve"> </w:t>
      </w:r>
    </w:p>
    <w:p w14:paraId="7C9EF6B1" w14:textId="1A7F4796" w:rsidR="009164DA" w:rsidRPr="008400D2" w:rsidRDefault="00E37BCB" w:rsidP="008400D2">
      <w:pPr>
        <w:rPr>
          <w:szCs w:val="20"/>
        </w:rPr>
      </w:pPr>
      <w:r>
        <w:rPr>
          <w:szCs w:val="20"/>
        </w:rPr>
        <w:t>The</w:t>
      </w:r>
      <w:r w:rsidR="00BE7590" w:rsidRPr="008400D2">
        <w:rPr>
          <w:szCs w:val="20"/>
        </w:rPr>
        <w:t xml:space="preserve"> Commission </w:t>
      </w:r>
      <w:r w:rsidR="00C95764">
        <w:rPr>
          <w:szCs w:val="20"/>
        </w:rPr>
        <w:t xml:space="preserve">currently </w:t>
      </w:r>
      <w:r w:rsidR="00BE7590" w:rsidRPr="008400D2">
        <w:rPr>
          <w:szCs w:val="20"/>
        </w:rPr>
        <w:t xml:space="preserve">comprises a chairperson and </w:t>
      </w:r>
      <w:r w:rsidR="00E348AE" w:rsidRPr="008400D2">
        <w:rPr>
          <w:szCs w:val="20"/>
        </w:rPr>
        <w:t>3</w:t>
      </w:r>
      <w:r w:rsidR="00BE7590" w:rsidRPr="008400D2">
        <w:rPr>
          <w:szCs w:val="20"/>
        </w:rPr>
        <w:t xml:space="preserve"> Commissioners, appointed by the Australian Government. Supporting them is </w:t>
      </w:r>
      <w:r w:rsidR="00EB4919">
        <w:rPr>
          <w:szCs w:val="20"/>
        </w:rPr>
        <w:t xml:space="preserve">an </w:t>
      </w:r>
      <w:r w:rsidR="00BE7590" w:rsidRPr="008400D2">
        <w:rPr>
          <w:szCs w:val="20"/>
        </w:rPr>
        <w:t>a</w:t>
      </w:r>
      <w:r w:rsidR="00802A23">
        <w:rPr>
          <w:szCs w:val="20"/>
        </w:rPr>
        <w:t>gency</w:t>
      </w:r>
      <w:r w:rsidR="00BE7590" w:rsidRPr="008400D2">
        <w:rPr>
          <w:szCs w:val="20"/>
        </w:rPr>
        <w:t xml:space="preserve"> of around 3</w:t>
      </w:r>
      <w:r w:rsidR="00631AEB" w:rsidRPr="008400D2">
        <w:rPr>
          <w:szCs w:val="20"/>
        </w:rPr>
        <w:t>5</w:t>
      </w:r>
      <w:r w:rsidR="00BE7590" w:rsidRPr="008400D2">
        <w:rPr>
          <w:szCs w:val="20"/>
        </w:rPr>
        <w:t xml:space="preserve"> staff. </w:t>
      </w:r>
      <w:r w:rsidR="005B65D3" w:rsidRPr="008400D2">
        <w:rPr>
          <w:szCs w:val="20"/>
        </w:rPr>
        <w:t xml:space="preserve">The Commission works closely with states </w:t>
      </w:r>
      <w:r w:rsidR="00646631" w:rsidRPr="008400D2">
        <w:rPr>
          <w:szCs w:val="20"/>
        </w:rPr>
        <w:t>to</w:t>
      </w:r>
      <w:r w:rsidR="00CE6952" w:rsidRPr="008400D2">
        <w:rPr>
          <w:szCs w:val="20"/>
        </w:rPr>
        <w:t xml:space="preserve"> develop </w:t>
      </w:r>
      <w:r w:rsidR="007167F9" w:rsidRPr="008400D2">
        <w:rPr>
          <w:szCs w:val="20"/>
        </w:rPr>
        <w:t xml:space="preserve">evidence-based </w:t>
      </w:r>
      <w:r w:rsidR="00A3773C" w:rsidRPr="008400D2">
        <w:rPr>
          <w:szCs w:val="20"/>
        </w:rPr>
        <w:t xml:space="preserve">recommendations </w:t>
      </w:r>
      <w:r w:rsidR="00646631" w:rsidRPr="008400D2">
        <w:rPr>
          <w:szCs w:val="20"/>
        </w:rPr>
        <w:t xml:space="preserve">on </w:t>
      </w:r>
      <w:r w:rsidR="009164DA" w:rsidRPr="008400D2">
        <w:rPr>
          <w:szCs w:val="20"/>
        </w:rPr>
        <w:t>GST distribution.</w:t>
      </w:r>
    </w:p>
    <w:p w14:paraId="26221425" w14:textId="2A4E7F7B" w:rsidR="00BE7590" w:rsidRPr="008400D2" w:rsidRDefault="00BE7590" w:rsidP="008400D2">
      <w:pPr>
        <w:rPr>
          <w:szCs w:val="20"/>
        </w:rPr>
      </w:pPr>
      <w:r w:rsidRPr="008400D2">
        <w:rPr>
          <w:szCs w:val="20"/>
        </w:rPr>
        <w:t>While many federations have equalisation arrangements, Australia</w:t>
      </w:r>
      <w:r w:rsidR="009164DA" w:rsidRPr="008400D2">
        <w:rPr>
          <w:szCs w:val="20"/>
        </w:rPr>
        <w:t xml:space="preserve"> is distinct </w:t>
      </w:r>
      <w:r w:rsidR="00BE1559" w:rsidRPr="008400D2">
        <w:rPr>
          <w:szCs w:val="20"/>
        </w:rPr>
        <w:t xml:space="preserve">in having </w:t>
      </w:r>
      <w:r w:rsidRPr="008400D2">
        <w:rPr>
          <w:szCs w:val="20"/>
        </w:rPr>
        <w:t xml:space="preserve">an </w:t>
      </w:r>
      <w:r w:rsidR="00613E22">
        <w:rPr>
          <w:szCs w:val="20"/>
        </w:rPr>
        <w:t xml:space="preserve">ongoing, </w:t>
      </w:r>
      <w:r w:rsidRPr="008400D2">
        <w:rPr>
          <w:szCs w:val="20"/>
        </w:rPr>
        <w:t>independent and specialist agency</w:t>
      </w:r>
      <w:r w:rsidR="00D34F2F" w:rsidRPr="008400D2">
        <w:rPr>
          <w:szCs w:val="20"/>
        </w:rPr>
        <w:t xml:space="preserve"> for this purpose</w:t>
      </w:r>
      <w:r w:rsidRPr="008400D2">
        <w:rPr>
          <w:szCs w:val="20"/>
        </w:rPr>
        <w:t>.</w:t>
      </w:r>
      <w:r w:rsidR="00B85102" w:rsidRPr="008400D2">
        <w:rPr>
          <w:szCs w:val="20"/>
        </w:rPr>
        <w:t xml:space="preserve"> Australia also has </w:t>
      </w:r>
      <w:r w:rsidR="00DA4B49">
        <w:rPr>
          <w:szCs w:val="20"/>
        </w:rPr>
        <w:t xml:space="preserve">a more </w:t>
      </w:r>
      <w:r w:rsidR="00B85102" w:rsidRPr="008400D2">
        <w:rPr>
          <w:szCs w:val="20"/>
        </w:rPr>
        <w:t xml:space="preserve">comprehensive </w:t>
      </w:r>
      <w:r w:rsidR="00863DF2">
        <w:rPr>
          <w:szCs w:val="20"/>
        </w:rPr>
        <w:t xml:space="preserve">approach to </w:t>
      </w:r>
      <w:r w:rsidR="00B85102" w:rsidRPr="008400D2">
        <w:rPr>
          <w:szCs w:val="20"/>
        </w:rPr>
        <w:t>equalisation</w:t>
      </w:r>
      <w:r w:rsidR="00863DF2">
        <w:rPr>
          <w:szCs w:val="20"/>
        </w:rPr>
        <w:t xml:space="preserve"> than other countries</w:t>
      </w:r>
      <w:r w:rsidR="00F34F59">
        <w:rPr>
          <w:szCs w:val="20"/>
        </w:rPr>
        <w:t>,</w:t>
      </w:r>
      <w:r w:rsidR="00E62528">
        <w:rPr>
          <w:szCs w:val="20"/>
        </w:rPr>
        <w:t xml:space="preserve"> covering both </w:t>
      </w:r>
      <w:r w:rsidR="00DD34F9">
        <w:rPr>
          <w:szCs w:val="20"/>
        </w:rPr>
        <w:t>service delivery needs and revenue ra</w:t>
      </w:r>
      <w:r w:rsidR="00422F56">
        <w:rPr>
          <w:szCs w:val="20"/>
        </w:rPr>
        <w:t>ising capacit</w:t>
      </w:r>
      <w:r w:rsidR="00A86BB6">
        <w:rPr>
          <w:szCs w:val="20"/>
        </w:rPr>
        <w:t>ies</w:t>
      </w:r>
      <w:r w:rsidR="00873D8E">
        <w:rPr>
          <w:szCs w:val="20"/>
        </w:rPr>
        <w:t>.</w:t>
      </w:r>
      <w:r w:rsidRPr="00105763">
        <w:rPr>
          <w:szCs w:val="20"/>
          <w:vertAlign w:val="superscript"/>
        </w:rPr>
        <w:footnoteReference w:id="4"/>
      </w:r>
    </w:p>
    <w:p w14:paraId="4A8E6206" w14:textId="1B790AC5" w:rsidR="00105763" w:rsidRPr="008400D2" w:rsidRDefault="00105763" w:rsidP="00105763">
      <w:pPr>
        <w:rPr>
          <w:szCs w:val="20"/>
        </w:rPr>
      </w:pPr>
      <w:r w:rsidRPr="008400D2">
        <w:rPr>
          <w:szCs w:val="20"/>
        </w:rPr>
        <w:t>This occasional paper presents a concise history of the Commission's work over the</w:t>
      </w:r>
      <w:r w:rsidR="00BB4E8D">
        <w:rPr>
          <w:szCs w:val="20"/>
        </w:rPr>
        <w:t xml:space="preserve"> past 90 years.</w:t>
      </w:r>
      <w:r w:rsidRPr="008400D2">
        <w:rPr>
          <w:szCs w:val="20"/>
        </w:rPr>
        <w:t xml:space="preserve"> It </w:t>
      </w:r>
      <w:r w:rsidR="009A62A5">
        <w:rPr>
          <w:szCs w:val="20"/>
        </w:rPr>
        <w:t xml:space="preserve">describes </w:t>
      </w:r>
      <w:r w:rsidR="009A62A5" w:rsidRPr="008400D2">
        <w:rPr>
          <w:szCs w:val="20"/>
        </w:rPr>
        <w:t>the</w:t>
      </w:r>
      <w:r w:rsidR="00FC2E22">
        <w:rPr>
          <w:szCs w:val="20"/>
        </w:rPr>
        <w:t xml:space="preserve"> Commission’s</w:t>
      </w:r>
      <w:r w:rsidRPr="008400D2">
        <w:rPr>
          <w:szCs w:val="20"/>
        </w:rPr>
        <w:t xml:space="preserve"> activities in the context of broad developments in Australia’s Commonwealth-state financial relations.</w:t>
      </w:r>
    </w:p>
    <w:p w14:paraId="6724BC52" w14:textId="4F4B3C9D" w:rsidR="00DC2263" w:rsidRDefault="00BE7590" w:rsidP="008400D2">
      <w:pPr>
        <w:rPr>
          <w:szCs w:val="20"/>
        </w:rPr>
      </w:pPr>
      <w:r w:rsidRPr="008400D2">
        <w:rPr>
          <w:szCs w:val="20"/>
        </w:rPr>
        <w:t>The Commission’s 90-year history has 2 distinct eras</w:t>
      </w:r>
      <w:r w:rsidR="007116FB">
        <w:rPr>
          <w:szCs w:val="20"/>
        </w:rPr>
        <w:t xml:space="preserve">. </w:t>
      </w:r>
      <w:r w:rsidR="004C3266">
        <w:rPr>
          <w:szCs w:val="20"/>
        </w:rPr>
        <w:t xml:space="preserve">Initially, </w:t>
      </w:r>
      <w:r w:rsidR="00100A4B">
        <w:rPr>
          <w:szCs w:val="20"/>
        </w:rPr>
        <w:t xml:space="preserve">the Commission made recommendations on </w:t>
      </w:r>
      <w:r w:rsidR="001C0F1F">
        <w:rPr>
          <w:szCs w:val="20"/>
        </w:rPr>
        <w:t xml:space="preserve">‘special </w:t>
      </w:r>
      <w:r w:rsidR="000F66A1">
        <w:rPr>
          <w:szCs w:val="20"/>
        </w:rPr>
        <w:t>grants</w:t>
      </w:r>
      <w:r w:rsidR="001C0F1F">
        <w:rPr>
          <w:szCs w:val="20"/>
        </w:rPr>
        <w:t>’</w:t>
      </w:r>
      <w:r w:rsidR="000F66A1">
        <w:rPr>
          <w:szCs w:val="20"/>
        </w:rPr>
        <w:t xml:space="preserve"> for </w:t>
      </w:r>
      <w:r w:rsidR="007014F1">
        <w:rPr>
          <w:szCs w:val="20"/>
        </w:rPr>
        <w:t>the fiscally weaker states</w:t>
      </w:r>
      <w:r w:rsidR="001C0F1F">
        <w:rPr>
          <w:szCs w:val="20"/>
        </w:rPr>
        <w:t xml:space="preserve">. Since the late 1970s, </w:t>
      </w:r>
      <w:r w:rsidR="001612DA">
        <w:rPr>
          <w:szCs w:val="20"/>
        </w:rPr>
        <w:t>funds</w:t>
      </w:r>
      <w:r w:rsidR="001C0F1F">
        <w:rPr>
          <w:szCs w:val="20"/>
        </w:rPr>
        <w:t xml:space="preserve"> have </w:t>
      </w:r>
      <w:r w:rsidR="00A85414">
        <w:rPr>
          <w:szCs w:val="20"/>
        </w:rPr>
        <w:t>been</w:t>
      </w:r>
      <w:r w:rsidR="0000258E">
        <w:rPr>
          <w:szCs w:val="20"/>
        </w:rPr>
        <w:t xml:space="preserve"> </w:t>
      </w:r>
      <w:r w:rsidR="00670A21">
        <w:rPr>
          <w:szCs w:val="20"/>
        </w:rPr>
        <w:t>distributed</w:t>
      </w:r>
      <w:r w:rsidR="00734997">
        <w:rPr>
          <w:szCs w:val="20"/>
        </w:rPr>
        <w:t xml:space="preserve"> </w:t>
      </w:r>
      <w:r w:rsidR="00073EF7">
        <w:rPr>
          <w:szCs w:val="20"/>
        </w:rPr>
        <w:t xml:space="preserve">to states </w:t>
      </w:r>
      <w:r w:rsidR="00734997">
        <w:rPr>
          <w:szCs w:val="20"/>
        </w:rPr>
        <w:t>on a zero</w:t>
      </w:r>
      <w:r w:rsidR="003A039B">
        <w:rPr>
          <w:szCs w:val="20"/>
        </w:rPr>
        <w:t>-</w:t>
      </w:r>
      <w:r w:rsidR="00734997">
        <w:rPr>
          <w:szCs w:val="20"/>
        </w:rPr>
        <w:t>sum basis</w:t>
      </w:r>
      <w:r w:rsidR="00BE0595">
        <w:rPr>
          <w:szCs w:val="20"/>
        </w:rPr>
        <w:t>,</w:t>
      </w:r>
      <w:r w:rsidR="0000258E">
        <w:rPr>
          <w:szCs w:val="20"/>
        </w:rPr>
        <w:t xml:space="preserve"> </w:t>
      </w:r>
      <w:r w:rsidR="0020330B">
        <w:rPr>
          <w:szCs w:val="20"/>
        </w:rPr>
        <w:t>meaning a</w:t>
      </w:r>
      <w:r w:rsidR="00D46303" w:rsidRPr="00BC6B35">
        <w:rPr>
          <w:szCs w:val="20"/>
        </w:rPr>
        <w:t xml:space="preserve"> change in the share of one state affect</w:t>
      </w:r>
      <w:r w:rsidR="0020330B">
        <w:rPr>
          <w:szCs w:val="20"/>
        </w:rPr>
        <w:t>s</w:t>
      </w:r>
      <w:r w:rsidR="00D46303" w:rsidRPr="00BC6B35">
        <w:rPr>
          <w:szCs w:val="20"/>
        </w:rPr>
        <w:t xml:space="preserve"> the shares of all other states.</w:t>
      </w:r>
      <w:r w:rsidR="0020330B">
        <w:rPr>
          <w:szCs w:val="20"/>
        </w:rPr>
        <w:t xml:space="preserve"> </w:t>
      </w:r>
      <w:r w:rsidR="00BB506B">
        <w:rPr>
          <w:szCs w:val="20"/>
        </w:rPr>
        <w:t>T</w:t>
      </w:r>
      <w:r w:rsidR="0000258E">
        <w:rPr>
          <w:szCs w:val="20"/>
        </w:rPr>
        <w:t xml:space="preserve">he fiscally weaker states receive a greater </w:t>
      </w:r>
      <w:r w:rsidR="005C0F14">
        <w:rPr>
          <w:szCs w:val="20"/>
        </w:rPr>
        <w:t xml:space="preserve">per person </w:t>
      </w:r>
      <w:r w:rsidR="0000258E">
        <w:rPr>
          <w:szCs w:val="20"/>
        </w:rPr>
        <w:t xml:space="preserve">share </w:t>
      </w:r>
      <w:r w:rsidR="00FF772D">
        <w:rPr>
          <w:szCs w:val="20"/>
        </w:rPr>
        <w:t xml:space="preserve">of the pool of funds </w:t>
      </w:r>
      <w:r w:rsidR="0000258E">
        <w:rPr>
          <w:szCs w:val="20"/>
        </w:rPr>
        <w:t>than the fiscally stronger states</w:t>
      </w:r>
      <w:r w:rsidRPr="008400D2">
        <w:rPr>
          <w:szCs w:val="20"/>
        </w:rPr>
        <w:t xml:space="preserve">. During both periods, the principle of financial need has informed the Commission’s deliberations. </w:t>
      </w:r>
    </w:p>
    <w:p w14:paraId="6F5BD807" w14:textId="0D9EE709" w:rsidR="005D107C" w:rsidRDefault="00454176" w:rsidP="008400D2">
      <w:pPr>
        <w:rPr>
          <w:szCs w:val="20"/>
        </w:rPr>
      </w:pPr>
      <w:r>
        <w:rPr>
          <w:szCs w:val="20"/>
        </w:rPr>
        <w:t xml:space="preserve">This Occasional Paper draws on </w:t>
      </w:r>
      <w:r w:rsidR="005F0806">
        <w:rPr>
          <w:szCs w:val="20"/>
        </w:rPr>
        <w:t>4</w:t>
      </w:r>
      <w:r w:rsidR="005D107C">
        <w:rPr>
          <w:szCs w:val="20"/>
        </w:rPr>
        <w:t xml:space="preserve"> histories of the Commission:</w:t>
      </w:r>
    </w:p>
    <w:p w14:paraId="37424853" w14:textId="4AC12957" w:rsidR="00454176" w:rsidRPr="00956594" w:rsidRDefault="0047215D" w:rsidP="008C709C">
      <w:pPr>
        <w:pStyle w:val="CGCbullet1"/>
        <w:rPr>
          <w:rStyle w:val="IntenseReference"/>
          <w:b w:val="0"/>
          <w:bCs/>
          <w:smallCaps w:val="0"/>
          <w:color w:val="000000"/>
          <w:spacing w:val="0"/>
        </w:rPr>
      </w:pPr>
      <w:r w:rsidRPr="008C709C">
        <w:rPr>
          <w:rStyle w:val="IntenseReference"/>
          <w:b w:val="0"/>
          <w:smallCaps w:val="0"/>
          <w:color w:val="000000"/>
          <w:spacing w:val="0"/>
        </w:rPr>
        <w:t xml:space="preserve">R Williams, ‘Federal-State Financial Relations in Australia: The Role of the Commonwealth Grants Commission’, </w:t>
      </w:r>
      <w:r w:rsidRPr="00654790">
        <w:rPr>
          <w:rStyle w:val="IntenseReference"/>
          <w:b w:val="0"/>
          <w:i/>
          <w:smallCaps w:val="0"/>
          <w:color w:val="000000"/>
          <w:spacing w:val="0"/>
        </w:rPr>
        <w:t>Australian Economic Review</w:t>
      </w:r>
      <w:r w:rsidRPr="008C709C">
        <w:rPr>
          <w:rStyle w:val="IntenseReference"/>
          <w:b w:val="0"/>
          <w:smallCaps w:val="0"/>
          <w:color w:val="000000"/>
          <w:spacing w:val="0"/>
        </w:rPr>
        <w:t>, 2005, 38(1):3</w:t>
      </w:r>
    </w:p>
    <w:p w14:paraId="16DD8BD0" w14:textId="30B1B02B" w:rsidR="00956594" w:rsidRPr="007B358F" w:rsidRDefault="00956594" w:rsidP="008C709C">
      <w:pPr>
        <w:pStyle w:val="CGCbullet1"/>
      </w:pPr>
      <w:r>
        <w:rPr>
          <w:rStyle w:val="IntenseReference"/>
          <w:b w:val="0"/>
          <w:smallCaps w:val="0"/>
          <w:color w:val="000000"/>
          <w:spacing w:val="0"/>
        </w:rPr>
        <w:t>R Williams, ‘History of federal-state fiscal relations in Australia</w:t>
      </w:r>
      <w:r w:rsidR="00541847">
        <w:rPr>
          <w:rStyle w:val="IntenseReference"/>
          <w:b w:val="0"/>
          <w:smallCaps w:val="0"/>
          <w:color w:val="000000"/>
          <w:spacing w:val="0"/>
        </w:rPr>
        <w:t>’</w:t>
      </w:r>
      <w:r w:rsidR="00886A15">
        <w:rPr>
          <w:rStyle w:val="IntenseReference"/>
          <w:b w:val="0"/>
          <w:smallCaps w:val="0"/>
          <w:color w:val="000000"/>
          <w:spacing w:val="0"/>
        </w:rPr>
        <w:t xml:space="preserve">, </w:t>
      </w:r>
      <w:r w:rsidR="00886A15" w:rsidRPr="002D1BFE">
        <w:rPr>
          <w:rStyle w:val="IntenseReference"/>
          <w:b w:val="0"/>
          <w:i/>
          <w:smallCaps w:val="0"/>
          <w:color w:val="000000"/>
          <w:spacing w:val="0"/>
        </w:rPr>
        <w:t>Australian Economic Review</w:t>
      </w:r>
      <w:r w:rsidR="00886A15">
        <w:rPr>
          <w:rStyle w:val="IntenseReference"/>
          <w:b w:val="0"/>
          <w:smallCaps w:val="0"/>
          <w:color w:val="000000"/>
          <w:spacing w:val="0"/>
        </w:rPr>
        <w:t xml:space="preserve">, 2012, </w:t>
      </w:r>
      <w:r w:rsidR="00F71888">
        <w:rPr>
          <w:rStyle w:val="IntenseReference"/>
          <w:b w:val="0"/>
          <w:smallCaps w:val="0"/>
          <w:color w:val="000000"/>
          <w:spacing w:val="0"/>
        </w:rPr>
        <w:t>45(2)</w:t>
      </w:r>
    </w:p>
    <w:p w14:paraId="4AA46E31" w14:textId="77777777" w:rsidR="00E34CBF" w:rsidRPr="00D77468" w:rsidRDefault="0023599F" w:rsidP="008C709C">
      <w:pPr>
        <w:pStyle w:val="CGCbullet1"/>
        <w:rPr>
          <w:rStyle w:val="IntenseReference"/>
          <w:b w:val="0"/>
          <w:bCs/>
          <w:smallCaps w:val="0"/>
          <w:color w:val="000000"/>
          <w:spacing w:val="0"/>
        </w:rPr>
      </w:pPr>
      <w:r w:rsidRPr="008C709C">
        <w:rPr>
          <w:rStyle w:val="IntenseReference"/>
          <w:b w:val="0"/>
          <w:smallCaps w:val="0"/>
          <w:color w:val="000000"/>
          <w:spacing w:val="0"/>
        </w:rPr>
        <w:t xml:space="preserve">the second edition of </w:t>
      </w:r>
      <w:r w:rsidRPr="00654790">
        <w:rPr>
          <w:rStyle w:val="IntenseReference"/>
          <w:b w:val="0"/>
          <w:i/>
          <w:smallCaps w:val="0"/>
          <w:color w:val="000000"/>
          <w:spacing w:val="0"/>
        </w:rPr>
        <w:t>Equality in Diversity</w:t>
      </w:r>
      <w:r w:rsidRPr="008C709C">
        <w:rPr>
          <w:rStyle w:val="IntenseReference"/>
          <w:b w:val="0"/>
          <w:smallCaps w:val="0"/>
          <w:color w:val="000000"/>
          <w:spacing w:val="0"/>
        </w:rPr>
        <w:t xml:space="preserve">, covering the period from 1933 to </w:t>
      </w:r>
      <w:proofErr w:type="gramStart"/>
      <w:r w:rsidRPr="008C709C">
        <w:rPr>
          <w:rStyle w:val="IntenseReference"/>
          <w:b w:val="0"/>
          <w:smallCaps w:val="0"/>
          <w:color w:val="000000"/>
          <w:spacing w:val="0"/>
        </w:rPr>
        <w:t>1993</w:t>
      </w:r>
      <w:proofErr w:type="gramEnd"/>
    </w:p>
    <w:p w14:paraId="583DA3BE" w14:textId="146132A6" w:rsidR="005D107C" w:rsidRPr="00A83A30" w:rsidRDefault="00A95935" w:rsidP="008C709C">
      <w:pPr>
        <w:pStyle w:val="CGCbullet1"/>
      </w:pPr>
      <w:r w:rsidRPr="00A95935">
        <w:rPr>
          <w:rStyle w:val="IntenseReference"/>
          <w:b w:val="0"/>
          <w:i/>
          <w:iCs/>
          <w:smallCaps w:val="0"/>
          <w:color w:val="000000"/>
          <w:spacing w:val="0"/>
        </w:rPr>
        <w:t xml:space="preserve">The Commonwealth Grants Commission: </w:t>
      </w:r>
      <w:r w:rsidR="0023599F" w:rsidRPr="00A95935">
        <w:rPr>
          <w:rStyle w:val="IntenseReference"/>
          <w:b w:val="0"/>
          <w:i/>
          <w:iCs/>
          <w:smallCaps w:val="0"/>
          <w:color w:val="000000"/>
          <w:spacing w:val="0"/>
        </w:rPr>
        <w:t>The Last 25 Years</w:t>
      </w:r>
      <w:r w:rsidR="0023599F" w:rsidRPr="008C709C">
        <w:rPr>
          <w:rStyle w:val="IntenseReference"/>
          <w:b w:val="0"/>
          <w:smallCaps w:val="0"/>
          <w:color w:val="000000"/>
          <w:spacing w:val="0"/>
        </w:rPr>
        <w:t>, covering the period from 1983 to 2008</w:t>
      </w:r>
      <w:r w:rsidR="001E1A94" w:rsidRPr="008C709C">
        <w:rPr>
          <w:rStyle w:val="IntenseReference"/>
          <w:b w:val="0"/>
          <w:smallCaps w:val="0"/>
          <w:color w:val="000000"/>
          <w:spacing w:val="0"/>
        </w:rPr>
        <w:t>.</w:t>
      </w:r>
      <w:r w:rsidR="00E610A0" w:rsidRPr="00A95935">
        <w:rPr>
          <w:rStyle w:val="FootnoteReference"/>
          <w:bCs w:val="0"/>
          <w:sz w:val="20"/>
          <w:szCs w:val="20"/>
          <w:vertAlign w:val="superscript"/>
        </w:rPr>
        <w:footnoteReference w:id="5"/>
      </w:r>
    </w:p>
    <w:p w14:paraId="1171D33E" w14:textId="73C35F5D" w:rsidR="00DC2263" w:rsidRDefault="00BA3EA9" w:rsidP="0076349F">
      <w:pPr>
        <w:pStyle w:val="Heading2"/>
      </w:pPr>
      <w:r w:rsidRPr="00D94017">
        <w:rPr>
          <w:noProof/>
        </w:rPr>
        <w:lastRenderedPageBreak/>
        <mc:AlternateContent>
          <mc:Choice Requires="wps">
            <w:drawing>
              <wp:inline distT="0" distB="0" distL="114300" distR="114300" wp14:anchorId="4640E406" wp14:editId="4C7367BC">
                <wp:extent cx="5731510" cy="2019300"/>
                <wp:effectExtent l="0" t="0" r="2540" b="0"/>
                <wp:docPr id="389670047" name="Rectangle 3896700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1510" cy="2019300"/>
                        </a:xfrm>
                        <a:prstGeom prst="rect">
                          <a:avLst/>
                        </a:prstGeom>
                        <a:solidFill>
                          <a:srgbClr val="E5F8FF"/>
                        </a:solidFill>
                        <a:ln w="25400" cap="flat" cmpd="sng" algn="ctr">
                          <a:noFill/>
                          <a:prstDash val="solid"/>
                        </a:ln>
                        <a:effectLst/>
                      </wps:spPr>
                      <wps:txbx>
                        <w:txbxContent>
                          <w:p w14:paraId="2BB16A5D" w14:textId="2F915E92" w:rsidR="00422954" w:rsidRPr="00422954" w:rsidRDefault="00804A81" w:rsidP="00A72FA8">
                            <w:pPr>
                              <w:ind w:left="113"/>
                              <w:rPr>
                                <w:b/>
                                <w:bCs/>
                              </w:rPr>
                            </w:pPr>
                            <w:r>
                              <w:rPr>
                                <w:b/>
                                <w:bCs/>
                              </w:rPr>
                              <w:t xml:space="preserve">Horizontal fiscal imbalance and </w:t>
                            </w:r>
                            <w:r w:rsidR="00BC3257">
                              <w:rPr>
                                <w:b/>
                                <w:bCs/>
                              </w:rPr>
                              <w:t xml:space="preserve">Vertical fiscal </w:t>
                            </w:r>
                            <w:r w:rsidR="00D95F02">
                              <w:rPr>
                                <w:b/>
                                <w:bCs/>
                              </w:rPr>
                              <w:t>imbalance</w:t>
                            </w:r>
                            <w:r w:rsidR="00BC3257">
                              <w:rPr>
                                <w:b/>
                                <w:bCs/>
                              </w:rPr>
                              <w:t xml:space="preserve"> </w:t>
                            </w:r>
                          </w:p>
                          <w:p w14:paraId="7803D275" w14:textId="4840E09E" w:rsidR="00E940BA" w:rsidRPr="00DA591B" w:rsidRDefault="00E940BA" w:rsidP="00A72FA8">
                            <w:pPr>
                              <w:ind w:left="113"/>
                            </w:pPr>
                            <w:r w:rsidRPr="00DA591B">
                              <w:t xml:space="preserve">Within the Australian Federation there is a fiscal imbalance between the states, but also between the Commonwealth and the states. Much of this paper discusses the fiscal imbalances that exist </w:t>
                            </w:r>
                            <w:r w:rsidRPr="00D95F02">
                              <w:rPr>
                                <w:i/>
                                <w:iCs/>
                              </w:rPr>
                              <w:t>between</w:t>
                            </w:r>
                            <w:r w:rsidRPr="00DA591B">
                              <w:t xml:space="preserve"> states, which is known as a horizontal fiscal imbalance, and the process that </w:t>
                            </w:r>
                            <w:r w:rsidR="00EB02AE">
                              <w:t>mitigate</w:t>
                            </w:r>
                            <w:r w:rsidR="0090173B">
                              <w:t>s</w:t>
                            </w:r>
                            <w:r w:rsidRPr="00DA591B">
                              <w:t xml:space="preserve"> this, horizontal fiscal equalisation</w:t>
                            </w:r>
                            <w:r w:rsidR="00A221C5">
                              <w:t>.</w:t>
                            </w:r>
                            <w:r w:rsidRPr="00DA591B">
                              <w:t xml:space="preserve"> </w:t>
                            </w:r>
                          </w:p>
                          <w:p w14:paraId="45ADBF73" w14:textId="308D099B" w:rsidR="00BA3EA9" w:rsidRPr="00516BAE" w:rsidRDefault="00804A81" w:rsidP="00A72FA8">
                            <w:pPr>
                              <w:ind w:left="113"/>
                            </w:pPr>
                            <w:r>
                              <w:t>V</w:t>
                            </w:r>
                            <w:r w:rsidRPr="00DA591B">
                              <w:t xml:space="preserve">ertical fiscal imbalance </w:t>
                            </w:r>
                            <w:r>
                              <w:t>refers to t</w:t>
                            </w:r>
                            <w:r w:rsidR="00E940BA" w:rsidRPr="00DA591B">
                              <w:t xml:space="preserve">he difference </w:t>
                            </w:r>
                            <w:r w:rsidR="00FE6CEF">
                              <w:t xml:space="preserve">in fiscal capacity </w:t>
                            </w:r>
                            <w:r w:rsidR="00E940BA" w:rsidRPr="00DA591B">
                              <w:t xml:space="preserve">between the Commonwealth and the states. This </w:t>
                            </w:r>
                            <w:r>
                              <w:t xml:space="preserve">reflects </w:t>
                            </w:r>
                            <w:r w:rsidR="00E940BA" w:rsidRPr="00DA591B">
                              <w:t xml:space="preserve">the </w:t>
                            </w:r>
                            <w:r>
                              <w:t xml:space="preserve">greater </w:t>
                            </w:r>
                            <w:r w:rsidR="00E940BA" w:rsidRPr="00DA591B">
                              <w:t xml:space="preserve">capacity of the Commonwealth to raise revenue, while states </w:t>
                            </w:r>
                            <w:r w:rsidR="00DB4D4B">
                              <w:t>remain responsible for</w:t>
                            </w:r>
                            <w:r w:rsidR="00E940BA" w:rsidRPr="00DA591B">
                              <w:t xml:space="preserve"> providing </w:t>
                            </w:r>
                            <w:r w:rsidR="00DB4D4B">
                              <w:t>many</w:t>
                            </w:r>
                            <w:r w:rsidR="00E940BA" w:rsidRPr="00DA591B">
                              <w:t xml:space="preserve"> services. </w:t>
                            </w:r>
                            <w:r>
                              <w:t>In this paper, it is only discussed where it is relevant to the Commission’s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40E406" id="Rectangle 389670047" o:spid="_x0000_s1030" alt="&quot;&quot;" style="width:451.3pt;height:1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" fillcolor="#e5f8ff" stroked="f" strokeweight="2pt">
                <v:textbox>
                  <w:txbxContent>
                    <w:p w14:paraId="2BB16A5D" w14:textId="2F915E92" w:rsidR="00422954" w:rsidRPr="00422954" w:rsidRDefault="00804A81" w:rsidP="00A72FA8">
                      <w:pPr>
                        <w:ind w:left="113"/>
                        <w:rPr>
                          <w:b/>
                          <w:bCs/>
                        </w:rPr>
                      </w:pPr>
                      <w:r>
                        <w:rPr>
                          <w:b/>
                          <w:bCs/>
                        </w:rPr>
                        <w:t xml:space="preserve">Horizontal fiscal imbalance and </w:t>
                      </w:r>
                      <w:r w:rsidR="00BC3257">
                        <w:rPr>
                          <w:b/>
                          <w:bCs/>
                        </w:rPr>
                        <w:t xml:space="preserve">Vertical fiscal </w:t>
                      </w:r>
                      <w:r w:rsidR="00D95F02">
                        <w:rPr>
                          <w:b/>
                          <w:bCs/>
                        </w:rPr>
                        <w:t>imbalance</w:t>
                      </w:r>
                      <w:r w:rsidR="00BC3257">
                        <w:rPr>
                          <w:b/>
                          <w:bCs/>
                        </w:rPr>
                        <w:t xml:space="preserve"> </w:t>
                      </w:r>
                    </w:p>
                    <w:p w14:paraId="7803D275" w14:textId="4840E09E" w:rsidR="00E940BA" w:rsidRPr="00DA591B" w:rsidRDefault="00E940BA" w:rsidP="00A72FA8">
                      <w:pPr>
                        <w:ind w:left="113"/>
                      </w:pPr>
                      <w:r w:rsidRPr="00DA591B">
                        <w:t xml:space="preserve">Within the Australian Federation there is a fiscal imbalance between the states, but also between the Commonwealth and the states. Much of this paper discusses the fiscal imbalances that exist </w:t>
                      </w:r>
                      <w:r w:rsidRPr="00D95F02">
                        <w:rPr>
                          <w:i/>
                          <w:iCs/>
                        </w:rPr>
                        <w:t>between</w:t>
                      </w:r>
                      <w:r w:rsidRPr="00DA591B">
                        <w:t xml:space="preserve"> states, which is known as a horizontal fiscal imbalance, and the process that </w:t>
                      </w:r>
                      <w:r w:rsidR="00EB02AE">
                        <w:t>mitigate</w:t>
                      </w:r>
                      <w:r w:rsidR="0090173B">
                        <w:t>s</w:t>
                      </w:r>
                      <w:r w:rsidRPr="00DA591B">
                        <w:t xml:space="preserve"> this, horizontal fiscal equalisation</w:t>
                      </w:r>
                      <w:r w:rsidR="00A221C5">
                        <w:t>.</w:t>
                      </w:r>
                      <w:r w:rsidRPr="00DA591B">
                        <w:t xml:space="preserve"> </w:t>
                      </w:r>
                    </w:p>
                    <w:p w14:paraId="45ADBF73" w14:textId="308D099B" w:rsidR="00BA3EA9" w:rsidRPr="00516BAE" w:rsidRDefault="00804A81" w:rsidP="00A72FA8">
                      <w:pPr>
                        <w:ind w:left="113"/>
                      </w:pPr>
                      <w:r>
                        <w:t>V</w:t>
                      </w:r>
                      <w:r w:rsidRPr="00DA591B">
                        <w:t xml:space="preserve">ertical fiscal imbalance </w:t>
                      </w:r>
                      <w:r>
                        <w:t>refers to t</w:t>
                      </w:r>
                      <w:r w:rsidR="00E940BA" w:rsidRPr="00DA591B">
                        <w:t xml:space="preserve">he difference </w:t>
                      </w:r>
                      <w:r w:rsidR="00FE6CEF">
                        <w:t xml:space="preserve">in fiscal capacity </w:t>
                      </w:r>
                      <w:r w:rsidR="00E940BA" w:rsidRPr="00DA591B">
                        <w:t xml:space="preserve">between the Commonwealth and the states. This </w:t>
                      </w:r>
                      <w:r>
                        <w:t xml:space="preserve">reflects </w:t>
                      </w:r>
                      <w:r w:rsidR="00E940BA" w:rsidRPr="00DA591B">
                        <w:t xml:space="preserve">the </w:t>
                      </w:r>
                      <w:r>
                        <w:t xml:space="preserve">greater </w:t>
                      </w:r>
                      <w:r w:rsidR="00E940BA" w:rsidRPr="00DA591B">
                        <w:t xml:space="preserve">capacity of the Commonwealth to raise revenue, while states </w:t>
                      </w:r>
                      <w:r w:rsidR="00DB4D4B">
                        <w:t>remain responsible for</w:t>
                      </w:r>
                      <w:r w:rsidR="00E940BA" w:rsidRPr="00DA591B">
                        <w:t xml:space="preserve"> providing </w:t>
                      </w:r>
                      <w:r w:rsidR="00DB4D4B">
                        <w:t>many</w:t>
                      </w:r>
                      <w:r w:rsidR="00E940BA" w:rsidRPr="00DA591B">
                        <w:t xml:space="preserve"> services. </w:t>
                      </w:r>
                      <w:r>
                        <w:t>In this paper, it is only discussed where it is relevant to the Commission’s work.</w:t>
                      </w:r>
                    </w:p>
                  </w:txbxContent>
                </v:textbox>
                <w10:anchorlock/>
              </v:rect>
            </w:pict>
          </mc:Fallback>
        </mc:AlternateContent>
      </w:r>
    </w:p>
    <w:p w14:paraId="4E3F54A9" w14:textId="3B9D88B2" w:rsidR="0076349F" w:rsidRPr="00F05776" w:rsidRDefault="00080F8C" w:rsidP="0076349F">
      <w:pPr>
        <w:pStyle w:val="Heading2"/>
      </w:pPr>
      <w:r>
        <w:t>Post-</w:t>
      </w:r>
      <w:r w:rsidR="0076349F" w:rsidRPr="00F05776">
        <w:t>federation</w:t>
      </w:r>
      <w:r w:rsidR="00DF256B">
        <w:t>: before the Commission</w:t>
      </w:r>
      <w:r w:rsidR="00DC2263">
        <w:t xml:space="preserve"> </w:t>
      </w:r>
    </w:p>
    <w:p w14:paraId="23F86A5A" w14:textId="2FBC0454" w:rsidR="00DE2E2D" w:rsidRPr="008400D2" w:rsidRDefault="0076349F" w:rsidP="008400D2">
      <w:pPr>
        <w:rPr>
          <w:szCs w:val="20"/>
        </w:rPr>
      </w:pPr>
      <w:r w:rsidRPr="008400D2">
        <w:rPr>
          <w:szCs w:val="20"/>
        </w:rPr>
        <w:t xml:space="preserve">The establishment of the Commission in 1933 has its roots in Australia's federation. </w:t>
      </w:r>
    </w:p>
    <w:p w14:paraId="3A7F5F37" w14:textId="71644A5F" w:rsidR="00707457" w:rsidRDefault="0076349F" w:rsidP="008400D2">
      <w:pPr>
        <w:rPr>
          <w:szCs w:val="20"/>
        </w:rPr>
      </w:pPr>
      <w:r w:rsidRPr="008400D2">
        <w:rPr>
          <w:szCs w:val="20"/>
        </w:rPr>
        <w:t xml:space="preserve">When the colonies unified in 1901, they granted the </w:t>
      </w:r>
      <w:r w:rsidR="0047315B">
        <w:rPr>
          <w:szCs w:val="20"/>
        </w:rPr>
        <w:t>Commonwealth</w:t>
      </w:r>
      <w:r w:rsidRPr="008400D2">
        <w:rPr>
          <w:szCs w:val="20"/>
        </w:rPr>
        <w:t xml:space="preserve"> the authority to collect customs and excise duties, while the</w:t>
      </w:r>
      <w:r w:rsidR="00683EFC" w:rsidRPr="008400D2">
        <w:rPr>
          <w:szCs w:val="20"/>
        </w:rPr>
        <w:t>y</w:t>
      </w:r>
      <w:r w:rsidRPr="008400D2">
        <w:rPr>
          <w:szCs w:val="20"/>
        </w:rPr>
        <w:t xml:space="preserve"> retained responsibility for delivering most government services. </w:t>
      </w:r>
      <w:r w:rsidR="009251E2">
        <w:rPr>
          <w:szCs w:val="20"/>
        </w:rPr>
        <w:t xml:space="preserve">For </w:t>
      </w:r>
      <w:r w:rsidR="009E1B3C">
        <w:rPr>
          <w:szCs w:val="20"/>
        </w:rPr>
        <w:t xml:space="preserve">3 decades, </w:t>
      </w:r>
      <w:r w:rsidR="003E2C9A">
        <w:rPr>
          <w:szCs w:val="20"/>
        </w:rPr>
        <w:t>the Commonwealth gave states equal per person grants as compensation.</w:t>
      </w:r>
    </w:p>
    <w:p w14:paraId="6E9FB13B" w14:textId="0A055FB2" w:rsidR="0076349F" w:rsidRPr="008400D2" w:rsidRDefault="0076349F" w:rsidP="008400D2">
      <w:pPr>
        <w:rPr>
          <w:szCs w:val="20"/>
        </w:rPr>
      </w:pPr>
      <w:r w:rsidRPr="008400D2">
        <w:rPr>
          <w:szCs w:val="20"/>
        </w:rPr>
        <w:t xml:space="preserve">Starting in 1910, </w:t>
      </w:r>
      <w:r w:rsidR="00AB7B21">
        <w:rPr>
          <w:szCs w:val="20"/>
        </w:rPr>
        <w:t xml:space="preserve">additional </w:t>
      </w:r>
      <w:r w:rsidR="0047315B">
        <w:rPr>
          <w:szCs w:val="20"/>
        </w:rPr>
        <w:t>‘special</w:t>
      </w:r>
      <w:r w:rsidR="003E2C9A">
        <w:rPr>
          <w:szCs w:val="20"/>
        </w:rPr>
        <w:t xml:space="preserve"> </w:t>
      </w:r>
      <w:r w:rsidRPr="008400D2">
        <w:rPr>
          <w:szCs w:val="20"/>
        </w:rPr>
        <w:t>grants</w:t>
      </w:r>
      <w:r w:rsidR="00AB7B21">
        <w:rPr>
          <w:szCs w:val="20"/>
        </w:rPr>
        <w:t>’</w:t>
      </w:r>
      <w:r w:rsidRPr="008400D2">
        <w:rPr>
          <w:szCs w:val="20"/>
        </w:rPr>
        <w:t xml:space="preserve"> were </w:t>
      </w:r>
      <w:r w:rsidR="003E2C9A">
        <w:rPr>
          <w:szCs w:val="20"/>
        </w:rPr>
        <w:t>given</w:t>
      </w:r>
      <w:r w:rsidRPr="008400D2">
        <w:rPr>
          <w:szCs w:val="20"/>
        </w:rPr>
        <w:t xml:space="preserve"> to the financially weaker states — Western Australia, </w:t>
      </w:r>
      <w:proofErr w:type="gramStart"/>
      <w:r w:rsidRPr="008400D2">
        <w:rPr>
          <w:szCs w:val="20"/>
        </w:rPr>
        <w:t>Tasmania</w:t>
      </w:r>
      <w:proofErr w:type="gramEnd"/>
      <w:r w:rsidRPr="008400D2">
        <w:rPr>
          <w:szCs w:val="20"/>
        </w:rPr>
        <w:t xml:space="preserve"> and South Australia </w:t>
      </w:r>
      <w:r w:rsidR="001B3DA7">
        <w:rPr>
          <w:szCs w:val="20"/>
        </w:rPr>
        <w:t>–</w:t>
      </w:r>
      <w:r w:rsidRPr="008400D2">
        <w:rPr>
          <w:szCs w:val="20"/>
        </w:rPr>
        <w:t xml:space="preserve"> often on an </w:t>
      </w:r>
      <w:r w:rsidRPr="0047315B">
        <w:rPr>
          <w:i/>
          <w:szCs w:val="20"/>
        </w:rPr>
        <w:t>ad hoc</w:t>
      </w:r>
      <w:r w:rsidRPr="008400D2">
        <w:rPr>
          <w:szCs w:val="20"/>
        </w:rPr>
        <w:t xml:space="preserve"> basis</w:t>
      </w:r>
      <w:r w:rsidR="00CB7726">
        <w:rPr>
          <w:szCs w:val="20"/>
        </w:rPr>
        <w:t xml:space="preserve"> – for</w:t>
      </w:r>
      <w:r w:rsidR="00F15DFD">
        <w:rPr>
          <w:szCs w:val="20"/>
        </w:rPr>
        <w:t xml:space="preserve"> the purpose of </w:t>
      </w:r>
      <w:r w:rsidR="0095554E">
        <w:rPr>
          <w:szCs w:val="20"/>
        </w:rPr>
        <w:t>strengthening their fiscal positions</w:t>
      </w:r>
      <w:r w:rsidRPr="008400D2">
        <w:rPr>
          <w:szCs w:val="20"/>
        </w:rPr>
        <w:t>.</w:t>
      </w:r>
      <w:r w:rsidR="00FB646B">
        <w:rPr>
          <w:szCs w:val="20"/>
        </w:rPr>
        <w:t xml:space="preserve"> </w:t>
      </w:r>
    </w:p>
    <w:p w14:paraId="72BDA8CA" w14:textId="0E2FA7A4" w:rsidR="00AB7B21" w:rsidRDefault="0076349F" w:rsidP="008400D2">
      <w:pPr>
        <w:rPr>
          <w:szCs w:val="20"/>
        </w:rPr>
      </w:pPr>
      <w:r w:rsidRPr="008400D2">
        <w:rPr>
          <w:szCs w:val="20"/>
        </w:rPr>
        <w:t xml:space="preserve">In the 1920s, </w:t>
      </w:r>
      <w:r w:rsidR="0094699A">
        <w:rPr>
          <w:szCs w:val="20"/>
        </w:rPr>
        <w:t>it</w:t>
      </w:r>
      <w:r w:rsidRPr="008400D2">
        <w:rPr>
          <w:szCs w:val="20"/>
        </w:rPr>
        <w:t xml:space="preserve"> emerged that the fiscal disparities between states were more significant and persistent than initially thought. The process for determining special grants frequently </w:t>
      </w:r>
      <w:r w:rsidR="0095554E">
        <w:rPr>
          <w:szCs w:val="20"/>
        </w:rPr>
        <w:t xml:space="preserve">led to </w:t>
      </w:r>
      <w:r w:rsidRPr="008400D2">
        <w:rPr>
          <w:szCs w:val="20"/>
        </w:rPr>
        <w:t xml:space="preserve">disputes between the fiscally weaker states and the Commonwealth. </w:t>
      </w:r>
    </w:p>
    <w:p w14:paraId="74118F38" w14:textId="4FD5E87A" w:rsidR="001D49A6" w:rsidRDefault="00F071DB" w:rsidP="008400D2">
      <w:pPr>
        <w:rPr>
          <w:szCs w:val="20"/>
        </w:rPr>
      </w:pPr>
      <w:r>
        <w:rPr>
          <w:szCs w:val="20"/>
        </w:rPr>
        <w:t>T</w:t>
      </w:r>
      <w:r w:rsidR="0076349F" w:rsidRPr="008400D2">
        <w:rPr>
          <w:szCs w:val="20"/>
        </w:rPr>
        <w:t>he late 1920s and early 1930s</w:t>
      </w:r>
      <w:r>
        <w:rPr>
          <w:szCs w:val="20"/>
        </w:rPr>
        <w:t xml:space="preserve"> brought</w:t>
      </w:r>
      <w:r w:rsidR="0076349F" w:rsidRPr="008400D2">
        <w:rPr>
          <w:szCs w:val="20"/>
        </w:rPr>
        <w:t xml:space="preserve"> the Great Depression and the 1933 secession referendum in Western Australia</w:t>
      </w:r>
      <w:r w:rsidR="00412B7F">
        <w:rPr>
          <w:szCs w:val="20"/>
        </w:rPr>
        <w:t xml:space="preserve">. </w:t>
      </w:r>
      <w:r w:rsidR="00044C3A">
        <w:rPr>
          <w:szCs w:val="20"/>
        </w:rPr>
        <w:t>In this environment</w:t>
      </w:r>
      <w:r w:rsidR="0076349F" w:rsidRPr="008400D2">
        <w:rPr>
          <w:szCs w:val="20"/>
        </w:rPr>
        <w:t>, the idea of creating</w:t>
      </w:r>
      <w:r w:rsidR="0076349F" w:rsidRPr="008400D2" w:rsidDel="009A0B6E">
        <w:rPr>
          <w:szCs w:val="20"/>
        </w:rPr>
        <w:t xml:space="preserve"> </w:t>
      </w:r>
      <w:r w:rsidR="0076349F" w:rsidRPr="008400D2">
        <w:rPr>
          <w:szCs w:val="20"/>
        </w:rPr>
        <w:t xml:space="preserve">a permanent, independent institution to offer systematic advice to the Commonwealth regarding special grants gained momentum. </w:t>
      </w:r>
    </w:p>
    <w:p w14:paraId="7F5F1C77" w14:textId="26D85DCD" w:rsidR="0076349F" w:rsidRPr="008400D2" w:rsidRDefault="0076349F" w:rsidP="008400D2">
      <w:pPr>
        <w:rPr>
          <w:szCs w:val="20"/>
        </w:rPr>
      </w:pPr>
      <w:r w:rsidRPr="008400D2">
        <w:rPr>
          <w:szCs w:val="20"/>
        </w:rPr>
        <w:t>The government of Prime Minister J A Lyons embraced this proposal and established the Commission with the hope that impartial guidance would help mitigate political conflicts surrounding the issue.</w:t>
      </w:r>
      <w:r w:rsidRPr="008400D2" w:rsidDel="00A0707D">
        <w:rPr>
          <w:szCs w:val="20"/>
        </w:rPr>
        <w:t xml:space="preserve"> </w:t>
      </w:r>
      <w:r w:rsidRPr="008400D2">
        <w:rPr>
          <w:szCs w:val="20"/>
        </w:rPr>
        <w:t xml:space="preserve">The </w:t>
      </w:r>
      <w:r w:rsidRPr="008B379C">
        <w:rPr>
          <w:i/>
          <w:szCs w:val="20"/>
        </w:rPr>
        <w:t>Commonwealth Grants Commission Act 1933</w:t>
      </w:r>
      <w:r w:rsidRPr="008400D2">
        <w:rPr>
          <w:szCs w:val="20"/>
        </w:rPr>
        <w:t xml:space="preserve"> passed in May 1933.</w:t>
      </w:r>
    </w:p>
    <w:p w14:paraId="48E57F3C" w14:textId="59F1B401" w:rsidR="008E062A" w:rsidRDefault="008E062A">
      <w:pPr>
        <w:tabs>
          <w:tab w:val="clear" w:pos="567"/>
        </w:tabs>
        <w:spacing w:before="0" w:line="240" w:lineRule="auto"/>
        <w:rPr>
          <w:rFonts w:eastAsiaTheme="majorEastAsia" w:cs="Open Sans"/>
          <w:b/>
          <w:bCs/>
          <w:color w:val="006991"/>
          <w:sz w:val="36"/>
          <w:szCs w:val="36"/>
        </w:rPr>
      </w:pPr>
      <w:r>
        <w:br w:type="page"/>
      </w:r>
    </w:p>
    <w:p w14:paraId="4594250F" w14:textId="312BEC6B" w:rsidR="00BC2A10" w:rsidRDefault="00BC2A10" w:rsidP="00BC2A10">
      <w:pPr>
        <w:pStyle w:val="Heading2"/>
      </w:pPr>
      <w:r w:rsidRPr="00D94017">
        <w:lastRenderedPageBreak/>
        <w:t xml:space="preserve">Special </w:t>
      </w:r>
      <w:r>
        <w:t>g</w:t>
      </w:r>
      <w:r w:rsidRPr="005273D6">
        <w:t xml:space="preserve">rants </w:t>
      </w:r>
      <w:r w:rsidR="007116FB">
        <w:t>for fiscally weaker states</w:t>
      </w:r>
      <w:r w:rsidRPr="00D94017">
        <w:t xml:space="preserve"> </w:t>
      </w:r>
    </w:p>
    <w:p w14:paraId="3BDB05C4" w14:textId="0F26CE8B" w:rsidR="0000587D" w:rsidRPr="0000587D" w:rsidRDefault="00AB0125" w:rsidP="00B00E47">
      <w:pPr>
        <w:pStyle w:val="Heading3"/>
      </w:pPr>
      <w:r>
        <w:t>1930s and 40s: d</w:t>
      </w:r>
      <w:r w:rsidR="00016FA5">
        <w:t xml:space="preserve">etermining special </w:t>
      </w:r>
      <w:proofErr w:type="gramStart"/>
      <w:r w:rsidR="00016FA5">
        <w:t>grants</w:t>
      </w:r>
      <w:proofErr w:type="gramEnd"/>
    </w:p>
    <w:p w14:paraId="312134B7" w14:textId="263E30A7" w:rsidR="00523D30" w:rsidRDefault="00BC2A10" w:rsidP="00BC2A10">
      <w:pPr>
        <w:rPr>
          <w:szCs w:val="20"/>
        </w:rPr>
      </w:pPr>
      <w:r w:rsidRPr="00D94017">
        <w:rPr>
          <w:szCs w:val="20"/>
        </w:rPr>
        <w:t xml:space="preserve">States applied to the Commonwealth for </w:t>
      </w:r>
      <w:r w:rsidR="00523D30">
        <w:rPr>
          <w:szCs w:val="20"/>
        </w:rPr>
        <w:t xml:space="preserve">‘special </w:t>
      </w:r>
      <w:r w:rsidRPr="00D94017">
        <w:rPr>
          <w:szCs w:val="20"/>
        </w:rPr>
        <w:t>grants</w:t>
      </w:r>
      <w:r w:rsidR="00523D30">
        <w:rPr>
          <w:szCs w:val="20"/>
        </w:rPr>
        <w:t>’</w:t>
      </w:r>
      <w:r w:rsidRPr="00D94017">
        <w:rPr>
          <w:szCs w:val="20"/>
        </w:rPr>
        <w:t xml:space="preserve">, which </w:t>
      </w:r>
      <w:r w:rsidR="00271E74">
        <w:rPr>
          <w:szCs w:val="20"/>
        </w:rPr>
        <w:t xml:space="preserve">would </w:t>
      </w:r>
      <w:r w:rsidRPr="00D94017">
        <w:rPr>
          <w:szCs w:val="20"/>
        </w:rPr>
        <w:t>allow them to function at a standard not significantly lower tha</w:t>
      </w:r>
      <w:r>
        <w:rPr>
          <w:szCs w:val="20"/>
        </w:rPr>
        <w:t>n</w:t>
      </w:r>
      <w:r w:rsidRPr="00D94017">
        <w:rPr>
          <w:szCs w:val="20"/>
        </w:rPr>
        <w:t xml:space="preserve"> that of other states, provided they made reasonable and efficient efforts to achieve these standards. </w:t>
      </w:r>
      <w:r w:rsidR="00523D30">
        <w:rPr>
          <w:szCs w:val="20"/>
        </w:rPr>
        <w:t xml:space="preserve">This objective </w:t>
      </w:r>
      <w:r w:rsidR="00523D30" w:rsidRPr="00D94017">
        <w:rPr>
          <w:szCs w:val="20"/>
        </w:rPr>
        <w:t>continue</w:t>
      </w:r>
      <w:r w:rsidR="00523D30">
        <w:rPr>
          <w:szCs w:val="20"/>
        </w:rPr>
        <w:t>s</w:t>
      </w:r>
      <w:r w:rsidR="00523D30" w:rsidRPr="00D94017">
        <w:rPr>
          <w:szCs w:val="20"/>
        </w:rPr>
        <w:t xml:space="preserve"> to guide </w:t>
      </w:r>
      <w:r w:rsidR="00523D30">
        <w:rPr>
          <w:szCs w:val="20"/>
        </w:rPr>
        <w:t>revenue distribution</w:t>
      </w:r>
      <w:r w:rsidR="00523D30" w:rsidRPr="00D94017">
        <w:rPr>
          <w:szCs w:val="20"/>
        </w:rPr>
        <w:t xml:space="preserve"> today.</w:t>
      </w:r>
    </w:p>
    <w:p w14:paraId="363EFE23" w14:textId="2D0D0AD3" w:rsidR="000843A2" w:rsidRDefault="00A833AA" w:rsidP="00BC2A10">
      <w:pPr>
        <w:rPr>
          <w:szCs w:val="20"/>
        </w:rPr>
      </w:pPr>
      <w:r>
        <w:rPr>
          <w:szCs w:val="20"/>
        </w:rPr>
        <w:t xml:space="preserve">The Commission set out its </w:t>
      </w:r>
      <w:r w:rsidR="00CB7DBE">
        <w:rPr>
          <w:szCs w:val="20"/>
        </w:rPr>
        <w:t xml:space="preserve">approach </w:t>
      </w:r>
      <w:r w:rsidR="002138BE">
        <w:rPr>
          <w:szCs w:val="20"/>
        </w:rPr>
        <w:t xml:space="preserve">to assessing states’ needs </w:t>
      </w:r>
      <w:r w:rsidR="00CB7DBE">
        <w:rPr>
          <w:szCs w:val="20"/>
        </w:rPr>
        <w:t>in 1936:</w:t>
      </w:r>
    </w:p>
    <w:p w14:paraId="1B28A454" w14:textId="624A1BB7" w:rsidR="00CB7DBE" w:rsidRDefault="00CB7DBE" w:rsidP="003931E5">
      <w:pPr>
        <w:pStyle w:val="IntenseQuote"/>
      </w:pPr>
      <w:r>
        <w:t>…</w:t>
      </w:r>
      <w:r w:rsidR="00117113">
        <w:t xml:space="preserve">special grants are justified when </w:t>
      </w:r>
      <w:r w:rsidR="00634E73">
        <w:t xml:space="preserve">a State through financial stress from any cause is unable efficiently </w:t>
      </w:r>
      <w:r w:rsidR="00D96D65">
        <w:t xml:space="preserve">to discharge its functions </w:t>
      </w:r>
      <w:r w:rsidR="00137A4D">
        <w:t xml:space="preserve">as a member of the federation and should be determined </w:t>
      </w:r>
      <w:r w:rsidR="005F5636">
        <w:t xml:space="preserve">by the amount of help necessary </w:t>
      </w:r>
      <w:r w:rsidR="002F4F9A">
        <w:t xml:space="preserve">to make it possible for that State </w:t>
      </w:r>
      <w:r w:rsidR="00335C22">
        <w:t xml:space="preserve">by reasonable effort to </w:t>
      </w:r>
      <w:r w:rsidR="003D0404">
        <w:t xml:space="preserve">function at a standard not appreciably below that of other </w:t>
      </w:r>
      <w:r w:rsidR="003D19DA">
        <w:t>S</w:t>
      </w:r>
      <w:r w:rsidR="003D0404">
        <w:t>tates.</w:t>
      </w:r>
    </w:p>
    <w:p w14:paraId="22006BA8" w14:textId="1792ABB7" w:rsidR="00BC2A10" w:rsidRPr="00D94017" w:rsidRDefault="009D1DC2" w:rsidP="00BC2A10">
      <w:pPr>
        <w:rPr>
          <w:szCs w:val="20"/>
        </w:rPr>
      </w:pPr>
      <w:r>
        <w:rPr>
          <w:szCs w:val="20"/>
        </w:rPr>
        <w:t xml:space="preserve">In the early years, only Western Australia, Tasmania and South Australia were considered to require additional revenue, above that given to the other states. </w:t>
      </w:r>
      <w:r w:rsidR="00BC2A10" w:rsidRPr="00D94017">
        <w:rPr>
          <w:szCs w:val="20"/>
        </w:rPr>
        <w:t xml:space="preserve">To determine the amount required, the Commission observed state patterns in revenues and expenses. As states frequently ran deficits in spending, </w:t>
      </w:r>
      <w:r w:rsidR="00AF479A">
        <w:rPr>
          <w:szCs w:val="20"/>
        </w:rPr>
        <w:t>the</w:t>
      </w:r>
      <w:r w:rsidR="00BC2A10" w:rsidRPr="00D94017">
        <w:rPr>
          <w:szCs w:val="20"/>
        </w:rPr>
        <w:t xml:space="preserve"> aim</w:t>
      </w:r>
      <w:r w:rsidR="00AF479A">
        <w:rPr>
          <w:szCs w:val="20"/>
        </w:rPr>
        <w:t xml:space="preserve"> was </w:t>
      </w:r>
      <w:r w:rsidR="00BC2A10" w:rsidRPr="00D94017">
        <w:rPr>
          <w:szCs w:val="20"/>
        </w:rPr>
        <w:t xml:space="preserve">to reduce </w:t>
      </w:r>
      <w:r w:rsidR="00680EC6">
        <w:rPr>
          <w:szCs w:val="20"/>
        </w:rPr>
        <w:t>weaker states’</w:t>
      </w:r>
      <w:r w:rsidR="00BC2A10" w:rsidRPr="00D94017">
        <w:rPr>
          <w:szCs w:val="20"/>
        </w:rPr>
        <w:t xml:space="preserve"> deficits to levels comparable to stronger or ‘standard’ states.</w:t>
      </w:r>
      <w:r w:rsidR="008E062A">
        <w:rPr>
          <w:szCs w:val="20"/>
        </w:rPr>
        <w:t xml:space="preserve"> </w:t>
      </w:r>
    </w:p>
    <w:p w14:paraId="052ED697" w14:textId="085F6497" w:rsidR="00BC2A10" w:rsidRDefault="00BC2A10" w:rsidP="00BC2A10">
      <w:pPr>
        <w:rPr>
          <w:szCs w:val="20"/>
        </w:rPr>
      </w:pPr>
      <w:r w:rsidRPr="00D94017">
        <w:rPr>
          <w:szCs w:val="20"/>
        </w:rPr>
        <w:t xml:space="preserve">The Commission maintained a principle of </w:t>
      </w:r>
      <w:r w:rsidR="00967F68">
        <w:rPr>
          <w:szCs w:val="20"/>
        </w:rPr>
        <w:t xml:space="preserve">ensuring that a </w:t>
      </w:r>
      <w:r w:rsidR="00296DCC">
        <w:rPr>
          <w:szCs w:val="20"/>
        </w:rPr>
        <w:t>weaker</w:t>
      </w:r>
      <w:r w:rsidR="00967F68">
        <w:rPr>
          <w:szCs w:val="20"/>
        </w:rPr>
        <w:t xml:space="preserve"> state’s policy choices </w:t>
      </w:r>
      <w:r w:rsidR="00296DCC">
        <w:rPr>
          <w:szCs w:val="20"/>
        </w:rPr>
        <w:t>did not result in it receiving a larger grant.</w:t>
      </w:r>
      <w:r w:rsidRPr="00D94017">
        <w:rPr>
          <w:szCs w:val="20"/>
        </w:rPr>
        <w:t xml:space="preserve"> </w:t>
      </w:r>
      <w:r w:rsidR="00B96733">
        <w:rPr>
          <w:szCs w:val="20"/>
        </w:rPr>
        <w:t>‘P</w:t>
      </w:r>
      <w:r w:rsidR="00447478">
        <w:rPr>
          <w:szCs w:val="20"/>
        </w:rPr>
        <w:t>olicy neutrality</w:t>
      </w:r>
      <w:r w:rsidR="00B96733">
        <w:rPr>
          <w:szCs w:val="20"/>
        </w:rPr>
        <w:t>’</w:t>
      </w:r>
      <w:r w:rsidR="00447478">
        <w:rPr>
          <w:szCs w:val="20"/>
        </w:rPr>
        <w:t xml:space="preserve"> </w:t>
      </w:r>
      <w:r w:rsidR="008403B4">
        <w:rPr>
          <w:szCs w:val="20"/>
        </w:rPr>
        <w:t>has</w:t>
      </w:r>
      <w:r w:rsidRPr="00D94017">
        <w:rPr>
          <w:szCs w:val="20"/>
        </w:rPr>
        <w:t xml:space="preserve"> endured as </w:t>
      </w:r>
      <w:r w:rsidR="008403B4">
        <w:rPr>
          <w:szCs w:val="20"/>
        </w:rPr>
        <w:t xml:space="preserve">one of the ‘supporting </w:t>
      </w:r>
      <w:r w:rsidRPr="00D94017">
        <w:rPr>
          <w:szCs w:val="20"/>
        </w:rPr>
        <w:t>principle</w:t>
      </w:r>
      <w:r w:rsidR="008403B4">
        <w:rPr>
          <w:szCs w:val="20"/>
        </w:rPr>
        <w:t>s’</w:t>
      </w:r>
      <w:r w:rsidRPr="00D94017">
        <w:rPr>
          <w:szCs w:val="20"/>
        </w:rPr>
        <w:t xml:space="preserve"> that </w:t>
      </w:r>
      <w:r w:rsidR="00447478">
        <w:rPr>
          <w:szCs w:val="20"/>
        </w:rPr>
        <w:t xml:space="preserve">continues to </w:t>
      </w:r>
      <w:r w:rsidRPr="00D94017">
        <w:rPr>
          <w:szCs w:val="20"/>
        </w:rPr>
        <w:t>guide the Commission.</w:t>
      </w:r>
    </w:p>
    <w:p w14:paraId="5E4EA427" w14:textId="22EB9B57" w:rsidR="00EA2358" w:rsidRPr="006C3D34" w:rsidRDefault="00A55A60" w:rsidP="00EA2358">
      <w:pPr>
        <w:rPr>
          <w:szCs w:val="20"/>
        </w:rPr>
      </w:pPr>
      <w:r w:rsidRPr="006C3D34">
        <w:rPr>
          <w:szCs w:val="20"/>
        </w:rPr>
        <w:t xml:space="preserve">Another </w:t>
      </w:r>
      <w:r w:rsidR="00B81D61">
        <w:rPr>
          <w:szCs w:val="20"/>
        </w:rPr>
        <w:t xml:space="preserve">longstanding </w:t>
      </w:r>
      <w:r w:rsidRPr="006C3D34">
        <w:rPr>
          <w:szCs w:val="20"/>
        </w:rPr>
        <w:t xml:space="preserve">characteristic of the Commission’s approach is a reliance on quantitative </w:t>
      </w:r>
      <w:r w:rsidR="00221B25" w:rsidRPr="006C3D34">
        <w:rPr>
          <w:szCs w:val="20"/>
        </w:rPr>
        <w:t>analysis</w:t>
      </w:r>
      <w:r w:rsidRPr="006C3D34">
        <w:rPr>
          <w:szCs w:val="20"/>
        </w:rPr>
        <w:t>. While exercising judgment where necessary, successive Commissions have based recommendations on the best available data.</w:t>
      </w:r>
      <w:r w:rsidR="00EA2358">
        <w:rPr>
          <w:szCs w:val="20"/>
        </w:rPr>
        <w:t xml:space="preserve"> </w:t>
      </w:r>
      <w:r w:rsidR="00EA2358" w:rsidRPr="006C3D34">
        <w:rPr>
          <w:szCs w:val="20"/>
        </w:rPr>
        <w:t>By 1945, the Commission had become established in the institutional structure of Australia’s federal finances and developed a reputation for its expertise and impartiality.</w:t>
      </w:r>
    </w:p>
    <w:p w14:paraId="246757D3" w14:textId="490819C3" w:rsidR="00AB0125" w:rsidRDefault="00AB0125" w:rsidP="00AB0125">
      <w:pPr>
        <w:rPr>
          <w:szCs w:val="20"/>
        </w:rPr>
      </w:pPr>
      <w:r>
        <w:rPr>
          <w:szCs w:val="20"/>
        </w:rPr>
        <w:t>In 1942, vertical fiscal imbalance increased when the Commonwealth became solely responsible for levying income tax</w:t>
      </w:r>
      <w:r w:rsidR="006A73E1">
        <w:rPr>
          <w:szCs w:val="20"/>
        </w:rPr>
        <w:t xml:space="preserve"> in World War II</w:t>
      </w:r>
      <w:r>
        <w:rPr>
          <w:szCs w:val="20"/>
        </w:rPr>
        <w:t>.</w:t>
      </w:r>
      <w:r w:rsidR="001D775B" w:rsidRPr="00737525">
        <w:rPr>
          <w:vertAlign w:val="superscript"/>
        </w:rPr>
        <w:footnoteReference w:id="6"/>
      </w:r>
      <w:r>
        <w:rPr>
          <w:szCs w:val="20"/>
        </w:rPr>
        <w:t xml:space="preserve"> It compensated each state with a payment </w:t>
      </w:r>
      <w:proofErr w:type="gramStart"/>
      <w:r>
        <w:rPr>
          <w:szCs w:val="20"/>
        </w:rPr>
        <w:t>similar to</w:t>
      </w:r>
      <w:proofErr w:type="gramEnd"/>
      <w:r>
        <w:rPr>
          <w:szCs w:val="20"/>
        </w:rPr>
        <w:t xml:space="preserve"> the revenue forgone. Until 1946, a state could apply to the Commission for further compensation, giving the Commission a dual role in this period. </w:t>
      </w:r>
    </w:p>
    <w:p w14:paraId="1DD571BE" w14:textId="0E43D8EF" w:rsidR="005526BF" w:rsidRPr="00B00E47" w:rsidRDefault="00B94676" w:rsidP="00B00E47">
      <w:pPr>
        <w:pStyle w:val="Heading3"/>
      </w:pPr>
      <w:r w:rsidRPr="00250355">
        <w:t>Late 1940s</w:t>
      </w:r>
      <w:r w:rsidR="00707D94" w:rsidRPr="00250355">
        <w:t xml:space="preserve"> to 1970s: </w:t>
      </w:r>
      <w:r w:rsidR="00411DFD" w:rsidRPr="00250355">
        <w:t>shifts in Commonwealth</w:t>
      </w:r>
      <w:r w:rsidR="00FB3E3C">
        <w:t xml:space="preserve">-state fiscal </w:t>
      </w:r>
      <w:proofErr w:type="gramStart"/>
      <w:r w:rsidR="00FB3E3C">
        <w:t>relations</w:t>
      </w:r>
      <w:proofErr w:type="gramEnd"/>
    </w:p>
    <w:p w14:paraId="23628BA7" w14:textId="79913640" w:rsidR="00D36732" w:rsidRDefault="007038D7" w:rsidP="00BC2A10">
      <w:pPr>
        <w:rPr>
          <w:szCs w:val="20"/>
        </w:rPr>
      </w:pPr>
      <w:r>
        <w:rPr>
          <w:szCs w:val="20"/>
        </w:rPr>
        <w:t xml:space="preserve">The role of the Commission evolved </w:t>
      </w:r>
      <w:r w:rsidR="00FF692F">
        <w:rPr>
          <w:szCs w:val="20"/>
        </w:rPr>
        <w:t>alongside</w:t>
      </w:r>
      <w:r w:rsidR="00552EDF">
        <w:rPr>
          <w:szCs w:val="20"/>
        </w:rPr>
        <w:t xml:space="preserve"> changes in Commonwealth </w:t>
      </w:r>
      <w:r w:rsidR="003D58D5">
        <w:rPr>
          <w:szCs w:val="20"/>
        </w:rPr>
        <w:t xml:space="preserve">fiscal </w:t>
      </w:r>
      <w:r w:rsidR="00552EDF">
        <w:rPr>
          <w:szCs w:val="20"/>
        </w:rPr>
        <w:t>policy</w:t>
      </w:r>
      <w:r w:rsidR="00FF692F">
        <w:rPr>
          <w:szCs w:val="20"/>
        </w:rPr>
        <w:t xml:space="preserve"> over this period</w:t>
      </w:r>
      <w:r w:rsidR="003D58D5">
        <w:rPr>
          <w:szCs w:val="20"/>
        </w:rPr>
        <w:t>.</w:t>
      </w:r>
      <w:r w:rsidR="000321BA">
        <w:rPr>
          <w:szCs w:val="20"/>
        </w:rPr>
        <w:t xml:space="preserve"> </w:t>
      </w:r>
    </w:p>
    <w:p w14:paraId="30E79203" w14:textId="476CA4FF" w:rsidR="00071560" w:rsidRDefault="008D0028" w:rsidP="002F7A8D">
      <w:pPr>
        <w:pStyle w:val="CGCbullet1"/>
      </w:pPr>
      <w:r>
        <w:t>F</w:t>
      </w:r>
      <w:r w:rsidR="00B31638">
        <w:t xml:space="preserve">rom 1947, the </w:t>
      </w:r>
      <w:r w:rsidR="001E7701">
        <w:t xml:space="preserve">Commonwealth </w:t>
      </w:r>
      <w:r w:rsidR="00B31638">
        <w:t>Treasury adjusted grants based on population</w:t>
      </w:r>
      <w:r>
        <w:t>.</w:t>
      </w:r>
      <w:r w:rsidR="00BE56C0">
        <w:t xml:space="preserve"> </w:t>
      </w:r>
      <w:r>
        <w:t>F</w:t>
      </w:r>
      <w:r w:rsidR="00071560">
        <w:t xml:space="preserve">rom 1959, </w:t>
      </w:r>
      <w:r w:rsidR="001F212A">
        <w:t xml:space="preserve">it </w:t>
      </w:r>
      <w:r w:rsidR="00284D0A">
        <w:t xml:space="preserve">introduced other </w:t>
      </w:r>
      <w:r w:rsidR="00284D0A" w:rsidRPr="00250355">
        <w:rPr>
          <w:i/>
        </w:rPr>
        <w:t>ad hoc</w:t>
      </w:r>
      <w:r w:rsidR="00284D0A">
        <w:t xml:space="preserve"> adjustments to grants.</w:t>
      </w:r>
    </w:p>
    <w:p w14:paraId="5BCEEA76" w14:textId="6847F93B" w:rsidR="00786381" w:rsidRPr="006C48CB" w:rsidRDefault="00EE736C" w:rsidP="002F7A8D">
      <w:pPr>
        <w:pStyle w:val="CGCbullet1"/>
      </w:pPr>
      <w:r>
        <w:rPr>
          <w:szCs w:val="20"/>
        </w:rPr>
        <w:t xml:space="preserve">In the late 1960s, </w:t>
      </w:r>
      <w:r w:rsidR="00D044B3">
        <w:rPr>
          <w:szCs w:val="20"/>
        </w:rPr>
        <w:t>s</w:t>
      </w:r>
      <w:r w:rsidR="00786381">
        <w:rPr>
          <w:szCs w:val="20"/>
        </w:rPr>
        <w:t>pecific purpose payments</w:t>
      </w:r>
      <w:r>
        <w:rPr>
          <w:szCs w:val="20"/>
        </w:rPr>
        <w:t xml:space="preserve"> were introduced by the Commonwealth Government as a means of influencing the delivery of services and infrastructure.</w:t>
      </w:r>
    </w:p>
    <w:p w14:paraId="08BC5B3A" w14:textId="611BD905" w:rsidR="006C48CB" w:rsidRDefault="006C48CB" w:rsidP="00250355">
      <w:pPr>
        <w:pStyle w:val="CGCbullet1"/>
      </w:pPr>
      <w:r>
        <w:rPr>
          <w:szCs w:val="20"/>
        </w:rPr>
        <w:t xml:space="preserve">In 1971, the Commonwealth ceded payroll tax to the states. </w:t>
      </w:r>
    </w:p>
    <w:p w14:paraId="58FDC7B9" w14:textId="7933C814" w:rsidR="002501B5" w:rsidRPr="002F4F9C" w:rsidRDefault="00663C25" w:rsidP="006A28A5">
      <w:pPr>
        <w:rPr>
          <w:szCs w:val="16"/>
        </w:rPr>
      </w:pPr>
      <w:r>
        <w:lastRenderedPageBreak/>
        <w:t>T</w:t>
      </w:r>
      <w:r w:rsidR="00FD677E">
        <w:t xml:space="preserve">he role of the Commission </w:t>
      </w:r>
      <w:r w:rsidR="00BB73C2">
        <w:t xml:space="preserve">also </w:t>
      </w:r>
      <w:r>
        <w:t>changed</w:t>
      </w:r>
      <w:r w:rsidR="0033654F">
        <w:t xml:space="preserve">. </w:t>
      </w:r>
      <w:r w:rsidR="00696556">
        <w:t>Its</w:t>
      </w:r>
      <w:r w:rsidR="0033654F">
        <w:t xml:space="preserve"> core business, special grants, </w:t>
      </w:r>
      <w:r w:rsidR="006A6063">
        <w:t xml:space="preserve">began to decline in importance. </w:t>
      </w:r>
      <w:r w:rsidR="00BF4B09">
        <w:t>T</w:t>
      </w:r>
      <w:r w:rsidR="006A6063">
        <w:t>owards the end of the period, states</w:t>
      </w:r>
      <w:r w:rsidR="006C48CB">
        <w:t xml:space="preserve"> </w:t>
      </w:r>
      <w:r w:rsidR="006C48CB" w:rsidRPr="00D94017">
        <w:t>often agreed to not apply for special grants as part of deals with the Commonwealth in return for increased general revenue assistance</w:t>
      </w:r>
      <w:r w:rsidR="006C48CB">
        <w:t>.</w:t>
      </w:r>
    </w:p>
    <w:p w14:paraId="6D686AE4" w14:textId="262E1474" w:rsidR="006372F0" w:rsidRPr="00D94017" w:rsidRDefault="006372F0" w:rsidP="006372F0">
      <w:pPr>
        <w:pStyle w:val="Heading2"/>
      </w:pPr>
      <w:r w:rsidRPr="00D94017">
        <w:t xml:space="preserve">Revenue sharing </w:t>
      </w:r>
      <w:r w:rsidR="007116FB">
        <w:t xml:space="preserve">for all </w:t>
      </w:r>
      <w:proofErr w:type="gramStart"/>
      <w:r w:rsidR="007116FB">
        <w:t>states</w:t>
      </w:r>
      <w:proofErr w:type="gramEnd"/>
      <w:r w:rsidRPr="00D94017">
        <w:t xml:space="preserve"> </w:t>
      </w:r>
    </w:p>
    <w:p w14:paraId="290ACE24" w14:textId="05EBB1B2" w:rsidR="00EA358B" w:rsidRPr="00FC7AC2" w:rsidRDefault="00F21C5B" w:rsidP="00EA358B">
      <w:pPr>
        <w:pStyle w:val="Heading3"/>
      </w:pPr>
      <w:r>
        <w:t>Fro</w:t>
      </w:r>
      <w:r w:rsidR="004F6B6F">
        <w:t>m the l</w:t>
      </w:r>
      <w:r w:rsidR="00EA358B">
        <w:t xml:space="preserve">ate 1970s: a systematic approach </w:t>
      </w:r>
    </w:p>
    <w:p w14:paraId="0D31DC97" w14:textId="2C0A7DCD" w:rsidR="00B85FD6" w:rsidRPr="00250355" w:rsidRDefault="00EA358B" w:rsidP="00B85FD6">
      <w:pPr>
        <w:rPr>
          <w:szCs w:val="20"/>
        </w:rPr>
      </w:pPr>
      <w:r w:rsidRPr="006C7A33">
        <w:rPr>
          <w:szCs w:val="20"/>
        </w:rPr>
        <w:t xml:space="preserve">In 1978, the Commission’s role was broadened, and a dedicated pool of funds was to be shared between the states. The 1977 Premiers Conference </w:t>
      </w:r>
      <w:r>
        <w:rPr>
          <w:szCs w:val="20"/>
        </w:rPr>
        <w:t xml:space="preserve">had </w:t>
      </w:r>
      <w:r w:rsidRPr="006C7A33">
        <w:rPr>
          <w:szCs w:val="20"/>
        </w:rPr>
        <w:t>determined that th</w:t>
      </w:r>
      <w:r>
        <w:rPr>
          <w:szCs w:val="20"/>
        </w:rPr>
        <w:t>e</w:t>
      </w:r>
      <w:r w:rsidRPr="006C7A33">
        <w:rPr>
          <w:szCs w:val="20"/>
        </w:rPr>
        <w:t>s</w:t>
      </w:r>
      <w:r>
        <w:rPr>
          <w:szCs w:val="20"/>
        </w:rPr>
        <w:t>e</w:t>
      </w:r>
      <w:r w:rsidRPr="006C7A33">
        <w:rPr>
          <w:szCs w:val="20"/>
        </w:rPr>
        <w:t xml:space="preserve"> funds would be shared through ‘relativities’ to be determined by the Commission based on equalisation principles. </w:t>
      </w:r>
      <w:r w:rsidR="00B85FD6" w:rsidRPr="00250355">
        <w:rPr>
          <w:szCs w:val="20"/>
        </w:rPr>
        <w:t xml:space="preserve">This period marked a significant increase in the </w:t>
      </w:r>
      <w:r w:rsidR="003724FC">
        <w:rPr>
          <w:szCs w:val="20"/>
        </w:rPr>
        <w:t>Commission’s</w:t>
      </w:r>
      <w:r w:rsidR="001D2816">
        <w:rPr>
          <w:szCs w:val="20"/>
        </w:rPr>
        <w:t xml:space="preserve"> </w:t>
      </w:r>
      <w:r w:rsidR="00B85FD6" w:rsidRPr="00250355">
        <w:rPr>
          <w:szCs w:val="20"/>
        </w:rPr>
        <w:t>responsibilities.</w:t>
      </w:r>
    </w:p>
    <w:p w14:paraId="09DBA0F6" w14:textId="77777777" w:rsidR="00EA358B" w:rsidRPr="006C7A33" w:rsidRDefault="00EA358B" w:rsidP="00EA358B">
      <w:pPr>
        <w:rPr>
          <w:szCs w:val="20"/>
        </w:rPr>
      </w:pPr>
      <w:r w:rsidRPr="006C7A33">
        <w:rPr>
          <w:szCs w:val="20"/>
        </w:rPr>
        <w:t>The 1978 legislation tasking the Commission with determining the tax sharing relativities specified:</w:t>
      </w:r>
    </w:p>
    <w:p w14:paraId="49BAC539" w14:textId="77777777" w:rsidR="00EA358B" w:rsidRPr="00C8203A" w:rsidRDefault="00EA358B" w:rsidP="00F61CBE">
      <w:pPr>
        <w:pStyle w:val="IntenseQuote"/>
      </w:pPr>
      <w:r w:rsidRPr="00D92FE2">
        <w:rPr>
          <w:szCs w:val="20"/>
        </w:rPr>
        <w:t xml:space="preserve"> </w:t>
      </w:r>
      <w:r w:rsidRPr="00C8203A">
        <w:t>.. the respective payments to which the States are entitled … should enable each State to provide, without imposing taxes and charges at levels appreciably different from the levels of the taxes and charges imposed by other States, government services at standards not appreciably different from the standards of government services provided by the other States; … taking account of: differences in the capacities of States to raise revenues; and differences in the amounts required to be expended by the States in providing comparable government services</w:t>
      </w:r>
      <w:r w:rsidRPr="003931E5">
        <w:rPr>
          <w:color w:val="auto"/>
        </w:rPr>
        <w:t>.</w:t>
      </w:r>
      <w:r w:rsidRPr="007157BE">
        <w:rPr>
          <w:rStyle w:val="FootnoteReference"/>
          <w:color w:val="004562" w:themeColor="text1"/>
          <w:vertAlign w:val="superscript"/>
        </w:rPr>
        <w:footnoteReference w:id="7"/>
      </w:r>
    </w:p>
    <w:p w14:paraId="4E152EE3" w14:textId="4281D676" w:rsidR="00722DAB" w:rsidRDefault="00722DAB" w:rsidP="00EA358B">
      <w:pPr>
        <w:rPr>
          <w:szCs w:val="20"/>
        </w:rPr>
      </w:pPr>
      <w:r w:rsidRPr="00D94017">
        <w:rPr>
          <w:noProof/>
        </w:rPr>
        <mc:AlternateContent>
          <mc:Choice Requires="wps">
            <w:drawing>
              <wp:inline distT="0" distB="0" distL="114300" distR="114300" wp14:anchorId="09E13708" wp14:editId="53B40C3A">
                <wp:extent cx="5731510" cy="1171575"/>
                <wp:effectExtent l="0" t="0" r="2540" b="9525"/>
                <wp:docPr id="152034324" name="Rectangle 152034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1510" cy="1171575"/>
                        </a:xfrm>
                        <a:prstGeom prst="rect">
                          <a:avLst/>
                        </a:prstGeom>
                        <a:solidFill>
                          <a:srgbClr val="E5F8FF"/>
                        </a:solidFill>
                        <a:ln w="25400" cap="flat" cmpd="sng" algn="ctr">
                          <a:noFill/>
                          <a:prstDash val="solid"/>
                        </a:ln>
                        <a:effectLst/>
                      </wps:spPr>
                      <wps:txbx>
                        <w:txbxContent>
                          <w:p w14:paraId="16A3B80D" w14:textId="3C59B76A" w:rsidR="00722DAB" w:rsidRPr="00516BAE" w:rsidRDefault="0054413C" w:rsidP="00A72FA8">
                            <w:pPr>
                              <w:ind w:left="113"/>
                            </w:pPr>
                            <w:r w:rsidRPr="0065062B">
                              <w:rPr>
                                <w:b/>
                                <w:bCs/>
                              </w:rPr>
                              <w:t>Relativities:</w:t>
                            </w:r>
                            <w:r>
                              <w:t xml:space="preserve"> </w:t>
                            </w:r>
                            <w:r w:rsidRPr="0054413C">
                              <w:t>The per person share</w:t>
                            </w:r>
                            <w:r>
                              <w:t xml:space="preserve"> of funding</w:t>
                            </w:r>
                            <w:r w:rsidRPr="0054413C">
                              <w:t xml:space="preserve"> is expressed as a ‘relativity’. If all states had the same fiscal capacity, each would have a relativity of 1 and receive the same </w:t>
                            </w:r>
                            <w:r w:rsidR="00061A63">
                              <w:t>funds</w:t>
                            </w:r>
                            <w:r w:rsidRPr="0054413C">
                              <w:t xml:space="preserve"> per person. Because their needs are different, fiscally stronger states have a relativity below 1 (and receive less than the average </w:t>
                            </w:r>
                            <w:r w:rsidR="00061A63">
                              <w:t>funding</w:t>
                            </w:r>
                            <w:r w:rsidRPr="0054413C">
                              <w:t xml:space="preserve"> per person), and fiscally weaker states have a relativity above 1 (and receive more than the average </w:t>
                            </w:r>
                            <w:r w:rsidR="00061A63">
                              <w:t>funding</w:t>
                            </w:r>
                            <w:r w:rsidRPr="0054413C">
                              <w:t xml:space="preserve"> per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E13708" id="Rectangle 152034324" o:spid="_x0000_s1031" alt="&quot;&quot;" style="width:451.3pt;height:9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" fillcolor="#e5f8ff" stroked="f" strokeweight="2pt">
                <v:textbox>
                  <w:txbxContent>
                    <w:p w14:paraId="16A3B80D" w14:textId="3C59B76A" w:rsidR="00722DAB" w:rsidRPr="00516BAE" w:rsidRDefault="0054413C" w:rsidP="00A72FA8">
                      <w:pPr>
                        <w:ind w:left="113"/>
                      </w:pPr>
                      <w:r w:rsidRPr="0065062B">
                        <w:rPr>
                          <w:b/>
                          <w:bCs/>
                        </w:rPr>
                        <w:t>Relativities:</w:t>
                      </w:r>
                      <w:r>
                        <w:t xml:space="preserve"> </w:t>
                      </w:r>
                      <w:r w:rsidRPr="0054413C">
                        <w:t>The per person share</w:t>
                      </w:r>
                      <w:r>
                        <w:t xml:space="preserve"> of funding</w:t>
                      </w:r>
                      <w:r w:rsidRPr="0054413C">
                        <w:t xml:space="preserve"> is expressed as a ‘relativity’. If all states had the same fiscal capacity, each would have a relativity of 1 and receive the same </w:t>
                      </w:r>
                      <w:r w:rsidR="00061A63">
                        <w:t>funds</w:t>
                      </w:r>
                      <w:r w:rsidRPr="0054413C">
                        <w:t xml:space="preserve"> per person. Because their needs are different, fiscally stronger states have a relativity below 1 (and receive less than the average </w:t>
                      </w:r>
                      <w:r w:rsidR="00061A63">
                        <w:t>funding</w:t>
                      </w:r>
                      <w:r w:rsidRPr="0054413C">
                        <w:t xml:space="preserve"> per person), and fiscally weaker states have a relativity above 1 (and receive more than the average </w:t>
                      </w:r>
                      <w:r w:rsidR="00061A63">
                        <w:t>funding</w:t>
                      </w:r>
                      <w:r w:rsidRPr="0054413C">
                        <w:t xml:space="preserve"> per person).</w:t>
                      </w:r>
                    </w:p>
                  </w:txbxContent>
                </v:textbox>
                <w10:anchorlock/>
              </v:rect>
            </w:pict>
          </mc:Fallback>
        </mc:AlternateContent>
      </w:r>
    </w:p>
    <w:p w14:paraId="1D2CFCF7" w14:textId="64E63AF9" w:rsidR="00EA358B" w:rsidRPr="00BC6B35" w:rsidRDefault="00EA358B" w:rsidP="00EA358B">
      <w:pPr>
        <w:rPr>
          <w:szCs w:val="20"/>
        </w:rPr>
      </w:pPr>
      <w:r>
        <w:rPr>
          <w:szCs w:val="20"/>
        </w:rPr>
        <w:t>T</w:t>
      </w:r>
      <w:r w:rsidRPr="00BC6B35">
        <w:rPr>
          <w:szCs w:val="20"/>
        </w:rPr>
        <w:t>he Commission’s recommendations</w:t>
      </w:r>
      <w:r w:rsidR="00A43E75">
        <w:rPr>
          <w:szCs w:val="20"/>
        </w:rPr>
        <w:t xml:space="preserve"> provided</w:t>
      </w:r>
      <w:r w:rsidRPr="00BC6B35">
        <w:rPr>
          <w:szCs w:val="20"/>
        </w:rPr>
        <w:t xml:space="preserve"> </w:t>
      </w:r>
      <w:r w:rsidR="004821F3">
        <w:rPr>
          <w:szCs w:val="20"/>
        </w:rPr>
        <w:t>revenue</w:t>
      </w:r>
      <w:r w:rsidR="004821F3" w:rsidRPr="00BC6B35">
        <w:rPr>
          <w:szCs w:val="20"/>
        </w:rPr>
        <w:t xml:space="preserve"> </w:t>
      </w:r>
      <w:r w:rsidR="004821F3">
        <w:rPr>
          <w:szCs w:val="20"/>
        </w:rPr>
        <w:t>to</w:t>
      </w:r>
      <w:r w:rsidRPr="00BC6B35">
        <w:rPr>
          <w:szCs w:val="20"/>
        </w:rPr>
        <w:t xml:space="preserve"> all states, not just the </w:t>
      </w:r>
      <w:r w:rsidR="004A3F59">
        <w:rPr>
          <w:szCs w:val="20"/>
        </w:rPr>
        <w:t>fiscally weaker</w:t>
      </w:r>
      <w:r w:rsidRPr="00BC6B35">
        <w:rPr>
          <w:szCs w:val="20"/>
        </w:rPr>
        <w:t xml:space="preserve"> states. </w:t>
      </w:r>
      <w:r w:rsidR="001E22AD">
        <w:rPr>
          <w:szCs w:val="20"/>
        </w:rPr>
        <w:t>While all states benefited from this change, f</w:t>
      </w:r>
      <w:r w:rsidRPr="00BC6B35">
        <w:rPr>
          <w:szCs w:val="20"/>
        </w:rPr>
        <w:t xml:space="preserve">rom this point, the allocation to the states </w:t>
      </w:r>
      <w:r w:rsidR="00F56C74">
        <w:rPr>
          <w:szCs w:val="20"/>
        </w:rPr>
        <w:t xml:space="preserve">also </w:t>
      </w:r>
      <w:r w:rsidRPr="00BC6B35">
        <w:rPr>
          <w:szCs w:val="20"/>
        </w:rPr>
        <w:t>became ‘zero-sum</w:t>
      </w:r>
      <w:r w:rsidR="00A9627F">
        <w:rPr>
          <w:szCs w:val="20"/>
        </w:rPr>
        <w:t>’</w:t>
      </w:r>
      <w:r w:rsidRPr="00BC6B35">
        <w:rPr>
          <w:szCs w:val="20"/>
        </w:rPr>
        <w:t>.</w:t>
      </w:r>
      <w:r w:rsidRPr="00F61CBE">
        <w:rPr>
          <w:szCs w:val="20"/>
          <w:vertAlign w:val="superscript"/>
        </w:rPr>
        <w:footnoteReference w:id="8"/>
      </w:r>
      <w:r>
        <w:rPr>
          <w:szCs w:val="20"/>
        </w:rPr>
        <w:t xml:space="preserve"> </w:t>
      </w:r>
      <w:r w:rsidRPr="00BC6B35">
        <w:rPr>
          <w:szCs w:val="20"/>
        </w:rPr>
        <w:t>As with previous general revenue grants, all funds would be untied, meaning states could use the grants for any purpose.</w:t>
      </w:r>
    </w:p>
    <w:p w14:paraId="0418A6FA" w14:textId="12D6A44B" w:rsidR="00EA358B" w:rsidRPr="002A3153" w:rsidRDefault="00EA358B" w:rsidP="00EA358B">
      <w:pPr>
        <w:rPr>
          <w:szCs w:val="20"/>
        </w:rPr>
      </w:pPr>
      <w:r>
        <w:rPr>
          <w:szCs w:val="20"/>
        </w:rPr>
        <w:t xml:space="preserve">In 1981 and 1982, the Commission established the methodology that it broadly follows today. </w:t>
      </w:r>
    </w:p>
    <w:p w14:paraId="21720BFC" w14:textId="5F64BA49" w:rsidR="006372F0" w:rsidRDefault="006372F0" w:rsidP="006372F0">
      <w:pPr>
        <w:rPr>
          <w:szCs w:val="20"/>
        </w:rPr>
      </w:pPr>
      <w:r w:rsidRPr="00D94017">
        <w:rPr>
          <w:szCs w:val="20"/>
        </w:rPr>
        <w:t xml:space="preserve">In 1989, </w:t>
      </w:r>
      <w:r w:rsidR="00A579B3">
        <w:rPr>
          <w:szCs w:val="20"/>
        </w:rPr>
        <w:t>the Commission</w:t>
      </w:r>
      <w:r w:rsidR="00764106">
        <w:rPr>
          <w:szCs w:val="20"/>
        </w:rPr>
        <w:t xml:space="preserve"> adopted a 5-yearly </w:t>
      </w:r>
      <w:r w:rsidR="00261C41">
        <w:rPr>
          <w:szCs w:val="20"/>
        </w:rPr>
        <w:t>methodology review</w:t>
      </w:r>
      <w:r w:rsidR="003F3808">
        <w:rPr>
          <w:szCs w:val="20"/>
        </w:rPr>
        <w:t xml:space="preserve">. </w:t>
      </w:r>
      <w:r w:rsidR="00802DD5">
        <w:rPr>
          <w:szCs w:val="20"/>
        </w:rPr>
        <w:t>A</w:t>
      </w:r>
      <w:r w:rsidR="00A861E7">
        <w:rPr>
          <w:szCs w:val="20"/>
        </w:rPr>
        <w:t xml:space="preserve">ssessments </w:t>
      </w:r>
      <w:r w:rsidR="00651A8B">
        <w:rPr>
          <w:szCs w:val="20"/>
        </w:rPr>
        <w:t xml:space="preserve">of </w:t>
      </w:r>
      <w:r w:rsidR="00F7080C">
        <w:rPr>
          <w:szCs w:val="20"/>
        </w:rPr>
        <w:t xml:space="preserve">state needs for spending and capacity to raise revenue </w:t>
      </w:r>
      <w:r w:rsidR="00802DD5">
        <w:rPr>
          <w:szCs w:val="20"/>
        </w:rPr>
        <w:t xml:space="preserve">would be </w:t>
      </w:r>
      <w:r w:rsidR="00A861E7">
        <w:rPr>
          <w:szCs w:val="20"/>
        </w:rPr>
        <w:t xml:space="preserve">updated annually with the </w:t>
      </w:r>
      <w:r w:rsidRPr="00D94017">
        <w:rPr>
          <w:szCs w:val="20"/>
        </w:rPr>
        <w:t xml:space="preserve">latest </w:t>
      </w:r>
      <w:r w:rsidR="00A861E7">
        <w:rPr>
          <w:szCs w:val="20"/>
        </w:rPr>
        <w:t>data.</w:t>
      </w:r>
      <w:r w:rsidRPr="00D94017">
        <w:rPr>
          <w:szCs w:val="20"/>
        </w:rPr>
        <w:t xml:space="preserve"> This practice continues today with the Commission currently undertaking its 2025 Methodology Review.</w:t>
      </w:r>
    </w:p>
    <w:p w14:paraId="2CC6D280" w14:textId="77777777" w:rsidR="007E4C0D" w:rsidRDefault="007E4C0D" w:rsidP="006372F0">
      <w:pPr>
        <w:rPr>
          <w:szCs w:val="20"/>
        </w:rPr>
      </w:pPr>
    </w:p>
    <w:p w14:paraId="56708102" w14:textId="77777777" w:rsidR="007E4C0D" w:rsidRDefault="007E4C0D" w:rsidP="006372F0">
      <w:pPr>
        <w:rPr>
          <w:szCs w:val="20"/>
        </w:rPr>
      </w:pPr>
    </w:p>
    <w:p w14:paraId="2F4299C4" w14:textId="5FF7095D" w:rsidR="006372F0" w:rsidRPr="0061695A" w:rsidRDefault="005758EA" w:rsidP="006372F0">
      <w:pPr>
        <w:pStyle w:val="Heading3"/>
      </w:pPr>
      <w:r>
        <w:lastRenderedPageBreak/>
        <w:t>From 2000: d</w:t>
      </w:r>
      <w:r w:rsidR="00F44FA8">
        <w:t>istributing t</w:t>
      </w:r>
      <w:r w:rsidR="006372F0" w:rsidRPr="0061695A">
        <w:t xml:space="preserve">he </w:t>
      </w:r>
      <w:proofErr w:type="gramStart"/>
      <w:r w:rsidR="006372F0" w:rsidRPr="0061695A">
        <w:t>GST</w:t>
      </w:r>
      <w:proofErr w:type="gramEnd"/>
      <w:r w:rsidR="006372F0" w:rsidRPr="0061695A">
        <w:t xml:space="preserve"> </w:t>
      </w:r>
    </w:p>
    <w:p w14:paraId="2911B82A" w14:textId="44580D76" w:rsidR="006372F0" w:rsidRPr="00D94017" w:rsidRDefault="006372F0" w:rsidP="006372F0">
      <w:pPr>
        <w:rPr>
          <w:szCs w:val="20"/>
        </w:rPr>
      </w:pPr>
      <w:r w:rsidRPr="00D94017">
        <w:rPr>
          <w:szCs w:val="20"/>
        </w:rPr>
        <w:t>The GST was introduced in 2000</w:t>
      </w:r>
      <w:r w:rsidR="009A56C3">
        <w:rPr>
          <w:szCs w:val="20"/>
        </w:rPr>
        <w:t xml:space="preserve">. The </w:t>
      </w:r>
      <w:r w:rsidRPr="00D94017">
        <w:rPr>
          <w:szCs w:val="20"/>
        </w:rPr>
        <w:t xml:space="preserve">1999 Intergovernmental Agreement on the Reform of Commonwealth-State Financial Relations specified that the GST revenue raised from goods and services purchased would be </w:t>
      </w:r>
      <w:r w:rsidR="00036A6F">
        <w:rPr>
          <w:szCs w:val="20"/>
        </w:rPr>
        <w:t>provided</w:t>
      </w:r>
      <w:r w:rsidR="00036A6F" w:rsidRPr="00D94017">
        <w:rPr>
          <w:szCs w:val="20"/>
        </w:rPr>
        <w:t xml:space="preserve"> </w:t>
      </w:r>
      <w:r w:rsidRPr="00D94017">
        <w:rPr>
          <w:szCs w:val="20"/>
        </w:rPr>
        <w:t>to the states on an equalisation basis. The Commission’s role did not change</w:t>
      </w:r>
      <w:r w:rsidR="00AB30E3">
        <w:rPr>
          <w:szCs w:val="20"/>
        </w:rPr>
        <w:t>,</w:t>
      </w:r>
      <w:r w:rsidRPr="00D94017">
        <w:rPr>
          <w:szCs w:val="20"/>
        </w:rPr>
        <w:t xml:space="preserve"> with it continuing to</w:t>
      </w:r>
      <w:r w:rsidR="00C43ED8">
        <w:rPr>
          <w:szCs w:val="20"/>
        </w:rPr>
        <w:t xml:space="preserve"> assess </w:t>
      </w:r>
      <w:r w:rsidRPr="00D94017">
        <w:rPr>
          <w:szCs w:val="20"/>
        </w:rPr>
        <w:t>state revenues and expenses and recommend relativities for distributing the new pool of funding.</w:t>
      </w:r>
    </w:p>
    <w:p w14:paraId="501065FB" w14:textId="26ED9DBF" w:rsidR="004D78A9" w:rsidRPr="0061290F" w:rsidRDefault="00C97B2B" w:rsidP="0061290F">
      <w:pPr>
        <w:rPr>
          <w:szCs w:val="20"/>
        </w:rPr>
      </w:pPr>
      <w:r>
        <w:rPr>
          <w:szCs w:val="20"/>
        </w:rPr>
        <w:t xml:space="preserve">In March 2004, a Ministerial Council initiated a review </w:t>
      </w:r>
      <w:r w:rsidR="00FE3C0B">
        <w:rPr>
          <w:szCs w:val="20"/>
        </w:rPr>
        <w:t>of the Commission’s methods</w:t>
      </w:r>
      <w:r w:rsidR="000B1C96">
        <w:rPr>
          <w:szCs w:val="20"/>
        </w:rPr>
        <w:t>,</w:t>
      </w:r>
      <w:r w:rsidR="001E6E75">
        <w:rPr>
          <w:szCs w:val="20"/>
        </w:rPr>
        <w:t xml:space="preserve"> conducted by the Heads of Treasuries. </w:t>
      </w:r>
      <w:r w:rsidR="006372F0" w:rsidRPr="00D94017">
        <w:rPr>
          <w:szCs w:val="20"/>
        </w:rPr>
        <w:t xml:space="preserve">It found </w:t>
      </w:r>
      <w:r w:rsidR="000B1C96">
        <w:rPr>
          <w:szCs w:val="20"/>
        </w:rPr>
        <w:t>a</w:t>
      </w:r>
      <w:r w:rsidR="006372F0" w:rsidRPr="00D94017">
        <w:rPr>
          <w:szCs w:val="20"/>
        </w:rPr>
        <w:t xml:space="preserve"> need for simpler </w:t>
      </w:r>
      <w:r w:rsidR="001B746D" w:rsidRPr="00D94017">
        <w:rPr>
          <w:szCs w:val="20"/>
        </w:rPr>
        <w:t>methods,</w:t>
      </w:r>
      <w:r w:rsidR="006372F0" w:rsidRPr="00D94017">
        <w:rPr>
          <w:szCs w:val="20"/>
        </w:rPr>
        <w:t xml:space="preserve"> and </w:t>
      </w:r>
      <w:r w:rsidR="000B1C96">
        <w:rPr>
          <w:szCs w:val="20"/>
        </w:rPr>
        <w:t xml:space="preserve">this </w:t>
      </w:r>
      <w:r w:rsidR="006372F0" w:rsidRPr="00D94017">
        <w:rPr>
          <w:szCs w:val="20"/>
        </w:rPr>
        <w:t xml:space="preserve">led to the </w:t>
      </w:r>
      <w:r w:rsidR="000B1C96">
        <w:rPr>
          <w:szCs w:val="20"/>
        </w:rPr>
        <w:t xml:space="preserve">Commission’s </w:t>
      </w:r>
      <w:r w:rsidR="006372F0" w:rsidRPr="00D94017">
        <w:rPr>
          <w:szCs w:val="20"/>
        </w:rPr>
        <w:t xml:space="preserve">2010 </w:t>
      </w:r>
      <w:r w:rsidR="000B1C96">
        <w:rPr>
          <w:szCs w:val="20"/>
        </w:rPr>
        <w:t>R</w:t>
      </w:r>
      <w:r w:rsidR="006372F0" w:rsidRPr="00D94017">
        <w:rPr>
          <w:szCs w:val="20"/>
        </w:rPr>
        <w:t xml:space="preserve">eview focussing on reducing the number of assessments and improving data quality. </w:t>
      </w:r>
      <w:r w:rsidR="004C1821">
        <w:rPr>
          <w:szCs w:val="20"/>
        </w:rPr>
        <w:t xml:space="preserve">The Commission also adopted a simpler approach to assessing state capital requirements. </w:t>
      </w:r>
      <w:r w:rsidR="005D4CC2">
        <w:rPr>
          <w:szCs w:val="2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F2FF" w:themeFill="text1" w:themeFillTint="1A"/>
        <w:tblLayout w:type="fixed"/>
        <w:tblLook w:val="06A0" w:firstRow="1" w:lastRow="0" w:firstColumn="1" w:lastColumn="0" w:noHBand="1" w:noVBand="1"/>
      </w:tblPr>
      <w:tblGrid>
        <w:gridCol w:w="9060"/>
      </w:tblGrid>
      <w:tr w:rsidR="004D78A9" w:rsidRPr="00C8203A" w14:paraId="1E3C97D4" w14:textId="77777777" w:rsidTr="00437115">
        <w:trPr>
          <w:trHeight w:val="7045"/>
        </w:trPr>
        <w:tc>
          <w:tcPr>
            <w:tcW w:w="9060" w:type="dxa"/>
            <w:shd w:val="clear" w:color="auto" w:fill="D4F2FF" w:themeFill="text1" w:themeFillTint="1A"/>
          </w:tcPr>
          <w:p w14:paraId="1A709A34" w14:textId="3C4A8744" w:rsidR="000623AC" w:rsidRDefault="00CB2A5C" w:rsidP="00175ABA">
            <w:pPr>
              <w:pStyle w:val="Heading2"/>
            </w:pPr>
            <w:r>
              <w:t xml:space="preserve">Equalisation objective and supporting </w:t>
            </w:r>
            <w:proofErr w:type="gramStart"/>
            <w:r>
              <w:t>principles</w:t>
            </w:r>
            <w:proofErr w:type="gramEnd"/>
          </w:p>
          <w:p w14:paraId="2025355D" w14:textId="6A8DDAF1" w:rsidR="004D78A9" w:rsidRPr="0015008F" w:rsidRDefault="004D78A9" w:rsidP="0015008F">
            <w:r w:rsidRPr="0015008F">
              <w:t>The Commission’s approach to equalisation is based on the concept of financial need, with the broad objective of putting all states on a level footing in terms of their ability to provide government services without having to impose higher tax rates. Successive Commissions have sought to express this objective in different ways to enhance clarity. However, the essence of what the Commission seeks to achieve has not changed. Most recently, it articulated the equalisation objective as:</w:t>
            </w:r>
          </w:p>
          <w:p w14:paraId="67A7B083" w14:textId="6DBFA3A7" w:rsidR="00BC25C8" w:rsidRPr="00BC25C8" w:rsidRDefault="00BC25C8" w:rsidP="001E1A94">
            <w:pPr>
              <w:pStyle w:val="IntenseQuote"/>
              <w:jc w:val="both"/>
              <w:rPr>
                <w:szCs w:val="20"/>
              </w:rPr>
            </w:pPr>
            <w:r w:rsidRPr="001E1A94">
              <w:rPr>
                <w:szCs w:val="20"/>
              </w:rPr>
              <w:t>Australia gives effect to horizontal fiscal equalisation by distributing the GST pool to states to ensure that each has a similar fiscal capacity, under average policies and efficiency, to provide services and associated infrastructure to its citizens.</w:t>
            </w:r>
            <w:r w:rsidR="00510664" w:rsidRPr="001E1A94">
              <w:rPr>
                <w:rStyle w:val="FootnoteReference"/>
                <w:sz w:val="20"/>
                <w:szCs w:val="20"/>
                <w:vertAlign w:val="superscript"/>
              </w:rPr>
              <w:footnoteReference w:id="9"/>
            </w:r>
          </w:p>
          <w:p w14:paraId="28FD0820" w14:textId="1E420A10" w:rsidR="004D78A9" w:rsidRPr="001E1A94" w:rsidRDefault="004D78A9" w:rsidP="0015008F">
            <w:pPr>
              <w:rPr>
                <w:szCs w:val="20"/>
              </w:rPr>
            </w:pPr>
            <w:r w:rsidRPr="0015008F">
              <w:t>The suppo</w:t>
            </w:r>
            <w:r w:rsidRPr="001E1A94">
              <w:rPr>
                <w:szCs w:val="20"/>
              </w:rPr>
              <w:t>rting principles informing the Commission's decisions have developed over time and stem from its earliest work. These principles aim to:</w:t>
            </w:r>
          </w:p>
          <w:p w14:paraId="0E2D77D0" w14:textId="3CD21286" w:rsidR="004D78A9" w:rsidRPr="0015008F" w:rsidRDefault="004D78A9" w:rsidP="000E1307">
            <w:pPr>
              <w:pStyle w:val="bulletbox"/>
            </w:pPr>
            <w:r w:rsidRPr="0015008F">
              <w:t xml:space="preserve">comprehensively account for state government activities — that is, consider </w:t>
            </w:r>
            <w:r w:rsidRPr="00EF3EE8">
              <w:rPr>
                <w:b/>
              </w:rPr>
              <w:t xml:space="preserve">what states </w:t>
            </w:r>
            <w:proofErr w:type="gramStart"/>
            <w:r w:rsidRPr="00EF3EE8">
              <w:rPr>
                <w:b/>
              </w:rPr>
              <w:t>do</w:t>
            </w:r>
            <w:proofErr w:type="gramEnd"/>
          </w:p>
          <w:p w14:paraId="015A2548" w14:textId="77777777" w:rsidR="004D78A9" w:rsidRPr="0015008F" w:rsidRDefault="004D78A9" w:rsidP="000E1307">
            <w:pPr>
              <w:pStyle w:val="bulletbox"/>
            </w:pPr>
            <w:r w:rsidRPr="0015008F">
              <w:t xml:space="preserve">minimise the influence of a state’s policy choices on its grant allocation, and minimise the effect of assessments on policy choices — ensuring </w:t>
            </w:r>
            <w:r w:rsidRPr="00EF3EE8">
              <w:rPr>
                <w:b/>
              </w:rPr>
              <w:t xml:space="preserve">policy </w:t>
            </w:r>
            <w:proofErr w:type="gramStart"/>
            <w:r w:rsidRPr="00EF3EE8">
              <w:rPr>
                <w:b/>
              </w:rPr>
              <w:t>neutrality</w:t>
            </w:r>
            <w:proofErr w:type="gramEnd"/>
          </w:p>
          <w:p w14:paraId="7A54EFE7" w14:textId="77777777" w:rsidR="004D78A9" w:rsidRPr="0015008F" w:rsidRDefault="004D78A9" w:rsidP="000E1307">
            <w:pPr>
              <w:pStyle w:val="bulletbox"/>
            </w:pPr>
            <w:r w:rsidRPr="0015008F">
              <w:t xml:space="preserve">provide advice relevant to the year of grant distribution, but as much as possible using recent statistical information — to achieve </w:t>
            </w:r>
            <w:proofErr w:type="gramStart"/>
            <w:r w:rsidRPr="00EF3EE8">
              <w:rPr>
                <w:b/>
              </w:rPr>
              <w:t>contemporaneity</w:t>
            </w:r>
            <w:proofErr w:type="gramEnd"/>
          </w:p>
          <w:p w14:paraId="27846C54" w14:textId="77777777" w:rsidR="004D78A9" w:rsidRPr="00C8203A" w:rsidRDefault="004D78A9" w:rsidP="000E1307">
            <w:pPr>
              <w:pStyle w:val="bulletbox"/>
            </w:pPr>
            <w:r w:rsidRPr="0015008F">
              <w:t xml:space="preserve">use the best available data to measure fiscal capacities as simply and reliably as possible — summed up in the </w:t>
            </w:r>
            <w:r w:rsidRPr="00EF3EE8">
              <w:rPr>
                <w:b/>
              </w:rPr>
              <w:t>practicality</w:t>
            </w:r>
            <w:r w:rsidRPr="0015008F">
              <w:t xml:space="preserve"> supporting principle.</w:t>
            </w:r>
          </w:p>
        </w:tc>
      </w:tr>
    </w:tbl>
    <w:p w14:paraId="3C394CD1" w14:textId="1FC57840" w:rsidR="006372F0" w:rsidRPr="003F795E" w:rsidRDefault="00A322C9" w:rsidP="006372F0">
      <w:r>
        <w:rPr>
          <w:szCs w:val="20"/>
        </w:rPr>
        <w:t xml:space="preserve">In </w:t>
      </w:r>
      <w:r w:rsidR="005758EA">
        <w:rPr>
          <w:szCs w:val="20"/>
        </w:rPr>
        <w:t>2018</w:t>
      </w:r>
      <w:r w:rsidR="006372F0" w:rsidRPr="00D94017">
        <w:rPr>
          <w:szCs w:val="20"/>
        </w:rPr>
        <w:t>, the Commonwealth legislated a new way to distribute GST revenue amongst the states</w:t>
      </w:r>
      <w:r w:rsidR="008E068F" w:rsidRPr="00D94017">
        <w:rPr>
          <w:szCs w:val="20"/>
        </w:rPr>
        <w:t>.</w:t>
      </w:r>
      <w:r w:rsidR="008E068F" w:rsidRPr="008E068F">
        <w:rPr>
          <w:szCs w:val="20"/>
        </w:rPr>
        <w:t xml:space="preserve"> </w:t>
      </w:r>
      <w:r w:rsidR="00D86747">
        <w:rPr>
          <w:szCs w:val="20"/>
        </w:rPr>
        <w:t xml:space="preserve">A key part of the new approach is to ensure </w:t>
      </w:r>
      <w:r w:rsidR="00E83D2C">
        <w:rPr>
          <w:szCs w:val="20"/>
        </w:rPr>
        <w:t>that no state’s per person share of GST revenue can fall below a minimum level.</w:t>
      </w:r>
      <w:r w:rsidR="008E068F">
        <w:rPr>
          <w:szCs w:val="20"/>
        </w:rPr>
        <w:t xml:space="preserve"> </w:t>
      </w:r>
      <w:r w:rsidR="006372F0">
        <w:rPr>
          <w:szCs w:val="20"/>
        </w:rPr>
        <w:t xml:space="preserve">The Commission’s </w:t>
      </w:r>
      <w:hyperlink r:id="rId19" w:history="1">
        <w:r w:rsidR="006372F0" w:rsidRPr="00D94017">
          <w:rPr>
            <w:rStyle w:val="Hyperlink"/>
            <w:i/>
            <w:iCs/>
            <w:szCs w:val="20"/>
          </w:rPr>
          <w:t>Occasional Paper #4 - New arrangements for distributing GST</w:t>
        </w:r>
      </w:hyperlink>
      <w:r w:rsidR="006372F0">
        <w:rPr>
          <w:rStyle w:val="Hyperlink"/>
          <w:i/>
          <w:szCs w:val="20"/>
        </w:rPr>
        <w:t xml:space="preserve"> </w:t>
      </w:r>
      <w:r w:rsidR="00B5204B" w:rsidRPr="003F795E">
        <w:rPr>
          <w:szCs w:val="20"/>
        </w:rPr>
        <w:t>provides more information.</w:t>
      </w:r>
    </w:p>
    <w:p w14:paraId="7FE408B7" w14:textId="77777777" w:rsidR="006A28A5" w:rsidRDefault="006A28A5">
      <w:pPr>
        <w:tabs>
          <w:tab w:val="clear" w:pos="567"/>
        </w:tabs>
        <w:spacing w:before="0" w:line="240" w:lineRule="auto"/>
        <w:rPr>
          <w:rFonts w:eastAsiaTheme="majorEastAsia" w:cs="Open Sans"/>
          <w:b/>
          <w:bCs/>
          <w:color w:val="006991"/>
          <w:sz w:val="36"/>
          <w:szCs w:val="36"/>
        </w:rPr>
      </w:pPr>
      <w:r>
        <w:br w:type="page"/>
      </w:r>
    </w:p>
    <w:p w14:paraId="548AC689" w14:textId="7E9A48B3" w:rsidR="006372F0" w:rsidRPr="00D94017" w:rsidRDefault="006372F0" w:rsidP="006372F0">
      <w:pPr>
        <w:pStyle w:val="Heading2"/>
      </w:pPr>
      <w:r w:rsidRPr="00D94017">
        <w:lastRenderedPageBreak/>
        <w:t>Conclusion</w:t>
      </w:r>
    </w:p>
    <w:p w14:paraId="5F6C2EF5" w14:textId="1D5D03CA" w:rsidR="00AD53D2" w:rsidRPr="006A28A5" w:rsidRDefault="00C34147" w:rsidP="006A28A5">
      <w:r w:rsidRPr="006A28A5">
        <w:t xml:space="preserve">The intent of </w:t>
      </w:r>
      <w:r w:rsidR="008E068F" w:rsidRPr="006A28A5">
        <w:t>equalisation</w:t>
      </w:r>
      <w:r w:rsidRPr="006A28A5">
        <w:t xml:space="preserve"> is to put all Australian states on a similar fiscal footing</w:t>
      </w:r>
      <w:r w:rsidR="00254966" w:rsidRPr="006A28A5">
        <w:t xml:space="preserve">, enabling </w:t>
      </w:r>
      <w:r w:rsidRPr="006A28A5">
        <w:t xml:space="preserve">them to provide </w:t>
      </w:r>
      <w:r w:rsidR="00AD39B1">
        <w:t>similar</w:t>
      </w:r>
      <w:r w:rsidR="00AD39B1" w:rsidRPr="006A28A5">
        <w:t xml:space="preserve"> </w:t>
      </w:r>
      <w:r w:rsidRPr="006A28A5">
        <w:t>services to their residents.</w:t>
      </w:r>
      <w:r w:rsidR="00394931" w:rsidRPr="006A28A5">
        <w:t xml:space="preserve"> The challenge is how to achieve this</w:t>
      </w:r>
      <w:r w:rsidR="00136C01" w:rsidRPr="006A28A5">
        <w:t>, particularly given the diversity of Australia’s states</w:t>
      </w:r>
      <w:r w:rsidR="009E4474" w:rsidRPr="006A28A5">
        <w:t xml:space="preserve"> in terms of revenue capacity, </w:t>
      </w:r>
      <w:proofErr w:type="gramStart"/>
      <w:r w:rsidR="009E4474" w:rsidRPr="006A28A5">
        <w:t>geography</w:t>
      </w:r>
      <w:proofErr w:type="gramEnd"/>
      <w:r w:rsidR="009E4474" w:rsidRPr="006A28A5">
        <w:t xml:space="preserve"> and demography</w:t>
      </w:r>
      <w:r w:rsidR="00394931" w:rsidRPr="006A28A5">
        <w:t>.</w:t>
      </w:r>
    </w:p>
    <w:p w14:paraId="316A6560" w14:textId="4682CB93" w:rsidR="00254966" w:rsidRPr="006A28A5" w:rsidRDefault="00394931" w:rsidP="006A28A5">
      <w:r w:rsidRPr="006A28A5">
        <w:t>Other countries have various approaches to achieving this goal. Australia stands out as</w:t>
      </w:r>
      <w:r w:rsidR="00E80783" w:rsidRPr="006A28A5">
        <w:t xml:space="preserve"> having a distinctive model, particularly in the existence of an independent, expert </w:t>
      </w:r>
      <w:r w:rsidR="008E2BA6" w:rsidRPr="006A28A5">
        <w:t xml:space="preserve">body </w:t>
      </w:r>
      <w:r w:rsidR="00C36345" w:rsidRPr="006A28A5">
        <w:t xml:space="preserve">and the </w:t>
      </w:r>
      <w:r w:rsidR="00E80783" w:rsidRPr="006A28A5">
        <w:t xml:space="preserve">comprehensiveness </w:t>
      </w:r>
      <w:r w:rsidR="00C36345" w:rsidRPr="006A28A5">
        <w:t xml:space="preserve">with which it has pursued </w:t>
      </w:r>
      <w:r w:rsidR="005034D2" w:rsidRPr="006A28A5">
        <w:t>equalisation</w:t>
      </w:r>
      <w:r w:rsidR="00C36345" w:rsidRPr="006A28A5">
        <w:t>.</w:t>
      </w:r>
      <w:r w:rsidR="00973320" w:rsidRPr="006A28A5">
        <w:t xml:space="preserve"> Other notable features of Australia’s approach include </w:t>
      </w:r>
      <w:r w:rsidR="00352E57" w:rsidRPr="006A28A5">
        <w:t xml:space="preserve">the reliance on data and other evidence, and the </w:t>
      </w:r>
      <w:r w:rsidR="00C43ED8">
        <w:t xml:space="preserve">Commission’s </w:t>
      </w:r>
      <w:r w:rsidR="00352E57" w:rsidRPr="006A28A5">
        <w:t xml:space="preserve">close partnership with states </w:t>
      </w:r>
      <w:r w:rsidR="009E6C99" w:rsidRPr="006A28A5">
        <w:t>in determining the methodology</w:t>
      </w:r>
      <w:r w:rsidR="000F2957">
        <w:t xml:space="preserve"> for distributing general revenue assistance</w:t>
      </w:r>
      <w:r w:rsidR="009E6C99" w:rsidRPr="006A28A5">
        <w:t>.</w:t>
      </w:r>
    </w:p>
    <w:p w14:paraId="26ECD4FB" w14:textId="186B2A47" w:rsidR="000E690C" w:rsidRDefault="00C36345" w:rsidP="006A28A5">
      <w:r w:rsidRPr="006A28A5">
        <w:t xml:space="preserve">Over </w:t>
      </w:r>
      <w:r w:rsidR="002645A5">
        <w:t xml:space="preserve">the past </w:t>
      </w:r>
      <w:r w:rsidR="00402955" w:rsidRPr="006A28A5">
        <w:t xml:space="preserve">90 </w:t>
      </w:r>
      <w:r w:rsidR="007806DA" w:rsidRPr="006A28A5">
        <w:t>years,</w:t>
      </w:r>
      <w:r w:rsidR="007806DA">
        <w:t xml:space="preserve"> </w:t>
      </w:r>
      <w:r w:rsidR="007806DA" w:rsidRPr="006A28A5">
        <w:t>the</w:t>
      </w:r>
      <w:r w:rsidR="00256024" w:rsidRPr="006A28A5">
        <w:t xml:space="preserve"> Commonwealth Grants </w:t>
      </w:r>
      <w:r w:rsidR="007806DA" w:rsidRPr="006A28A5">
        <w:t>Commission</w:t>
      </w:r>
      <w:r w:rsidR="007806DA">
        <w:t xml:space="preserve">’s </w:t>
      </w:r>
      <w:r w:rsidR="007806DA" w:rsidRPr="006A28A5">
        <w:t>methodology</w:t>
      </w:r>
      <w:r w:rsidR="00C01413" w:rsidRPr="006A28A5">
        <w:t xml:space="preserve"> has evolved, </w:t>
      </w:r>
      <w:r w:rsidR="000E7F00" w:rsidRPr="006A28A5">
        <w:t>building</w:t>
      </w:r>
      <w:r w:rsidR="00C01413" w:rsidRPr="006A28A5">
        <w:t xml:space="preserve"> on </w:t>
      </w:r>
      <w:r w:rsidR="00807091" w:rsidRPr="006A28A5">
        <w:t xml:space="preserve">the work </w:t>
      </w:r>
      <w:r w:rsidR="007806DA" w:rsidRPr="006A28A5">
        <w:t xml:space="preserve">of </w:t>
      </w:r>
      <w:r w:rsidR="007806DA">
        <w:t>successive</w:t>
      </w:r>
      <w:r w:rsidR="00807091" w:rsidRPr="006A28A5">
        <w:t xml:space="preserve"> commissions. </w:t>
      </w:r>
      <w:r w:rsidR="008B1FDC" w:rsidRPr="006A28A5">
        <w:t>T</w:t>
      </w:r>
      <w:r w:rsidR="009E6C99" w:rsidRPr="006A28A5">
        <w:t xml:space="preserve">he early commitment to </w:t>
      </w:r>
      <w:r w:rsidR="00294CE4" w:rsidRPr="006A28A5">
        <w:t>addressing financial need</w:t>
      </w:r>
      <w:r w:rsidR="003050B1" w:rsidRPr="006A28A5">
        <w:t xml:space="preserve"> and</w:t>
      </w:r>
      <w:r w:rsidR="00294CE4" w:rsidRPr="006A28A5">
        <w:t xml:space="preserve"> reducing fiscal differences, </w:t>
      </w:r>
      <w:r w:rsidR="003050B1" w:rsidRPr="006A28A5">
        <w:t xml:space="preserve">while </w:t>
      </w:r>
      <w:r w:rsidR="00294CE4" w:rsidRPr="006A28A5">
        <w:t xml:space="preserve">maintaining </w:t>
      </w:r>
      <w:r w:rsidR="009E6C99" w:rsidRPr="006A28A5">
        <w:t>policy neutrality</w:t>
      </w:r>
      <w:r w:rsidR="003050B1" w:rsidRPr="006A28A5">
        <w:t xml:space="preserve"> </w:t>
      </w:r>
      <w:r w:rsidR="00663D46" w:rsidRPr="006A28A5">
        <w:t xml:space="preserve">has </w:t>
      </w:r>
      <w:r w:rsidR="003050B1" w:rsidRPr="006A28A5">
        <w:t>remain</w:t>
      </w:r>
      <w:r w:rsidR="00663D46" w:rsidRPr="006A28A5">
        <w:t>ed</w:t>
      </w:r>
      <w:r w:rsidR="003050B1" w:rsidRPr="006A28A5">
        <w:t>. The use of relativities</w:t>
      </w:r>
      <w:r w:rsidR="00804C4E" w:rsidRPr="006A28A5">
        <w:t xml:space="preserve"> to encapsulate the different needs of states has </w:t>
      </w:r>
      <w:r w:rsidR="008B1FDC" w:rsidRPr="006A28A5">
        <w:t xml:space="preserve">also </w:t>
      </w:r>
      <w:r w:rsidR="00804C4E" w:rsidRPr="006A28A5">
        <w:t>endured</w:t>
      </w:r>
      <w:r w:rsidR="00787DE7" w:rsidRPr="006A28A5">
        <w:t xml:space="preserve"> since the 1980s</w:t>
      </w:r>
      <w:r w:rsidR="006A36C9" w:rsidRPr="006A28A5">
        <w:t>, as has the</w:t>
      </w:r>
      <w:r w:rsidR="005F16CA" w:rsidRPr="006A28A5">
        <w:t xml:space="preserve"> critical feature </w:t>
      </w:r>
      <w:r w:rsidR="006A36C9" w:rsidRPr="006A28A5">
        <w:t>of</w:t>
      </w:r>
      <w:r w:rsidR="005F16CA" w:rsidRPr="006A28A5">
        <w:t xml:space="preserve"> </w:t>
      </w:r>
      <w:r w:rsidR="008A3411" w:rsidRPr="006A28A5">
        <w:t>impartiality and transparency, so states can be confident of a fair process and robust methods</w:t>
      </w:r>
      <w:r w:rsidR="007E019A" w:rsidRPr="006A28A5">
        <w:t>.</w:t>
      </w:r>
    </w:p>
    <w:p w14:paraId="0505E059" w14:textId="77777777" w:rsidR="00136490" w:rsidRPr="006A28A5" w:rsidRDefault="00136490" w:rsidP="006A28A5"/>
    <w:p w14:paraId="5F4EA5D0" w14:textId="3E4F1BC7" w:rsidR="00E171E4" w:rsidRDefault="0080708A">
      <w:pPr>
        <w:tabs>
          <w:tab w:val="clear" w:pos="567"/>
        </w:tabs>
        <w:spacing w:before="0" w:line="240" w:lineRule="auto"/>
        <w:rPr>
          <w:rFonts w:eastAsia="Times New Roman" w:cs="Times New Roman"/>
          <w:b/>
          <w:szCs w:val="20"/>
          <w:lang w:eastAsia="en-AU"/>
        </w:rPr>
      </w:pPr>
      <w:r>
        <w:rPr>
          <w:b/>
        </w:rPr>
        <w:br w:type="page"/>
      </w:r>
    </w:p>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F2FF" w:themeFill="text1" w:themeFillTint="1A"/>
        <w:tblLayout w:type="fixed"/>
        <w:tblLook w:val="06A0" w:firstRow="1" w:lastRow="0" w:firstColumn="1" w:lastColumn="0" w:noHBand="1" w:noVBand="1"/>
      </w:tblPr>
      <w:tblGrid>
        <w:gridCol w:w="9060"/>
      </w:tblGrid>
      <w:tr w:rsidR="00117209" w:rsidRPr="00DD28E4" w14:paraId="19C0800B" w14:textId="77777777" w:rsidTr="00437115">
        <w:trPr>
          <w:trHeight w:val="8486"/>
        </w:trPr>
        <w:tc>
          <w:tcPr>
            <w:tcW w:w="9060" w:type="dxa"/>
            <w:shd w:val="clear" w:color="auto" w:fill="D4F2FF" w:themeFill="text1" w:themeFillTint="1A"/>
          </w:tcPr>
          <w:p w14:paraId="75BCF2F2" w14:textId="49A79B84" w:rsidR="00117209" w:rsidRPr="00DD28E4" w:rsidRDefault="00117209" w:rsidP="00FE396D">
            <w:pPr>
              <w:pStyle w:val="Heading2"/>
            </w:pPr>
            <w:r w:rsidRPr="00DD28E4">
              <w:lastRenderedPageBreak/>
              <w:t>Changing Times: Then and Now</w:t>
            </w:r>
          </w:p>
          <w:p w14:paraId="478F239D" w14:textId="5B275A38" w:rsidR="00117209" w:rsidRPr="00DD28E4" w:rsidRDefault="00117209" w:rsidP="00FE396D">
            <w:pPr>
              <w:pStyle w:val="Style3"/>
            </w:pPr>
            <w:r w:rsidRPr="00DD28E4">
              <w:t>Throughout its history, the Commission has adapted its approach. Changes can be seen in the shift from formal, quasi-judicial proceedings to more informal arrangements, with changes to data availability and technology also affecting day-to-day operations.</w:t>
            </w:r>
          </w:p>
          <w:p w14:paraId="595620DD" w14:textId="77777777" w:rsidR="00117209" w:rsidRPr="00DD28E4" w:rsidRDefault="00117209" w:rsidP="00255BCB">
            <w:pPr>
              <w:pStyle w:val="Style3"/>
            </w:pPr>
            <w:r w:rsidRPr="00DD28E4">
              <w:t>THEN: Early Commissions adopted a quasi-judicial approach to their work. During this time, Members held hearings and called upon ‘witnesses’ who provided sworn testimony. Members often travelled to states to hear evidence and undertake site inspections. The Commission’s reports were often technical in nature and not accessible to the average reader.</w:t>
            </w:r>
          </w:p>
          <w:p w14:paraId="6B2F4EA0" w14:textId="26F88A48" w:rsidR="00117209" w:rsidRPr="00DD28E4" w:rsidRDefault="00117209" w:rsidP="00FE396D">
            <w:pPr>
              <w:pStyle w:val="Style3"/>
            </w:pPr>
            <w:r w:rsidRPr="00DD28E4">
              <w:t>NOW: During the 1993 Review, formal hearings and the swearing in of witnesses was abandoned and replaced with less formal interactions. Today, the Commission seeks to maintain continuous and open dialogue with states, whilst also providing the opportunity for written submissions on consultation issues. The Commission no longer conducts site inspections, preferring to hear from central agency officials about the circumstances affecting state budgets. The Commission also focuses on improving accessibility of the materials it produces, so that a broader range of people can understand its deliberations and recommendations.</w:t>
            </w:r>
          </w:p>
          <w:p w14:paraId="10E84B4F" w14:textId="0A4DB7AD" w:rsidR="00117209" w:rsidRPr="00DD28E4" w:rsidRDefault="00117209" w:rsidP="00FE396D">
            <w:pPr>
              <w:pStyle w:val="Style3"/>
            </w:pPr>
            <w:r w:rsidRPr="00DD28E4">
              <w:t xml:space="preserve">THEN: The first meeting of the Commission was in Melbourne in July 1933. In July 1934, the first report was handed, incomplete, to the Governor-General in Canberra by all </w:t>
            </w:r>
            <w:r w:rsidR="00E16965">
              <w:t>3 </w:t>
            </w:r>
            <w:r w:rsidRPr="00DD28E4">
              <w:t xml:space="preserve">Members, having been prepared on a ship while returning from ‘hearings’ in Western Australia. </w:t>
            </w:r>
          </w:p>
          <w:p w14:paraId="55C7EC27" w14:textId="093B68E8" w:rsidR="00117209" w:rsidRPr="00DD28E4" w:rsidRDefault="00117209" w:rsidP="00FE396D">
            <w:pPr>
              <w:pStyle w:val="Style3"/>
            </w:pPr>
            <w:r w:rsidRPr="00DD28E4">
              <w:t>NOW: The Commission’s reports are completed in the agency’s offices, and meetings with states are mostly conducted remotely. In addition, electronic copies of reports are presented to the Australian Government, with state Governments usually able to access the reports at the same time as the Commonwealth.</w:t>
            </w:r>
          </w:p>
          <w:p w14:paraId="71BB6FA7" w14:textId="00861BB4" w:rsidR="00117209" w:rsidRPr="00DD28E4" w:rsidRDefault="00117209" w:rsidP="00FE396D">
            <w:pPr>
              <w:pStyle w:val="Style3"/>
            </w:pPr>
            <w:r w:rsidRPr="00DD28E4">
              <w:t xml:space="preserve">THEN: The first Commission under the leadership of The Hon Sir Fredrick Eggleston comprised 3 men. </w:t>
            </w:r>
          </w:p>
          <w:p w14:paraId="3EB7518E" w14:textId="5E2A7366" w:rsidR="00117209" w:rsidRPr="00DD28E4" w:rsidRDefault="00117209" w:rsidP="00FE396D">
            <w:pPr>
              <w:pStyle w:val="Style3"/>
              <w:rPr>
                <w:highlight w:val="yellow"/>
              </w:rPr>
            </w:pPr>
            <w:r w:rsidRPr="00DD28E4">
              <w:t>NOW: The first female Commissioner</w:t>
            </w:r>
            <w:r w:rsidR="00C42ED5">
              <w:t xml:space="preserve">, Hilda </w:t>
            </w:r>
            <w:r w:rsidR="00A6692B">
              <w:t>Rolfe,</w:t>
            </w:r>
            <w:r w:rsidR="00A6692B" w:rsidRPr="00DD28E4">
              <w:t xml:space="preserve"> was</w:t>
            </w:r>
            <w:r w:rsidRPr="00DD28E4">
              <w:t xml:space="preserve"> appointed in 1999. Three of the 4 current Commissioners are women. </w:t>
            </w:r>
          </w:p>
        </w:tc>
      </w:tr>
    </w:tbl>
    <w:p w14:paraId="0B9AE85A" w14:textId="6695A7C4" w:rsidR="00BA23DD" w:rsidRDefault="00BA23DD" w:rsidP="00AD53D2">
      <w:pPr>
        <w:pStyle w:val="BodyText"/>
        <w:rPr>
          <w:rFonts w:ascii="Work Sans" w:hAnsi="Work Sans"/>
          <w:b/>
        </w:rPr>
      </w:pPr>
      <w:r>
        <w:rPr>
          <w:rFonts w:ascii="Work Sans" w:hAnsi="Work Sans"/>
          <w:b/>
        </w:rPr>
        <w:br w:type="page"/>
      </w:r>
    </w:p>
    <w:p w14:paraId="6D6BA70E" w14:textId="5088F665" w:rsidR="00C8203A" w:rsidRPr="001E7701" w:rsidRDefault="0060661C" w:rsidP="00DD28E4">
      <w:pPr>
        <w:tabs>
          <w:tab w:val="clear" w:pos="567"/>
        </w:tabs>
        <w:spacing w:before="0" w:line="240" w:lineRule="auto"/>
        <w:rPr>
          <w:rFonts w:eastAsiaTheme="majorEastAsia" w:cs="Open Sans"/>
          <w:b/>
          <w:bCs/>
          <w:color w:val="006991"/>
          <w:sz w:val="36"/>
          <w:szCs w:val="36"/>
        </w:rPr>
      </w:pPr>
      <w:r w:rsidRPr="00411BD8">
        <w:rPr>
          <w:noProof/>
        </w:rPr>
        <w:lastRenderedPageBreak/>
        <mc:AlternateContent>
          <mc:Choice Requires="wps">
            <w:drawing>
              <wp:anchor distT="45720" distB="45720" distL="114300" distR="114300" simplePos="0" relativeHeight="251661312" behindDoc="0" locked="0" layoutInCell="1" allowOverlap="1" wp14:anchorId="09597DF8" wp14:editId="0AF7593D">
                <wp:simplePos x="0" y="0"/>
                <wp:positionH relativeFrom="column">
                  <wp:posOffset>2865170</wp:posOffset>
                </wp:positionH>
                <wp:positionV relativeFrom="paragraph">
                  <wp:posOffset>5550725</wp:posOffset>
                </wp:positionV>
                <wp:extent cx="2800800" cy="793115"/>
                <wp:effectExtent l="0" t="0" r="0" b="6985"/>
                <wp:wrapNone/>
                <wp:docPr id="213418255" name="Text Box 213418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800" cy="793115"/>
                        </a:xfrm>
                        <a:prstGeom prst="rect">
                          <a:avLst/>
                        </a:prstGeom>
                        <a:solidFill>
                          <a:srgbClr val="FFFFFF"/>
                        </a:solidFill>
                        <a:ln w="9525">
                          <a:noFill/>
                          <a:miter lim="800000"/>
                          <a:headEnd/>
                          <a:tailEnd/>
                        </a:ln>
                      </wps:spPr>
                      <wps:txbx>
                        <w:txbxContent>
                          <w:p w14:paraId="0E19CF30" w14:textId="77777777" w:rsidR="00BA23DD" w:rsidRPr="00E5664B" w:rsidRDefault="00BA23DD" w:rsidP="00052499">
                            <w:pPr>
                              <w:pStyle w:val="Photo1"/>
                            </w:pPr>
                            <w:r w:rsidRPr="00E5664B">
                              <w:t xml:space="preserve">The Commission and Secretary, along with Commission staff (online) meet with officials during the state visit to the Northern Territory as part of the 2025 </w:t>
                            </w:r>
                            <w:proofErr w:type="gramStart"/>
                            <w:r w:rsidRPr="00E5664B">
                              <w:t>Review</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97DF8" id="Text Box 213418255" o:spid="_x0000_s1032" type="#_x0000_t202" style="position:absolute;margin-left:225.6pt;margin-top:437.05pt;width:220.55pt;height:62.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" stroked="f">
                <v:textbox>
                  <w:txbxContent>
                    <w:p w14:paraId="0E19CF30" w14:textId="77777777" w:rsidR="00BA23DD" w:rsidRPr="00E5664B" w:rsidRDefault="00BA23DD" w:rsidP="00052499">
                      <w:pPr>
                        <w:pStyle w:val="Photo1"/>
                      </w:pPr>
                      <w:r w:rsidRPr="00E5664B">
                        <w:t xml:space="preserve">The Commission and Secretary, along with Commission staff (online) meet with officials during the state visit to the Northern Territory as part of the 2025 </w:t>
                      </w:r>
                      <w:proofErr w:type="gramStart"/>
                      <w:r w:rsidRPr="00E5664B">
                        <w:t>Review</w:t>
                      </w:r>
                      <w:proofErr w:type="gramEnd"/>
                    </w:p>
                  </w:txbxContent>
                </v:textbox>
              </v:shape>
            </w:pict>
          </mc:Fallback>
        </mc:AlternateContent>
      </w:r>
      <w:r w:rsidR="00175ABA" w:rsidRPr="00411BD8">
        <w:rPr>
          <w:noProof/>
        </w:rPr>
        <mc:AlternateContent>
          <mc:Choice Requires="wps">
            <w:drawing>
              <wp:anchor distT="45720" distB="45720" distL="114300" distR="114300" simplePos="0" relativeHeight="251653120" behindDoc="0" locked="0" layoutInCell="1" allowOverlap="1" wp14:anchorId="5B63883C" wp14:editId="27683BEE">
                <wp:simplePos x="0" y="0"/>
                <wp:positionH relativeFrom="column">
                  <wp:posOffset>274320</wp:posOffset>
                </wp:positionH>
                <wp:positionV relativeFrom="paragraph">
                  <wp:posOffset>2561990</wp:posOffset>
                </wp:positionV>
                <wp:extent cx="2483142" cy="400050"/>
                <wp:effectExtent l="0" t="0" r="0" b="0"/>
                <wp:wrapNone/>
                <wp:docPr id="1944251220" name="Text Box 194425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142" cy="400050"/>
                        </a:xfrm>
                        <a:prstGeom prst="rect">
                          <a:avLst/>
                        </a:prstGeom>
                        <a:solidFill>
                          <a:srgbClr val="FFFFFF"/>
                        </a:solidFill>
                        <a:ln w="9525">
                          <a:noFill/>
                          <a:miter lim="800000"/>
                          <a:headEnd/>
                          <a:tailEnd/>
                        </a:ln>
                      </wps:spPr>
                      <wps:txbx>
                        <w:txbxContent>
                          <w:p w14:paraId="36A3F4ED" w14:textId="77777777" w:rsidR="004B5C55" w:rsidRPr="00052499" w:rsidRDefault="004B5C55" w:rsidP="00052499">
                            <w:pPr>
                              <w:pStyle w:val="Photo1"/>
                            </w:pPr>
                            <w:r w:rsidRPr="00052499">
                              <w:t>Sir Frederick Eggleston (1875-1954),</w:t>
                            </w:r>
                          </w:p>
                          <w:p w14:paraId="4AF7EE74" w14:textId="77777777" w:rsidR="004B5C55" w:rsidRPr="00052499" w:rsidRDefault="004B5C55" w:rsidP="00052499">
                            <w:pPr>
                              <w:pStyle w:val="Photo1"/>
                            </w:pPr>
                            <w:r w:rsidRPr="00052499">
                              <w:t>first Chairman of the Commission</w:t>
                            </w:r>
                          </w:p>
                          <w:p w14:paraId="2483C77C" w14:textId="77777777" w:rsidR="004B5C55" w:rsidRDefault="004B5C55" w:rsidP="004B5C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3883C" id="Text Box 1944251220" o:spid="_x0000_s1033" type="#_x0000_t202" style="position:absolute;margin-left:21.6pt;margin-top:201.75pt;width:195.5pt;height:31.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" stroked="f">
                <v:textbox>
                  <w:txbxContent>
                    <w:p w14:paraId="36A3F4ED" w14:textId="77777777" w:rsidR="004B5C55" w:rsidRPr="00052499" w:rsidRDefault="004B5C55" w:rsidP="00052499">
                      <w:pPr>
                        <w:pStyle w:val="Photo1"/>
                      </w:pPr>
                      <w:r w:rsidRPr="00052499">
                        <w:t>Sir Frederick Eggleston (1875-1954),</w:t>
                      </w:r>
                    </w:p>
                    <w:p w14:paraId="4AF7EE74" w14:textId="77777777" w:rsidR="004B5C55" w:rsidRPr="00052499" w:rsidRDefault="004B5C55" w:rsidP="00052499">
                      <w:pPr>
                        <w:pStyle w:val="Photo1"/>
                      </w:pPr>
                      <w:r w:rsidRPr="00052499">
                        <w:t>first Chairman of the Commission</w:t>
                      </w:r>
                    </w:p>
                    <w:p w14:paraId="2483C77C" w14:textId="77777777" w:rsidR="004B5C55" w:rsidRDefault="004B5C55" w:rsidP="004B5C55"/>
                  </w:txbxContent>
                </v:textbox>
              </v:shape>
            </w:pict>
          </mc:Fallback>
        </mc:AlternateContent>
      </w:r>
      <w:r w:rsidR="008E6112" w:rsidRPr="00411BD8">
        <w:rPr>
          <w:noProof/>
        </w:rPr>
        <mc:AlternateContent>
          <mc:Choice Requires="wps">
            <w:drawing>
              <wp:anchor distT="45720" distB="45720" distL="114300" distR="114300" simplePos="0" relativeHeight="251654144" behindDoc="0" locked="0" layoutInCell="1" allowOverlap="1" wp14:anchorId="1941458B" wp14:editId="16308CC8">
                <wp:simplePos x="0" y="0"/>
                <wp:positionH relativeFrom="column">
                  <wp:posOffset>2955290</wp:posOffset>
                </wp:positionH>
                <wp:positionV relativeFrom="paragraph">
                  <wp:posOffset>2562860</wp:posOffset>
                </wp:positionV>
                <wp:extent cx="2520315" cy="957580"/>
                <wp:effectExtent l="0" t="0" r="0" b="0"/>
                <wp:wrapNone/>
                <wp:docPr id="1272996114" name="Text Box 1272996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957580"/>
                        </a:xfrm>
                        <a:prstGeom prst="rect">
                          <a:avLst/>
                        </a:prstGeom>
                        <a:solidFill>
                          <a:srgbClr val="FFFFFF"/>
                        </a:solidFill>
                        <a:ln w="9525">
                          <a:noFill/>
                          <a:miter lim="800000"/>
                          <a:headEnd/>
                          <a:tailEnd/>
                        </a:ln>
                      </wps:spPr>
                      <wps:txbx>
                        <w:txbxContent>
                          <w:p w14:paraId="566460A2" w14:textId="77777777" w:rsidR="00BA23DD" w:rsidRPr="00052499" w:rsidRDefault="00BA23DD" w:rsidP="00052499">
                            <w:pPr>
                              <w:pStyle w:val="Photo1"/>
                              <w:rPr>
                                <w:rStyle w:val="normaltextrun"/>
                              </w:rPr>
                            </w:pPr>
                            <w:r w:rsidRPr="00052499">
                              <w:rPr>
                                <w:rStyle w:val="normaltextrun"/>
                              </w:rPr>
                              <w:t xml:space="preserve">The Commission and Secretary, along with Commission staff, celebrate the 90th anniversary of the </w:t>
                            </w:r>
                            <w:proofErr w:type="gramStart"/>
                            <w:r w:rsidR="00B01C7E" w:rsidRPr="00052499">
                              <w:rPr>
                                <w:rStyle w:val="normaltextrun"/>
                              </w:rPr>
                              <w:t>Commission</w:t>
                            </w:r>
                            <w:proofErr w:type="gramEnd"/>
                          </w:p>
                          <w:p w14:paraId="63DC0DCD" w14:textId="77777777" w:rsidR="00BA23DD" w:rsidRPr="00B01C7E" w:rsidRDefault="00BA23DD" w:rsidP="00052499">
                            <w:pPr>
                              <w:pStyle w:val="Photo2"/>
                              <w:rPr>
                                <w:rStyle w:val="normaltextrun"/>
                                <w:b/>
                                <w:szCs w:val="14"/>
                              </w:rPr>
                            </w:pPr>
                            <w:r w:rsidRPr="00B01C7E">
                              <w:t xml:space="preserve">From left to right: </w:t>
                            </w:r>
                            <w:r w:rsidR="000B2AC7">
                              <w:t>Mr </w:t>
                            </w:r>
                            <w:r w:rsidRPr="00B01C7E">
                              <w:t>Mike Callaghan AM PSM (Chairperson), Professor Anne Tiernan (Member), Dr Lynne Williams AM (Member), Mr Jonathan Rollings (Secretary) and Dr Angela Jackson (Member)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1458B" id="Text Box 1272996114" o:spid="_x0000_s1034" type="#_x0000_t202" style="position:absolute;margin-left:232.7pt;margin-top:201.8pt;width:198.45pt;height:75.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" stroked="f">
                <v:textbox>
                  <w:txbxContent>
                    <w:p w14:paraId="566460A2" w14:textId="77777777" w:rsidR="00BA23DD" w:rsidRPr="00052499" w:rsidRDefault="00BA23DD" w:rsidP="00052499">
                      <w:pPr>
                        <w:pStyle w:val="Photo1"/>
                        <w:rPr>
                          <w:rStyle w:val="normaltextrun"/>
                        </w:rPr>
                      </w:pPr>
                      <w:r w:rsidRPr="00052499">
                        <w:rPr>
                          <w:rStyle w:val="normaltextrun"/>
                        </w:rPr>
                        <w:t xml:space="preserve">The Commission and Secretary, along with Commission staff, celebrate the 90th anniversary of the </w:t>
                      </w:r>
                      <w:proofErr w:type="gramStart"/>
                      <w:r w:rsidR="00B01C7E" w:rsidRPr="00052499">
                        <w:rPr>
                          <w:rStyle w:val="normaltextrun"/>
                        </w:rPr>
                        <w:t>Commission</w:t>
                      </w:r>
                      <w:proofErr w:type="gramEnd"/>
                    </w:p>
                    <w:p w14:paraId="63DC0DCD" w14:textId="77777777" w:rsidR="00BA23DD" w:rsidRPr="00B01C7E" w:rsidRDefault="00BA23DD" w:rsidP="00052499">
                      <w:pPr>
                        <w:pStyle w:val="Photo2"/>
                        <w:rPr>
                          <w:rStyle w:val="normaltextrun"/>
                          <w:b/>
                          <w:szCs w:val="14"/>
                        </w:rPr>
                      </w:pPr>
                      <w:r w:rsidRPr="00B01C7E">
                        <w:t xml:space="preserve">From left to right: </w:t>
                      </w:r>
                      <w:r w:rsidR="000B2AC7">
                        <w:t>Mr </w:t>
                      </w:r>
                      <w:r w:rsidRPr="00B01C7E">
                        <w:t>Mike Callaghan AM PSM (Chairperson), Professor Anne Tiernan (Member), Dr Lynne Williams AM (Member), Mr Jonathan Rollings (Secretary) and Dr Angela Jackson (Member)</w:t>
                      </w:r>
                    </w:p>
                  </w:txbxContent>
                </v:textbox>
              </v:shape>
            </w:pict>
          </mc:Fallback>
        </mc:AlternateContent>
      </w:r>
      <w:r w:rsidR="008E6112" w:rsidRPr="00411BD8">
        <w:rPr>
          <w:noProof/>
        </w:rPr>
        <mc:AlternateContent>
          <mc:Choice Requires="wps">
            <w:drawing>
              <wp:anchor distT="45720" distB="45720" distL="114300" distR="114300" simplePos="0" relativeHeight="251656192" behindDoc="0" locked="0" layoutInCell="1" allowOverlap="1" wp14:anchorId="0D554F54" wp14:editId="53207F9F">
                <wp:simplePos x="0" y="0"/>
                <wp:positionH relativeFrom="column">
                  <wp:posOffset>93483</wp:posOffset>
                </wp:positionH>
                <wp:positionV relativeFrom="paragraph">
                  <wp:posOffset>5549983</wp:posOffset>
                </wp:positionV>
                <wp:extent cx="2773279" cy="1404620"/>
                <wp:effectExtent l="0" t="0" r="8255" b="0"/>
                <wp:wrapNone/>
                <wp:docPr id="459735915" name="Text Box 459735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279" cy="1404620"/>
                        </a:xfrm>
                        <a:prstGeom prst="rect">
                          <a:avLst/>
                        </a:prstGeom>
                        <a:solidFill>
                          <a:srgbClr val="FFFFFF"/>
                        </a:solidFill>
                        <a:ln w="9525">
                          <a:noFill/>
                          <a:miter lim="800000"/>
                          <a:headEnd/>
                          <a:tailEnd/>
                        </a:ln>
                      </wps:spPr>
                      <wps:txbx>
                        <w:txbxContent>
                          <w:p w14:paraId="57881A16" w14:textId="77777777" w:rsidR="00BA23DD" w:rsidRPr="00E5664B" w:rsidRDefault="00BA23DD" w:rsidP="00052499">
                            <w:pPr>
                              <w:pStyle w:val="Photo1"/>
                            </w:pPr>
                            <w:r w:rsidRPr="00E5664B">
                              <w:t>Boarding a ship for inspections in Swansea, Tasmania (March 1956)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554F54" id="Text Box 459735915" o:spid="_x0000_s1035" type="#_x0000_t202" style="position:absolute;margin-left:7.35pt;margin-top:437pt;width:218.3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" stroked="f">
                <v:textbox style="mso-fit-shape-to-text:t">
                  <w:txbxContent>
                    <w:p w14:paraId="57881A16" w14:textId="77777777" w:rsidR="00BA23DD" w:rsidRPr="00E5664B" w:rsidRDefault="00BA23DD" w:rsidP="00052499">
                      <w:pPr>
                        <w:pStyle w:val="Photo1"/>
                      </w:pPr>
                      <w:r w:rsidRPr="00E5664B">
                        <w:t>Boarding a ship for inspections in Swansea, Tasmania (March 1956)</w:t>
                      </w:r>
                    </w:p>
                  </w:txbxContent>
                </v:textbox>
              </v:shape>
            </w:pict>
          </mc:Fallback>
        </mc:AlternateContent>
      </w:r>
      <w:r w:rsidR="008E6112" w:rsidRPr="00411BD8">
        <w:rPr>
          <w:noProof/>
        </w:rPr>
        <mc:AlternateContent>
          <mc:Choice Requires="wps">
            <w:drawing>
              <wp:anchor distT="45720" distB="45720" distL="114300" distR="114300" simplePos="0" relativeHeight="251652096" behindDoc="0" locked="0" layoutInCell="1" allowOverlap="1" wp14:anchorId="591337CD" wp14:editId="0055C8CC">
                <wp:simplePos x="0" y="0"/>
                <wp:positionH relativeFrom="column">
                  <wp:posOffset>198120</wp:posOffset>
                </wp:positionH>
                <wp:positionV relativeFrom="paragraph">
                  <wp:posOffset>8218004</wp:posOffset>
                </wp:positionV>
                <wp:extent cx="2621437" cy="384175"/>
                <wp:effectExtent l="0" t="0" r="7620" b="0"/>
                <wp:wrapNone/>
                <wp:docPr id="510993599" name="Text Box 510993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437" cy="384175"/>
                        </a:xfrm>
                        <a:prstGeom prst="rect">
                          <a:avLst/>
                        </a:prstGeom>
                        <a:solidFill>
                          <a:srgbClr val="FFFFFF"/>
                        </a:solidFill>
                        <a:ln w="9525">
                          <a:noFill/>
                          <a:miter lim="800000"/>
                          <a:headEnd/>
                          <a:tailEnd/>
                        </a:ln>
                      </wps:spPr>
                      <wps:txbx>
                        <w:txbxContent>
                          <w:p w14:paraId="217124A7" w14:textId="77777777" w:rsidR="00A2753F" w:rsidRPr="00E5664B" w:rsidRDefault="00A2753F" w:rsidP="00052499">
                            <w:pPr>
                              <w:pStyle w:val="Photo1"/>
                            </w:pPr>
                            <w:r w:rsidRPr="00E5664B">
                              <w:t>Inspecting a mine in Wittenoom Gorge, Pilbara, WA (June 1963)</w:t>
                            </w:r>
                          </w:p>
                          <w:p w14:paraId="0C97CD19" w14:textId="77777777" w:rsidR="00411BD8" w:rsidRPr="00A2753F" w:rsidRDefault="00411BD8" w:rsidP="00A275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337CD" id="Text Box 510993599" o:spid="_x0000_s1036" type="#_x0000_t202" style="position:absolute;margin-left:15.6pt;margin-top:647.1pt;width:206.4pt;height:30.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" stroked="f">
                <v:textbox>
                  <w:txbxContent>
                    <w:p w14:paraId="217124A7" w14:textId="77777777" w:rsidR="00A2753F" w:rsidRPr="00E5664B" w:rsidRDefault="00A2753F" w:rsidP="00052499">
                      <w:pPr>
                        <w:pStyle w:val="Photo1"/>
                      </w:pPr>
                      <w:r w:rsidRPr="00E5664B">
                        <w:t>Inspecting a mine in Wittenoom Gorge, Pilbara, WA (June 1963)</w:t>
                      </w:r>
                    </w:p>
                    <w:p w14:paraId="0C97CD19" w14:textId="77777777" w:rsidR="00411BD8" w:rsidRPr="00A2753F" w:rsidRDefault="00411BD8" w:rsidP="00A2753F"/>
                  </w:txbxContent>
                </v:textbox>
              </v:shape>
            </w:pict>
          </mc:Fallback>
        </mc:AlternateContent>
      </w:r>
      <w:r w:rsidR="008E6112" w:rsidRPr="00411BD8">
        <w:rPr>
          <w:noProof/>
        </w:rPr>
        <mc:AlternateContent>
          <mc:Choice Requires="wps">
            <w:drawing>
              <wp:anchor distT="45720" distB="45720" distL="114300" distR="114300" simplePos="0" relativeHeight="251662336" behindDoc="0" locked="0" layoutInCell="1" allowOverlap="1" wp14:anchorId="4928FE78" wp14:editId="5C863305">
                <wp:simplePos x="0" y="0"/>
                <wp:positionH relativeFrom="column">
                  <wp:posOffset>2870062</wp:posOffset>
                </wp:positionH>
                <wp:positionV relativeFrom="paragraph">
                  <wp:posOffset>8221014</wp:posOffset>
                </wp:positionV>
                <wp:extent cx="2671639" cy="1404620"/>
                <wp:effectExtent l="0" t="0" r="0" b="0"/>
                <wp:wrapNone/>
                <wp:docPr id="997443842" name="Text Box 997443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639" cy="1404620"/>
                        </a:xfrm>
                        <a:prstGeom prst="rect">
                          <a:avLst/>
                        </a:prstGeom>
                        <a:solidFill>
                          <a:srgbClr val="FFFFFF"/>
                        </a:solidFill>
                        <a:ln w="9525">
                          <a:noFill/>
                          <a:miter lim="800000"/>
                          <a:headEnd/>
                          <a:tailEnd/>
                        </a:ln>
                      </wps:spPr>
                      <wps:txbx>
                        <w:txbxContent>
                          <w:p w14:paraId="0C0A6158" w14:textId="77777777" w:rsidR="00A65BCD" w:rsidRPr="00E5664B" w:rsidRDefault="00A65BCD" w:rsidP="00052499">
                            <w:pPr>
                              <w:pStyle w:val="Photo1"/>
                            </w:pPr>
                            <w:r w:rsidRPr="00E5664B">
                              <w:t>‘Is she boiling?’ Car breaks down near Morawa, WA during a state visit (1953)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28FE78" id="Text Box 997443842" o:spid="_x0000_s1037" type="#_x0000_t202" style="position:absolute;margin-left:226pt;margin-top:647.3pt;width:210.3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6AEwIAAP8DAAAOAAAAZHJzL2Uyb0RvYy54bWysk99u2yAUxu8n7R0Q94udLEkb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" stroked="f">
                <v:textbox style="mso-fit-shape-to-text:t">
                  <w:txbxContent>
                    <w:p w14:paraId="0C0A6158" w14:textId="77777777" w:rsidR="00A65BCD" w:rsidRPr="00E5664B" w:rsidRDefault="00A65BCD" w:rsidP="00052499">
                      <w:pPr>
                        <w:pStyle w:val="Photo1"/>
                      </w:pPr>
                      <w:r w:rsidRPr="00E5664B">
                        <w:t>‘Is she boiling?’ Car breaks down near Morawa, WA during a state visit (1953)</w:t>
                      </w:r>
                    </w:p>
                  </w:txbxContent>
                </v:textbox>
              </v:shape>
            </w:pict>
          </mc:Fallback>
        </mc:AlternateContent>
      </w:r>
      <w:r w:rsidR="00D42F0F">
        <w:rPr>
          <w:noProof/>
        </w:rPr>
        <w:drawing>
          <wp:anchor distT="0" distB="0" distL="114300" distR="114300" simplePos="0" relativeHeight="251663360" behindDoc="1" locked="0" layoutInCell="1" allowOverlap="1" wp14:anchorId="0F4A08F9" wp14:editId="4D0B9699">
            <wp:simplePos x="0" y="0"/>
            <wp:positionH relativeFrom="margin">
              <wp:posOffset>-164934</wp:posOffset>
            </wp:positionH>
            <wp:positionV relativeFrom="margin">
              <wp:posOffset>-346185</wp:posOffset>
            </wp:positionV>
            <wp:extent cx="6053720" cy="8563636"/>
            <wp:effectExtent l="0" t="0" r="4445" b="8890"/>
            <wp:wrapNone/>
            <wp:docPr id="188609617" name="Picture 188609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9617" name="Picture 1886096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53720" cy="8563636"/>
                    </a:xfrm>
                    <a:prstGeom prst="rect">
                      <a:avLst/>
                    </a:prstGeom>
                  </pic:spPr>
                </pic:pic>
              </a:graphicData>
            </a:graphic>
            <wp14:sizeRelH relativeFrom="page">
              <wp14:pctWidth>0</wp14:pctWidth>
            </wp14:sizeRelH>
            <wp14:sizeRelV relativeFrom="page">
              <wp14:pctHeight>0</wp14:pctHeight>
            </wp14:sizeRelV>
          </wp:anchor>
        </w:drawing>
      </w:r>
    </w:p>
    <w:sectPr w:rsidR="00C8203A" w:rsidRPr="001E7701" w:rsidSect="004C78B6">
      <w:pgSz w:w="11900" w:h="16840"/>
      <w:pgMar w:top="1985" w:right="1418" w:bottom="1418" w:left="1418" w:header="709"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EE8C2" w14:textId="77777777" w:rsidR="00222339" w:rsidRDefault="00222339" w:rsidP="005C0550">
      <w:pPr>
        <w:spacing w:before="0" w:line="240" w:lineRule="auto"/>
      </w:pPr>
      <w:r>
        <w:separator/>
      </w:r>
    </w:p>
  </w:endnote>
  <w:endnote w:type="continuationSeparator" w:id="0">
    <w:p w14:paraId="186FB19E" w14:textId="77777777" w:rsidR="00222339" w:rsidRDefault="00222339" w:rsidP="005C0550">
      <w:pPr>
        <w:spacing w:before="0" w:line="240" w:lineRule="auto"/>
      </w:pPr>
      <w:r>
        <w:continuationSeparator/>
      </w:r>
    </w:p>
  </w:endnote>
  <w:endnote w:type="continuationNotice" w:id="1">
    <w:p w14:paraId="119FA094" w14:textId="77777777" w:rsidR="00222339" w:rsidRDefault="0022233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altName w:val="Calibri"/>
    <w:charset w:val="00"/>
    <w:family w:val="auto"/>
    <w:pitch w:val="variable"/>
    <w:sig w:usb0="A00000FF" w:usb1="5000E07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Open Sans Semibold">
    <w:panose1 w:val="020B07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921F" w14:textId="6126DBBB" w:rsidR="008B3F9B" w:rsidRDefault="008B3F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003134E" w14:textId="77777777" w:rsidR="008B3F9B" w:rsidRDefault="008B3F9B" w:rsidP="008B3F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833333438"/>
      <w:docPartObj>
        <w:docPartGallery w:val="Page Numbers (Bottom of Page)"/>
        <w:docPartUnique/>
      </w:docPartObj>
    </w:sdtPr>
    <w:sdtEndPr>
      <w:rPr>
        <w:noProof/>
      </w:rPr>
    </w:sdtEndPr>
    <w:sdtContent>
      <w:p w14:paraId="73DB2061" w14:textId="07A095E7" w:rsidR="0071146B" w:rsidRPr="004742F9" w:rsidRDefault="0071146B">
        <w:pPr>
          <w:pStyle w:val="Footer"/>
          <w:jc w:val="right"/>
          <w:rPr>
            <w:sz w:val="18"/>
            <w:szCs w:val="18"/>
          </w:rPr>
        </w:pPr>
        <w:r w:rsidRPr="004742F9">
          <w:rPr>
            <w:sz w:val="18"/>
            <w:szCs w:val="18"/>
          </w:rPr>
          <w:fldChar w:fldCharType="begin"/>
        </w:r>
        <w:r w:rsidRPr="004742F9">
          <w:rPr>
            <w:sz w:val="18"/>
            <w:szCs w:val="18"/>
          </w:rPr>
          <w:instrText xml:space="preserve"> PAGE   \* MERGEFORMAT </w:instrText>
        </w:r>
        <w:r w:rsidRPr="004742F9">
          <w:rPr>
            <w:sz w:val="18"/>
            <w:szCs w:val="18"/>
          </w:rPr>
          <w:fldChar w:fldCharType="separate"/>
        </w:r>
        <w:r w:rsidRPr="004742F9">
          <w:rPr>
            <w:noProof/>
            <w:sz w:val="18"/>
            <w:szCs w:val="18"/>
          </w:rPr>
          <w:t>2</w:t>
        </w:r>
        <w:r w:rsidRPr="004742F9">
          <w:rPr>
            <w:noProof/>
            <w:sz w:val="18"/>
            <w:szCs w:val="18"/>
          </w:rPr>
          <w:fldChar w:fldCharType="end"/>
        </w:r>
      </w:p>
    </w:sdtContent>
  </w:sdt>
  <w:p w14:paraId="7F855381" w14:textId="290276A0" w:rsidR="008B3F9B" w:rsidRPr="004742F9" w:rsidRDefault="0071146B" w:rsidP="0071146B">
    <w:pPr>
      <w:tabs>
        <w:tab w:val="center" w:pos="4513"/>
        <w:tab w:val="right" w:pos="9026"/>
      </w:tabs>
      <w:rPr>
        <w:color w:val="006991"/>
        <w:sz w:val="18"/>
        <w:szCs w:val="18"/>
      </w:rPr>
    </w:pPr>
    <w:r w:rsidRPr="004742F9">
      <w:rPr>
        <w:color w:val="006991"/>
        <w:sz w:val="18"/>
        <w:szCs w:val="18"/>
      </w:rPr>
      <w:t>www.cgc.gov.au</w:t>
    </w:r>
    <w:r w:rsidRPr="004742F9">
      <w:rPr>
        <w:color w:val="006991"/>
        <w:sz w:val="18"/>
        <w:szCs w:val="18"/>
      </w:rPr>
      <w:tab/>
      <w:t xml:space="preserve">Occasional Paper Series </w:t>
    </w:r>
    <w:r w:rsidRPr="004742F9">
      <w:rPr>
        <w:color w:val="006991"/>
        <w:sz w:val="18"/>
        <w:szCs w:val="18"/>
      </w:rPr>
      <w:tab/>
    </w:r>
    <w:r w:rsidR="00C961C0">
      <w:rPr>
        <w:color w:val="006991"/>
        <w:sz w:val="18"/>
        <w:szCs w:val="18"/>
      </w:rPr>
      <w:t>October</w:t>
    </w:r>
    <w:r w:rsidR="00C961C0" w:rsidRPr="004742F9">
      <w:rPr>
        <w:color w:val="006991"/>
        <w:sz w:val="18"/>
        <w:szCs w:val="18"/>
      </w:rPr>
      <w:t xml:space="preserve"> </w:t>
    </w:r>
    <w:r w:rsidRPr="004742F9">
      <w:rPr>
        <w:color w:val="006991"/>
        <w:sz w:val="18"/>
        <w:szCs w:val="18"/>
      </w:rPr>
      <w:t>202</w:t>
    </w:r>
    <w:r w:rsidR="00C961C0">
      <w:rPr>
        <w:color w:val="006991"/>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9B8C9" w14:textId="77777777" w:rsidR="00222339" w:rsidRDefault="00222339" w:rsidP="005C0550">
      <w:pPr>
        <w:spacing w:before="0" w:line="240" w:lineRule="auto"/>
      </w:pPr>
      <w:r>
        <w:separator/>
      </w:r>
    </w:p>
  </w:footnote>
  <w:footnote w:type="continuationSeparator" w:id="0">
    <w:p w14:paraId="222399E9" w14:textId="77777777" w:rsidR="00222339" w:rsidRDefault="00222339" w:rsidP="005C0550">
      <w:pPr>
        <w:spacing w:before="0" w:line="240" w:lineRule="auto"/>
      </w:pPr>
      <w:r>
        <w:continuationSeparator/>
      </w:r>
    </w:p>
  </w:footnote>
  <w:footnote w:type="continuationNotice" w:id="1">
    <w:p w14:paraId="4D93F193" w14:textId="77777777" w:rsidR="00222339" w:rsidRDefault="00222339">
      <w:pPr>
        <w:spacing w:before="0" w:line="240" w:lineRule="auto"/>
      </w:pPr>
    </w:p>
  </w:footnote>
  <w:footnote w:id="2">
    <w:p w14:paraId="2AE6D08D" w14:textId="4F8AA946" w:rsidR="00BE7590" w:rsidRPr="008D1266" w:rsidRDefault="00BE7590" w:rsidP="00FD20FF">
      <w:pPr>
        <w:pStyle w:val="Footer10"/>
        <w:jc w:val="left"/>
      </w:pPr>
      <w:r w:rsidRPr="008D1266">
        <w:rPr>
          <w:rStyle w:val="FootnoteReference"/>
          <w:sz w:val="14"/>
        </w:rPr>
        <w:footnoteRef/>
      </w:r>
      <w:r w:rsidRPr="008D1266">
        <w:t xml:space="preserve"> The Commission has had several other responsibilities. Most recently, the Commission conducted </w:t>
      </w:r>
      <w:r w:rsidR="00386D5C" w:rsidRPr="008D1266">
        <w:t>inquiries for</w:t>
      </w:r>
      <w:r w:rsidRPr="008D1266">
        <w:t xml:space="preserve"> </w:t>
      </w:r>
      <w:r w:rsidR="003A6364" w:rsidRPr="008D1266">
        <w:t>Norfolk Island (2019)</w:t>
      </w:r>
      <w:r w:rsidR="00C92093">
        <w:t>,</w:t>
      </w:r>
      <w:r w:rsidR="002941F7" w:rsidRPr="008D1266">
        <w:t xml:space="preserve"> the Jervis Bay Territory (2017)</w:t>
      </w:r>
      <w:r w:rsidR="00386D5C" w:rsidRPr="008D1266">
        <w:t>,</w:t>
      </w:r>
      <w:r w:rsidR="002941F7" w:rsidRPr="008D1266">
        <w:t xml:space="preserve"> and </w:t>
      </w:r>
      <w:r w:rsidR="00386D5C" w:rsidRPr="008D1266">
        <w:t xml:space="preserve">into </w:t>
      </w:r>
      <w:r w:rsidRPr="008D1266">
        <w:t>local government funding (2013)</w:t>
      </w:r>
      <w:r w:rsidR="00806DB4" w:rsidRPr="008D1266">
        <w:t>.</w:t>
      </w:r>
    </w:p>
  </w:footnote>
  <w:footnote w:id="3">
    <w:p w14:paraId="73DB6D16" w14:textId="569AC42C" w:rsidR="00BE7590" w:rsidRPr="008D1266" w:rsidRDefault="00BE7590" w:rsidP="00FD20FF">
      <w:pPr>
        <w:pStyle w:val="Footer10"/>
        <w:jc w:val="left"/>
      </w:pPr>
      <w:r w:rsidRPr="008D1266">
        <w:rPr>
          <w:rStyle w:val="FootnoteReference"/>
          <w:sz w:val="14"/>
        </w:rPr>
        <w:footnoteRef/>
      </w:r>
      <w:r w:rsidRPr="008D1266">
        <w:t xml:space="preserve"> For more information on why a state’s share of GST revenue differs from its population share, see </w:t>
      </w:r>
      <w:hyperlink r:id="rId1" w:history="1">
        <w:r w:rsidRPr="008D1266">
          <w:rPr>
            <w:rStyle w:val="Hyperlink"/>
            <w:color w:val="000000"/>
            <w:u w:val="none"/>
          </w:rPr>
          <w:t>CGC Research Paper #2 Why states get different shares of GST</w:t>
        </w:r>
      </w:hyperlink>
      <w:r w:rsidR="000B5446">
        <w:rPr>
          <w:rStyle w:val="Hyperlink"/>
          <w:color w:val="000000"/>
          <w:u w:val="none"/>
        </w:rPr>
        <w:t>.</w:t>
      </w:r>
    </w:p>
  </w:footnote>
  <w:footnote w:id="4">
    <w:p w14:paraId="43F4EA37" w14:textId="529FE064" w:rsidR="00BE7590" w:rsidRPr="008D1266" w:rsidRDefault="00BE7590" w:rsidP="00FD20FF">
      <w:pPr>
        <w:pStyle w:val="Footer10"/>
        <w:jc w:val="left"/>
      </w:pPr>
      <w:r w:rsidRPr="008D1266">
        <w:footnoteRef/>
      </w:r>
      <w:r w:rsidRPr="008D1266">
        <w:t xml:space="preserve"> For more information on equalisation arrangements around the world, see</w:t>
      </w:r>
      <w:r w:rsidRPr="008D1266">
        <w:rPr>
          <w:rStyle w:val="FootnoteReference"/>
          <w:sz w:val="14"/>
        </w:rPr>
        <w:t xml:space="preserve"> </w:t>
      </w:r>
      <w:hyperlink r:id="rId2" w:history="1">
        <w:hyperlink r:id="rId3" w:history="1">
          <w:r w:rsidR="00A905BF">
            <w:rPr>
              <w:rStyle w:val="Hyperlink"/>
              <w:color w:val="000000"/>
              <w:u w:val="none"/>
            </w:rPr>
            <w:t>CGC Research Paper #3 International themes in fiscal equalisation: an Australian perspective</w:t>
          </w:r>
        </w:hyperlink>
      </w:hyperlink>
      <w:r w:rsidRPr="008D1266">
        <w:rPr>
          <w:rStyle w:val="FootnoteReference"/>
          <w:sz w:val="14"/>
        </w:rPr>
        <w:t>.</w:t>
      </w:r>
    </w:p>
  </w:footnote>
  <w:footnote w:id="5">
    <w:p w14:paraId="13157AE4" w14:textId="30F9E882" w:rsidR="00E610A0" w:rsidRPr="008D1266" w:rsidRDefault="00E610A0" w:rsidP="00FD20FF">
      <w:pPr>
        <w:pStyle w:val="Footer10"/>
        <w:jc w:val="left"/>
      </w:pPr>
      <w:r w:rsidRPr="008D1266">
        <w:rPr>
          <w:rStyle w:val="FootnoteReference"/>
          <w:sz w:val="14"/>
        </w:rPr>
        <w:footnoteRef/>
      </w:r>
      <w:r w:rsidRPr="008D1266">
        <w:t xml:space="preserve"> </w:t>
      </w:r>
      <w:r w:rsidR="00A40285" w:rsidRPr="008D1266">
        <w:t>Commonwealth Grants Commission (CGC), Equality in Diversity (</w:t>
      </w:r>
      <w:r w:rsidR="00A144C3" w:rsidRPr="008D1266">
        <w:t>second</w:t>
      </w:r>
      <w:r w:rsidR="00A40285" w:rsidRPr="008D1266">
        <w:t xml:space="preserve"> edition), CGC, Australian Government</w:t>
      </w:r>
      <w:r w:rsidR="007D273D" w:rsidRPr="008D1266">
        <w:t xml:space="preserve">, </w:t>
      </w:r>
      <w:r w:rsidR="00A144C3" w:rsidRPr="008D1266">
        <w:t xml:space="preserve">1995; </w:t>
      </w:r>
      <w:r w:rsidR="00A95935" w:rsidRPr="008D1266">
        <w:t>Commonwealth Grants Commission (CGC)</w:t>
      </w:r>
      <w:r w:rsidR="00E5464A" w:rsidRPr="008D1266">
        <w:t>, The Commonwealth Grants Commission: The Last 25 Years</w:t>
      </w:r>
      <w:r w:rsidR="00F342BB" w:rsidRPr="008D1266">
        <w:t>, CGC, Australian Government, 2008.</w:t>
      </w:r>
    </w:p>
  </w:footnote>
  <w:footnote w:id="6">
    <w:p w14:paraId="5DAA2749" w14:textId="79D8D017" w:rsidR="001D775B" w:rsidRDefault="001D775B" w:rsidP="00737525">
      <w:pPr>
        <w:pStyle w:val="Footer10"/>
      </w:pPr>
      <w:r>
        <w:rPr>
          <w:rStyle w:val="FootnoteReference"/>
        </w:rPr>
        <w:footnoteRef/>
      </w:r>
      <w:r>
        <w:t xml:space="preserve"> Although </w:t>
      </w:r>
      <w:r w:rsidR="00827BDF">
        <w:t xml:space="preserve">income taxation by the Commonwealth was intended to be temporary, </w:t>
      </w:r>
      <w:r w:rsidR="00907B7E">
        <w:t xml:space="preserve">it became permanent after decisions of the High Court. </w:t>
      </w:r>
    </w:p>
  </w:footnote>
  <w:footnote w:id="7">
    <w:p w14:paraId="74182F74" w14:textId="2D870E55" w:rsidR="00EA358B" w:rsidRPr="00A55D79" w:rsidRDefault="00EA358B" w:rsidP="00797A5E">
      <w:pPr>
        <w:pStyle w:val="Footer10"/>
        <w:rPr>
          <w:rStyle w:val="FootnoteReference"/>
        </w:rPr>
      </w:pPr>
      <w:r>
        <w:rPr>
          <w:rStyle w:val="FootnoteReference"/>
        </w:rPr>
        <w:footnoteRef/>
      </w:r>
      <w:r w:rsidRPr="00A55D79">
        <w:rPr>
          <w:rStyle w:val="FootnoteReference"/>
        </w:rPr>
        <w:t xml:space="preserve"> </w:t>
      </w:r>
      <w:r w:rsidRPr="0065062B">
        <w:rPr>
          <w:rStyle w:val="FootnoteReference"/>
          <w:i/>
        </w:rPr>
        <w:t>States (Personal Income Tax Sharing</w:t>
      </w:r>
      <w:r w:rsidR="00654191">
        <w:rPr>
          <w:rStyle w:val="FootnoteReference"/>
          <w:i/>
        </w:rPr>
        <w:t>)</w:t>
      </w:r>
      <w:r w:rsidRPr="0065062B">
        <w:rPr>
          <w:rStyle w:val="FootnoteReference"/>
          <w:i/>
        </w:rPr>
        <w:t xml:space="preserve"> Amendment Act 1978</w:t>
      </w:r>
      <w:r w:rsidRPr="00A55D79">
        <w:rPr>
          <w:rStyle w:val="FootnoteReference"/>
        </w:rPr>
        <w:t xml:space="preserve"> (Cth).</w:t>
      </w:r>
    </w:p>
  </w:footnote>
  <w:footnote w:id="8">
    <w:p w14:paraId="5EE16D19" w14:textId="77777777" w:rsidR="00EA358B" w:rsidRPr="00FD3F4D" w:rsidRDefault="00EA358B" w:rsidP="00797A5E">
      <w:pPr>
        <w:pStyle w:val="Footer10"/>
        <w:rPr>
          <w:rStyle w:val="FootnoteReference"/>
        </w:rPr>
      </w:pPr>
      <w:r>
        <w:rPr>
          <w:rStyle w:val="FootnoteReference"/>
        </w:rPr>
        <w:footnoteRef/>
      </w:r>
      <w:r>
        <w:t xml:space="preserve"> </w:t>
      </w:r>
      <w:r w:rsidRPr="00FD3F4D">
        <w:rPr>
          <w:rStyle w:val="FootnoteReference"/>
        </w:rPr>
        <w:t xml:space="preserve">With self-government in the Northern Territory (1978) and the ACT (1989) these jurisdictions were also included in the </w:t>
      </w:r>
      <w:r>
        <w:rPr>
          <w:rStyle w:val="FootnoteReference"/>
        </w:rPr>
        <w:t>Commission</w:t>
      </w:r>
      <w:r w:rsidRPr="00FD3F4D">
        <w:rPr>
          <w:rStyle w:val="FootnoteReference"/>
        </w:rPr>
        <w:t>’s deliberations.</w:t>
      </w:r>
    </w:p>
  </w:footnote>
  <w:footnote w:id="9">
    <w:p w14:paraId="6BF63A59" w14:textId="0DA10A03" w:rsidR="00510664" w:rsidRPr="003931E5" w:rsidRDefault="00510664" w:rsidP="00052499">
      <w:pPr>
        <w:pStyle w:val="Footer10"/>
        <w:rPr>
          <w:rStyle w:val="FootnoteReference"/>
        </w:rPr>
      </w:pPr>
      <w:r w:rsidRPr="00A054B1">
        <w:rPr>
          <w:rStyle w:val="FootnoteReference"/>
        </w:rPr>
        <w:footnoteRef/>
      </w:r>
      <w:r w:rsidRPr="003931E5">
        <w:rPr>
          <w:rStyle w:val="FootnoteReference"/>
        </w:rPr>
        <w:t xml:space="preserve"> Commonwealth Grants Commission (CGC)</w:t>
      </w:r>
      <w:r w:rsidR="00EC0BD9" w:rsidRPr="003931E5">
        <w:rPr>
          <w:rStyle w:val="FootnoteReference"/>
        </w:rPr>
        <w:t xml:space="preserve">, GST </w:t>
      </w:r>
      <w:r w:rsidR="002624FD" w:rsidRPr="003931E5">
        <w:rPr>
          <w:rStyle w:val="FootnoteReference"/>
        </w:rPr>
        <w:t>Revenue Sharing Relativities 2023 Update</w:t>
      </w:r>
      <w:r w:rsidR="002D7B2A" w:rsidRPr="003931E5">
        <w:rPr>
          <w:rStyle w:val="FootnoteReference"/>
        </w:rPr>
        <w:t>, CGC, Australian Government, 2023</w:t>
      </w:r>
      <w:r w:rsidR="00032D8C" w:rsidRPr="003931E5">
        <w:rPr>
          <w:rStyle w:val="FootnoteReferenc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2FA85" w14:textId="2D57CF36" w:rsidR="00C87C4C" w:rsidRDefault="00C87C4C">
    <w:pPr>
      <w:pStyle w:val="Header"/>
    </w:pPr>
    <w:r w:rsidRPr="009D2E84">
      <w:rPr>
        <w:noProof/>
      </w:rPr>
      <w:drawing>
        <wp:anchor distT="0" distB="0" distL="114300" distR="114300" simplePos="0" relativeHeight="251658244" behindDoc="1" locked="1" layoutInCell="1" allowOverlap="1" wp14:anchorId="1CB5103A" wp14:editId="1ECD3CB7">
          <wp:simplePos x="0" y="0"/>
          <wp:positionH relativeFrom="page">
            <wp:posOffset>0</wp:posOffset>
          </wp:positionH>
          <wp:positionV relativeFrom="margin">
            <wp:posOffset>-1257300</wp:posOffset>
          </wp:positionV>
          <wp:extent cx="7563485" cy="10691495"/>
          <wp:effectExtent l="0" t="0" r="0" b="0"/>
          <wp:wrapNone/>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59C9" w14:textId="713926D7" w:rsidR="00C25219" w:rsidRDefault="00AB73C2">
    <w:pPr>
      <w:pStyle w:val="Header"/>
    </w:pPr>
    <w:r>
      <w:rPr>
        <w:noProof/>
      </w:rPr>
      <w:drawing>
        <wp:anchor distT="0" distB="0" distL="114300" distR="114300" simplePos="0" relativeHeight="251658240" behindDoc="1" locked="0" layoutInCell="1" allowOverlap="1" wp14:anchorId="3D0DD578" wp14:editId="34A479C4">
          <wp:simplePos x="0" y="0"/>
          <wp:positionH relativeFrom="column">
            <wp:posOffset>-899907</wp:posOffset>
          </wp:positionH>
          <wp:positionV relativeFrom="paragraph">
            <wp:posOffset>-469723</wp:posOffset>
          </wp:positionV>
          <wp:extent cx="7562789" cy="10689589"/>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562789" cy="10689589"/>
                  </a:xfrm>
                  <a:prstGeom prst="rect">
                    <a:avLst/>
                  </a:prstGeom>
                </pic:spPr>
              </pic:pic>
            </a:graphicData>
          </a:graphic>
          <wp14:sizeRelH relativeFrom="margin">
            <wp14:pctWidth>0</wp14:pctWidth>
          </wp14:sizeRelH>
          <wp14:sizeRelV relativeFrom="margin">
            <wp14:pctHeight>0</wp14:pctHeight>
          </wp14:sizeRelV>
        </wp:anchor>
      </w:drawing>
    </w:r>
    <w:r w:rsidR="003759A1">
      <w:rPr>
        <w:noProof/>
      </w:rPr>
      <w:drawing>
        <wp:anchor distT="0" distB="0" distL="114300" distR="114300" simplePos="0" relativeHeight="251658243" behindDoc="1" locked="0" layoutInCell="1" allowOverlap="1" wp14:anchorId="5E0448FF" wp14:editId="3893EFC1">
          <wp:simplePos x="0" y="0"/>
          <wp:positionH relativeFrom="column">
            <wp:posOffset>-923290</wp:posOffset>
          </wp:positionH>
          <wp:positionV relativeFrom="paragraph">
            <wp:posOffset>10351135</wp:posOffset>
          </wp:positionV>
          <wp:extent cx="7580630" cy="10691495"/>
          <wp:effectExtent l="0" t="0" r="127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7580630" cy="10691495"/>
                  </a:xfrm>
                  <a:prstGeom prst="rect">
                    <a:avLst/>
                  </a:prstGeom>
                </pic:spPr>
              </pic:pic>
            </a:graphicData>
          </a:graphic>
          <wp14:sizeRelH relativeFrom="margin">
            <wp14:pctWidth>0</wp14:pctWidth>
          </wp14:sizeRelH>
          <wp14:sizeRelV relativeFrom="margin">
            <wp14:pctHeight>0</wp14:pctHeight>
          </wp14:sizeRelV>
        </wp:anchor>
      </w:drawing>
    </w:r>
    <w:r w:rsidR="00A345CD">
      <w:rPr>
        <w:noProof/>
      </w:rPr>
      <w:drawing>
        <wp:anchor distT="0" distB="0" distL="114300" distR="114300" simplePos="0" relativeHeight="251658242" behindDoc="1" locked="0" layoutInCell="1" allowOverlap="1" wp14:anchorId="2CFE1E5C" wp14:editId="795823A5">
          <wp:simplePos x="0" y="0"/>
          <wp:positionH relativeFrom="column">
            <wp:posOffset>-900430</wp:posOffset>
          </wp:positionH>
          <wp:positionV relativeFrom="paragraph">
            <wp:posOffset>10362565</wp:posOffset>
          </wp:positionV>
          <wp:extent cx="7580630" cy="10691495"/>
          <wp:effectExtent l="0" t="0" r="127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
                    <a:extLst>
                      <a:ext uri="{28A0092B-C50C-407E-A947-70E740481C1C}">
                        <a14:useLocalDpi xmlns:a14="http://schemas.microsoft.com/office/drawing/2010/main" val="0"/>
                      </a:ext>
                    </a:extLst>
                  </a:blip>
                  <a:stretch>
                    <a:fillRect/>
                  </a:stretch>
                </pic:blipFill>
                <pic:spPr>
                  <a:xfrm>
                    <a:off x="0" y="0"/>
                    <a:ext cx="7580630" cy="10691495"/>
                  </a:xfrm>
                  <a:prstGeom prst="rect">
                    <a:avLst/>
                  </a:prstGeom>
                </pic:spPr>
              </pic:pic>
            </a:graphicData>
          </a:graphic>
          <wp14:sizeRelH relativeFrom="margin">
            <wp14:pctWidth>0</wp14:pctWidth>
          </wp14:sizeRelH>
          <wp14:sizeRelV relativeFrom="margin">
            <wp14:pctHeight>0</wp14:pctHeight>
          </wp14:sizeRelV>
        </wp:anchor>
      </w:drawing>
    </w:r>
    <w:r w:rsidR="00C25219" w:rsidRPr="00410188">
      <w:rPr>
        <w:rFonts w:ascii="Open Sans Semibold" w:hAnsi="Open Sans Semibold" w:cs="Open Sans Semibold"/>
        <w:bCs/>
        <w:noProof/>
        <w:sz w:val="40"/>
        <w:szCs w:val="40"/>
        <w:lang w:val="en-US"/>
      </w:rPr>
      <w:drawing>
        <wp:anchor distT="0" distB="0" distL="114300" distR="114300" simplePos="0" relativeHeight="251658241" behindDoc="1" locked="0" layoutInCell="1" allowOverlap="1" wp14:anchorId="355101D3" wp14:editId="6682A560">
          <wp:simplePos x="0" y="0"/>
          <wp:positionH relativeFrom="column">
            <wp:posOffset>-1037590</wp:posOffset>
          </wp:positionH>
          <wp:positionV relativeFrom="paragraph">
            <wp:posOffset>10328275</wp:posOffset>
          </wp:positionV>
          <wp:extent cx="7683500" cy="10836275"/>
          <wp:effectExtent l="38100" t="38100" r="63500" b="349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7683500" cy="10836275"/>
                  </a:xfrm>
                  <a:prstGeom prst="rect">
                    <a:avLst/>
                  </a:prstGeom>
                  <a:noFill/>
                  <a:ln w="88900" cap="sq">
                    <a:noFill/>
                    <a:miter lim="800000"/>
                  </a:ln>
                  <a:effectLst>
                    <a:outerShdw blurRad="55000" dist="18000" dir="5400000" algn="tl" rotWithShape="0">
                      <a:srgbClr val="000000">
                        <a:alpha val="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584E"/>
    <w:multiLevelType w:val="hybridMultilevel"/>
    <w:tmpl w:val="5D723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826101"/>
    <w:multiLevelType w:val="hybridMultilevel"/>
    <w:tmpl w:val="463018B6"/>
    <w:lvl w:ilvl="0" w:tplc="D77A0CC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CE3BB1"/>
    <w:multiLevelType w:val="hybridMultilevel"/>
    <w:tmpl w:val="4EF6CBEA"/>
    <w:lvl w:ilvl="0" w:tplc="52D048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3E5780"/>
    <w:multiLevelType w:val="hybridMultilevel"/>
    <w:tmpl w:val="08CA8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F039DA"/>
    <w:multiLevelType w:val="hybridMultilevel"/>
    <w:tmpl w:val="5C1AC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14649C"/>
    <w:multiLevelType w:val="hybridMultilevel"/>
    <w:tmpl w:val="1C0A3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452057"/>
    <w:multiLevelType w:val="hybridMultilevel"/>
    <w:tmpl w:val="5EBCE6CC"/>
    <w:lvl w:ilvl="0" w:tplc="D77A0CC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4717B9"/>
    <w:multiLevelType w:val="hybridMultilevel"/>
    <w:tmpl w:val="AA7CFF32"/>
    <w:lvl w:ilvl="0" w:tplc="2200CE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7220EA"/>
    <w:multiLevelType w:val="hybridMultilevel"/>
    <w:tmpl w:val="006C88DA"/>
    <w:lvl w:ilvl="0" w:tplc="A30A2D8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AF4FCA"/>
    <w:multiLevelType w:val="hybridMultilevel"/>
    <w:tmpl w:val="8FDC8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0C2E73"/>
    <w:multiLevelType w:val="hybridMultilevel"/>
    <w:tmpl w:val="2744CC28"/>
    <w:lvl w:ilvl="0" w:tplc="90045766">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11" w15:restartNumberingAfterBreak="0">
    <w:nsid w:val="270C3F17"/>
    <w:multiLevelType w:val="hybridMultilevel"/>
    <w:tmpl w:val="220225DE"/>
    <w:lvl w:ilvl="0" w:tplc="2200CE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153B77"/>
    <w:multiLevelType w:val="hybridMultilevel"/>
    <w:tmpl w:val="1512D97C"/>
    <w:lvl w:ilvl="0" w:tplc="D77A0CC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4812A0"/>
    <w:multiLevelType w:val="hybridMultilevel"/>
    <w:tmpl w:val="91CE3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5A41CE"/>
    <w:multiLevelType w:val="hybridMultilevel"/>
    <w:tmpl w:val="0FF0D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D13D78"/>
    <w:multiLevelType w:val="hybridMultilevel"/>
    <w:tmpl w:val="CE9832E8"/>
    <w:lvl w:ilvl="0" w:tplc="ECF627EA">
      <w:start w:val="1"/>
      <w:numFmt w:val="bullet"/>
      <w:pStyle w:val="bullet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C430C0"/>
    <w:multiLevelType w:val="hybridMultilevel"/>
    <w:tmpl w:val="47249BE0"/>
    <w:lvl w:ilvl="0" w:tplc="4EF0C2B8">
      <w:start w:val="1"/>
      <w:numFmt w:val="bullet"/>
      <w:pStyle w:val="Footer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031B7C"/>
    <w:multiLevelType w:val="hybridMultilevel"/>
    <w:tmpl w:val="3932A76E"/>
    <w:lvl w:ilvl="0" w:tplc="CFFA68B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255896"/>
    <w:multiLevelType w:val="hybridMultilevel"/>
    <w:tmpl w:val="98464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282B1A"/>
    <w:multiLevelType w:val="hybridMultilevel"/>
    <w:tmpl w:val="E9EC9A9E"/>
    <w:lvl w:ilvl="0" w:tplc="AEDA5950">
      <w:start w:val="1"/>
      <w:numFmt w:val="bullet"/>
      <w:pStyle w:val="CGC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511CFA"/>
    <w:multiLevelType w:val="hybridMultilevel"/>
    <w:tmpl w:val="BCC2C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6411E3"/>
    <w:multiLevelType w:val="hybridMultilevel"/>
    <w:tmpl w:val="D3CCC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552DB3"/>
    <w:multiLevelType w:val="hybridMultilevel"/>
    <w:tmpl w:val="D80850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B45828"/>
    <w:multiLevelType w:val="hybridMultilevel"/>
    <w:tmpl w:val="EFCACB04"/>
    <w:lvl w:ilvl="0" w:tplc="DF1A79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E06175"/>
    <w:multiLevelType w:val="hybridMultilevel"/>
    <w:tmpl w:val="28021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237C03"/>
    <w:multiLevelType w:val="hybridMultilevel"/>
    <w:tmpl w:val="96B08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867D8A"/>
    <w:multiLevelType w:val="hybridMultilevel"/>
    <w:tmpl w:val="47B687F0"/>
    <w:lvl w:ilvl="0" w:tplc="84E4A13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FE1301"/>
    <w:multiLevelType w:val="hybridMultilevel"/>
    <w:tmpl w:val="A3242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133747"/>
    <w:multiLevelType w:val="hybridMultilevel"/>
    <w:tmpl w:val="C1DA3D44"/>
    <w:lvl w:ilvl="0" w:tplc="DF1A79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840999"/>
    <w:multiLevelType w:val="hybridMultilevel"/>
    <w:tmpl w:val="A5F8B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6D5858"/>
    <w:multiLevelType w:val="hybridMultilevel"/>
    <w:tmpl w:val="627E04C8"/>
    <w:lvl w:ilvl="0" w:tplc="99783C22">
      <w:start w:val="198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5EB02EE"/>
    <w:multiLevelType w:val="hybridMultilevel"/>
    <w:tmpl w:val="F22E5EA8"/>
    <w:lvl w:ilvl="0" w:tplc="E068883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772520"/>
    <w:multiLevelType w:val="hybridMultilevel"/>
    <w:tmpl w:val="2EA84900"/>
    <w:lvl w:ilvl="0" w:tplc="9F60D552">
      <w:start w:val="198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AC7B4B"/>
    <w:multiLevelType w:val="hybridMultilevel"/>
    <w:tmpl w:val="66F06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AD397A"/>
    <w:multiLevelType w:val="hybridMultilevel"/>
    <w:tmpl w:val="8938B61E"/>
    <w:lvl w:ilvl="0" w:tplc="D77A0CC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3D43B9"/>
    <w:multiLevelType w:val="hybridMultilevel"/>
    <w:tmpl w:val="996AFAB6"/>
    <w:lvl w:ilvl="0" w:tplc="52D0481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78286755">
    <w:abstractNumId w:val="20"/>
  </w:num>
  <w:num w:numId="2" w16cid:durableId="1608194594">
    <w:abstractNumId w:val="22"/>
  </w:num>
  <w:num w:numId="3" w16cid:durableId="1431437571">
    <w:abstractNumId w:val="30"/>
  </w:num>
  <w:num w:numId="4" w16cid:durableId="1523515813">
    <w:abstractNumId w:val="32"/>
  </w:num>
  <w:num w:numId="5" w16cid:durableId="1080172208">
    <w:abstractNumId w:val="14"/>
  </w:num>
  <w:num w:numId="6" w16cid:durableId="1984193604">
    <w:abstractNumId w:val="6"/>
  </w:num>
  <w:num w:numId="7" w16cid:durableId="1568032955">
    <w:abstractNumId w:val="34"/>
  </w:num>
  <w:num w:numId="8" w16cid:durableId="2121335005">
    <w:abstractNumId w:val="1"/>
  </w:num>
  <w:num w:numId="9" w16cid:durableId="1395081141">
    <w:abstractNumId w:val="12"/>
  </w:num>
  <w:num w:numId="10" w16cid:durableId="1029791716">
    <w:abstractNumId w:val="26"/>
  </w:num>
  <w:num w:numId="11" w16cid:durableId="1982535226">
    <w:abstractNumId w:val="23"/>
  </w:num>
  <w:num w:numId="12" w16cid:durableId="1783114997">
    <w:abstractNumId w:val="28"/>
  </w:num>
  <w:num w:numId="13" w16cid:durableId="1538157901">
    <w:abstractNumId w:val="33"/>
  </w:num>
  <w:num w:numId="14" w16cid:durableId="1638949352">
    <w:abstractNumId w:val="8"/>
  </w:num>
  <w:num w:numId="15" w16cid:durableId="1047997645">
    <w:abstractNumId w:val="17"/>
  </w:num>
  <w:num w:numId="16" w16cid:durableId="2002006971">
    <w:abstractNumId w:val="2"/>
  </w:num>
  <w:num w:numId="17" w16cid:durableId="1245995775">
    <w:abstractNumId w:val="35"/>
  </w:num>
  <w:num w:numId="18" w16cid:durableId="227152250">
    <w:abstractNumId w:val="9"/>
  </w:num>
  <w:num w:numId="19" w16cid:durableId="402989347">
    <w:abstractNumId w:val="21"/>
  </w:num>
  <w:num w:numId="20" w16cid:durableId="2081167809">
    <w:abstractNumId w:val="25"/>
  </w:num>
  <w:num w:numId="21" w16cid:durableId="625966551">
    <w:abstractNumId w:val="3"/>
  </w:num>
  <w:num w:numId="22" w16cid:durableId="45223094">
    <w:abstractNumId w:val="24"/>
  </w:num>
  <w:num w:numId="23" w16cid:durableId="1569926588">
    <w:abstractNumId w:val="5"/>
  </w:num>
  <w:num w:numId="24" w16cid:durableId="1017925798">
    <w:abstractNumId w:val="29"/>
  </w:num>
  <w:num w:numId="25" w16cid:durableId="892616506">
    <w:abstractNumId w:val="11"/>
  </w:num>
  <w:num w:numId="26" w16cid:durableId="1390570997">
    <w:abstractNumId w:val="7"/>
  </w:num>
  <w:num w:numId="27" w16cid:durableId="259877804">
    <w:abstractNumId w:val="10"/>
  </w:num>
  <w:num w:numId="28" w16cid:durableId="1864975058">
    <w:abstractNumId w:val="31"/>
  </w:num>
  <w:num w:numId="29" w16cid:durableId="612716068">
    <w:abstractNumId w:val="18"/>
  </w:num>
  <w:num w:numId="30" w16cid:durableId="646127745">
    <w:abstractNumId w:val="27"/>
  </w:num>
  <w:num w:numId="31" w16cid:durableId="549339830">
    <w:abstractNumId w:val="13"/>
  </w:num>
  <w:num w:numId="32" w16cid:durableId="727605279">
    <w:abstractNumId w:val="0"/>
  </w:num>
  <w:num w:numId="33" w16cid:durableId="409928256">
    <w:abstractNumId w:val="4"/>
  </w:num>
  <w:num w:numId="34" w16cid:durableId="512301312">
    <w:abstractNumId w:val="19"/>
  </w:num>
  <w:num w:numId="35" w16cid:durableId="2116095194">
    <w:abstractNumId w:val="16"/>
  </w:num>
  <w:num w:numId="36" w16cid:durableId="72241066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removePersonalInformation/>
  <w:removeDateAndTime/>
  <w:displayBackgroundShape/>
  <w:proofState w:spelling="clean" w:grammar="clean"/>
  <w:documentProtection w:edit="readOnly" w:enforcement="1"/>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550"/>
    <w:rsid w:val="00000BDE"/>
    <w:rsid w:val="00001633"/>
    <w:rsid w:val="0000183F"/>
    <w:rsid w:val="00001BBA"/>
    <w:rsid w:val="0000258E"/>
    <w:rsid w:val="00002AB1"/>
    <w:rsid w:val="00002BEB"/>
    <w:rsid w:val="0000587D"/>
    <w:rsid w:val="0000611D"/>
    <w:rsid w:val="00006736"/>
    <w:rsid w:val="00007DC5"/>
    <w:rsid w:val="00007FB4"/>
    <w:rsid w:val="000104A8"/>
    <w:rsid w:val="00010914"/>
    <w:rsid w:val="00010B55"/>
    <w:rsid w:val="00010C10"/>
    <w:rsid w:val="000112E2"/>
    <w:rsid w:val="000123A9"/>
    <w:rsid w:val="000166FC"/>
    <w:rsid w:val="00016FA5"/>
    <w:rsid w:val="00017680"/>
    <w:rsid w:val="00020C5E"/>
    <w:rsid w:val="0002506A"/>
    <w:rsid w:val="00026594"/>
    <w:rsid w:val="00026A33"/>
    <w:rsid w:val="00030350"/>
    <w:rsid w:val="0003073A"/>
    <w:rsid w:val="00031A90"/>
    <w:rsid w:val="00031DF5"/>
    <w:rsid w:val="000321BA"/>
    <w:rsid w:val="00032D8C"/>
    <w:rsid w:val="0003394C"/>
    <w:rsid w:val="00033F8D"/>
    <w:rsid w:val="00036A6F"/>
    <w:rsid w:val="0004141C"/>
    <w:rsid w:val="00041F8C"/>
    <w:rsid w:val="00043DBA"/>
    <w:rsid w:val="00044C3A"/>
    <w:rsid w:val="00052499"/>
    <w:rsid w:val="00052E52"/>
    <w:rsid w:val="00053963"/>
    <w:rsid w:val="00054B2D"/>
    <w:rsid w:val="0005633C"/>
    <w:rsid w:val="000565C2"/>
    <w:rsid w:val="00057C0C"/>
    <w:rsid w:val="00057CC4"/>
    <w:rsid w:val="00057D06"/>
    <w:rsid w:val="00060A63"/>
    <w:rsid w:val="00060B07"/>
    <w:rsid w:val="00061007"/>
    <w:rsid w:val="00061A63"/>
    <w:rsid w:val="0006231C"/>
    <w:rsid w:val="000623AC"/>
    <w:rsid w:val="0006397E"/>
    <w:rsid w:val="000656A5"/>
    <w:rsid w:val="000663A3"/>
    <w:rsid w:val="00071560"/>
    <w:rsid w:val="00072C72"/>
    <w:rsid w:val="0007321F"/>
    <w:rsid w:val="00073479"/>
    <w:rsid w:val="00073EF7"/>
    <w:rsid w:val="00075284"/>
    <w:rsid w:val="000759FD"/>
    <w:rsid w:val="00077359"/>
    <w:rsid w:val="00077B25"/>
    <w:rsid w:val="00080A50"/>
    <w:rsid w:val="00080F8C"/>
    <w:rsid w:val="000843A2"/>
    <w:rsid w:val="00084919"/>
    <w:rsid w:val="00084A4F"/>
    <w:rsid w:val="00087FF4"/>
    <w:rsid w:val="00090F32"/>
    <w:rsid w:val="000933B1"/>
    <w:rsid w:val="00094402"/>
    <w:rsid w:val="00094579"/>
    <w:rsid w:val="00096B09"/>
    <w:rsid w:val="00097EB4"/>
    <w:rsid w:val="000A3B01"/>
    <w:rsid w:val="000A3E79"/>
    <w:rsid w:val="000A4FF7"/>
    <w:rsid w:val="000A5DEE"/>
    <w:rsid w:val="000A607C"/>
    <w:rsid w:val="000A7289"/>
    <w:rsid w:val="000B0970"/>
    <w:rsid w:val="000B1210"/>
    <w:rsid w:val="000B1C96"/>
    <w:rsid w:val="000B2AC7"/>
    <w:rsid w:val="000B5446"/>
    <w:rsid w:val="000B551D"/>
    <w:rsid w:val="000B70D4"/>
    <w:rsid w:val="000B77BF"/>
    <w:rsid w:val="000C0161"/>
    <w:rsid w:val="000C1F1C"/>
    <w:rsid w:val="000C2545"/>
    <w:rsid w:val="000C3CFB"/>
    <w:rsid w:val="000C3E1D"/>
    <w:rsid w:val="000C54AC"/>
    <w:rsid w:val="000C5708"/>
    <w:rsid w:val="000C6495"/>
    <w:rsid w:val="000C6FC5"/>
    <w:rsid w:val="000D0111"/>
    <w:rsid w:val="000D07DC"/>
    <w:rsid w:val="000D1A31"/>
    <w:rsid w:val="000D3295"/>
    <w:rsid w:val="000D3DBA"/>
    <w:rsid w:val="000D3FC8"/>
    <w:rsid w:val="000D6A4D"/>
    <w:rsid w:val="000D7B8D"/>
    <w:rsid w:val="000D7C53"/>
    <w:rsid w:val="000E0367"/>
    <w:rsid w:val="000E1307"/>
    <w:rsid w:val="000E199C"/>
    <w:rsid w:val="000E2649"/>
    <w:rsid w:val="000E3445"/>
    <w:rsid w:val="000E64A2"/>
    <w:rsid w:val="000E67AC"/>
    <w:rsid w:val="000E690C"/>
    <w:rsid w:val="000E7F00"/>
    <w:rsid w:val="000F1F71"/>
    <w:rsid w:val="000F21F5"/>
    <w:rsid w:val="000F223F"/>
    <w:rsid w:val="000F2496"/>
    <w:rsid w:val="000F2957"/>
    <w:rsid w:val="000F566F"/>
    <w:rsid w:val="000F66A1"/>
    <w:rsid w:val="000F7F5D"/>
    <w:rsid w:val="001003F9"/>
    <w:rsid w:val="00100A4B"/>
    <w:rsid w:val="0010268D"/>
    <w:rsid w:val="00102A68"/>
    <w:rsid w:val="001034D1"/>
    <w:rsid w:val="00103875"/>
    <w:rsid w:val="00103F60"/>
    <w:rsid w:val="00105763"/>
    <w:rsid w:val="00105893"/>
    <w:rsid w:val="001059AF"/>
    <w:rsid w:val="00105E66"/>
    <w:rsid w:val="00110889"/>
    <w:rsid w:val="00110B23"/>
    <w:rsid w:val="001127C7"/>
    <w:rsid w:val="00115AF3"/>
    <w:rsid w:val="001164CC"/>
    <w:rsid w:val="00116FF8"/>
    <w:rsid w:val="00117113"/>
    <w:rsid w:val="00117209"/>
    <w:rsid w:val="00126E2D"/>
    <w:rsid w:val="00126E94"/>
    <w:rsid w:val="00127EEB"/>
    <w:rsid w:val="00130478"/>
    <w:rsid w:val="001331D6"/>
    <w:rsid w:val="00134AB1"/>
    <w:rsid w:val="00136490"/>
    <w:rsid w:val="001366A8"/>
    <w:rsid w:val="00136C01"/>
    <w:rsid w:val="00137A4D"/>
    <w:rsid w:val="001403F1"/>
    <w:rsid w:val="001433AE"/>
    <w:rsid w:val="00143AA2"/>
    <w:rsid w:val="0014477B"/>
    <w:rsid w:val="00146422"/>
    <w:rsid w:val="0015008F"/>
    <w:rsid w:val="00151C30"/>
    <w:rsid w:val="00151D49"/>
    <w:rsid w:val="0015228E"/>
    <w:rsid w:val="001528DE"/>
    <w:rsid w:val="0015527D"/>
    <w:rsid w:val="001559DA"/>
    <w:rsid w:val="00157002"/>
    <w:rsid w:val="001577C6"/>
    <w:rsid w:val="001612DA"/>
    <w:rsid w:val="00161690"/>
    <w:rsid w:val="001616D2"/>
    <w:rsid w:val="0016353D"/>
    <w:rsid w:val="0016378D"/>
    <w:rsid w:val="001644E7"/>
    <w:rsid w:val="00165258"/>
    <w:rsid w:val="00165A91"/>
    <w:rsid w:val="001660DD"/>
    <w:rsid w:val="00166529"/>
    <w:rsid w:val="00166F13"/>
    <w:rsid w:val="00170AEF"/>
    <w:rsid w:val="00170D3D"/>
    <w:rsid w:val="00171260"/>
    <w:rsid w:val="00173001"/>
    <w:rsid w:val="00173B64"/>
    <w:rsid w:val="00175ABA"/>
    <w:rsid w:val="00176D5E"/>
    <w:rsid w:val="00180107"/>
    <w:rsid w:val="00180CF2"/>
    <w:rsid w:val="00181C8D"/>
    <w:rsid w:val="001837B8"/>
    <w:rsid w:val="00183BD2"/>
    <w:rsid w:val="00184237"/>
    <w:rsid w:val="00184C05"/>
    <w:rsid w:val="00185573"/>
    <w:rsid w:val="00186FCB"/>
    <w:rsid w:val="001871E7"/>
    <w:rsid w:val="001874E6"/>
    <w:rsid w:val="0019078D"/>
    <w:rsid w:val="0019150B"/>
    <w:rsid w:val="00192AAE"/>
    <w:rsid w:val="00193544"/>
    <w:rsid w:val="00193A76"/>
    <w:rsid w:val="001950E7"/>
    <w:rsid w:val="00195809"/>
    <w:rsid w:val="00195A81"/>
    <w:rsid w:val="0019683E"/>
    <w:rsid w:val="001A020C"/>
    <w:rsid w:val="001A12D4"/>
    <w:rsid w:val="001A2697"/>
    <w:rsid w:val="001A2DB8"/>
    <w:rsid w:val="001A2F81"/>
    <w:rsid w:val="001A6006"/>
    <w:rsid w:val="001A7AE1"/>
    <w:rsid w:val="001B30EB"/>
    <w:rsid w:val="001B3DA7"/>
    <w:rsid w:val="001B6685"/>
    <w:rsid w:val="001B6BA5"/>
    <w:rsid w:val="001B746D"/>
    <w:rsid w:val="001C0F1F"/>
    <w:rsid w:val="001C220A"/>
    <w:rsid w:val="001C399D"/>
    <w:rsid w:val="001C4DF3"/>
    <w:rsid w:val="001C5272"/>
    <w:rsid w:val="001C5505"/>
    <w:rsid w:val="001C7A62"/>
    <w:rsid w:val="001D0850"/>
    <w:rsid w:val="001D09D8"/>
    <w:rsid w:val="001D1C66"/>
    <w:rsid w:val="001D2816"/>
    <w:rsid w:val="001D49A6"/>
    <w:rsid w:val="001D4EC5"/>
    <w:rsid w:val="001D6D0C"/>
    <w:rsid w:val="001D7091"/>
    <w:rsid w:val="001D73E7"/>
    <w:rsid w:val="001D775B"/>
    <w:rsid w:val="001E14AE"/>
    <w:rsid w:val="001E1A94"/>
    <w:rsid w:val="001E22AD"/>
    <w:rsid w:val="001E33E2"/>
    <w:rsid w:val="001E3DC2"/>
    <w:rsid w:val="001E5DD3"/>
    <w:rsid w:val="001E61CB"/>
    <w:rsid w:val="001E68CC"/>
    <w:rsid w:val="001E68F5"/>
    <w:rsid w:val="001E6E4D"/>
    <w:rsid w:val="001E6E75"/>
    <w:rsid w:val="001E7596"/>
    <w:rsid w:val="001E7701"/>
    <w:rsid w:val="001F0DA9"/>
    <w:rsid w:val="001F101D"/>
    <w:rsid w:val="001F1CF5"/>
    <w:rsid w:val="001F212A"/>
    <w:rsid w:val="001F31A1"/>
    <w:rsid w:val="001F4B44"/>
    <w:rsid w:val="001F527C"/>
    <w:rsid w:val="00202D90"/>
    <w:rsid w:val="002031BC"/>
    <w:rsid w:val="0020330B"/>
    <w:rsid w:val="00206FA4"/>
    <w:rsid w:val="00211188"/>
    <w:rsid w:val="002112F4"/>
    <w:rsid w:val="0021353D"/>
    <w:rsid w:val="002138BE"/>
    <w:rsid w:val="00215212"/>
    <w:rsid w:val="0021630E"/>
    <w:rsid w:val="00216FDC"/>
    <w:rsid w:val="00221B25"/>
    <w:rsid w:val="00221F43"/>
    <w:rsid w:val="0022227E"/>
    <w:rsid w:val="00222339"/>
    <w:rsid w:val="00222F94"/>
    <w:rsid w:val="002259F8"/>
    <w:rsid w:val="002260C2"/>
    <w:rsid w:val="002278AB"/>
    <w:rsid w:val="0023158B"/>
    <w:rsid w:val="00231CFB"/>
    <w:rsid w:val="00233508"/>
    <w:rsid w:val="0023599F"/>
    <w:rsid w:val="00235EA3"/>
    <w:rsid w:val="00237663"/>
    <w:rsid w:val="00240166"/>
    <w:rsid w:val="00240E90"/>
    <w:rsid w:val="00242FD0"/>
    <w:rsid w:val="00244C4A"/>
    <w:rsid w:val="00244FC7"/>
    <w:rsid w:val="00245E70"/>
    <w:rsid w:val="002460EB"/>
    <w:rsid w:val="002467F9"/>
    <w:rsid w:val="00247BB3"/>
    <w:rsid w:val="002501B5"/>
    <w:rsid w:val="00250355"/>
    <w:rsid w:val="00250980"/>
    <w:rsid w:val="00250E8C"/>
    <w:rsid w:val="00254382"/>
    <w:rsid w:val="00254966"/>
    <w:rsid w:val="00254DFB"/>
    <w:rsid w:val="0025562F"/>
    <w:rsid w:val="00255BCB"/>
    <w:rsid w:val="00256024"/>
    <w:rsid w:val="002612E1"/>
    <w:rsid w:val="00261C41"/>
    <w:rsid w:val="002624FD"/>
    <w:rsid w:val="002640F7"/>
    <w:rsid w:val="002645A5"/>
    <w:rsid w:val="00264917"/>
    <w:rsid w:val="00265E30"/>
    <w:rsid w:val="00267304"/>
    <w:rsid w:val="00267588"/>
    <w:rsid w:val="0027064B"/>
    <w:rsid w:val="00271E74"/>
    <w:rsid w:val="00276E16"/>
    <w:rsid w:val="002823A7"/>
    <w:rsid w:val="00282E18"/>
    <w:rsid w:val="00282F46"/>
    <w:rsid w:val="00284D0A"/>
    <w:rsid w:val="002873F5"/>
    <w:rsid w:val="00290665"/>
    <w:rsid w:val="00291018"/>
    <w:rsid w:val="0029106D"/>
    <w:rsid w:val="0029267B"/>
    <w:rsid w:val="002941F7"/>
    <w:rsid w:val="00294CE4"/>
    <w:rsid w:val="00295EEB"/>
    <w:rsid w:val="00296DCC"/>
    <w:rsid w:val="00297567"/>
    <w:rsid w:val="00297CFC"/>
    <w:rsid w:val="002A0023"/>
    <w:rsid w:val="002A01ED"/>
    <w:rsid w:val="002A0460"/>
    <w:rsid w:val="002A1B27"/>
    <w:rsid w:val="002A23AC"/>
    <w:rsid w:val="002A2CE2"/>
    <w:rsid w:val="002A3153"/>
    <w:rsid w:val="002A3B49"/>
    <w:rsid w:val="002A3DB5"/>
    <w:rsid w:val="002A457C"/>
    <w:rsid w:val="002A60CE"/>
    <w:rsid w:val="002B02A3"/>
    <w:rsid w:val="002B21C5"/>
    <w:rsid w:val="002B3520"/>
    <w:rsid w:val="002B36DE"/>
    <w:rsid w:val="002B5304"/>
    <w:rsid w:val="002B5836"/>
    <w:rsid w:val="002B588F"/>
    <w:rsid w:val="002B6196"/>
    <w:rsid w:val="002B6B25"/>
    <w:rsid w:val="002C1848"/>
    <w:rsid w:val="002C2181"/>
    <w:rsid w:val="002C24DB"/>
    <w:rsid w:val="002D0B16"/>
    <w:rsid w:val="002D1922"/>
    <w:rsid w:val="002D1BFE"/>
    <w:rsid w:val="002D304C"/>
    <w:rsid w:val="002D36A9"/>
    <w:rsid w:val="002D3C9E"/>
    <w:rsid w:val="002D5C9E"/>
    <w:rsid w:val="002D6736"/>
    <w:rsid w:val="002D7B2A"/>
    <w:rsid w:val="002E0475"/>
    <w:rsid w:val="002E275B"/>
    <w:rsid w:val="002E2CB6"/>
    <w:rsid w:val="002E3FBB"/>
    <w:rsid w:val="002E441C"/>
    <w:rsid w:val="002E4BF4"/>
    <w:rsid w:val="002E56CD"/>
    <w:rsid w:val="002E7883"/>
    <w:rsid w:val="002F0260"/>
    <w:rsid w:val="002F0846"/>
    <w:rsid w:val="002F22FD"/>
    <w:rsid w:val="002F42A0"/>
    <w:rsid w:val="002F445D"/>
    <w:rsid w:val="002F4F9A"/>
    <w:rsid w:val="002F4F9C"/>
    <w:rsid w:val="002F7A8D"/>
    <w:rsid w:val="002F7CCD"/>
    <w:rsid w:val="00300280"/>
    <w:rsid w:val="003026C0"/>
    <w:rsid w:val="003029E7"/>
    <w:rsid w:val="00302A6C"/>
    <w:rsid w:val="003033FA"/>
    <w:rsid w:val="00303BC4"/>
    <w:rsid w:val="003048BC"/>
    <w:rsid w:val="003050B1"/>
    <w:rsid w:val="00305792"/>
    <w:rsid w:val="00306CFD"/>
    <w:rsid w:val="00307638"/>
    <w:rsid w:val="00307654"/>
    <w:rsid w:val="0030765F"/>
    <w:rsid w:val="00311518"/>
    <w:rsid w:val="003116D1"/>
    <w:rsid w:val="00311D15"/>
    <w:rsid w:val="00314161"/>
    <w:rsid w:val="00316C76"/>
    <w:rsid w:val="00321430"/>
    <w:rsid w:val="0032257D"/>
    <w:rsid w:val="00322BAD"/>
    <w:rsid w:val="00322D25"/>
    <w:rsid w:val="0032302F"/>
    <w:rsid w:val="00325307"/>
    <w:rsid w:val="00325738"/>
    <w:rsid w:val="003263FB"/>
    <w:rsid w:val="00327E31"/>
    <w:rsid w:val="0033159F"/>
    <w:rsid w:val="00335C22"/>
    <w:rsid w:val="0033654F"/>
    <w:rsid w:val="00336AF1"/>
    <w:rsid w:val="00336D5D"/>
    <w:rsid w:val="00340462"/>
    <w:rsid w:val="00341D38"/>
    <w:rsid w:val="00341E89"/>
    <w:rsid w:val="00344A69"/>
    <w:rsid w:val="0034503A"/>
    <w:rsid w:val="003476C0"/>
    <w:rsid w:val="00350351"/>
    <w:rsid w:val="003516DA"/>
    <w:rsid w:val="003518BE"/>
    <w:rsid w:val="003523EA"/>
    <w:rsid w:val="003527E9"/>
    <w:rsid w:val="00352E57"/>
    <w:rsid w:val="00353831"/>
    <w:rsid w:val="003547BB"/>
    <w:rsid w:val="00356F05"/>
    <w:rsid w:val="00357B2C"/>
    <w:rsid w:val="00360557"/>
    <w:rsid w:val="003614B4"/>
    <w:rsid w:val="00363611"/>
    <w:rsid w:val="003658D1"/>
    <w:rsid w:val="00365A4D"/>
    <w:rsid w:val="00365E8E"/>
    <w:rsid w:val="00366753"/>
    <w:rsid w:val="00367F46"/>
    <w:rsid w:val="00371660"/>
    <w:rsid w:val="00372015"/>
    <w:rsid w:val="003724FC"/>
    <w:rsid w:val="0037349E"/>
    <w:rsid w:val="00373E93"/>
    <w:rsid w:val="003740A7"/>
    <w:rsid w:val="003759A1"/>
    <w:rsid w:val="00376E95"/>
    <w:rsid w:val="00380231"/>
    <w:rsid w:val="003863EE"/>
    <w:rsid w:val="00386D5C"/>
    <w:rsid w:val="00387616"/>
    <w:rsid w:val="00390A64"/>
    <w:rsid w:val="003910F2"/>
    <w:rsid w:val="00391F28"/>
    <w:rsid w:val="003931E5"/>
    <w:rsid w:val="0039466D"/>
    <w:rsid w:val="00394931"/>
    <w:rsid w:val="00394FE0"/>
    <w:rsid w:val="0039501A"/>
    <w:rsid w:val="0039503A"/>
    <w:rsid w:val="00395128"/>
    <w:rsid w:val="003957D4"/>
    <w:rsid w:val="00396E9C"/>
    <w:rsid w:val="00397367"/>
    <w:rsid w:val="003A039B"/>
    <w:rsid w:val="003A3A55"/>
    <w:rsid w:val="003A5637"/>
    <w:rsid w:val="003A5B9F"/>
    <w:rsid w:val="003A6364"/>
    <w:rsid w:val="003A65C3"/>
    <w:rsid w:val="003B229B"/>
    <w:rsid w:val="003B56B3"/>
    <w:rsid w:val="003C1459"/>
    <w:rsid w:val="003C1874"/>
    <w:rsid w:val="003C2B1D"/>
    <w:rsid w:val="003C3BBB"/>
    <w:rsid w:val="003C44C7"/>
    <w:rsid w:val="003C5599"/>
    <w:rsid w:val="003C5B4F"/>
    <w:rsid w:val="003C76B3"/>
    <w:rsid w:val="003D0404"/>
    <w:rsid w:val="003D19DA"/>
    <w:rsid w:val="003D4375"/>
    <w:rsid w:val="003D5760"/>
    <w:rsid w:val="003D58D5"/>
    <w:rsid w:val="003E03B8"/>
    <w:rsid w:val="003E0724"/>
    <w:rsid w:val="003E202D"/>
    <w:rsid w:val="003E2C9A"/>
    <w:rsid w:val="003E2E06"/>
    <w:rsid w:val="003E6A95"/>
    <w:rsid w:val="003E712E"/>
    <w:rsid w:val="003F0301"/>
    <w:rsid w:val="003F14A0"/>
    <w:rsid w:val="003F1C2C"/>
    <w:rsid w:val="003F1F02"/>
    <w:rsid w:val="003F3676"/>
    <w:rsid w:val="003F3808"/>
    <w:rsid w:val="003F390C"/>
    <w:rsid w:val="003F3AC6"/>
    <w:rsid w:val="003F5E9F"/>
    <w:rsid w:val="003F6079"/>
    <w:rsid w:val="003F795E"/>
    <w:rsid w:val="00400433"/>
    <w:rsid w:val="0040254A"/>
    <w:rsid w:val="00402955"/>
    <w:rsid w:val="004030FE"/>
    <w:rsid w:val="00411336"/>
    <w:rsid w:val="00411BD8"/>
    <w:rsid w:val="00411DFD"/>
    <w:rsid w:val="00412B7F"/>
    <w:rsid w:val="00412FDA"/>
    <w:rsid w:val="004173DE"/>
    <w:rsid w:val="004175FF"/>
    <w:rsid w:val="00417C7C"/>
    <w:rsid w:val="004204F7"/>
    <w:rsid w:val="0042154B"/>
    <w:rsid w:val="00421BE5"/>
    <w:rsid w:val="00422954"/>
    <w:rsid w:val="00422F56"/>
    <w:rsid w:val="00424232"/>
    <w:rsid w:val="004249C9"/>
    <w:rsid w:val="0042535D"/>
    <w:rsid w:val="00425EC7"/>
    <w:rsid w:val="00427F59"/>
    <w:rsid w:val="004305C7"/>
    <w:rsid w:val="00433268"/>
    <w:rsid w:val="004344EC"/>
    <w:rsid w:val="004350B2"/>
    <w:rsid w:val="00435FB7"/>
    <w:rsid w:val="0043638A"/>
    <w:rsid w:val="00437115"/>
    <w:rsid w:val="00440A17"/>
    <w:rsid w:val="004427D9"/>
    <w:rsid w:val="004428FE"/>
    <w:rsid w:val="00443792"/>
    <w:rsid w:val="00445065"/>
    <w:rsid w:val="00445544"/>
    <w:rsid w:val="00445ADB"/>
    <w:rsid w:val="00447478"/>
    <w:rsid w:val="00451686"/>
    <w:rsid w:val="00452829"/>
    <w:rsid w:val="00454176"/>
    <w:rsid w:val="00454AE2"/>
    <w:rsid w:val="00456839"/>
    <w:rsid w:val="00457A35"/>
    <w:rsid w:val="00461960"/>
    <w:rsid w:val="00462950"/>
    <w:rsid w:val="0046323E"/>
    <w:rsid w:val="004640EE"/>
    <w:rsid w:val="004647E2"/>
    <w:rsid w:val="00465AEB"/>
    <w:rsid w:val="004664DE"/>
    <w:rsid w:val="00471683"/>
    <w:rsid w:val="0047215D"/>
    <w:rsid w:val="0047315B"/>
    <w:rsid w:val="004737EF"/>
    <w:rsid w:val="0047402A"/>
    <w:rsid w:val="004742F9"/>
    <w:rsid w:val="0047529E"/>
    <w:rsid w:val="00475484"/>
    <w:rsid w:val="00476BDD"/>
    <w:rsid w:val="004821F3"/>
    <w:rsid w:val="00483852"/>
    <w:rsid w:val="004839B2"/>
    <w:rsid w:val="0048463B"/>
    <w:rsid w:val="00485A39"/>
    <w:rsid w:val="00485A6A"/>
    <w:rsid w:val="00492B8F"/>
    <w:rsid w:val="00492CC1"/>
    <w:rsid w:val="00492FDF"/>
    <w:rsid w:val="00493D09"/>
    <w:rsid w:val="004958E3"/>
    <w:rsid w:val="00497083"/>
    <w:rsid w:val="004A06B9"/>
    <w:rsid w:val="004A2979"/>
    <w:rsid w:val="004A3F59"/>
    <w:rsid w:val="004A59E4"/>
    <w:rsid w:val="004A5F3E"/>
    <w:rsid w:val="004A6644"/>
    <w:rsid w:val="004A6AAD"/>
    <w:rsid w:val="004B0AA9"/>
    <w:rsid w:val="004B1088"/>
    <w:rsid w:val="004B18DE"/>
    <w:rsid w:val="004B5C55"/>
    <w:rsid w:val="004B5DE2"/>
    <w:rsid w:val="004C02EA"/>
    <w:rsid w:val="004C0600"/>
    <w:rsid w:val="004C0C31"/>
    <w:rsid w:val="004C1821"/>
    <w:rsid w:val="004C3266"/>
    <w:rsid w:val="004C44C7"/>
    <w:rsid w:val="004C49FB"/>
    <w:rsid w:val="004C50CA"/>
    <w:rsid w:val="004C78B6"/>
    <w:rsid w:val="004D0558"/>
    <w:rsid w:val="004D06F9"/>
    <w:rsid w:val="004D0C27"/>
    <w:rsid w:val="004D1FA5"/>
    <w:rsid w:val="004D3168"/>
    <w:rsid w:val="004D41B0"/>
    <w:rsid w:val="004D42D3"/>
    <w:rsid w:val="004D78A9"/>
    <w:rsid w:val="004E0FA6"/>
    <w:rsid w:val="004E21FF"/>
    <w:rsid w:val="004E401C"/>
    <w:rsid w:val="004E54DB"/>
    <w:rsid w:val="004E5532"/>
    <w:rsid w:val="004E74E6"/>
    <w:rsid w:val="004E750F"/>
    <w:rsid w:val="004E7F5A"/>
    <w:rsid w:val="004F0AED"/>
    <w:rsid w:val="004F0F6D"/>
    <w:rsid w:val="004F3E9D"/>
    <w:rsid w:val="004F6B6F"/>
    <w:rsid w:val="004F7091"/>
    <w:rsid w:val="00500584"/>
    <w:rsid w:val="00501075"/>
    <w:rsid w:val="00502288"/>
    <w:rsid w:val="005034D2"/>
    <w:rsid w:val="0050488F"/>
    <w:rsid w:val="005056DC"/>
    <w:rsid w:val="00505C69"/>
    <w:rsid w:val="00510166"/>
    <w:rsid w:val="00510451"/>
    <w:rsid w:val="00510664"/>
    <w:rsid w:val="00511A0B"/>
    <w:rsid w:val="005152F2"/>
    <w:rsid w:val="0051581C"/>
    <w:rsid w:val="00516BAE"/>
    <w:rsid w:val="005171ED"/>
    <w:rsid w:val="0051764F"/>
    <w:rsid w:val="00520918"/>
    <w:rsid w:val="00521535"/>
    <w:rsid w:val="005215C0"/>
    <w:rsid w:val="00522B9D"/>
    <w:rsid w:val="00522C11"/>
    <w:rsid w:val="005233DA"/>
    <w:rsid w:val="00523D30"/>
    <w:rsid w:val="00524EE5"/>
    <w:rsid w:val="005260C6"/>
    <w:rsid w:val="00526AE2"/>
    <w:rsid w:val="005271F7"/>
    <w:rsid w:val="005314D7"/>
    <w:rsid w:val="005315BC"/>
    <w:rsid w:val="00532DCE"/>
    <w:rsid w:val="00533B94"/>
    <w:rsid w:val="00535203"/>
    <w:rsid w:val="00536B4E"/>
    <w:rsid w:val="00537011"/>
    <w:rsid w:val="00537C3A"/>
    <w:rsid w:val="00541847"/>
    <w:rsid w:val="00541A1C"/>
    <w:rsid w:val="0054413C"/>
    <w:rsid w:val="00545019"/>
    <w:rsid w:val="0054684F"/>
    <w:rsid w:val="005524EA"/>
    <w:rsid w:val="005526BF"/>
    <w:rsid w:val="00552EDF"/>
    <w:rsid w:val="005532D7"/>
    <w:rsid w:val="00556A6A"/>
    <w:rsid w:val="005603E0"/>
    <w:rsid w:val="0056064A"/>
    <w:rsid w:val="005659B0"/>
    <w:rsid w:val="00565BC1"/>
    <w:rsid w:val="0056646C"/>
    <w:rsid w:val="00567506"/>
    <w:rsid w:val="0056750C"/>
    <w:rsid w:val="005700AB"/>
    <w:rsid w:val="00571A2A"/>
    <w:rsid w:val="00571D5E"/>
    <w:rsid w:val="005720D4"/>
    <w:rsid w:val="00572921"/>
    <w:rsid w:val="005755C2"/>
    <w:rsid w:val="005758EA"/>
    <w:rsid w:val="00581821"/>
    <w:rsid w:val="0058321E"/>
    <w:rsid w:val="00583444"/>
    <w:rsid w:val="0058471B"/>
    <w:rsid w:val="00587DCA"/>
    <w:rsid w:val="0059035A"/>
    <w:rsid w:val="00594CBE"/>
    <w:rsid w:val="0059532F"/>
    <w:rsid w:val="00597F95"/>
    <w:rsid w:val="005A0E63"/>
    <w:rsid w:val="005A0FAE"/>
    <w:rsid w:val="005A10E9"/>
    <w:rsid w:val="005A4E52"/>
    <w:rsid w:val="005A695C"/>
    <w:rsid w:val="005A72A6"/>
    <w:rsid w:val="005A7B7D"/>
    <w:rsid w:val="005B1ACD"/>
    <w:rsid w:val="005B20A1"/>
    <w:rsid w:val="005B3070"/>
    <w:rsid w:val="005B623A"/>
    <w:rsid w:val="005B65D3"/>
    <w:rsid w:val="005B73FE"/>
    <w:rsid w:val="005C0550"/>
    <w:rsid w:val="005C0881"/>
    <w:rsid w:val="005C0A2A"/>
    <w:rsid w:val="005C0F14"/>
    <w:rsid w:val="005C2340"/>
    <w:rsid w:val="005C5A75"/>
    <w:rsid w:val="005C7C6C"/>
    <w:rsid w:val="005D08B2"/>
    <w:rsid w:val="005D107C"/>
    <w:rsid w:val="005D24BC"/>
    <w:rsid w:val="005D41DF"/>
    <w:rsid w:val="005D42C6"/>
    <w:rsid w:val="005D4CC2"/>
    <w:rsid w:val="005D53FA"/>
    <w:rsid w:val="005D7039"/>
    <w:rsid w:val="005E177A"/>
    <w:rsid w:val="005E319C"/>
    <w:rsid w:val="005E3411"/>
    <w:rsid w:val="005E377C"/>
    <w:rsid w:val="005E44E0"/>
    <w:rsid w:val="005E4E16"/>
    <w:rsid w:val="005E5205"/>
    <w:rsid w:val="005E6C99"/>
    <w:rsid w:val="005E7425"/>
    <w:rsid w:val="005E76C8"/>
    <w:rsid w:val="005F0806"/>
    <w:rsid w:val="005F16CA"/>
    <w:rsid w:val="005F1E59"/>
    <w:rsid w:val="005F3405"/>
    <w:rsid w:val="005F354B"/>
    <w:rsid w:val="005F3D1B"/>
    <w:rsid w:val="005F5636"/>
    <w:rsid w:val="005F6025"/>
    <w:rsid w:val="005F726E"/>
    <w:rsid w:val="0060297E"/>
    <w:rsid w:val="006040CA"/>
    <w:rsid w:val="006054F8"/>
    <w:rsid w:val="0060661C"/>
    <w:rsid w:val="006066B2"/>
    <w:rsid w:val="00606E69"/>
    <w:rsid w:val="00610687"/>
    <w:rsid w:val="00610992"/>
    <w:rsid w:val="00611C0A"/>
    <w:rsid w:val="0061290F"/>
    <w:rsid w:val="0061368F"/>
    <w:rsid w:val="00613E22"/>
    <w:rsid w:val="006158B6"/>
    <w:rsid w:val="00616280"/>
    <w:rsid w:val="0061695A"/>
    <w:rsid w:val="00617CA2"/>
    <w:rsid w:val="00620012"/>
    <w:rsid w:val="00620055"/>
    <w:rsid w:val="0062026C"/>
    <w:rsid w:val="00620E25"/>
    <w:rsid w:val="006275E1"/>
    <w:rsid w:val="00627D96"/>
    <w:rsid w:val="006306D0"/>
    <w:rsid w:val="006310DB"/>
    <w:rsid w:val="006310F9"/>
    <w:rsid w:val="00631AEB"/>
    <w:rsid w:val="0063288E"/>
    <w:rsid w:val="00634E45"/>
    <w:rsid w:val="00634E73"/>
    <w:rsid w:val="006365B8"/>
    <w:rsid w:val="006372F0"/>
    <w:rsid w:val="00637545"/>
    <w:rsid w:val="00637918"/>
    <w:rsid w:val="00637EAB"/>
    <w:rsid w:val="006413B8"/>
    <w:rsid w:val="00641C12"/>
    <w:rsid w:val="00643F32"/>
    <w:rsid w:val="00645723"/>
    <w:rsid w:val="00645ACC"/>
    <w:rsid w:val="00646631"/>
    <w:rsid w:val="0064777B"/>
    <w:rsid w:val="0065062B"/>
    <w:rsid w:val="00650A20"/>
    <w:rsid w:val="00650BBC"/>
    <w:rsid w:val="00650C78"/>
    <w:rsid w:val="00651522"/>
    <w:rsid w:val="006519DB"/>
    <w:rsid w:val="00651A8B"/>
    <w:rsid w:val="00652715"/>
    <w:rsid w:val="00654191"/>
    <w:rsid w:val="00654707"/>
    <w:rsid w:val="00654790"/>
    <w:rsid w:val="00656980"/>
    <w:rsid w:val="00660706"/>
    <w:rsid w:val="00663A71"/>
    <w:rsid w:val="00663C25"/>
    <w:rsid w:val="00663D46"/>
    <w:rsid w:val="00666BE0"/>
    <w:rsid w:val="00667B21"/>
    <w:rsid w:val="00667FA9"/>
    <w:rsid w:val="00670411"/>
    <w:rsid w:val="00670A21"/>
    <w:rsid w:val="00672C3F"/>
    <w:rsid w:val="00673C6E"/>
    <w:rsid w:val="00674DAD"/>
    <w:rsid w:val="00675165"/>
    <w:rsid w:val="0067605F"/>
    <w:rsid w:val="00680EC6"/>
    <w:rsid w:val="00681866"/>
    <w:rsid w:val="00681B89"/>
    <w:rsid w:val="00682D22"/>
    <w:rsid w:val="006835C9"/>
    <w:rsid w:val="00683EFC"/>
    <w:rsid w:val="00684840"/>
    <w:rsid w:val="00685546"/>
    <w:rsid w:val="006928D1"/>
    <w:rsid w:val="00692C89"/>
    <w:rsid w:val="00694076"/>
    <w:rsid w:val="00694531"/>
    <w:rsid w:val="00694C86"/>
    <w:rsid w:val="00696556"/>
    <w:rsid w:val="0069767C"/>
    <w:rsid w:val="006A04A9"/>
    <w:rsid w:val="006A13BC"/>
    <w:rsid w:val="006A1B9F"/>
    <w:rsid w:val="006A255F"/>
    <w:rsid w:val="006A28A5"/>
    <w:rsid w:val="006A36C9"/>
    <w:rsid w:val="006A394D"/>
    <w:rsid w:val="006A4631"/>
    <w:rsid w:val="006A515B"/>
    <w:rsid w:val="006A56A4"/>
    <w:rsid w:val="006A6063"/>
    <w:rsid w:val="006A73E1"/>
    <w:rsid w:val="006B1C23"/>
    <w:rsid w:val="006B2232"/>
    <w:rsid w:val="006B237A"/>
    <w:rsid w:val="006B23DB"/>
    <w:rsid w:val="006B2C37"/>
    <w:rsid w:val="006B3316"/>
    <w:rsid w:val="006B778A"/>
    <w:rsid w:val="006C055C"/>
    <w:rsid w:val="006C236D"/>
    <w:rsid w:val="006C26E6"/>
    <w:rsid w:val="006C2B83"/>
    <w:rsid w:val="006C3D34"/>
    <w:rsid w:val="006C48CB"/>
    <w:rsid w:val="006C4E62"/>
    <w:rsid w:val="006C7A0F"/>
    <w:rsid w:val="006C7A33"/>
    <w:rsid w:val="006D08EE"/>
    <w:rsid w:val="006D1728"/>
    <w:rsid w:val="006D30F0"/>
    <w:rsid w:val="006D37C2"/>
    <w:rsid w:val="006D601A"/>
    <w:rsid w:val="006D6CB5"/>
    <w:rsid w:val="006E1F53"/>
    <w:rsid w:val="006E390B"/>
    <w:rsid w:val="006E4952"/>
    <w:rsid w:val="006E4A2E"/>
    <w:rsid w:val="006E6000"/>
    <w:rsid w:val="006F0FC0"/>
    <w:rsid w:val="006F153E"/>
    <w:rsid w:val="006F17BE"/>
    <w:rsid w:val="006F4E09"/>
    <w:rsid w:val="006F52E6"/>
    <w:rsid w:val="006F588A"/>
    <w:rsid w:val="006F5D0A"/>
    <w:rsid w:val="006F7B83"/>
    <w:rsid w:val="007008AC"/>
    <w:rsid w:val="007014F1"/>
    <w:rsid w:val="0070189B"/>
    <w:rsid w:val="00702D08"/>
    <w:rsid w:val="007038D7"/>
    <w:rsid w:val="007049C8"/>
    <w:rsid w:val="00707457"/>
    <w:rsid w:val="007075C2"/>
    <w:rsid w:val="007076F1"/>
    <w:rsid w:val="00707D94"/>
    <w:rsid w:val="007104C0"/>
    <w:rsid w:val="0071146B"/>
    <w:rsid w:val="007116FB"/>
    <w:rsid w:val="00712B40"/>
    <w:rsid w:val="00714D0E"/>
    <w:rsid w:val="007157BE"/>
    <w:rsid w:val="007167F9"/>
    <w:rsid w:val="00716A10"/>
    <w:rsid w:val="00717F9C"/>
    <w:rsid w:val="0072015B"/>
    <w:rsid w:val="00722DAB"/>
    <w:rsid w:val="0072349B"/>
    <w:rsid w:val="00723A6C"/>
    <w:rsid w:val="007244E0"/>
    <w:rsid w:val="00725BB8"/>
    <w:rsid w:val="0072640E"/>
    <w:rsid w:val="00726545"/>
    <w:rsid w:val="00726685"/>
    <w:rsid w:val="00727AD7"/>
    <w:rsid w:val="007305BB"/>
    <w:rsid w:val="00730E2A"/>
    <w:rsid w:val="00730FE7"/>
    <w:rsid w:val="00731697"/>
    <w:rsid w:val="00734997"/>
    <w:rsid w:val="00734D14"/>
    <w:rsid w:val="00734DCB"/>
    <w:rsid w:val="00735C51"/>
    <w:rsid w:val="00736369"/>
    <w:rsid w:val="00736A55"/>
    <w:rsid w:val="00737525"/>
    <w:rsid w:val="00744424"/>
    <w:rsid w:val="00745968"/>
    <w:rsid w:val="007464AA"/>
    <w:rsid w:val="0074778F"/>
    <w:rsid w:val="00747B0A"/>
    <w:rsid w:val="00750796"/>
    <w:rsid w:val="00754293"/>
    <w:rsid w:val="007549A2"/>
    <w:rsid w:val="00754A94"/>
    <w:rsid w:val="00754D19"/>
    <w:rsid w:val="007563EC"/>
    <w:rsid w:val="00760407"/>
    <w:rsid w:val="00760680"/>
    <w:rsid w:val="00762046"/>
    <w:rsid w:val="0076349F"/>
    <w:rsid w:val="00763955"/>
    <w:rsid w:val="00763A77"/>
    <w:rsid w:val="00763AC9"/>
    <w:rsid w:val="00764106"/>
    <w:rsid w:val="0076563B"/>
    <w:rsid w:val="00766F43"/>
    <w:rsid w:val="0076734E"/>
    <w:rsid w:val="0076757F"/>
    <w:rsid w:val="00770B0B"/>
    <w:rsid w:val="00771A22"/>
    <w:rsid w:val="00771DEB"/>
    <w:rsid w:val="00773478"/>
    <w:rsid w:val="00774F11"/>
    <w:rsid w:val="007762F2"/>
    <w:rsid w:val="007806DA"/>
    <w:rsid w:val="00780AE3"/>
    <w:rsid w:val="00784ADA"/>
    <w:rsid w:val="00784FB4"/>
    <w:rsid w:val="007851FC"/>
    <w:rsid w:val="00786270"/>
    <w:rsid w:val="007862D2"/>
    <w:rsid w:val="00786381"/>
    <w:rsid w:val="00787DE7"/>
    <w:rsid w:val="00790050"/>
    <w:rsid w:val="00790614"/>
    <w:rsid w:val="0079243C"/>
    <w:rsid w:val="007958CB"/>
    <w:rsid w:val="00795E4A"/>
    <w:rsid w:val="00797A5E"/>
    <w:rsid w:val="007A0E0C"/>
    <w:rsid w:val="007A13A9"/>
    <w:rsid w:val="007A2022"/>
    <w:rsid w:val="007A4A32"/>
    <w:rsid w:val="007A4DC8"/>
    <w:rsid w:val="007A50D1"/>
    <w:rsid w:val="007A5D97"/>
    <w:rsid w:val="007A705F"/>
    <w:rsid w:val="007B2F91"/>
    <w:rsid w:val="007B358F"/>
    <w:rsid w:val="007B3BD5"/>
    <w:rsid w:val="007B41C0"/>
    <w:rsid w:val="007B42BD"/>
    <w:rsid w:val="007B4662"/>
    <w:rsid w:val="007B4E89"/>
    <w:rsid w:val="007B4FCC"/>
    <w:rsid w:val="007B5751"/>
    <w:rsid w:val="007B6573"/>
    <w:rsid w:val="007C01D2"/>
    <w:rsid w:val="007C1591"/>
    <w:rsid w:val="007C380C"/>
    <w:rsid w:val="007C3C20"/>
    <w:rsid w:val="007C4D27"/>
    <w:rsid w:val="007C5603"/>
    <w:rsid w:val="007C5EF8"/>
    <w:rsid w:val="007C616B"/>
    <w:rsid w:val="007C6C21"/>
    <w:rsid w:val="007C7245"/>
    <w:rsid w:val="007C7383"/>
    <w:rsid w:val="007C776F"/>
    <w:rsid w:val="007C7CE2"/>
    <w:rsid w:val="007D273D"/>
    <w:rsid w:val="007D4840"/>
    <w:rsid w:val="007D6F20"/>
    <w:rsid w:val="007D7D6B"/>
    <w:rsid w:val="007E019A"/>
    <w:rsid w:val="007E1B17"/>
    <w:rsid w:val="007E33B7"/>
    <w:rsid w:val="007E40C7"/>
    <w:rsid w:val="007E4597"/>
    <w:rsid w:val="007E4B22"/>
    <w:rsid w:val="007E4C0D"/>
    <w:rsid w:val="007E7135"/>
    <w:rsid w:val="007E77F6"/>
    <w:rsid w:val="007E7860"/>
    <w:rsid w:val="007F0B5F"/>
    <w:rsid w:val="007F1925"/>
    <w:rsid w:val="007F2D04"/>
    <w:rsid w:val="007F357F"/>
    <w:rsid w:val="007F56EB"/>
    <w:rsid w:val="007F78CB"/>
    <w:rsid w:val="00800811"/>
    <w:rsid w:val="00802A23"/>
    <w:rsid w:val="00802DD5"/>
    <w:rsid w:val="00803EFF"/>
    <w:rsid w:val="00804A81"/>
    <w:rsid w:val="00804C4E"/>
    <w:rsid w:val="00804CD4"/>
    <w:rsid w:val="00806DB4"/>
    <w:rsid w:val="0080708A"/>
    <w:rsid w:val="00807091"/>
    <w:rsid w:val="00807C12"/>
    <w:rsid w:val="00814F0A"/>
    <w:rsid w:val="0081569B"/>
    <w:rsid w:val="00816913"/>
    <w:rsid w:val="008171B3"/>
    <w:rsid w:val="0081796D"/>
    <w:rsid w:val="00821779"/>
    <w:rsid w:val="00821887"/>
    <w:rsid w:val="00823069"/>
    <w:rsid w:val="00823371"/>
    <w:rsid w:val="00827BDF"/>
    <w:rsid w:val="00827FC6"/>
    <w:rsid w:val="00831124"/>
    <w:rsid w:val="008311C2"/>
    <w:rsid w:val="00831F5A"/>
    <w:rsid w:val="00833610"/>
    <w:rsid w:val="00834079"/>
    <w:rsid w:val="00836127"/>
    <w:rsid w:val="00837B39"/>
    <w:rsid w:val="008400D2"/>
    <w:rsid w:val="008403B4"/>
    <w:rsid w:val="008417B7"/>
    <w:rsid w:val="0084307A"/>
    <w:rsid w:val="008433D7"/>
    <w:rsid w:val="008439DA"/>
    <w:rsid w:val="0084567D"/>
    <w:rsid w:val="00847AD9"/>
    <w:rsid w:val="00850EF6"/>
    <w:rsid w:val="00851A5B"/>
    <w:rsid w:val="00853BD7"/>
    <w:rsid w:val="00854448"/>
    <w:rsid w:val="008553C8"/>
    <w:rsid w:val="008579FC"/>
    <w:rsid w:val="008600D0"/>
    <w:rsid w:val="00861122"/>
    <w:rsid w:val="00862429"/>
    <w:rsid w:val="008631DD"/>
    <w:rsid w:val="008634DD"/>
    <w:rsid w:val="00863A50"/>
    <w:rsid w:val="00863A56"/>
    <w:rsid w:val="00863DF2"/>
    <w:rsid w:val="00865354"/>
    <w:rsid w:val="00865DAC"/>
    <w:rsid w:val="0086668F"/>
    <w:rsid w:val="0086675C"/>
    <w:rsid w:val="0087169D"/>
    <w:rsid w:val="00872200"/>
    <w:rsid w:val="008726E8"/>
    <w:rsid w:val="00873D8E"/>
    <w:rsid w:val="00874E86"/>
    <w:rsid w:val="00876358"/>
    <w:rsid w:val="00876CC3"/>
    <w:rsid w:val="008778C1"/>
    <w:rsid w:val="008804D7"/>
    <w:rsid w:val="008839EA"/>
    <w:rsid w:val="008856F9"/>
    <w:rsid w:val="0088695B"/>
    <w:rsid w:val="00886A15"/>
    <w:rsid w:val="0089002A"/>
    <w:rsid w:val="00892943"/>
    <w:rsid w:val="00893132"/>
    <w:rsid w:val="008936DA"/>
    <w:rsid w:val="00893CCA"/>
    <w:rsid w:val="0089681F"/>
    <w:rsid w:val="00896D7B"/>
    <w:rsid w:val="008A1767"/>
    <w:rsid w:val="008A3411"/>
    <w:rsid w:val="008A790D"/>
    <w:rsid w:val="008A7EC6"/>
    <w:rsid w:val="008B0D55"/>
    <w:rsid w:val="008B1F2F"/>
    <w:rsid w:val="008B1FDC"/>
    <w:rsid w:val="008B217D"/>
    <w:rsid w:val="008B21D7"/>
    <w:rsid w:val="008B24D1"/>
    <w:rsid w:val="008B343F"/>
    <w:rsid w:val="008B3764"/>
    <w:rsid w:val="008B379C"/>
    <w:rsid w:val="008B3F9B"/>
    <w:rsid w:val="008B558F"/>
    <w:rsid w:val="008C259F"/>
    <w:rsid w:val="008C2721"/>
    <w:rsid w:val="008C4101"/>
    <w:rsid w:val="008C6990"/>
    <w:rsid w:val="008C709C"/>
    <w:rsid w:val="008D0028"/>
    <w:rsid w:val="008D079E"/>
    <w:rsid w:val="008D1266"/>
    <w:rsid w:val="008D1377"/>
    <w:rsid w:val="008D1A78"/>
    <w:rsid w:val="008D2D65"/>
    <w:rsid w:val="008D3212"/>
    <w:rsid w:val="008D5B7E"/>
    <w:rsid w:val="008D69E9"/>
    <w:rsid w:val="008E004F"/>
    <w:rsid w:val="008E062A"/>
    <w:rsid w:val="008E068F"/>
    <w:rsid w:val="008E1F55"/>
    <w:rsid w:val="008E2850"/>
    <w:rsid w:val="008E2BA6"/>
    <w:rsid w:val="008E322C"/>
    <w:rsid w:val="008E3822"/>
    <w:rsid w:val="008E3CAE"/>
    <w:rsid w:val="008E3F30"/>
    <w:rsid w:val="008E477D"/>
    <w:rsid w:val="008E4C33"/>
    <w:rsid w:val="008E5765"/>
    <w:rsid w:val="008E6112"/>
    <w:rsid w:val="008F2AC5"/>
    <w:rsid w:val="008F3BEF"/>
    <w:rsid w:val="008F3D76"/>
    <w:rsid w:val="008F508D"/>
    <w:rsid w:val="008F56EB"/>
    <w:rsid w:val="008F7453"/>
    <w:rsid w:val="008F7B3E"/>
    <w:rsid w:val="009002A5"/>
    <w:rsid w:val="00900B06"/>
    <w:rsid w:val="00900F1D"/>
    <w:rsid w:val="00901372"/>
    <w:rsid w:val="0090173B"/>
    <w:rsid w:val="00902F53"/>
    <w:rsid w:val="0090373C"/>
    <w:rsid w:val="009038EF"/>
    <w:rsid w:val="00907634"/>
    <w:rsid w:val="00907B7E"/>
    <w:rsid w:val="00912F22"/>
    <w:rsid w:val="0091329F"/>
    <w:rsid w:val="0091399C"/>
    <w:rsid w:val="00913C00"/>
    <w:rsid w:val="00913D19"/>
    <w:rsid w:val="0091593D"/>
    <w:rsid w:val="009161CA"/>
    <w:rsid w:val="009164DA"/>
    <w:rsid w:val="009168AB"/>
    <w:rsid w:val="0092063C"/>
    <w:rsid w:val="009223B1"/>
    <w:rsid w:val="00922815"/>
    <w:rsid w:val="009228EF"/>
    <w:rsid w:val="00922CB6"/>
    <w:rsid w:val="00923A9F"/>
    <w:rsid w:val="009251E2"/>
    <w:rsid w:val="00926713"/>
    <w:rsid w:val="00926948"/>
    <w:rsid w:val="00932B6F"/>
    <w:rsid w:val="00932CAC"/>
    <w:rsid w:val="00933E9C"/>
    <w:rsid w:val="0093510B"/>
    <w:rsid w:val="00935A0D"/>
    <w:rsid w:val="00936C24"/>
    <w:rsid w:val="00937E5B"/>
    <w:rsid w:val="00940199"/>
    <w:rsid w:val="00941641"/>
    <w:rsid w:val="00943ADB"/>
    <w:rsid w:val="009454C2"/>
    <w:rsid w:val="009464AB"/>
    <w:rsid w:val="0094699A"/>
    <w:rsid w:val="009474E4"/>
    <w:rsid w:val="00952BD2"/>
    <w:rsid w:val="00953087"/>
    <w:rsid w:val="0095366E"/>
    <w:rsid w:val="0095392B"/>
    <w:rsid w:val="00954B99"/>
    <w:rsid w:val="00954CCB"/>
    <w:rsid w:val="009552F5"/>
    <w:rsid w:val="0095554E"/>
    <w:rsid w:val="00956594"/>
    <w:rsid w:val="00956820"/>
    <w:rsid w:val="00957844"/>
    <w:rsid w:val="00957A8D"/>
    <w:rsid w:val="00960221"/>
    <w:rsid w:val="00960493"/>
    <w:rsid w:val="009607DA"/>
    <w:rsid w:val="0096149F"/>
    <w:rsid w:val="00961B1B"/>
    <w:rsid w:val="00962591"/>
    <w:rsid w:val="00962EFF"/>
    <w:rsid w:val="0096383A"/>
    <w:rsid w:val="00963B56"/>
    <w:rsid w:val="00963B69"/>
    <w:rsid w:val="00965B88"/>
    <w:rsid w:val="00966FEC"/>
    <w:rsid w:val="00967F68"/>
    <w:rsid w:val="00973320"/>
    <w:rsid w:val="00975547"/>
    <w:rsid w:val="00975582"/>
    <w:rsid w:val="00976265"/>
    <w:rsid w:val="009765F7"/>
    <w:rsid w:val="00976CE3"/>
    <w:rsid w:val="00976CF9"/>
    <w:rsid w:val="009812AC"/>
    <w:rsid w:val="009815DD"/>
    <w:rsid w:val="00983028"/>
    <w:rsid w:val="009831D7"/>
    <w:rsid w:val="009860C6"/>
    <w:rsid w:val="009865C5"/>
    <w:rsid w:val="009867A0"/>
    <w:rsid w:val="00986D80"/>
    <w:rsid w:val="0099154D"/>
    <w:rsid w:val="00991A72"/>
    <w:rsid w:val="00993524"/>
    <w:rsid w:val="00994DAA"/>
    <w:rsid w:val="0099528F"/>
    <w:rsid w:val="00996897"/>
    <w:rsid w:val="009A095A"/>
    <w:rsid w:val="009A14E8"/>
    <w:rsid w:val="009A1B40"/>
    <w:rsid w:val="009A3795"/>
    <w:rsid w:val="009A44CC"/>
    <w:rsid w:val="009A56C3"/>
    <w:rsid w:val="009A62A5"/>
    <w:rsid w:val="009B4064"/>
    <w:rsid w:val="009B406F"/>
    <w:rsid w:val="009B487A"/>
    <w:rsid w:val="009B63EA"/>
    <w:rsid w:val="009C055C"/>
    <w:rsid w:val="009C0C87"/>
    <w:rsid w:val="009C0E18"/>
    <w:rsid w:val="009C0F96"/>
    <w:rsid w:val="009C3AA4"/>
    <w:rsid w:val="009C621F"/>
    <w:rsid w:val="009C6439"/>
    <w:rsid w:val="009D1A39"/>
    <w:rsid w:val="009D1DC2"/>
    <w:rsid w:val="009D2649"/>
    <w:rsid w:val="009D2DA2"/>
    <w:rsid w:val="009D2E84"/>
    <w:rsid w:val="009D5E97"/>
    <w:rsid w:val="009D6A8D"/>
    <w:rsid w:val="009D74AF"/>
    <w:rsid w:val="009E156D"/>
    <w:rsid w:val="009E1B3C"/>
    <w:rsid w:val="009E30FB"/>
    <w:rsid w:val="009E3508"/>
    <w:rsid w:val="009E3800"/>
    <w:rsid w:val="009E4474"/>
    <w:rsid w:val="009E4695"/>
    <w:rsid w:val="009E4CD0"/>
    <w:rsid w:val="009E6C99"/>
    <w:rsid w:val="009E74A4"/>
    <w:rsid w:val="009F0CCB"/>
    <w:rsid w:val="009F346E"/>
    <w:rsid w:val="009F3AF5"/>
    <w:rsid w:val="009F49B2"/>
    <w:rsid w:val="009F519D"/>
    <w:rsid w:val="009F5DCA"/>
    <w:rsid w:val="009F6C0D"/>
    <w:rsid w:val="009F7F40"/>
    <w:rsid w:val="00A01BC0"/>
    <w:rsid w:val="00A02175"/>
    <w:rsid w:val="00A02CF0"/>
    <w:rsid w:val="00A02FD0"/>
    <w:rsid w:val="00A04FE6"/>
    <w:rsid w:val="00A054B1"/>
    <w:rsid w:val="00A058E7"/>
    <w:rsid w:val="00A05B68"/>
    <w:rsid w:val="00A05B6B"/>
    <w:rsid w:val="00A1065D"/>
    <w:rsid w:val="00A126FD"/>
    <w:rsid w:val="00A13697"/>
    <w:rsid w:val="00A144C3"/>
    <w:rsid w:val="00A147B4"/>
    <w:rsid w:val="00A1532B"/>
    <w:rsid w:val="00A15AA0"/>
    <w:rsid w:val="00A16319"/>
    <w:rsid w:val="00A17757"/>
    <w:rsid w:val="00A17F40"/>
    <w:rsid w:val="00A218C7"/>
    <w:rsid w:val="00A2209B"/>
    <w:rsid w:val="00A221C5"/>
    <w:rsid w:val="00A24CF9"/>
    <w:rsid w:val="00A2562C"/>
    <w:rsid w:val="00A25856"/>
    <w:rsid w:val="00A26459"/>
    <w:rsid w:val="00A26530"/>
    <w:rsid w:val="00A2753F"/>
    <w:rsid w:val="00A27A8D"/>
    <w:rsid w:val="00A3075E"/>
    <w:rsid w:val="00A322C9"/>
    <w:rsid w:val="00A32AF6"/>
    <w:rsid w:val="00A339D0"/>
    <w:rsid w:val="00A33E69"/>
    <w:rsid w:val="00A345CD"/>
    <w:rsid w:val="00A36418"/>
    <w:rsid w:val="00A3773C"/>
    <w:rsid w:val="00A40285"/>
    <w:rsid w:val="00A40D89"/>
    <w:rsid w:val="00A429F8"/>
    <w:rsid w:val="00A43E75"/>
    <w:rsid w:val="00A454E4"/>
    <w:rsid w:val="00A467B5"/>
    <w:rsid w:val="00A47957"/>
    <w:rsid w:val="00A47B85"/>
    <w:rsid w:val="00A503CC"/>
    <w:rsid w:val="00A508E7"/>
    <w:rsid w:val="00A51BF7"/>
    <w:rsid w:val="00A52AD4"/>
    <w:rsid w:val="00A5497D"/>
    <w:rsid w:val="00A55A60"/>
    <w:rsid w:val="00A579B3"/>
    <w:rsid w:val="00A636F1"/>
    <w:rsid w:val="00A64724"/>
    <w:rsid w:val="00A64CFE"/>
    <w:rsid w:val="00A65BCD"/>
    <w:rsid w:val="00A65D7A"/>
    <w:rsid w:val="00A66568"/>
    <w:rsid w:val="00A6692B"/>
    <w:rsid w:val="00A70177"/>
    <w:rsid w:val="00A71D33"/>
    <w:rsid w:val="00A727DA"/>
    <w:rsid w:val="00A72B87"/>
    <w:rsid w:val="00A72FA8"/>
    <w:rsid w:val="00A758B9"/>
    <w:rsid w:val="00A7596E"/>
    <w:rsid w:val="00A8140B"/>
    <w:rsid w:val="00A82C92"/>
    <w:rsid w:val="00A833AA"/>
    <w:rsid w:val="00A83A30"/>
    <w:rsid w:val="00A85370"/>
    <w:rsid w:val="00A85414"/>
    <w:rsid w:val="00A861E7"/>
    <w:rsid w:val="00A86BB6"/>
    <w:rsid w:val="00A8713C"/>
    <w:rsid w:val="00A905BF"/>
    <w:rsid w:val="00A90762"/>
    <w:rsid w:val="00A94580"/>
    <w:rsid w:val="00A94BD7"/>
    <w:rsid w:val="00A94E23"/>
    <w:rsid w:val="00A95935"/>
    <w:rsid w:val="00A9627F"/>
    <w:rsid w:val="00AA146C"/>
    <w:rsid w:val="00AA19BB"/>
    <w:rsid w:val="00AA1CE7"/>
    <w:rsid w:val="00AA364B"/>
    <w:rsid w:val="00AA3A6A"/>
    <w:rsid w:val="00AA5D1B"/>
    <w:rsid w:val="00AA6F05"/>
    <w:rsid w:val="00AA7039"/>
    <w:rsid w:val="00AB0125"/>
    <w:rsid w:val="00AB19FA"/>
    <w:rsid w:val="00AB30E3"/>
    <w:rsid w:val="00AB4207"/>
    <w:rsid w:val="00AB5946"/>
    <w:rsid w:val="00AB5E75"/>
    <w:rsid w:val="00AB6FE5"/>
    <w:rsid w:val="00AB73C2"/>
    <w:rsid w:val="00AB79CD"/>
    <w:rsid w:val="00AB7B21"/>
    <w:rsid w:val="00AC2793"/>
    <w:rsid w:val="00AC2D9E"/>
    <w:rsid w:val="00AC35DC"/>
    <w:rsid w:val="00AC4AF6"/>
    <w:rsid w:val="00AC4D86"/>
    <w:rsid w:val="00AC4D9D"/>
    <w:rsid w:val="00AC6742"/>
    <w:rsid w:val="00AC6B6C"/>
    <w:rsid w:val="00AC775C"/>
    <w:rsid w:val="00AC7A9B"/>
    <w:rsid w:val="00AD2D4F"/>
    <w:rsid w:val="00AD30D9"/>
    <w:rsid w:val="00AD3204"/>
    <w:rsid w:val="00AD36A4"/>
    <w:rsid w:val="00AD39B1"/>
    <w:rsid w:val="00AD53D2"/>
    <w:rsid w:val="00AD74F3"/>
    <w:rsid w:val="00AE0E42"/>
    <w:rsid w:val="00AE36DE"/>
    <w:rsid w:val="00AE3843"/>
    <w:rsid w:val="00AE3C75"/>
    <w:rsid w:val="00AE434D"/>
    <w:rsid w:val="00AE7AC1"/>
    <w:rsid w:val="00AF2C56"/>
    <w:rsid w:val="00AF42A9"/>
    <w:rsid w:val="00AF4578"/>
    <w:rsid w:val="00AF479A"/>
    <w:rsid w:val="00AF498D"/>
    <w:rsid w:val="00AF77AF"/>
    <w:rsid w:val="00B00956"/>
    <w:rsid w:val="00B00E47"/>
    <w:rsid w:val="00B01C7E"/>
    <w:rsid w:val="00B0245F"/>
    <w:rsid w:val="00B03D61"/>
    <w:rsid w:val="00B044AA"/>
    <w:rsid w:val="00B07235"/>
    <w:rsid w:val="00B075B6"/>
    <w:rsid w:val="00B07AED"/>
    <w:rsid w:val="00B16C69"/>
    <w:rsid w:val="00B20DB9"/>
    <w:rsid w:val="00B2205B"/>
    <w:rsid w:val="00B237B0"/>
    <w:rsid w:val="00B24C24"/>
    <w:rsid w:val="00B30DFA"/>
    <w:rsid w:val="00B31638"/>
    <w:rsid w:val="00B31BDE"/>
    <w:rsid w:val="00B332F3"/>
    <w:rsid w:val="00B34170"/>
    <w:rsid w:val="00B34A0C"/>
    <w:rsid w:val="00B3537B"/>
    <w:rsid w:val="00B3618F"/>
    <w:rsid w:val="00B40026"/>
    <w:rsid w:val="00B41719"/>
    <w:rsid w:val="00B417A0"/>
    <w:rsid w:val="00B4190A"/>
    <w:rsid w:val="00B4245A"/>
    <w:rsid w:val="00B438F3"/>
    <w:rsid w:val="00B47C9E"/>
    <w:rsid w:val="00B50F13"/>
    <w:rsid w:val="00B5204B"/>
    <w:rsid w:val="00B5369A"/>
    <w:rsid w:val="00B53F0C"/>
    <w:rsid w:val="00B5592D"/>
    <w:rsid w:val="00B57B1E"/>
    <w:rsid w:val="00B57DAA"/>
    <w:rsid w:val="00B61407"/>
    <w:rsid w:val="00B62DE5"/>
    <w:rsid w:val="00B66FBB"/>
    <w:rsid w:val="00B7122F"/>
    <w:rsid w:val="00B714FB"/>
    <w:rsid w:val="00B71A02"/>
    <w:rsid w:val="00B74E6D"/>
    <w:rsid w:val="00B80768"/>
    <w:rsid w:val="00B807AA"/>
    <w:rsid w:val="00B80AA7"/>
    <w:rsid w:val="00B81D61"/>
    <w:rsid w:val="00B8334F"/>
    <w:rsid w:val="00B835B8"/>
    <w:rsid w:val="00B839FA"/>
    <w:rsid w:val="00B85102"/>
    <w:rsid w:val="00B85FD6"/>
    <w:rsid w:val="00B907B5"/>
    <w:rsid w:val="00B9080D"/>
    <w:rsid w:val="00B94676"/>
    <w:rsid w:val="00B95016"/>
    <w:rsid w:val="00B96144"/>
    <w:rsid w:val="00B96650"/>
    <w:rsid w:val="00B96733"/>
    <w:rsid w:val="00B96CB7"/>
    <w:rsid w:val="00B977E9"/>
    <w:rsid w:val="00B979B2"/>
    <w:rsid w:val="00BA16E0"/>
    <w:rsid w:val="00BA23DD"/>
    <w:rsid w:val="00BA3D2E"/>
    <w:rsid w:val="00BA3EA9"/>
    <w:rsid w:val="00BA443D"/>
    <w:rsid w:val="00BA5A01"/>
    <w:rsid w:val="00BA71F8"/>
    <w:rsid w:val="00BB0217"/>
    <w:rsid w:val="00BB0460"/>
    <w:rsid w:val="00BB095B"/>
    <w:rsid w:val="00BB157A"/>
    <w:rsid w:val="00BB1E0A"/>
    <w:rsid w:val="00BB2E8B"/>
    <w:rsid w:val="00BB333F"/>
    <w:rsid w:val="00BB4E8D"/>
    <w:rsid w:val="00BB506B"/>
    <w:rsid w:val="00BB6A04"/>
    <w:rsid w:val="00BB73C2"/>
    <w:rsid w:val="00BB749A"/>
    <w:rsid w:val="00BC25C8"/>
    <w:rsid w:val="00BC2A10"/>
    <w:rsid w:val="00BC2AC0"/>
    <w:rsid w:val="00BC3257"/>
    <w:rsid w:val="00BC36AB"/>
    <w:rsid w:val="00BC3774"/>
    <w:rsid w:val="00BC439B"/>
    <w:rsid w:val="00BC4464"/>
    <w:rsid w:val="00BC6B35"/>
    <w:rsid w:val="00BD1BB5"/>
    <w:rsid w:val="00BD3C0E"/>
    <w:rsid w:val="00BD4EA1"/>
    <w:rsid w:val="00BD5D69"/>
    <w:rsid w:val="00BE0595"/>
    <w:rsid w:val="00BE069A"/>
    <w:rsid w:val="00BE1075"/>
    <w:rsid w:val="00BE1559"/>
    <w:rsid w:val="00BE367E"/>
    <w:rsid w:val="00BE4105"/>
    <w:rsid w:val="00BE4DBC"/>
    <w:rsid w:val="00BE5051"/>
    <w:rsid w:val="00BE56C0"/>
    <w:rsid w:val="00BE74E6"/>
    <w:rsid w:val="00BE7590"/>
    <w:rsid w:val="00BE7F98"/>
    <w:rsid w:val="00BF078B"/>
    <w:rsid w:val="00BF0EBE"/>
    <w:rsid w:val="00BF1C2A"/>
    <w:rsid w:val="00BF2056"/>
    <w:rsid w:val="00BF3CCB"/>
    <w:rsid w:val="00BF49AD"/>
    <w:rsid w:val="00BF4B09"/>
    <w:rsid w:val="00BF7B6F"/>
    <w:rsid w:val="00BF7D02"/>
    <w:rsid w:val="00C01413"/>
    <w:rsid w:val="00C0185E"/>
    <w:rsid w:val="00C03E78"/>
    <w:rsid w:val="00C068A7"/>
    <w:rsid w:val="00C07686"/>
    <w:rsid w:val="00C10842"/>
    <w:rsid w:val="00C11C1C"/>
    <w:rsid w:val="00C121DC"/>
    <w:rsid w:val="00C122F8"/>
    <w:rsid w:val="00C1417E"/>
    <w:rsid w:val="00C16039"/>
    <w:rsid w:val="00C17B75"/>
    <w:rsid w:val="00C17BCF"/>
    <w:rsid w:val="00C24A8B"/>
    <w:rsid w:val="00C25219"/>
    <w:rsid w:val="00C25C96"/>
    <w:rsid w:val="00C262F1"/>
    <w:rsid w:val="00C315EB"/>
    <w:rsid w:val="00C32C0B"/>
    <w:rsid w:val="00C34147"/>
    <w:rsid w:val="00C35758"/>
    <w:rsid w:val="00C36345"/>
    <w:rsid w:val="00C364A2"/>
    <w:rsid w:val="00C37701"/>
    <w:rsid w:val="00C4197F"/>
    <w:rsid w:val="00C42ED5"/>
    <w:rsid w:val="00C43ED8"/>
    <w:rsid w:val="00C44496"/>
    <w:rsid w:val="00C4514D"/>
    <w:rsid w:val="00C457A0"/>
    <w:rsid w:val="00C45EE9"/>
    <w:rsid w:val="00C461C8"/>
    <w:rsid w:val="00C46357"/>
    <w:rsid w:val="00C51D01"/>
    <w:rsid w:val="00C52C95"/>
    <w:rsid w:val="00C54414"/>
    <w:rsid w:val="00C55240"/>
    <w:rsid w:val="00C5542B"/>
    <w:rsid w:val="00C56734"/>
    <w:rsid w:val="00C5780A"/>
    <w:rsid w:val="00C60399"/>
    <w:rsid w:val="00C604B5"/>
    <w:rsid w:val="00C670BF"/>
    <w:rsid w:val="00C673B9"/>
    <w:rsid w:val="00C674F5"/>
    <w:rsid w:val="00C71257"/>
    <w:rsid w:val="00C71B3C"/>
    <w:rsid w:val="00C73E15"/>
    <w:rsid w:val="00C74F17"/>
    <w:rsid w:val="00C762C5"/>
    <w:rsid w:val="00C77FD2"/>
    <w:rsid w:val="00C81ED7"/>
    <w:rsid w:val="00C81F98"/>
    <w:rsid w:val="00C8203A"/>
    <w:rsid w:val="00C856A8"/>
    <w:rsid w:val="00C864F4"/>
    <w:rsid w:val="00C87C4C"/>
    <w:rsid w:val="00C87D37"/>
    <w:rsid w:val="00C9010E"/>
    <w:rsid w:val="00C92093"/>
    <w:rsid w:val="00C92924"/>
    <w:rsid w:val="00C9327A"/>
    <w:rsid w:val="00C95764"/>
    <w:rsid w:val="00C961C0"/>
    <w:rsid w:val="00C9627D"/>
    <w:rsid w:val="00C975CA"/>
    <w:rsid w:val="00C97B2B"/>
    <w:rsid w:val="00CA320F"/>
    <w:rsid w:val="00CA4511"/>
    <w:rsid w:val="00CA4BE2"/>
    <w:rsid w:val="00CA5E97"/>
    <w:rsid w:val="00CA7B92"/>
    <w:rsid w:val="00CA7C14"/>
    <w:rsid w:val="00CB0CB3"/>
    <w:rsid w:val="00CB1639"/>
    <w:rsid w:val="00CB2447"/>
    <w:rsid w:val="00CB2A5C"/>
    <w:rsid w:val="00CB7726"/>
    <w:rsid w:val="00CB7DBE"/>
    <w:rsid w:val="00CC0043"/>
    <w:rsid w:val="00CC3B9F"/>
    <w:rsid w:val="00CC5736"/>
    <w:rsid w:val="00CC620E"/>
    <w:rsid w:val="00CC6EBC"/>
    <w:rsid w:val="00CD02B0"/>
    <w:rsid w:val="00CD1ADF"/>
    <w:rsid w:val="00CD48B7"/>
    <w:rsid w:val="00CD51A1"/>
    <w:rsid w:val="00CE01B1"/>
    <w:rsid w:val="00CE1FBC"/>
    <w:rsid w:val="00CE2263"/>
    <w:rsid w:val="00CE39A7"/>
    <w:rsid w:val="00CE4856"/>
    <w:rsid w:val="00CE4C5A"/>
    <w:rsid w:val="00CE68F3"/>
    <w:rsid w:val="00CE6952"/>
    <w:rsid w:val="00CF29F2"/>
    <w:rsid w:val="00CF38B6"/>
    <w:rsid w:val="00CF3ABB"/>
    <w:rsid w:val="00CF3B80"/>
    <w:rsid w:val="00CF4FFF"/>
    <w:rsid w:val="00CF5505"/>
    <w:rsid w:val="00CF780F"/>
    <w:rsid w:val="00CF7D64"/>
    <w:rsid w:val="00D01FF9"/>
    <w:rsid w:val="00D044B3"/>
    <w:rsid w:val="00D1087F"/>
    <w:rsid w:val="00D1099C"/>
    <w:rsid w:val="00D115BA"/>
    <w:rsid w:val="00D125E3"/>
    <w:rsid w:val="00D14BE2"/>
    <w:rsid w:val="00D1501A"/>
    <w:rsid w:val="00D16CA5"/>
    <w:rsid w:val="00D16CC2"/>
    <w:rsid w:val="00D1740B"/>
    <w:rsid w:val="00D17604"/>
    <w:rsid w:val="00D21542"/>
    <w:rsid w:val="00D23F8A"/>
    <w:rsid w:val="00D25D35"/>
    <w:rsid w:val="00D30BA4"/>
    <w:rsid w:val="00D32AE2"/>
    <w:rsid w:val="00D33EA6"/>
    <w:rsid w:val="00D34F2F"/>
    <w:rsid w:val="00D35EC1"/>
    <w:rsid w:val="00D36732"/>
    <w:rsid w:val="00D41128"/>
    <w:rsid w:val="00D42F0F"/>
    <w:rsid w:val="00D431DD"/>
    <w:rsid w:val="00D45749"/>
    <w:rsid w:val="00D46303"/>
    <w:rsid w:val="00D46E8D"/>
    <w:rsid w:val="00D476C9"/>
    <w:rsid w:val="00D477D9"/>
    <w:rsid w:val="00D47879"/>
    <w:rsid w:val="00D510AD"/>
    <w:rsid w:val="00D51CD2"/>
    <w:rsid w:val="00D52607"/>
    <w:rsid w:val="00D52F92"/>
    <w:rsid w:val="00D5764B"/>
    <w:rsid w:val="00D61049"/>
    <w:rsid w:val="00D6289D"/>
    <w:rsid w:val="00D64246"/>
    <w:rsid w:val="00D64E8D"/>
    <w:rsid w:val="00D70AA8"/>
    <w:rsid w:val="00D71EDE"/>
    <w:rsid w:val="00D74469"/>
    <w:rsid w:val="00D81D83"/>
    <w:rsid w:val="00D83739"/>
    <w:rsid w:val="00D838D7"/>
    <w:rsid w:val="00D86747"/>
    <w:rsid w:val="00D873FD"/>
    <w:rsid w:val="00D9070A"/>
    <w:rsid w:val="00D90871"/>
    <w:rsid w:val="00D90B32"/>
    <w:rsid w:val="00D91564"/>
    <w:rsid w:val="00D92FE2"/>
    <w:rsid w:val="00D94022"/>
    <w:rsid w:val="00D956E4"/>
    <w:rsid w:val="00D95F02"/>
    <w:rsid w:val="00D96232"/>
    <w:rsid w:val="00D96B6D"/>
    <w:rsid w:val="00D96D65"/>
    <w:rsid w:val="00D96E20"/>
    <w:rsid w:val="00D971DB"/>
    <w:rsid w:val="00D97B96"/>
    <w:rsid w:val="00D97D2D"/>
    <w:rsid w:val="00DA296D"/>
    <w:rsid w:val="00DA2D7F"/>
    <w:rsid w:val="00DA3334"/>
    <w:rsid w:val="00DA4586"/>
    <w:rsid w:val="00DA4657"/>
    <w:rsid w:val="00DA4B49"/>
    <w:rsid w:val="00DA591B"/>
    <w:rsid w:val="00DA59A9"/>
    <w:rsid w:val="00DA60A1"/>
    <w:rsid w:val="00DA6852"/>
    <w:rsid w:val="00DB1CF1"/>
    <w:rsid w:val="00DB2F8E"/>
    <w:rsid w:val="00DB4D4B"/>
    <w:rsid w:val="00DB5692"/>
    <w:rsid w:val="00DB7328"/>
    <w:rsid w:val="00DC05E0"/>
    <w:rsid w:val="00DC17F4"/>
    <w:rsid w:val="00DC1C59"/>
    <w:rsid w:val="00DC2263"/>
    <w:rsid w:val="00DC4390"/>
    <w:rsid w:val="00DC54AD"/>
    <w:rsid w:val="00DC5A16"/>
    <w:rsid w:val="00DC5AD8"/>
    <w:rsid w:val="00DC6F40"/>
    <w:rsid w:val="00DD0151"/>
    <w:rsid w:val="00DD1176"/>
    <w:rsid w:val="00DD176A"/>
    <w:rsid w:val="00DD28E4"/>
    <w:rsid w:val="00DD34F9"/>
    <w:rsid w:val="00DD3D6E"/>
    <w:rsid w:val="00DD4410"/>
    <w:rsid w:val="00DD481E"/>
    <w:rsid w:val="00DD4D19"/>
    <w:rsid w:val="00DD5762"/>
    <w:rsid w:val="00DD5B74"/>
    <w:rsid w:val="00DD5BC6"/>
    <w:rsid w:val="00DD64F1"/>
    <w:rsid w:val="00DE04FE"/>
    <w:rsid w:val="00DE2E2D"/>
    <w:rsid w:val="00DE39A3"/>
    <w:rsid w:val="00DE3A02"/>
    <w:rsid w:val="00DE3DAB"/>
    <w:rsid w:val="00DE4D03"/>
    <w:rsid w:val="00DE523E"/>
    <w:rsid w:val="00DE65B2"/>
    <w:rsid w:val="00DE69C3"/>
    <w:rsid w:val="00DF05D6"/>
    <w:rsid w:val="00DF256B"/>
    <w:rsid w:val="00DF67A7"/>
    <w:rsid w:val="00E013F5"/>
    <w:rsid w:val="00E01A34"/>
    <w:rsid w:val="00E02EC0"/>
    <w:rsid w:val="00E02EC6"/>
    <w:rsid w:val="00E03079"/>
    <w:rsid w:val="00E05A45"/>
    <w:rsid w:val="00E151ED"/>
    <w:rsid w:val="00E160C6"/>
    <w:rsid w:val="00E16965"/>
    <w:rsid w:val="00E171E4"/>
    <w:rsid w:val="00E1768F"/>
    <w:rsid w:val="00E17B1E"/>
    <w:rsid w:val="00E203D2"/>
    <w:rsid w:val="00E22A42"/>
    <w:rsid w:val="00E2304D"/>
    <w:rsid w:val="00E239C4"/>
    <w:rsid w:val="00E244F9"/>
    <w:rsid w:val="00E25493"/>
    <w:rsid w:val="00E3047D"/>
    <w:rsid w:val="00E31958"/>
    <w:rsid w:val="00E322F3"/>
    <w:rsid w:val="00E32A53"/>
    <w:rsid w:val="00E32EEC"/>
    <w:rsid w:val="00E33BE1"/>
    <w:rsid w:val="00E348AE"/>
    <w:rsid w:val="00E34CBF"/>
    <w:rsid w:val="00E366FC"/>
    <w:rsid w:val="00E37BCB"/>
    <w:rsid w:val="00E41725"/>
    <w:rsid w:val="00E41B4F"/>
    <w:rsid w:val="00E42C3B"/>
    <w:rsid w:val="00E42EF4"/>
    <w:rsid w:val="00E44B87"/>
    <w:rsid w:val="00E46029"/>
    <w:rsid w:val="00E50C9B"/>
    <w:rsid w:val="00E53B3B"/>
    <w:rsid w:val="00E5464A"/>
    <w:rsid w:val="00E54A46"/>
    <w:rsid w:val="00E5642E"/>
    <w:rsid w:val="00E5664B"/>
    <w:rsid w:val="00E569C5"/>
    <w:rsid w:val="00E57F7D"/>
    <w:rsid w:val="00E610A0"/>
    <w:rsid w:val="00E62528"/>
    <w:rsid w:val="00E6366B"/>
    <w:rsid w:val="00E6416E"/>
    <w:rsid w:val="00E646E4"/>
    <w:rsid w:val="00E64E4F"/>
    <w:rsid w:val="00E704ED"/>
    <w:rsid w:val="00E71019"/>
    <w:rsid w:val="00E72F78"/>
    <w:rsid w:val="00E756C9"/>
    <w:rsid w:val="00E75837"/>
    <w:rsid w:val="00E771E4"/>
    <w:rsid w:val="00E8021D"/>
    <w:rsid w:val="00E80783"/>
    <w:rsid w:val="00E80A12"/>
    <w:rsid w:val="00E815F5"/>
    <w:rsid w:val="00E81E05"/>
    <w:rsid w:val="00E83D2C"/>
    <w:rsid w:val="00E84669"/>
    <w:rsid w:val="00E85367"/>
    <w:rsid w:val="00E87545"/>
    <w:rsid w:val="00E8796A"/>
    <w:rsid w:val="00E87B3F"/>
    <w:rsid w:val="00E910E9"/>
    <w:rsid w:val="00E92642"/>
    <w:rsid w:val="00E92EC3"/>
    <w:rsid w:val="00E93236"/>
    <w:rsid w:val="00E940BA"/>
    <w:rsid w:val="00E960E2"/>
    <w:rsid w:val="00E96870"/>
    <w:rsid w:val="00E96B7A"/>
    <w:rsid w:val="00E973BF"/>
    <w:rsid w:val="00E9765F"/>
    <w:rsid w:val="00EA0697"/>
    <w:rsid w:val="00EA13A5"/>
    <w:rsid w:val="00EA1981"/>
    <w:rsid w:val="00EA1B2F"/>
    <w:rsid w:val="00EA2358"/>
    <w:rsid w:val="00EA2DE7"/>
    <w:rsid w:val="00EA358B"/>
    <w:rsid w:val="00EA37F9"/>
    <w:rsid w:val="00EA3DF4"/>
    <w:rsid w:val="00EA66BE"/>
    <w:rsid w:val="00EA6DF5"/>
    <w:rsid w:val="00EB02AE"/>
    <w:rsid w:val="00EB2965"/>
    <w:rsid w:val="00EB311F"/>
    <w:rsid w:val="00EB4919"/>
    <w:rsid w:val="00EB67A6"/>
    <w:rsid w:val="00EB6CCD"/>
    <w:rsid w:val="00EC0BD9"/>
    <w:rsid w:val="00EC0C8C"/>
    <w:rsid w:val="00EC0F01"/>
    <w:rsid w:val="00EC334C"/>
    <w:rsid w:val="00EC47F5"/>
    <w:rsid w:val="00EC6442"/>
    <w:rsid w:val="00EC67DA"/>
    <w:rsid w:val="00EC6AA3"/>
    <w:rsid w:val="00ED02A7"/>
    <w:rsid w:val="00ED02E2"/>
    <w:rsid w:val="00ED04DA"/>
    <w:rsid w:val="00ED0753"/>
    <w:rsid w:val="00ED0DEA"/>
    <w:rsid w:val="00ED120E"/>
    <w:rsid w:val="00ED1782"/>
    <w:rsid w:val="00ED5ACF"/>
    <w:rsid w:val="00ED5DEA"/>
    <w:rsid w:val="00ED6E02"/>
    <w:rsid w:val="00ED737D"/>
    <w:rsid w:val="00ED7935"/>
    <w:rsid w:val="00EE03FF"/>
    <w:rsid w:val="00EE04FA"/>
    <w:rsid w:val="00EE1AE2"/>
    <w:rsid w:val="00EE2F4E"/>
    <w:rsid w:val="00EE57D7"/>
    <w:rsid w:val="00EE736C"/>
    <w:rsid w:val="00EE766F"/>
    <w:rsid w:val="00EE7F7C"/>
    <w:rsid w:val="00EF06EE"/>
    <w:rsid w:val="00EF082B"/>
    <w:rsid w:val="00EF247E"/>
    <w:rsid w:val="00EF2D12"/>
    <w:rsid w:val="00EF3247"/>
    <w:rsid w:val="00EF3EE8"/>
    <w:rsid w:val="00F00AC3"/>
    <w:rsid w:val="00F02FEE"/>
    <w:rsid w:val="00F03DA7"/>
    <w:rsid w:val="00F04F5A"/>
    <w:rsid w:val="00F05619"/>
    <w:rsid w:val="00F05776"/>
    <w:rsid w:val="00F0651D"/>
    <w:rsid w:val="00F069A2"/>
    <w:rsid w:val="00F071DB"/>
    <w:rsid w:val="00F072A1"/>
    <w:rsid w:val="00F07549"/>
    <w:rsid w:val="00F1152B"/>
    <w:rsid w:val="00F11C29"/>
    <w:rsid w:val="00F11C89"/>
    <w:rsid w:val="00F12B0C"/>
    <w:rsid w:val="00F153BF"/>
    <w:rsid w:val="00F15DFD"/>
    <w:rsid w:val="00F16B31"/>
    <w:rsid w:val="00F175C1"/>
    <w:rsid w:val="00F17640"/>
    <w:rsid w:val="00F211E2"/>
    <w:rsid w:val="00F212AC"/>
    <w:rsid w:val="00F21C5B"/>
    <w:rsid w:val="00F24A2F"/>
    <w:rsid w:val="00F2507D"/>
    <w:rsid w:val="00F25FF2"/>
    <w:rsid w:val="00F26542"/>
    <w:rsid w:val="00F27F5B"/>
    <w:rsid w:val="00F30A85"/>
    <w:rsid w:val="00F3395A"/>
    <w:rsid w:val="00F33F22"/>
    <w:rsid w:val="00F342BB"/>
    <w:rsid w:val="00F3446C"/>
    <w:rsid w:val="00F348DD"/>
    <w:rsid w:val="00F34F59"/>
    <w:rsid w:val="00F36BCB"/>
    <w:rsid w:val="00F40865"/>
    <w:rsid w:val="00F428B8"/>
    <w:rsid w:val="00F42BB1"/>
    <w:rsid w:val="00F43CA2"/>
    <w:rsid w:val="00F4411C"/>
    <w:rsid w:val="00F44FA8"/>
    <w:rsid w:val="00F4720F"/>
    <w:rsid w:val="00F51D36"/>
    <w:rsid w:val="00F52EC6"/>
    <w:rsid w:val="00F53FDE"/>
    <w:rsid w:val="00F5401E"/>
    <w:rsid w:val="00F551AD"/>
    <w:rsid w:val="00F558B0"/>
    <w:rsid w:val="00F55BDE"/>
    <w:rsid w:val="00F56563"/>
    <w:rsid w:val="00F56C74"/>
    <w:rsid w:val="00F56F5A"/>
    <w:rsid w:val="00F57D45"/>
    <w:rsid w:val="00F60D1D"/>
    <w:rsid w:val="00F61CBE"/>
    <w:rsid w:val="00F62222"/>
    <w:rsid w:val="00F6416D"/>
    <w:rsid w:val="00F64611"/>
    <w:rsid w:val="00F653D9"/>
    <w:rsid w:val="00F657ED"/>
    <w:rsid w:val="00F65AA5"/>
    <w:rsid w:val="00F65B11"/>
    <w:rsid w:val="00F66DED"/>
    <w:rsid w:val="00F67BF5"/>
    <w:rsid w:val="00F706F3"/>
    <w:rsid w:val="00F7080C"/>
    <w:rsid w:val="00F70C4D"/>
    <w:rsid w:val="00F715BB"/>
    <w:rsid w:val="00F71888"/>
    <w:rsid w:val="00F71D14"/>
    <w:rsid w:val="00F72D05"/>
    <w:rsid w:val="00F730BD"/>
    <w:rsid w:val="00F7338F"/>
    <w:rsid w:val="00F735F8"/>
    <w:rsid w:val="00F73C6E"/>
    <w:rsid w:val="00F74742"/>
    <w:rsid w:val="00F74B0D"/>
    <w:rsid w:val="00F7543A"/>
    <w:rsid w:val="00F81249"/>
    <w:rsid w:val="00F8305F"/>
    <w:rsid w:val="00F83E78"/>
    <w:rsid w:val="00F83E91"/>
    <w:rsid w:val="00F83F22"/>
    <w:rsid w:val="00F843C9"/>
    <w:rsid w:val="00F84CCF"/>
    <w:rsid w:val="00F85B67"/>
    <w:rsid w:val="00F85F2D"/>
    <w:rsid w:val="00F87EA8"/>
    <w:rsid w:val="00F87F0B"/>
    <w:rsid w:val="00F90F54"/>
    <w:rsid w:val="00F9102B"/>
    <w:rsid w:val="00F93ECD"/>
    <w:rsid w:val="00F941E9"/>
    <w:rsid w:val="00F9477A"/>
    <w:rsid w:val="00F9731D"/>
    <w:rsid w:val="00F97B01"/>
    <w:rsid w:val="00FA04F5"/>
    <w:rsid w:val="00FA1150"/>
    <w:rsid w:val="00FA2433"/>
    <w:rsid w:val="00FA261F"/>
    <w:rsid w:val="00FA4560"/>
    <w:rsid w:val="00FA6B11"/>
    <w:rsid w:val="00FA6C8C"/>
    <w:rsid w:val="00FA7ADC"/>
    <w:rsid w:val="00FB013E"/>
    <w:rsid w:val="00FB3230"/>
    <w:rsid w:val="00FB3708"/>
    <w:rsid w:val="00FB3E3C"/>
    <w:rsid w:val="00FB424D"/>
    <w:rsid w:val="00FB5881"/>
    <w:rsid w:val="00FB646B"/>
    <w:rsid w:val="00FC08D7"/>
    <w:rsid w:val="00FC296A"/>
    <w:rsid w:val="00FC2E22"/>
    <w:rsid w:val="00FC3614"/>
    <w:rsid w:val="00FC61D5"/>
    <w:rsid w:val="00FC6D12"/>
    <w:rsid w:val="00FC7AC2"/>
    <w:rsid w:val="00FD0DCA"/>
    <w:rsid w:val="00FD0FA9"/>
    <w:rsid w:val="00FD20FF"/>
    <w:rsid w:val="00FD32E5"/>
    <w:rsid w:val="00FD3C0B"/>
    <w:rsid w:val="00FD55E9"/>
    <w:rsid w:val="00FD677E"/>
    <w:rsid w:val="00FD67FB"/>
    <w:rsid w:val="00FE11BF"/>
    <w:rsid w:val="00FE1286"/>
    <w:rsid w:val="00FE1FE1"/>
    <w:rsid w:val="00FE2873"/>
    <w:rsid w:val="00FE314C"/>
    <w:rsid w:val="00FE396D"/>
    <w:rsid w:val="00FE3C0B"/>
    <w:rsid w:val="00FE56B8"/>
    <w:rsid w:val="00FE6789"/>
    <w:rsid w:val="00FE6CEF"/>
    <w:rsid w:val="00FE7BA2"/>
    <w:rsid w:val="00FF476A"/>
    <w:rsid w:val="00FF531E"/>
    <w:rsid w:val="00FF5D74"/>
    <w:rsid w:val="00FF629A"/>
    <w:rsid w:val="00FF692F"/>
    <w:rsid w:val="00FF772D"/>
    <w:rsid w:val="0636A109"/>
    <w:rsid w:val="51DF6E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F69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8A5"/>
    <w:pPr>
      <w:tabs>
        <w:tab w:val="left" w:pos="567"/>
      </w:tabs>
      <w:spacing w:before="120" w:line="254" w:lineRule="auto"/>
    </w:pPr>
    <w:rPr>
      <w:rFonts w:ascii="Work Sans" w:hAnsi="Work Sans"/>
      <w:sz w:val="20"/>
      <w:szCs w:val="22"/>
    </w:rPr>
  </w:style>
  <w:style w:type="paragraph" w:styleId="Heading1">
    <w:name w:val="heading 1"/>
    <w:basedOn w:val="CGCSubHead"/>
    <w:next w:val="Normal"/>
    <w:link w:val="Heading1Char"/>
    <w:uiPriority w:val="9"/>
    <w:qFormat/>
    <w:rsid w:val="00F8305F"/>
    <w:pPr>
      <w:spacing w:before="360"/>
      <w:outlineLvl w:val="0"/>
    </w:pPr>
    <w:rPr>
      <w:sz w:val="40"/>
      <w:szCs w:val="40"/>
    </w:rPr>
  </w:style>
  <w:style w:type="paragraph" w:styleId="Heading2">
    <w:name w:val="heading 2"/>
    <w:basedOn w:val="CGCSubHead"/>
    <w:next w:val="Normal"/>
    <w:link w:val="Heading2Char"/>
    <w:uiPriority w:val="9"/>
    <w:unhideWhenUsed/>
    <w:qFormat/>
    <w:rsid w:val="006A28A5"/>
    <w:pPr>
      <w:spacing w:before="120" w:after="120" w:line="240" w:lineRule="auto"/>
      <w:outlineLvl w:val="1"/>
    </w:pPr>
    <w:rPr>
      <w:sz w:val="36"/>
      <w:szCs w:val="36"/>
    </w:rPr>
  </w:style>
  <w:style w:type="paragraph" w:styleId="Heading3">
    <w:name w:val="heading 3"/>
    <w:basedOn w:val="CGCSubHead"/>
    <w:next w:val="Normal"/>
    <w:link w:val="Heading3Char"/>
    <w:uiPriority w:val="9"/>
    <w:unhideWhenUsed/>
    <w:qFormat/>
    <w:rsid w:val="00537C3A"/>
    <w:pPr>
      <w:spacing w:before="120" w:after="120"/>
      <w:outlineLvl w:val="2"/>
    </w:pPr>
  </w:style>
  <w:style w:type="paragraph" w:styleId="Heading4">
    <w:name w:val="heading 4"/>
    <w:basedOn w:val="Normal"/>
    <w:next w:val="Normal"/>
    <w:link w:val="Heading4Char"/>
    <w:uiPriority w:val="9"/>
    <w:unhideWhenUsed/>
    <w:qFormat/>
    <w:rsid w:val="00E72F78"/>
    <w:pPr>
      <w:keepNext/>
      <w:keepLines/>
      <w:spacing w:before="40"/>
      <w:outlineLvl w:val="3"/>
    </w:pPr>
    <w:rPr>
      <w:rFonts w:asciiTheme="majorHAnsi" w:eastAsiaTheme="majorEastAsia" w:hAnsiTheme="majorHAnsi" w:cstheme="majorBidi"/>
      <w:i/>
      <w:iCs/>
      <w:color w:val="00334A" w:themeColor="accent1" w:themeShade="BF"/>
    </w:rPr>
  </w:style>
  <w:style w:type="paragraph" w:styleId="Heading5">
    <w:name w:val="heading 5"/>
    <w:basedOn w:val="Normal"/>
    <w:next w:val="Normal"/>
    <w:link w:val="Heading5Char"/>
    <w:uiPriority w:val="9"/>
    <w:unhideWhenUsed/>
    <w:qFormat/>
    <w:rsid w:val="002A60CE"/>
    <w:pPr>
      <w:keepNext/>
      <w:keepLines/>
      <w:spacing w:before="40"/>
      <w:outlineLvl w:val="4"/>
    </w:pPr>
    <w:rPr>
      <w:rFonts w:asciiTheme="majorHAnsi" w:eastAsiaTheme="majorEastAsia" w:hAnsiTheme="majorHAnsi" w:cstheme="majorBidi"/>
      <w:color w:val="00334A" w:themeColor="accent1" w:themeShade="BF"/>
    </w:rPr>
  </w:style>
  <w:style w:type="paragraph" w:styleId="Heading6">
    <w:name w:val="heading 6"/>
    <w:basedOn w:val="Normal"/>
    <w:next w:val="Normal"/>
    <w:link w:val="Heading6Char"/>
    <w:uiPriority w:val="9"/>
    <w:unhideWhenUsed/>
    <w:qFormat/>
    <w:rsid w:val="007762F2"/>
    <w:pPr>
      <w:keepNext/>
      <w:keepLines/>
      <w:spacing w:before="40"/>
      <w:outlineLvl w:val="5"/>
    </w:pPr>
    <w:rPr>
      <w:rFonts w:asciiTheme="majorHAnsi" w:eastAsiaTheme="majorEastAsia" w:hAnsiTheme="majorHAnsi" w:cstheme="majorBidi"/>
      <w:color w:val="002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550"/>
    <w:pPr>
      <w:tabs>
        <w:tab w:val="center" w:pos="4513"/>
        <w:tab w:val="right" w:pos="9026"/>
      </w:tabs>
    </w:pPr>
  </w:style>
  <w:style w:type="character" w:customStyle="1" w:styleId="HeaderChar">
    <w:name w:val="Header Char"/>
    <w:basedOn w:val="DefaultParagraphFont"/>
    <w:link w:val="Header"/>
    <w:uiPriority w:val="99"/>
    <w:rsid w:val="005C0550"/>
  </w:style>
  <w:style w:type="paragraph" w:styleId="Footer">
    <w:name w:val="footer"/>
    <w:basedOn w:val="Normal"/>
    <w:link w:val="FooterChar"/>
    <w:uiPriority w:val="99"/>
    <w:unhideWhenUsed/>
    <w:rsid w:val="005C0550"/>
    <w:pPr>
      <w:tabs>
        <w:tab w:val="center" w:pos="4513"/>
        <w:tab w:val="right" w:pos="9026"/>
      </w:tabs>
    </w:pPr>
  </w:style>
  <w:style w:type="character" w:customStyle="1" w:styleId="FooterChar">
    <w:name w:val="Footer Char"/>
    <w:basedOn w:val="DefaultParagraphFont"/>
    <w:link w:val="Footer"/>
    <w:uiPriority w:val="99"/>
    <w:rsid w:val="005C0550"/>
  </w:style>
  <w:style w:type="paragraph" w:styleId="Caption">
    <w:name w:val="caption"/>
    <w:basedOn w:val="Normal"/>
    <w:next w:val="Normal"/>
    <w:link w:val="CaptionChar"/>
    <w:qFormat/>
    <w:rsid w:val="0071146B"/>
    <w:pPr>
      <w:keepNext/>
      <w:keepLines/>
      <w:tabs>
        <w:tab w:val="clear" w:pos="567"/>
        <w:tab w:val="left" w:pos="1134"/>
        <w:tab w:val="left" w:pos="1418"/>
      </w:tabs>
      <w:spacing w:before="240" w:after="120" w:line="240" w:lineRule="auto"/>
      <w:ind w:left="1134" w:hanging="1134"/>
    </w:pPr>
    <w:rPr>
      <w:b/>
      <w:bCs/>
      <w:sz w:val="24"/>
      <w:szCs w:val="24"/>
    </w:rPr>
  </w:style>
  <w:style w:type="character" w:customStyle="1" w:styleId="CaptionChar">
    <w:name w:val="Caption Char"/>
    <w:basedOn w:val="DefaultParagraphFont"/>
    <w:link w:val="Caption"/>
    <w:rsid w:val="0071146B"/>
    <w:rPr>
      <w:rFonts w:ascii="Work Sans" w:hAnsi="Work Sans"/>
      <w:b/>
      <w:bCs/>
    </w:rPr>
  </w:style>
  <w:style w:type="paragraph" w:customStyle="1" w:styleId="CGCTablenote">
    <w:name w:val="CGC Table note"/>
    <w:basedOn w:val="Normal"/>
    <w:next w:val="Normal"/>
    <w:qFormat/>
    <w:rsid w:val="005C0550"/>
    <w:pPr>
      <w:tabs>
        <w:tab w:val="left" w:pos="680"/>
      </w:tabs>
      <w:spacing w:before="40" w:line="240" w:lineRule="auto"/>
      <w:ind w:left="340" w:hanging="227"/>
    </w:pPr>
    <w:rPr>
      <w:sz w:val="14"/>
    </w:rPr>
  </w:style>
  <w:style w:type="paragraph" w:styleId="BodyText">
    <w:name w:val="Body Text"/>
    <w:link w:val="BodyTextChar"/>
    <w:qFormat/>
    <w:rsid w:val="00643F32"/>
    <w:pPr>
      <w:spacing w:before="240" w:line="300" w:lineRule="atLeast"/>
      <w:jc w:val="both"/>
    </w:pPr>
    <w:rPr>
      <w:rFonts w:ascii="Open Sans Light" w:eastAsia="Times New Roman" w:hAnsi="Open Sans Light" w:cs="Times New Roman"/>
      <w:sz w:val="20"/>
      <w:szCs w:val="20"/>
      <w:lang w:eastAsia="en-AU"/>
    </w:rPr>
  </w:style>
  <w:style w:type="character" w:customStyle="1" w:styleId="BodyTextChar">
    <w:name w:val="Body Text Char"/>
    <w:basedOn w:val="DefaultParagraphFont"/>
    <w:link w:val="BodyText"/>
    <w:rsid w:val="00643F32"/>
    <w:rPr>
      <w:rFonts w:ascii="Open Sans Light" w:eastAsia="Times New Roman" w:hAnsi="Open Sans Light" w:cs="Times New Roman"/>
      <w:sz w:val="20"/>
      <w:szCs w:val="20"/>
      <w:lang w:eastAsia="en-AU"/>
    </w:rPr>
  </w:style>
  <w:style w:type="character" w:customStyle="1" w:styleId="normaltextrun">
    <w:name w:val="normaltextrun"/>
    <w:basedOn w:val="DefaultParagraphFont"/>
    <w:rsid w:val="005C0550"/>
  </w:style>
  <w:style w:type="paragraph" w:customStyle="1" w:styleId="CGCBodyCopy">
    <w:name w:val="CGC Body Copy"/>
    <w:basedOn w:val="Normal"/>
    <w:autoRedefine/>
    <w:qFormat/>
    <w:rsid w:val="0015008F"/>
    <w:pPr>
      <w:spacing w:before="0"/>
    </w:pPr>
    <w:rPr>
      <w:rFonts w:cs="Cambria Math"/>
      <w:bCs/>
      <w:color w:val="000000"/>
      <w:szCs w:val="16"/>
      <w:shd w:val="clear" w:color="auto" w:fill="FFFFFF"/>
    </w:rPr>
  </w:style>
  <w:style w:type="paragraph" w:customStyle="1" w:styleId="CGCSubHead">
    <w:name w:val="CGC Sub Head"/>
    <w:autoRedefine/>
    <w:qFormat/>
    <w:rsid w:val="00F8305F"/>
    <w:pPr>
      <w:spacing w:before="240" w:after="200" w:line="276" w:lineRule="auto"/>
    </w:pPr>
    <w:rPr>
      <w:rFonts w:ascii="Work Sans" w:eastAsiaTheme="majorEastAsia" w:hAnsi="Work Sans" w:cs="Open Sans"/>
      <w:b/>
      <w:bCs/>
      <w:color w:val="006991"/>
      <w:sz w:val="28"/>
      <w:szCs w:val="28"/>
    </w:rPr>
  </w:style>
  <w:style w:type="character" w:styleId="Hyperlink">
    <w:name w:val="Hyperlink"/>
    <w:basedOn w:val="DefaultParagraphFont"/>
    <w:uiPriority w:val="99"/>
    <w:unhideWhenUsed/>
    <w:rsid w:val="008B3F9B"/>
    <w:rPr>
      <w:color w:val="006991" w:themeColor="hyperlink"/>
      <w:u w:val="single"/>
    </w:rPr>
  </w:style>
  <w:style w:type="character" w:styleId="UnresolvedMention">
    <w:name w:val="Unresolved Mention"/>
    <w:basedOn w:val="DefaultParagraphFont"/>
    <w:uiPriority w:val="99"/>
    <w:semiHidden/>
    <w:unhideWhenUsed/>
    <w:rsid w:val="008B3F9B"/>
    <w:rPr>
      <w:color w:val="605E5C"/>
      <w:shd w:val="clear" w:color="auto" w:fill="E1DFDD"/>
    </w:rPr>
  </w:style>
  <w:style w:type="character" w:styleId="PageNumber">
    <w:name w:val="page number"/>
    <w:basedOn w:val="DefaultParagraphFont"/>
    <w:uiPriority w:val="99"/>
    <w:semiHidden/>
    <w:unhideWhenUsed/>
    <w:rsid w:val="008B3F9B"/>
  </w:style>
  <w:style w:type="character" w:customStyle="1" w:styleId="Heading1Char">
    <w:name w:val="Heading 1 Char"/>
    <w:basedOn w:val="DefaultParagraphFont"/>
    <w:link w:val="Heading1"/>
    <w:uiPriority w:val="9"/>
    <w:rsid w:val="00F8305F"/>
    <w:rPr>
      <w:rFonts w:ascii="Work Sans" w:eastAsiaTheme="majorEastAsia" w:hAnsi="Work Sans" w:cs="Open Sans"/>
      <w:b/>
      <w:bCs/>
      <w:color w:val="006991"/>
      <w:sz w:val="40"/>
      <w:szCs w:val="40"/>
    </w:rPr>
  </w:style>
  <w:style w:type="character" w:customStyle="1" w:styleId="Heading2Char">
    <w:name w:val="Heading 2 Char"/>
    <w:basedOn w:val="DefaultParagraphFont"/>
    <w:link w:val="Heading2"/>
    <w:uiPriority w:val="9"/>
    <w:rsid w:val="006A28A5"/>
    <w:rPr>
      <w:rFonts w:ascii="Work Sans" w:eastAsiaTheme="majorEastAsia" w:hAnsi="Work Sans" w:cs="Open Sans"/>
      <w:b/>
      <w:bCs/>
      <w:color w:val="006991"/>
      <w:sz w:val="36"/>
      <w:szCs w:val="36"/>
    </w:rPr>
  </w:style>
  <w:style w:type="character" w:customStyle="1" w:styleId="Heading3Char">
    <w:name w:val="Heading 3 Char"/>
    <w:basedOn w:val="DefaultParagraphFont"/>
    <w:link w:val="Heading3"/>
    <w:uiPriority w:val="9"/>
    <w:rsid w:val="00537C3A"/>
    <w:rPr>
      <w:rFonts w:ascii="Work Sans" w:eastAsiaTheme="majorEastAsia" w:hAnsi="Work Sans" w:cs="Open Sans"/>
      <w:b/>
      <w:bCs/>
      <w:color w:val="006991"/>
      <w:sz w:val="28"/>
      <w:szCs w:val="28"/>
    </w:rPr>
  </w:style>
  <w:style w:type="paragraph" w:styleId="NormalWeb">
    <w:name w:val="Normal (Web)"/>
    <w:basedOn w:val="Normal"/>
    <w:uiPriority w:val="99"/>
    <w:unhideWhenUsed/>
    <w:rsid w:val="00C87C4C"/>
    <w:pPr>
      <w:tabs>
        <w:tab w:val="clear" w:pos="567"/>
      </w:tabs>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semiHidden/>
    <w:unhideWhenUsed/>
    <w:rsid w:val="00D21542"/>
    <w:pPr>
      <w:spacing w:before="0" w:line="240" w:lineRule="auto"/>
    </w:pPr>
    <w:rPr>
      <w:szCs w:val="20"/>
    </w:rPr>
  </w:style>
  <w:style w:type="character" w:customStyle="1" w:styleId="FootnoteTextChar">
    <w:name w:val="Footnote Text Char"/>
    <w:basedOn w:val="DefaultParagraphFont"/>
    <w:link w:val="FootnoteText"/>
    <w:uiPriority w:val="99"/>
    <w:semiHidden/>
    <w:rsid w:val="00D21542"/>
    <w:rPr>
      <w:rFonts w:ascii="Open Sans Light" w:hAnsi="Open Sans Light"/>
      <w:sz w:val="20"/>
      <w:szCs w:val="20"/>
    </w:rPr>
  </w:style>
  <w:style w:type="character" w:styleId="FootnoteReference">
    <w:name w:val="footnote reference"/>
    <w:unhideWhenUsed/>
    <w:qFormat/>
    <w:rsid w:val="00E41B4F"/>
    <w:rPr>
      <w:rFonts w:ascii="Work Sans" w:hAnsi="Work Sans"/>
      <w:sz w:val="12"/>
      <w:szCs w:val="16"/>
    </w:rPr>
  </w:style>
  <w:style w:type="paragraph" w:styleId="ListParagraph">
    <w:name w:val="List Paragraph"/>
    <w:basedOn w:val="Normal"/>
    <w:uiPriority w:val="34"/>
    <w:qFormat/>
    <w:rsid w:val="001A2697"/>
    <w:pPr>
      <w:ind w:left="720"/>
      <w:contextualSpacing/>
    </w:pPr>
  </w:style>
  <w:style w:type="character" w:styleId="CommentReference">
    <w:name w:val="annotation reference"/>
    <w:basedOn w:val="DefaultParagraphFont"/>
    <w:uiPriority w:val="99"/>
    <w:semiHidden/>
    <w:unhideWhenUsed/>
    <w:rsid w:val="00A1532B"/>
    <w:rPr>
      <w:sz w:val="16"/>
      <w:szCs w:val="16"/>
    </w:rPr>
  </w:style>
  <w:style w:type="paragraph" w:styleId="CommentText">
    <w:name w:val="annotation text"/>
    <w:basedOn w:val="Normal"/>
    <w:link w:val="CommentTextChar"/>
    <w:uiPriority w:val="99"/>
    <w:unhideWhenUsed/>
    <w:rsid w:val="00A1532B"/>
    <w:pPr>
      <w:tabs>
        <w:tab w:val="clear" w:pos="567"/>
      </w:tabs>
      <w:spacing w:before="0" w:after="160" w:line="240" w:lineRule="auto"/>
    </w:pPr>
    <w:rPr>
      <w:rFonts w:asciiTheme="minorHAnsi" w:hAnsiTheme="minorHAnsi"/>
      <w:kern w:val="2"/>
      <w:szCs w:val="20"/>
      <w14:ligatures w14:val="standardContextual"/>
    </w:rPr>
  </w:style>
  <w:style w:type="character" w:customStyle="1" w:styleId="CommentTextChar">
    <w:name w:val="Comment Text Char"/>
    <w:basedOn w:val="DefaultParagraphFont"/>
    <w:link w:val="CommentText"/>
    <w:uiPriority w:val="99"/>
    <w:rsid w:val="00A1532B"/>
    <w:rPr>
      <w:kern w:val="2"/>
      <w:sz w:val="20"/>
      <w:szCs w:val="20"/>
      <w14:ligatures w14:val="standardContextual"/>
    </w:rPr>
  </w:style>
  <w:style w:type="character" w:customStyle="1" w:styleId="Heading4Char">
    <w:name w:val="Heading 4 Char"/>
    <w:basedOn w:val="DefaultParagraphFont"/>
    <w:link w:val="Heading4"/>
    <w:uiPriority w:val="9"/>
    <w:rsid w:val="00E72F78"/>
    <w:rPr>
      <w:rFonts w:asciiTheme="majorHAnsi" w:eastAsiaTheme="majorEastAsia" w:hAnsiTheme="majorHAnsi" w:cstheme="majorBidi"/>
      <w:i/>
      <w:iCs/>
      <w:color w:val="00334A" w:themeColor="accent1" w:themeShade="BF"/>
      <w:sz w:val="20"/>
      <w:szCs w:val="22"/>
    </w:rPr>
  </w:style>
  <w:style w:type="character" w:customStyle="1" w:styleId="Heading5Char">
    <w:name w:val="Heading 5 Char"/>
    <w:basedOn w:val="DefaultParagraphFont"/>
    <w:link w:val="Heading5"/>
    <w:uiPriority w:val="9"/>
    <w:rsid w:val="002A60CE"/>
    <w:rPr>
      <w:rFonts w:asciiTheme="majorHAnsi" w:eastAsiaTheme="majorEastAsia" w:hAnsiTheme="majorHAnsi" w:cstheme="majorBidi"/>
      <w:color w:val="00334A" w:themeColor="accent1" w:themeShade="BF"/>
      <w:sz w:val="20"/>
      <w:szCs w:val="22"/>
    </w:rPr>
  </w:style>
  <w:style w:type="character" w:styleId="SubtleReference">
    <w:name w:val="Subtle Reference"/>
    <w:basedOn w:val="DefaultParagraphFont"/>
    <w:uiPriority w:val="31"/>
    <w:qFormat/>
    <w:rsid w:val="007B42BD"/>
    <w:rPr>
      <w:smallCaps/>
      <w:color w:val="00AAF3" w:themeColor="text1" w:themeTint="A5"/>
    </w:rPr>
  </w:style>
  <w:style w:type="character" w:styleId="IntenseReference">
    <w:name w:val="Intense Reference"/>
    <w:basedOn w:val="DefaultParagraphFont"/>
    <w:uiPriority w:val="32"/>
    <w:qFormat/>
    <w:rsid w:val="007762F2"/>
    <w:rPr>
      <w:b/>
      <w:bCs/>
      <w:smallCaps/>
      <w:color w:val="004563" w:themeColor="accent1"/>
      <w:spacing w:val="5"/>
    </w:rPr>
  </w:style>
  <w:style w:type="paragraph" w:styleId="Quote">
    <w:name w:val="Quote"/>
    <w:basedOn w:val="Normal"/>
    <w:next w:val="Normal"/>
    <w:link w:val="QuoteChar"/>
    <w:uiPriority w:val="29"/>
    <w:qFormat/>
    <w:rsid w:val="007762F2"/>
    <w:pPr>
      <w:spacing w:before="200" w:after="160"/>
      <w:ind w:left="864" w:right="864"/>
      <w:jc w:val="center"/>
    </w:pPr>
    <w:rPr>
      <w:i/>
      <w:iCs/>
      <w:color w:val="008DC9" w:themeColor="text1" w:themeTint="BF"/>
    </w:rPr>
  </w:style>
  <w:style w:type="character" w:customStyle="1" w:styleId="QuoteChar">
    <w:name w:val="Quote Char"/>
    <w:basedOn w:val="DefaultParagraphFont"/>
    <w:link w:val="Quote"/>
    <w:uiPriority w:val="29"/>
    <w:rsid w:val="007762F2"/>
    <w:rPr>
      <w:rFonts w:ascii="Open Sans Light" w:hAnsi="Open Sans Light"/>
      <w:i/>
      <w:iCs/>
      <w:color w:val="008DC9" w:themeColor="text1" w:themeTint="BF"/>
      <w:sz w:val="20"/>
      <w:szCs w:val="22"/>
    </w:rPr>
  </w:style>
  <w:style w:type="character" w:styleId="Strong">
    <w:name w:val="Strong"/>
    <w:basedOn w:val="DefaultParagraphFont"/>
    <w:uiPriority w:val="22"/>
    <w:qFormat/>
    <w:rsid w:val="007762F2"/>
    <w:rPr>
      <w:b/>
      <w:bCs/>
    </w:rPr>
  </w:style>
  <w:style w:type="character" w:styleId="IntenseEmphasis">
    <w:name w:val="Intense Emphasis"/>
    <w:basedOn w:val="DefaultParagraphFont"/>
    <w:uiPriority w:val="21"/>
    <w:qFormat/>
    <w:rsid w:val="007762F2"/>
    <w:rPr>
      <w:i/>
      <w:iCs/>
      <w:color w:val="004563" w:themeColor="accent1"/>
    </w:rPr>
  </w:style>
  <w:style w:type="character" w:styleId="Emphasis">
    <w:name w:val="Emphasis"/>
    <w:basedOn w:val="DefaultParagraphFont"/>
    <w:uiPriority w:val="20"/>
    <w:qFormat/>
    <w:rsid w:val="007762F2"/>
    <w:rPr>
      <w:i/>
      <w:iCs/>
    </w:rPr>
  </w:style>
  <w:style w:type="character" w:styleId="SubtleEmphasis">
    <w:name w:val="Subtle Emphasis"/>
    <w:basedOn w:val="DefaultParagraphFont"/>
    <w:uiPriority w:val="19"/>
    <w:qFormat/>
    <w:rsid w:val="007762F2"/>
    <w:rPr>
      <w:i/>
      <w:iCs/>
      <w:color w:val="008DC9" w:themeColor="text1" w:themeTint="BF"/>
    </w:rPr>
  </w:style>
  <w:style w:type="paragraph" w:styleId="Subtitle">
    <w:name w:val="Subtitle"/>
    <w:basedOn w:val="Normal"/>
    <w:next w:val="Normal"/>
    <w:link w:val="SubtitleChar"/>
    <w:uiPriority w:val="11"/>
    <w:qFormat/>
    <w:rsid w:val="007762F2"/>
    <w:pPr>
      <w:numPr>
        <w:ilvl w:val="1"/>
      </w:numPr>
      <w:spacing w:after="160"/>
    </w:pPr>
    <w:rPr>
      <w:rFonts w:asciiTheme="minorHAnsi" w:eastAsiaTheme="minorEastAsia" w:hAnsiTheme="minorHAnsi"/>
      <w:color w:val="00AAF3" w:themeColor="text1" w:themeTint="A5"/>
      <w:spacing w:val="15"/>
      <w:sz w:val="22"/>
    </w:rPr>
  </w:style>
  <w:style w:type="character" w:customStyle="1" w:styleId="SubtitleChar">
    <w:name w:val="Subtitle Char"/>
    <w:basedOn w:val="DefaultParagraphFont"/>
    <w:link w:val="Subtitle"/>
    <w:uiPriority w:val="11"/>
    <w:rsid w:val="007762F2"/>
    <w:rPr>
      <w:rFonts w:eastAsiaTheme="minorEastAsia"/>
      <w:color w:val="00AAF3" w:themeColor="text1" w:themeTint="A5"/>
      <w:spacing w:val="15"/>
      <w:sz w:val="22"/>
      <w:szCs w:val="22"/>
    </w:rPr>
  </w:style>
  <w:style w:type="paragraph" w:styleId="Title">
    <w:name w:val="Title"/>
    <w:basedOn w:val="Normal"/>
    <w:next w:val="Normal"/>
    <w:link w:val="TitleChar"/>
    <w:uiPriority w:val="10"/>
    <w:qFormat/>
    <w:rsid w:val="007762F2"/>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62F2"/>
    <w:rPr>
      <w:rFonts w:asciiTheme="majorHAnsi" w:eastAsiaTheme="majorEastAsia" w:hAnsiTheme="majorHAnsi" w:cstheme="majorBidi"/>
      <w:spacing w:val="-10"/>
      <w:kern w:val="28"/>
      <w:sz w:val="56"/>
      <w:szCs w:val="56"/>
    </w:rPr>
  </w:style>
  <w:style w:type="character" w:customStyle="1" w:styleId="Heading6Char">
    <w:name w:val="Heading 6 Char"/>
    <w:basedOn w:val="DefaultParagraphFont"/>
    <w:link w:val="Heading6"/>
    <w:uiPriority w:val="9"/>
    <w:rsid w:val="007762F2"/>
    <w:rPr>
      <w:rFonts w:asciiTheme="majorHAnsi" w:eastAsiaTheme="majorEastAsia" w:hAnsiTheme="majorHAnsi" w:cstheme="majorBidi"/>
      <w:color w:val="002231" w:themeColor="accent1" w:themeShade="7F"/>
      <w:sz w:val="20"/>
      <w:szCs w:val="22"/>
    </w:rPr>
  </w:style>
  <w:style w:type="paragraph" w:styleId="CommentSubject">
    <w:name w:val="annotation subject"/>
    <w:basedOn w:val="CommentText"/>
    <w:next w:val="CommentText"/>
    <w:link w:val="CommentSubjectChar"/>
    <w:uiPriority w:val="99"/>
    <w:semiHidden/>
    <w:unhideWhenUsed/>
    <w:rsid w:val="0076563B"/>
    <w:pPr>
      <w:tabs>
        <w:tab w:val="left" w:pos="567"/>
      </w:tabs>
      <w:spacing w:before="120" w:after="0"/>
    </w:pPr>
    <w:rPr>
      <w:rFonts w:ascii="Open Sans Light" w:hAnsi="Open Sans Light"/>
      <w:b/>
      <w:bCs/>
      <w:kern w:val="0"/>
      <w14:ligatures w14:val="none"/>
    </w:rPr>
  </w:style>
  <w:style w:type="character" w:customStyle="1" w:styleId="CommentSubjectChar">
    <w:name w:val="Comment Subject Char"/>
    <w:basedOn w:val="CommentTextChar"/>
    <w:link w:val="CommentSubject"/>
    <w:uiPriority w:val="99"/>
    <w:semiHidden/>
    <w:rsid w:val="0076563B"/>
    <w:rPr>
      <w:rFonts w:ascii="Open Sans Light" w:hAnsi="Open Sans Light"/>
      <w:b/>
      <w:bCs/>
      <w:kern w:val="2"/>
      <w:sz w:val="20"/>
      <w:szCs w:val="20"/>
      <w14:ligatures w14:val="standardContextual"/>
    </w:rPr>
  </w:style>
  <w:style w:type="character" w:styleId="FollowedHyperlink">
    <w:name w:val="FollowedHyperlink"/>
    <w:basedOn w:val="DefaultParagraphFont"/>
    <w:uiPriority w:val="99"/>
    <w:semiHidden/>
    <w:unhideWhenUsed/>
    <w:rsid w:val="00C8203A"/>
    <w:rPr>
      <w:color w:val="93EA9E" w:themeColor="followedHyperlink"/>
      <w:u w:val="single"/>
    </w:rPr>
  </w:style>
  <w:style w:type="paragraph" w:customStyle="1" w:styleId="Default">
    <w:name w:val="Default"/>
    <w:rsid w:val="00C8203A"/>
    <w:pPr>
      <w:autoSpaceDE w:val="0"/>
      <w:autoSpaceDN w:val="0"/>
      <w:adjustRightInd w:val="0"/>
    </w:pPr>
    <w:rPr>
      <w:rFonts w:ascii="Calibri" w:hAnsi="Calibri" w:cs="Calibri"/>
      <w:color w:val="000000"/>
    </w:rPr>
  </w:style>
  <w:style w:type="table" w:styleId="TableGrid">
    <w:name w:val="Table Grid"/>
    <w:basedOn w:val="TableNormal"/>
    <w:uiPriority w:val="59"/>
    <w:rsid w:val="00C8203A"/>
    <w:tblPr>
      <w:tblBorders>
        <w:top w:val="single" w:sz="4" w:space="0" w:color="004562" w:themeColor="text1"/>
        <w:left w:val="single" w:sz="4" w:space="0" w:color="004562" w:themeColor="text1"/>
        <w:bottom w:val="single" w:sz="4" w:space="0" w:color="004562" w:themeColor="text1"/>
        <w:right w:val="single" w:sz="4" w:space="0" w:color="004562" w:themeColor="text1"/>
        <w:insideH w:val="single" w:sz="4" w:space="0" w:color="004562" w:themeColor="text1"/>
        <w:insideV w:val="single" w:sz="4" w:space="0" w:color="004562" w:themeColor="text1"/>
      </w:tblBorders>
    </w:tblPr>
  </w:style>
  <w:style w:type="paragraph" w:styleId="Revision">
    <w:name w:val="Revision"/>
    <w:hidden/>
    <w:uiPriority w:val="99"/>
    <w:semiHidden/>
    <w:rsid w:val="00C8203A"/>
    <w:rPr>
      <w:rFonts w:ascii="Open Sans Light" w:hAnsi="Open Sans Light"/>
      <w:sz w:val="20"/>
      <w:szCs w:val="22"/>
    </w:rPr>
  </w:style>
  <w:style w:type="paragraph" w:customStyle="1" w:styleId="paragraph">
    <w:name w:val="paragraph"/>
    <w:basedOn w:val="Normal"/>
    <w:rsid w:val="00C8203A"/>
    <w:pPr>
      <w:tabs>
        <w:tab w:val="clear" w:pos="567"/>
      </w:tabs>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C8203A"/>
  </w:style>
  <w:style w:type="paragraph" w:styleId="NoSpacing">
    <w:name w:val="No Spacing"/>
    <w:uiPriority w:val="1"/>
    <w:qFormat/>
    <w:rsid w:val="00C8203A"/>
    <w:pPr>
      <w:tabs>
        <w:tab w:val="left" w:pos="567"/>
      </w:tabs>
    </w:pPr>
    <w:rPr>
      <w:rFonts w:ascii="Open Sans Light" w:hAnsi="Open Sans Light"/>
      <w:sz w:val="20"/>
      <w:szCs w:val="22"/>
    </w:rPr>
  </w:style>
  <w:style w:type="character" w:styleId="Mention">
    <w:name w:val="Mention"/>
    <w:basedOn w:val="DefaultParagraphFont"/>
    <w:uiPriority w:val="99"/>
    <w:unhideWhenUsed/>
    <w:rsid w:val="00C8203A"/>
    <w:rPr>
      <w:color w:val="2B579A"/>
      <w:shd w:val="clear" w:color="auto" w:fill="E1DFDD"/>
    </w:rPr>
  </w:style>
  <w:style w:type="paragraph" w:customStyle="1" w:styleId="CGCbullet1">
    <w:name w:val="CGC bullet 1"/>
    <w:basedOn w:val="CGCBodyCopy"/>
    <w:qFormat/>
    <w:rsid w:val="000E1307"/>
    <w:pPr>
      <w:numPr>
        <w:numId w:val="34"/>
      </w:numPr>
      <w:spacing w:before="120"/>
      <w:ind w:left="360"/>
    </w:pPr>
  </w:style>
  <w:style w:type="paragraph" w:styleId="IntenseQuote">
    <w:name w:val="Intense Quote"/>
    <w:basedOn w:val="Normal"/>
    <w:next w:val="Normal"/>
    <w:link w:val="IntenseQuoteChar"/>
    <w:uiPriority w:val="30"/>
    <w:qFormat/>
    <w:rsid w:val="00BE069A"/>
    <w:pPr>
      <w:pBdr>
        <w:top w:val="single" w:sz="4" w:space="10" w:color="004563" w:themeColor="accent1"/>
        <w:bottom w:val="single" w:sz="4" w:space="10" w:color="004563" w:themeColor="accent1"/>
      </w:pBdr>
      <w:spacing w:before="360" w:after="360"/>
      <w:ind w:left="864" w:right="864"/>
      <w:jc w:val="center"/>
    </w:pPr>
    <w:rPr>
      <w:i/>
      <w:iCs/>
      <w:color w:val="004563" w:themeColor="accent1"/>
    </w:rPr>
  </w:style>
  <w:style w:type="character" w:customStyle="1" w:styleId="IntenseQuoteChar">
    <w:name w:val="Intense Quote Char"/>
    <w:basedOn w:val="DefaultParagraphFont"/>
    <w:link w:val="IntenseQuote"/>
    <w:uiPriority w:val="30"/>
    <w:rsid w:val="00BE069A"/>
    <w:rPr>
      <w:rFonts w:ascii="Open Sans Light" w:hAnsi="Open Sans Light"/>
      <w:i/>
      <w:iCs/>
      <w:color w:val="004563" w:themeColor="accent1"/>
      <w:sz w:val="20"/>
      <w:szCs w:val="22"/>
    </w:rPr>
  </w:style>
  <w:style w:type="paragraph" w:customStyle="1" w:styleId="Style1">
    <w:name w:val="Style1"/>
    <w:basedOn w:val="FootnoteText"/>
    <w:qFormat/>
    <w:rsid w:val="00BE069A"/>
  </w:style>
  <w:style w:type="paragraph" w:customStyle="1" w:styleId="Photo1">
    <w:name w:val="Photo1"/>
    <w:basedOn w:val="CGCBodyCopy"/>
    <w:qFormat/>
    <w:rsid w:val="00052499"/>
    <w:pPr>
      <w:jc w:val="center"/>
    </w:pPr>
    <w:rPr>
      <w:b/>
      <w:sz w:val="18"/>
      <w:szCs w:val="20"/>
    </w:rPr>
  </w:style>
  <w:style w:type="paragraph" w:customStyle="1" w:styleId="Photo2">
    <w:name w:val="Photo 2"/>
    <w:basedOn w:val="CGCBodyCopy"/>
    <w:qFormat/>
    <w:rsid w:val="00052499"/>
    <w:pPr>
      <w:jc w:val="center"/>
    </w:pPr>
    <w:rPr>
      <w:bCs w:val="0"/>
      <w:sz w:val="14"/>
    </w:rPr>
  </w:style>
  <w:style w:type="paragraph" w:customStyle="1" w:styleId="Footer1">
    <w:name w:val="Footer1"/>
    <w:basedOn w:val="CGCBodyCopy"/>
    <w:rsid w:val="008D1266"/>
    <w:pPr>
      <w:numPr>
        <w:numId w:val="35"/>
      </w:numPr>
      <w:spacing w:before="60" w:line="240" w:lineRule="auto"/>
      <w:ind w:left="714" w:hanging="357"/>
    </w:pPr>
    <w:rPr>
      <w:sz w:val="14"/>
    </w:rPr>
  </w:style>
  <w:style w:type="paragraph" w:customStyle="1" w:styleId="Style2">
    <w:name w:val="Style2"/>
    <w:basedOn w:val="Footer1"/>
    <w:qFormat/>
    <w:rsid w:val="00823371"/>
    <w:pPr>
      <w:ind w:left="357" w:firstLine="0"/>
    </w:pPr>
  </w:style>
  <w:style w:type="paragraph" w:customStyle="1" w:styleId="Footer10">
    <w:name w:val="Footer 1"/>
    <w:basedOn w:val="CGCBodyCopy"/>
    <w:qFormat/>
    <w:rsid w:val="008D1266"/>
    <w:pPr>
      <w:jc w:val="both"/>
    </w:pPr>
    <w:rPr>
      <w:rFonts w:cs="Open Sans Light"/>
      <w:bCs w:val="0"/>
      <w:sz w:val="14"/>
    </w:rPr>
  </w:style>
  <w:style w:type="paragraph" w:customStyle="1" w:styleId="bulletbox">
    <w:name w:val="bullet box"/>
    <w:basedOn w:val="Normal"/>
    <w:qFormat/>
    <w:rsid w:val="00492B8F"/>
    <w:pPr>
      <w:numPr>
        <w:numId w:val="36"/>
      </w:numPr>
      <w:spacing w:before="60" w:line="240" w:lineRule="auto"/>
      <w:ind w:left="527" w:hanging="357"/>
    </w:pPr>
  </w:style>
  <w:style w:type="paragraph" w:customStyle="1" w:styleId="bodybox">
    <w:name w:val="body box"/>
    <w:basedOn w:val="CGCBodyCopy"/>
    <w:qFormat/>
    <w:rsid w:val="00865DAC"/>
    <w:pPr>
      <w:jc w:val="both"/>
    </w:pPr>
    <w:rPr>
      <w:b/>
    </w:rPr>
  </w:style>
  <w:style w:type="paragraph" w:customStyle="1" w:styleId="Style3">
    <w:name w:val="Style3"/>
    <w:basedOn w:val="Normal"/>
    <w:qFormat/>
    <w:rsid w:val="001874E6"/>
  </w:style>
  <w:style w:type="paragraph" w:customStyle="1" w:styleId="Style4">
    <w:name w:val="Style4"/>
    <w:basedOn w:val="Style3"/>
    <w:qFormat/>
    <w:rsid w:val="00255BCB"/>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94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cgc.gov.au/publications/occasional-paper-4-new-arrangements-distributing-g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cgc.gov.au/publications/research-paper-3-international-themes-fiscal-equalisation-australian-perspective" TargetMode="External"/><Relationship Id="rId2" Type="http://schemas.openxmlformats.org/officeDocument/2006/relationships/hyperlink" Target="https://www.cgc.gov.au/publications/research-paper-3-international-themes-fiscal-equalisation-australian-perspective" TargetMode="External"/><Relationship Id="rId1" Type="http://schemas.openxmlformats.org/officeDocument/2006/relationships/hyperlink" Target="https://www.cgc.gov.au/publications/research-paper-2-why-states-get-different-shares-g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CGC Colour Themes">
      <a:dk1>
        <a:srgbClr val="004562"/>
      </a:dk1>
      <a:lt1>
        <a:srgbClr val="FFFFFF"/>
      </a:lt1>
      <a:dk2>
        <a:srgbClr val="004562"/>
      </a:dk2>
      <a:lt2>
        <a:srgbClr val="E7E6E6"/>
      </a:lt2>
      <a:accent1>
        <a:srgbClr val="004563"/>
      </a:accent1>
      <a:accent2>
        <a:srgbClr val="0092C8"/>
      </a:accent2>
      <a:accent3>
        <a:srgbClr val="CC5E12"/>
      </a:accent3>
      <a:accent4>
        <a:srgbClr val="EDAB16"/>
      </a:accent4>
      <a:accent5>
        <a:srgbClr val="008069"/>
      </a:accent5>
      <a:accent6>
        <a:srgbClr val="00CE87"/>
      </a:accent6>
      <a:hlink>
        <a:srgbClr val="006991"/>
      </a:hlink>
      <a:folHlink>
        <a:srgbClr val="93EA9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EA9839F97DA84EAC43A7FB852BABF8" ma:contentTypeVersion="14" ma:contentTypeDescription="Create a new document." ma:contentTypeScope="" ma:versionID="f6b940c5dcc734fa0aa51ebeb05c5562">
  <xsd:schema xmlns:xsd="http://www.w3.org/2001/XMLSchema" xmlns:xs="http://www.w3.org/2001/XMLSchema" xmlns:p="http://schemas.microsoft.com/office/2006/metadata/properties" xmlns:ns2="fddab0a8-5dcd-452e-8920-feabfc03300f" xmlns:ns3="3b147965-d003-4c9e-9913-90f0d9e77379" targetNamespace="http://schemas.microsoft.com/office/2006/metadata/properties" ma:root="true" ma:fieldsID="63d16b06eda928fe6c2da19ef319f6f5" ns2:_="" ns3:_="">
    <xsd:import namespace="fddab0a8-5dcd-452e-8920-feabfc03300f"/>
    <xsd:import namespace="3b147965-d003-4c9e-9913-90f0d9e77379"/>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ab0a8-5dcd-452e-8920-feabfc033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8a0b90d-15e3-4b68-b4ed-e1e0d46dd5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147965-d003-4c9e-9913-90f0d9e7737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6d9e5aa-7c32-442b-8fa9-1288cf9040ab}" ma:internalName="TaxCatchAll" ma:showField="CatchAllData" ma:web="3b147965-d003-4c9e-9913-90f0d9e773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ddab0a8-5dcd-452e-8920-feabfc03300f">
      <Terms xmlns="http://schemas.microsoft.com/office/infopath/2007/PartnerControls"/>
    </lcf76f155ced4ddcb4097134ff3c332f>
    <TaxCatchAll xmlns="3b147965-d003-4c9e-9913-90f0d9e77379" xsi:nil="true"/>
    <SharedWithUsers xmlns="3b147965-d003-4c9e-9913-90f0d9e77379">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442E29-1E99-4116-92D7-CFF971FD7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ab0a8-5dcd-452e-8920-feabfc03300f"/>
    <ds:schemaRef ds:uri="3b147965-d003-4c9e-9913-90f0d9e773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E2800E-9133-4B83-AAED-9816B501E68A}">
  <ds:schemaRefs>
    <ds:schemaRef ds:uri="http://schemas.openxmlformats.org/officeDocument/2006/bibliography"/>
  </ds:schemaRefs>
</ds:datastoreItem>
</file>

<file path=customXml/itemProps3.xml><?xml version="1.0" encoding="utf-8"?>
<ds:datastoreItem xmlns:ds="http://schemas.openxmlformats.org/officeDocument/2006/customXml" ds:itemID="{ACBEA24E-9787-4FC3-AE5A-1495E7182A6F}">
  <ds:schemaRefs>
    <ds:schemaRef ds:uri="http://schemas.microsoft.com/office/2006/metadata/properties"/>
    <ds:schemaRef ds:uri="http://schemas.microsoft.com/office/infopath/2007/PartnerControls"/>
    <ds:schemaRef ds:uri="fddab0a8-5dcd-452e-8920-feabfc03300f"/>
    <ds:schemaRef ds:uri="3b147965-d003-4c9e-9913-90f0d9e77379"/>
  </ds:schemaRefs>
</ds:datastoreItem>
</file>

<file path=customXml/itemProps4.xml><?xml version="1.0" encoding="utf-8"?>
<ds:datastoreItem xmlns:ds="http://schemas.openxmlformats.org/officeDocument/2006/customXml" ds:itemID="{93842EBE-872D-4D0E-AF06-76B9F3573D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2348</Words>
  <Characters>13549</Characters>
  <Application>Microsoft Office Word</Application>
  <DocSecurity>8</DocSecurity>
  <Lines>294</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2023-10-23T01:18:00Z</dcterms:created>
  <dcterms:modified xsi:type="dcterms:W3CDTF">2023-10-23T01:21:00Z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1235500</vt:r8>
  </property>
  <property fmtid="{D5CDD505-2E9C-101B-9397-08002B2CF9AE}" pid="3" name="MediaServiceImageTags">
    <vt:lpwstr/>
  </property>
  <property fmtid="{D5CDD505-2E9C-101B-9397-08002B2CF9AE}" pid="4" name="xd_ProgID">
    <vt:lpwstr/>
  </property>
  <property fmtid="{D5CDD505-2E9C-101B-9397-08002B2CF9AE}" pid="5" name="ContentTypeId">
    <vt:lpwstr>0x0101009AEA9839F97DA84EAC43A7FB852BABF8</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