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E1D2" w14:textId="1FE61BF3" w:rsidR="00CC03D4" w:rsidRDefault="00F16246">
      <w:pPr>
        <w:tabs>
          <w:tab w:val="clear" w:pos="567"/>
        </w:tabs>
        <w:spacing w:before="0" w:after="200" w:line="276" w:lineRule="auto"/>
        <w:rPr>
          <w:rFonts w:ascii="Work Sans" w:hAnsi="Work Sans"/>
          <w:sz w:val="24"/>
          <w:szCs w:val="24"/>
        </w:rPr>
      </w:pPr>
      <w:r>
        <w:rPr>
          <w:noProof/>
        </w:rPr>
        <w:drawing>
          <wp:anchor distT="0" distB="0" distL="114300" distR="114300" simplePos="0" relativeHeight="251658243" behindDoc="1" locked="0" layoutInCell="1" allowOverlap="1" wp14:anchorId="03AC9CB8" wp14:editId="143902F1">
            <wp:simplePos x="0" y="0"/>
            <wp:positionH relativeFrom="margin">
              <wp:posOffset>-918268</wp:posOffset>
            </wp:positionH>
            <wp:positionV relativeFrom="paragraph">
              <wp:posOffset>-1158240</wp:posOffset>
            </wp:positionV>
            <wp:extent cx="7725600" cy="10922400"/>
            <wp:effectExtent l="0" t="0" r="8890" b="0"/>
            <wp:wrapNone/>
            <wp:docPr id="9" name="Picture 9"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p>
    <w:p w14:paraId="25770A41" w14:textId="3C158041" w:rsidR="00A5102B" w:rsidRPr="0040294B" w:rsidRDefault="00A5102B" w:rsidP="00A5102B">
      <w:pPr>
        <w:rPr>
          <w:rFonts w:ascii="Work Sans" w:hAnsi="Work Sans"/>
          <w:sz w:val="24"/>
          <w:szCs w:val="24"/>
        </w:rPr>
      </w:pPr>
      <w:r>
        <w:rPr>
          <w:noProof/>
        </w:rPr>
        <w:drawing>
          <wp:inline distT="0" distB="0" distL="0" distR="0" wp14:anchorId="26EB3B52" wp14:editId="239B347A">
            <wp:extent cx="2441749" cy="460926"/>
            <wp:effectExtent l="0" t="0" r="444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62D1187B" w14:textId="77777777" w:rsidR="00A5102B" w:rsidRPr="00F0686F" w:rsidRDefault="00A5102B" w:rsidP="00A5102B">
      <w:pPr>
        <w:rPr>
          <w:rFonts w:ascii="Work Sans" w:hAnsi="Work Sans"/>
          <w:sz w:val="24"/>
          <w:szCs w:val="24"/>
        </w:rPr>
      </w:pPr>
    </w:p>
    <w:p w14:paraId="0AA521B8" w14:textId="77777777" w:rsidR="00A5102B" w:rsidRPr="00F0686F" w:rsidRDefault="00A5102B" w:rsidP="00A5102B">
      <w:pPr>
        <w:rPr>
          <w:rFonts w:ascii="Work Sans" w:hAnsi="Work Sans"/>
          <w:sz w:val="24"/>
          <w:szCs w:val="24"/>
        </w:rPr>
      </w:pPr>
    </w:p>
    <w:p w14:paraId="7C0B4D0F" w14:textId="544B1ED6" w:rsidR="00A5102B" w:rsidRDefault="00842A71" w:rsidP="004477FF">
      <w:pPr>
        <w:pStyle w:val="CGCNumberedPara"/>
        <w:numPr>
          <w:ilvl w:val="0"/>
          <w:numId w:val="0"/>
        </w:numPr>
        <w:ind w:left="567" w:hanging="567"/>
      </w:pPr>
      <w:r w:rsidRPr="00962EFF">
        <w:rPr>
          <w:noProof/>
        </w:rPr>
        <mc:AlternateContent>
          <mc:Choice Requires="wps">
            <w:drawing>
              <wp:anchor distT="0" distB="0" distL="114300" distR="114300" simplePos="0" relativeHeight="251658241" behindDoc="0" locked="0" layoutInCell="1" allowOverlap="1" wp14:anchorId="67CB14EF" wp14:editId="078F4DC4">
                <wp:simplePos x="0" y="0"/>
                <wp:positionH relativeFrom="margin">
                  <wp:posOffset>-914401</wp:posOffset>
                </wp:positionH>
                <wp:positionV relativeFrom="page">
                  <wp:posOffset>2623457</wp:posOffset>
                </wp:positionV>
                <wp:extent cx="7598229" cy="77660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7598229" cy="776605"/>
                        </a:xfrm>
                        <a:prstGeom prst="rect">
                          <a:avLst/>
                        </a:prstGeom>
                        <a:noFill/>
                        <a:ln w="6350">
                          <a:noFill/>
                        </a:ln>
                      </wps:spPr>
                      <wps:txbx>
                        <w:txbxContent>
                          <w:p w14:paraId="4AB12567"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08F4CC65"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B14EF" id="_x0000_t202" coordsize="21600,21600" o:spt="202" path="m,l,21600r21600,l21600,xe">
                <v:stroke joinstyle="miter"/>
                <v:path gradientshapeok="t" o:connecttype="rect"/>
              </v:shapetype>
              <v:shape id="Text Box 31" o:spid="_x0000_s1026" type="#_x0000_t202" style="position:absolute;left:0;text-align:left;margin-left:-1in;margin-top:206.55pt;width:598.3pt;height:6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" filled="f" stroked="f" strokeweight=".5pt">
                <v:textbox>
                  <w:txbxContent>
                    <w:p w14:paraId="4AB12567"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08F4CC65"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589821A6" w14:textId="6064A2B7" w:rsidR="00246686" w:rsidRDefault="00246686" w:rsidP="00AB13AF">
      <w:pPr>
        <w:tabs>
          <w:tab w:val="clear" w:pos="567"/>
          <w:tab w:val="left" w:pos="2515"/>
        </w:tabs>
        <w:rPr>
          <w:rFonts w:ascii="Work Sans" w:hAnsi="Work Sans"/>
          <w:sz w:val="24"/>
          <w:szCs w:val="24"/>
        </w:rPr>
      </w:pPr>
    </w:p>
    <w:p w14:paraId="5F4FB80B" w14:textId="25AC0BBD" w:rsidR="00F2521E" w:rsidRPr="00F2521E" w:rsidRDefault="00F2521E" w:rsidP="004E10E4">
      <w:pPr>
        <w:rPr>
          <w:rFonts w:ascii="Work Sans" w:hAnsi="Work Sans"/>
          <w:sz w:val="24"/>
          <w:szCs w:val="24"/>
        </w:rPr>
      </w:pPr>
    </w:p>
    <w:p w14:paraId="10545691" w14:textId="77777777" w:rsidR="00A5102B" w:rsidRPr="00F0686F" w:rsidRDefault="00A5102B" w:rsidP="00545F2D">
      <w:pPr>
        <w:rPr>
          <w:rFonts w:ascii="Work Sans" w:hAnsi="Work Sans"/>
          <w:sz w:val="24"/>
          <w:szCs w:val="24"/>
        </w:rPr>
      </w:pPr>
    </w:p>
    <w:p w14:paraId="0E89A09E" w14:textId="77777777" w:rsidR="00A5102B" w:rsidRDefault="00A5102B" w:rsidP="00A5102B">
      <w:pPr>
        <w:rPr>
          <w:rFonts w:ascii="Work Sans" w:hAnsi="Work Sans"/>
          <w:sz w:val="24"/>
          <w:szCs w:val="24"/>
        </w:rPr>
      </w:pPr>
    </w:p>
    <w:p w14:paraId="50E379C1" w14:textId="77777777" w:rsidR="00A5102B" w:rsidRDefault="00A5102B" w:rsidP="00A5102B">
      <w:pPr>
        <w:rPr>
          <w:rFonts w:ascii="Work Sans" w:hAnsi="Work Sans"/>
          <w:sz w:val="24"/>
          <w:szCs w:val="24"/>
        </w:rPr>
      </w:pPr>
    </w:p>
    <w:p w14:paraId="41C2CF55" w14:textId="3A0C6326" w:rsidR="00A5102B" w:rsidRDefault="00842A71" w:rsidP="00A5102B">
      <w:pPr>
        <w:rPr>
          <w:rFonts w:ascii="Work Sans" w:hAnsi="Work Sans"/>
          <w:sz w:val="24"/>
          <w:szCs w:val="24"/>
        </w:rPr>
      </w:pPr>
      <w:r w:rsidRPr="00962EFF">
        <w:rPr>
          <w:noProof/>
        </w:rPr>
        <mc:AlternateContent>
          <mc:Choice Requires="wps">
            <w:drawing>
              <wp:anchor distT="0" distB="0" distL="114300" distR="114300" simplePos="0" relativeHeight="251658240" behindDoc="0" locked="0" layoutInCell="1" allowOverlap="1" wp14:anchorId="0E1E57BC" wp14:editId="588A9371">
                <wp:simplePos x="0" y="0"/>
                <wp:positionH relativeFrom="margin">
                  <wp:posOffset>-968829</wp:posOffset>
                </wp:positionH>
                <wp:positionV relativeFrom="page">
                  <wp:posOffset>4201886</wp:posOffset>
                </wp:positionV>
                <wp:extent cx="7717972" cy="1971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7717972" cy="1971040"/>
                        </a:xfrm>
                        <a:prstGeom prst="rect">
                          <a:avLst/>
                        </a:prstGeom>
                        <a:noFill/>
                        <a:ln w="6350">
                          <a:noFill/>
                        </a:ln>
                      </wps:spPr>
                      <wps:txbx>
                        <w:txbxContent>
                          <w:p w14:paraId="0B4B9E3D" w14:textId="28A831E4" w:rsidR="0036633A" w:rsidRPr="0036633A" w:rsidRDefault="00CA4ACF" w:rsidP="0036633A">
                            <w:pPr>
                              <w:jc w:val="center"/>
                              <w:rPr>
                                <w:rFonts w:ascii="Work Sans" w:hAnsi="Work Sans" w:cs="Open Sans"/>
                                <w:color w:val="FFFFFF"/>
                                <w:sz w:val="52"/>
                                <w:szCs w:val="56"/>
                              </w:rPr>
                            </w:pPr>
                            <w:r>
                              <w:rPr>
                                <w:rFonts w:ascii="Work Sans" w:hAnsi="Work Sans" w:cs="Open Sans"/>
                                <w:color w:val="FFFFFF"/>
                                <w:sz w:val="52"/>
                                <w:szCs w:val="56"/>
                              </w:rPr>
                              <w:t>Welfare</w:t>
                            </w:r>
                            <w:r w:rsidR="00097D78" w:rsidRPr="00545F2D">
                              <w:rPr>
                                <w:rFonts w:ascii="Work Sans" w:hAnsi="Work Sans" w:cs="Open Sans"/>
                                <w:color w:val="FFFFFF"/>
                                <w:sz w:val="52"/>
                                <w:szCs w:val="56"/>
                              </w:rPr>
                              <w:t xml:space="preserve"> consultation</w:t>
                            </w:r>
                            <w:r w:rsidR="00A358C4">
                              <w:rPr>
                                <w:rFonts w:ascii="Work Sans" w:hAnsi="Work Sans" w:cs="Open Sans"/>
                                <w:color w:val="FFFFFF"/>
                                <w:sz w:val="52"/>
                                <w:szCs w:val="56"/>
                              </w:rPr>
                              <w:t xml:space="preserve"> </w:t>
                            </w:r>
                            <w:r w:rsidR="00097D78" w:rsidRPr="00545F2D">
                              <w:rPr>
                                <w:rFonts w:ascii="Work Sans" w:hAnsi="Work Sans" w:cs="Open Sans"/>
                                <w:color w:val="FFFFFF"/>
                                <w:sz w:val="52"/>
                                <w:szCs w:val="56"/>
                              </w:rPr>
                              <w:t>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E57BC" id="Text Box 29" o:spid="_x0000_s1027" type="#_x0000_t202" style="position:absolute;margin-left:-76.3pt;margin-top:330.85pt;width:607.7pt;height:15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" filled="f" stroked="f" strokeweight=".5pt">
                <v:textbox>
                  <w:txbxContent>
                    <w:p w14:paraId="0B4B9E3D" w14:textId="28A831E4" w:rsidR="0036633A" w:rsidRPr="0036633A" w:rsidRDefault="00CA4ACF" w:rsidP="0036633A">
                      <w:pPr>
                        <w:jc w:val="center"/>
                        <w:rPr>
                          <w:rFonts w:ascii="Work Sans" w:hAnsi="Work Sans" w:cs="Open Sans"/>
                          <w:color w:val="FFFFFF"/>
                          <w:sz w:val="52"/>
                          <w:szCs w:val="56"/>
                        </w:rPr>
                      </w:pPr>
                      <w:r>
                        <w:rPr>
                          <w:rFonts w:ascii="Work Sans" w:hAnsi="Work Sans" w:cs="Open Sans"/>
                          <w:color w:val="FFFFFF"/>
                          <w:sz w:val="52"/>
                          <w:szCs w:val="56"/>
                        </w:rPr>
                        <w:t>Welfare</w:t>
                      </w:r>
                      <w:r w:rsidR="00097D78" w:rsidRPr="00545F2D">
                        <w:rPr>
                          <w:rFonts w:ascii="Work Sans" w:hAnsi="Work Sans" w:cs="Open Sans"/>
                          <w:color w:val="FFFFFF"/>
                          <w:sz w:val="52"/>
                          <w:szCs w:val="56"/>
                        </w:rPr>
                        <w:t xml:space="preserve"> consultation</w:t>
                      </w:r>
                      <w:r w:rsidR="00A358C4">
                        <w:rPr>
                          <w:rFonts w:ascii="Work Sans" w:hAnsi="Work Sans" w:cs="Open Sans"/>
                          <w:color w:val="FFFFFF"/>
                          <w:sz w:val="52"/>
                          <w:szCs w:val="56"/>
                        </w:rPr>
                        <w:t xml:space="preserve"> </w:t>
                      </w:r>
                      <w:r w:rsidR="00097D78" w:rsidRPr="00545F2D">
                        <w:rPr>
                          <w:rFonts w:ascii="Work Sans" w:hAnsi="Work Sans" w:cs="Open Sans"/>
                          <w:color w:val="FFFFFF"/>
                          <w:sz w:val="52"/>
                          <w:szCs w:val="56"/>
                        </w:rPr>
                        <w:t>paper</w:t>
                      </w:r>
                    </w:p>
                  </w:txbxContent>
                </v:textbox>
                <w10:wrap anchorx="margin" anchory="page"/>
              </v:shape>
            </w:pict>
          </mc:Fallback>
        </mc:AlternateContent>
      </w:r>
    </w:p>
    <w:p w14:paraId="6998D122" w14:textId="34F8892F" w:rsidR="00A5102B" w:rsidRDefault="00A5102B" w:rsidP="00A5102B">
      <w:pPr>
        <w:rPr>
          <w:rFonts w:ascii="Work Sans" w:hAnsi="Work Sans"/>
          <w:sz w:val="24"/>
          <w:szCs w:val="24"/>
        </w:rPr>
      </w:pPr>
    </w:p>
    <w:p w14:paraId="269BFCB7" w14:textId="7A30B7E9" w:rsidR="00A5102B" w:rsidRDefault="00A5102B" w:rsidP="00A5102B">
      <w:pPr>
        <w:rPr>
          <w:rFonts w:ascii="Work Sans" w:hAnsi="Work Sans"/>
          <w:sz w:val="24"/>
          <w:szCs w:val="24"/>
        </w:rPr>
      </w:pPr>
    </w:p>
    <w:p w14:paraId="493AB985" w14:textId="77777777" w:rsidR="00A5102B" w:rsidRDefault="00A5102B" w:rsidP="002A45B1">
      <w:pPr>
        <w:jc w:val="center"/>
        <w:rPr>
          <w:rFonts w:ascii="Work Sans" w:hAnsi="Work Sans"/>
          <w:sz w:val="24"/>
          <w:szCs w:val="24"/>
        </w:rPr>
      </w:pPr>
    </w:p>
    <w:p w14:paraId="6CEBF044" w14:textId="77777777" w:rsidR="00A5102B" w:rsidRDefault="00A5102B" w:rsidP="00704788">
      <w:pPr>
        <w:rPr>
          <w:rFonts w:ascii="Work Sans" w:hAnsi="Work Sans" w:cs="Open Sans"/>
          <w:color w:val="FFFFFF"/>
          <w:sz w:val="28"/>
          <w:szCs w:val="28"/>
        </w:rPr>
      </w:pPr>
    </w:p>
    <w:p w14:paraId="326D4F73" w14:textId="77777777" w:rsidR="00704788" w:rsidRDefault="00704788" w:rsidP="00704788">
      <w:pPr>
        <w:rPr>
          <w:rFonts w:ascii="Work Sans" w:hAnsi="Work Sans" w:cs="Open Sans"/>
          <w:color w:val="FFFFFF"/>
          <w:sz w:val="28"/>
          <w:szCs w:val="28"/>
        </w:rPr>
      </w:pPr>
    </w:p>
    <w:p w14:paraId="268DB43D" w14:textId="77777777" w:rsidR="00704788" w:rsidRDefault="00704788" w:rsidP="00704788">
      <w:pPr>
        <w:rPr>
          <w:rFonts w:ascii="Work Sans" w:hAnsi="Work Sans" w:cs="Open Sans"/>
          <w:color w:val="FFFFFF"/>
          <w:sz w:val="28"/>
          <w:szCs w:val="28"/>
        </w:rPr>
      </w:pPr>
    </w:p>
    <w:p w14:paraId="25484A40" w14:textId="77777777" w:rsidR="00704788" w:rsidRDefault="00704788" w:rsidP="00704788">
      <w:pPr>
        <w:rPr>
          <w:rFonts w:ascii="Work Sans" w:hAnsi="Work Sans" w:cs="Open Sans"/>
          <w:color w:val="FFFFFF"/>
          <w:sz w:val="28"/>
          <w:szCs w:val="28"/>
        </w:rPr>
      </w:pPr>
    </w:p>
    <w:p w14:paraId="615534AB" w14:textId="3C2E23B1" w:rsidR="00704788" w:rsidRDefault="00842A71" w:rsidP="00704788">
      <w:pPr>
        <w:rPr>
          <w:rFonts w:ascii="Work Sans" w:hAnsi="Work Sans" w:cs="Open Sans"/>
          <w:color w:val="FFFFFF"/>
          <w:sz w:val="28"/>
          <w:szCs w:val="28"/>
        </w:rPr>
      </w:pPr>
      <w:r w:rsidRPr="00962EFF">
        <w:rPr>
          <w:noProof/>
        </w:rPr>
        <mc:AlternateContent>
          <mc:Choice Requires="wps">
            <w:drawing>
              <wp:anchor distT="0" distB="0" distL="114300" distR="114300" simplePos="0" relativeHeight="251658242" behindDoc="0" locked="0" layoutInCell="1" allowOverlap="1" wp14:anchorId="6EC913FF" wp14:editId="1BC3B897">
                <wp:simplePos x="0" y="0"/>
                <wp:positionH relativeFrom="margin">
                  <wp:posOffset>-914401</wp:posOffset>
                </wp:positionH>
                <wp:positionV relativeFrom="page">
                  <wp:posOffset>6531429</wp:posOffset>
                </wp:positionV>
                <wp:extent cx="7597775" cy="4387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7597775" cy="438785"/>
                        </a:xfrm>
                        <a:prstGeom prst="rect">
                          <a:avLst/>
                        </a:prstGeom>
                        <a:noFill/>
                        <a:ln w="6350">
                          <a:noFill/>
                        </a:ln>
                      </wps:spPr>
                      <wps:txbx>
                        <w:txbxContent>
                          <w:p w14:paraId="445C83E1" w14:textId="2FCA9BED" w:rsidR="00BA4C59" w:rsidRPr="00BA4C59" w:rsidRDefault="00773A05" w:rsidP="00BA4C59">
                            <w:pPr>
                              <w:jc w:val="center"/>
                              <w:rPr>
                                <w:rFonts w:ascii="Work Sans" w:hAnsi="Work Sans" w:cs="Open Sans"/>
                                <w:color w:val="FFFFFF"/>
                                <w:sz w:val="28"/>
                                <w:szCs w:val="28"/>
                              </w:rPr>
                            </w:pPr>
                            <w:r>
                              <w:rPr>
                                <w:rFonts w:ascii="Work Sans" w:hAnsi="Work Sans" w:cs="Open Sans"/>
                                <w:color w:val="FFFFFF"/>
                                <w:sz w:val="28"/>
                                <w:szCs w:val="28"/>
                              </w:rPr>
                              <w:t>October</w:t>
                            </w:r>
                            <w:r w:rsidR="00BA4C59" w:rsidRPr="00BA4C59">
                              <w:rPr>
                                <w:rFonts w:ascii="Work Sans" w:hAnsi="Work Sans" w:cs="Open Sans"/>
                                <w:color w:val="FFFFFF"/>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913FF" id="Text Box 30" o:spid="_x0000_s1028" type="#_x0000_t202" style="position:absolute;margin-left:-1in;margin-top:514.3pt;width:598.25pt;height:34.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" filled="f" stroked="f" strokeweight=".5pt">
                <v:textbox>
                  <w:txbxContent>
                    <w:p w14:paraId="445C83E1" w14:textId="2FCA9BED" w:rsidR="00BA4C59" w:rsidRPr="00BA4C59" w:rsidRDefault="00773A05" w:rsidP="00BA4C59">
                      <w:pPr>
                        <w:jc w:val="center"/>
                        <w:rPr>
                          <w:rFonts w:ascii="Work Sans" w:hAnsi="Work Sans" w:cs="Open Sans"/>
                          <w:color w:val="FFFFFF"/>
                          <w:sz w:val="28"/>
                          <w:szCs w:val="28"/>
                        </w:rPr>
                      </w:pPr>
                      <w:r>
                        <w:rPr>
                          <w:rFonts w:ascii="Work Sans" w:hAnsi="Work Sans" w:cs="Open Sans"/>
                          <w:color w:val="FFFFFF"/>
                          <w:sz w:val="28"/>
                          <w:szCs w:val="28"/>
                        </w:rPr>
                        <w:t>October</w:t>
                      </w:r>
                      <w:r w:rsidR="00BA4C59" w:rsidRPr="00BA4C59">
                        <w:rPr>
                          <w:rFonts w:ascii="Work Sans" w:hAnsi="Work Sans" w:cs="Open Sans"/>
                          <w:color w:val="FFFFFF"/>
                          <w:sz w:val="28"/>
                          <w:szCs w:val="28"/>
                        </w:rPr>
                        <w:t xml:space="preserve"> 2023</w:t>
                      </w:r>
                    </w:p>
                  </w:txbxContent>
                </v:textbox>
                <w10:wrap anchorx="margin" anchory="page"/>
              </v:shape>
            </w:pict>
          </mc:Fallback>
        </mc:AlternateContent>
      </w:r>
    </w:p>
    <w:p w14:paraId="1CD25F89" w14:textId="0EC5F50E" w:rsidR="00704788" w:rsidRDefault="00704788" w:rsidP="00704788">
      <w:pPr>
        <w:rPr>
          <w:rFonts w:ascii="Work Sans" w:hAnsi="Work Sans" w:cs="Open Sans"/>
          <w:color w:val="FFFFFF"/>
          <w:sz w:val="28"/>
          <w:szCs w:val="28"/>
        </w:rPr>
      </w:pPr>
    </w:p>
    <w:p w14:paraId="4DA7D553" w14:textId="37C28326" w:rsidR="00704788" w:rsidRDefault="00704788" w:rsidP="00E062B6">
      <w:pPr>
        <w:jc w:val="center"/>
        <w:rPr>
          <w:rFonts w:ascii="Work Sans" w:hAnsi="Work Sans" w:cs="Open Sans"/>
          <w:color w:val="FFFFFF"/>
          <w:sz w:val="28"/>
          <w:szCs w:val="28"/>
        </w:rPr>
      </w:pPr>
    </w:p>
    <w:p w14:paraId="3AAFA0BA" w14:textId="77777777" w:rsidR="00704788" w:rsidRDefault="00704788" w:rsidP="00DB5889">
      <w:pPr>
        <w:rPr>
          <w:rFonts w:ascii="Work Sans" w:hAnsi="Work Sans" w:cs="Open Sans"/>
          <w:color w:val="FFFFFF"/>
          <w:sz w:val="28"/>
          <w:szCs w:val="28"/>
        </w:rPr>
      </w:pPr>
    </w:p>
    <w:p w14:paraId="7EB5D5A9" w14:textId="77777777" w:rsidR="00DB5889" w:rsidRPr="00704788" w:rsidRDefault="00DB5889" w:rsidP="00DB5889">
      <w:pPr>
        <w:rPr>
          <w:rFonts w:ascii="Work Sans" w:hAnsi="Work Sans" w:cs="Open Sans"/>
          <w:color w:val="FFFFFF"/>
          <w:sz w:val="28"/>
          <w:szCs w:val="28"/>
        </w:rPr>
      </w:pPr>
    </w:p>
    <w:p w14:paraId="20D2A949" w14:textId="77777777" w:rsidR="00A5102B" w:rsidRDefault="00A5102B" w:rsidP="00210D9C">
      <w:pPr>
        <w:pStyle w:val="Heading1"/>
        <w:jc w:val="center"/>
        <w:sectPr w:rsidR="00A5102B" w:rsidSect="003A0403">
          <w:pgSz w:w="11906" w:h="16838"/>
          <w:pgMar w:top="1440" w:right="1440" w:bottom="1440" w:left="1440" w:header="708" w:footer="708" w:gutter="0"/>
          <w:cols w:space="708"/>
          <w:docGrid w:linePitch="360"/>
        </w:sectPr>
      </w:pPr>
    </w:p>
    <w:p w14:paraId="4CB516C8" w14:textId="77777777" w:rsidR="00A5102B" w:rsidRPr="005B6B61" w:rsidRDefault="00A5102B" w:rsidP="005B6B61"/>
    <w:p w14:paraId="5A37D883" w14:textId="77777777" w:rsidR="00A5102B" w:rsidRPr="005B6B61" w:rsidRDefault="00A5102B" w:rsidP="005B6B61"/>
    <w:p w14:paraId="2B79FBF9" w14:textId="77777777" w:rsidR="00A5102B" w:rsidRPr="005B6B61" w:rsidRDefault="00A5102B" w:rsidP="005B6B61"/>
    <w:p w14:paraId="01C445E5" w14:textId="77777777" w:rsidR="00A5102B" w:rsidRPr="005B6B61" w:rsidRDefault="00A5102B" w:rsidP="005B6B61"/>
    <w:p w14:paraId="61BA0BC6" w14:textId="77777777" w:rsidR="00A5102B" w:rsidRPr="005B6B61" w:rsidRDefault="00A5102B" w:rsidP="005B6B61"/>
    <w:p w14:paraId="3962A3DE" w14:textId="77777777" w:rsidR="00A5102B" w:rsidRPr="005B6B61" w:rsidRDefault="00A5102B" w:rsidP="005B6B61"/>
    <w:p w14:paraId="18354C93" w14:textId="77777777" w:rsidR="00A5102B" w:rsidRPr="005B6B61" w:rsidRDefault="00A5102B" w:rsidP="005B6B61"/>
    <w:p w14:paraId="4FC75D79" w14:textId="77777777" w:rsidR="003119A7" w:rsidRDefault="003119A7" w:rsidP="005B6B61"/>
    <w:p w14:paraId="2E59BC08" w14:textId="77777777" w:rsidR="004F0684" w:rsidRDefault="004F0684" w:rsidP="005B6B61"/>
    <w:p w14:paraId="438F46EA" w14:textId="77777777" w:rsidR="004F0684" w:rsidRDefault="004F0684" w:rsidP="005B6B61"/>
    <w:p w14:paraId="6AA047D6" w14:textId="77777777" w:rsidR="004F0684" w:rsidRDefault="004F0684" w:rsidP="005B6B61"/>
    <w:p w14:paraId="21F0CBDD" w14:textId="77777777" w:rsidR="004F0684" w:rsidRDefault="004F0684" w:rsidP="005B6B61"/>
    <w:p w14:paraId="2DC99F13" w14:textId="77777777" w:rsidR="004F0684" w:rsidRPr="005B6B61" w:rsidRDefault="004F0684" w:rsidP="005B6B61"/>
    <w:p w14:paraId="2AE861D0" w14:textId="77777777" w:rsidR="003119A7" w:rsidRPr="005B6B61" w:rsidRDefault="003119A7" w:rsidP="005B6B61"/>
    <w:p w14:paraId="2FFD2E19" w14:textId="77777777" w:rsidR="003119A7" w:rsidRPr="005B6B61" w:rsidRDefault="003119A7" w:rsidP="005B6B61"/>
    <w:p w14:paraId="1EDE3E24" w14:textId="77777777" w:rsidR="00A5102B" w:rsidRPr="005B6B61" w:rsidRDefault="00A5102B" w:rsidP="005B6B61"/>
    <w:p w14:paraId="4F02A260" w14:textId="77777777" w:rsidR="00A5102B" w:rsidRPr="005B6B61" w:rsidRDefault="00A5102B" w:rsidP="005B6B61"/>
    <w:tbl>
      <w:tblPr>
        <w:tblStyle w:val="TableGrid"/>
        <w:tblW w:w="0" w:type="auto"/>
        <w:tblLook w:val="04A0" w:firstRow="1" w:lastRow="0" w:firstColumn="1" w:lastColumn="0" w:noHBand="0" w:noVBand="1"/>
      </w:tblPr>
      <w:tblGrid>
        <w:gridCol w:w="2972"/>
        <w:gridCol w:w="6044"/>
      </w:tblGrid>
      <w:tr w:rsidR="00A5102B" w14:paraId="6C573EB6" w14:textId="77777777" w:rsidTr="56F1BA88">
        <w:tc>
          <w:tcPr>
            <w:tcW w:w="2972" w:type="dxa"/>
          </w:tcPr>
          <w:p w14:paraId="331C18AA" w14:textId="77777777" w:rsidR="00A5102B" w:rsidRPr="003119A7" w:rsidRDefault="00A5102B" w:rsidP="003A0403">
            <w:pPr>
              <w:rPr>
                <w:rFonts w:ascii="Work Sans" w:hAnsi="Work Sans"/>
                <w:szCs w:val="20"/>
              </w:rPr>
            </w:pPr>
            <w:r w:rsidRPr="003119A7">
              <w:rPr>
                <w:rFonts w:ascii="Work Sans" w:hAnsi="Work Sans"/>
                <w:szCs w:val="20"/>
              </w:rPr>
              <w:t>Paper issued</w:t>
            </w:r>
          </w:p>
        </w:tc>
        <w:tc>
          <w:tcPr>
            <w:tcW w:w="6044" w:type="dxa"/>
          </w:tcPr>
          <w:p w14:paraId="57EAF8CA" w14:textId="41265037" w:rsidR="00A5102B" w:rsidRPr="003119A7" w:rsidRDefault="00D76032" w:rsidP="003A0403">
            <w:pPr>
              <w:rPr>
                <w:rFonts w:ascii="Work Sans" w:hAnsi="Work Sans"/>
                <w:szCs w:val="20"/>
              </w:rPr>
            </w:pPr>
            <w:r>
              <w:rPr>
                <w:rFonts w:ascii="Work Sans" w:hAnsi="Work Sans"/>
                <w:szCs w:val="20"/>
              </w:rPr>
              <w:t>26 October 2023</w:t>
            </w:r>
          </w:p>
        </w:tc>
      </w:tr>
      <w:tr w:rsidR="00A5102B" w14:paraId="10D5EBBC" w14:textId="77777777" w:rsidTr="56F1BA88">
        <w:tc>
          <w:tcPr>
            <w:tcW w:w="2972" w:type="dxa"/>
          </w:tcPr>
          <w:p w14:paraId="6A0DCA72" w14:textId="77777777" w:rsidR="00A5102B" w:rsidRPr="003119A7" w:rsidRDefault="00A5102B" w:rsidP="003A0403">
            <w:pPr>
              <w:rPr>
                <w:rFonts w:ascii="Work Sans" w:hAnsi="Work Sans"/>
                <w:szCs w:val="20"/>
              </w:rPr>
            </w:pPr>
            <w:r w:rsidRPr="003119A7">
              <w:rPr>
                <w:rFonts w:ascii="Work Sans" w:hAnsi="Work Sans"/>
                <w:szCs w:val="20"/>
              </w:rPr>
              <w:t>Commission contact officer</w:t>
            </w:r>
          </w:p>
        </w:tc>
        <w:tc>
          <w:tcPr>
            <w:tcW w:w="6044" w:type="dxa"/>
          </w:tcPr>
          <w:p w14:paraId="2E1C5AD8" w14:textId="45CE1225" w:rsidR="00A5102B" w:rsidRPr="003119A7" w:rsidRDefault="003D6F9E" w:rsidP="003A0403">
            <w:pPr>
              <w:rPr>
                <w:rFonts w:ascii="Work Sans" w:hAnsi="Work Sans"/>
                <w:szCs w:val="20"/>
              </w:rPr>
            </w:pPr>
            <w:r>
              <w:rPr>
                <w:rFonts w:ascii="Work Sans" w:hAnsi="Work Sans"/>
                <w:szCs w:val="20"/>
              </w:rPr>
              <w:t>Peter Lock</w:t>
            </w:r>
            <w:r w:rsidR="002D3607">
              <w:rPr>
                <w:rFonts w:ascii="Work Sans" w:hAnsi="Work Sans"/>
                <w:szCs w:val="20"/>
              </w:rPr>
              <w:t>,</w:t>
            </w:r>
            <w:r>
              <w:rPr>
                <w:rFonts w:ascii="Work Sans" w:hAnsi="Work Sans"/>
                <w:szCs w:val="20"/>
              </w:rPr>
              <w:t xml:space="preserve"> 02 6218 5718</w:t>
            </w:r>
            <w:r w:rsidR="002D3607">
              <w:rPr>
                <w:rFonts w:ascii="Work Sans" w:hAnsi="Work Sans"/>
                <w:szCs w:val="20"/>
              </w:rPr>
              <w:t>,</w:t>
            </w:r>
            <w:r>
              <w:rPr>
                <w:rFonts w:ascii="Work Sans" w:hAnsi="Work Sans"/>
                <w:szCs w:val="20"/>
              </w:rPr>
              <w:t xml:space="preserve"> peter.lock@cgc.gov.au</w:t>
            </w:r>
          </w:p>
        </w:tc>
      </w:tr>
      <w:tr w:rsidR="00A5102B" w14:paraId="3BC0DB5D" w14:textId="77777777" w:rsidTr="56F1BA88">
        <w:tc>
          <w:tcPr>
            <w:tcW w:w="2972" w:type="dxa"/>
          </w:tcPr>
          <w:p w14:paraId="79C147E9" w14:textId="77777777" w:rsidR="00A5102B" w:rsidRPr="003119A7" w:rsidRDefault="00A5102B" w:rsidP="003A0403">
            <w:pPr>
              <w:rPr>
                <w:rFonts w:ascii="Work Sans" w:hAnsi="Work Sans"/>
                <w:szCs w:val="20"/>
              </w:rPr>
            </w:pPr>
            <w:r w:rsidRPr="003119A7">
              <w:rPr>
                <w:rFonts w:ascii="Work Sans" w:hAnsi="Work Sans"/>
                <w:szCs w:val="20"/>
              </w:rPr>
              <w:t>Submissions sought by</w:t>
            </w:r>
          </w:p>
        </w:tc>
        <w:tc>
          <w:tcPr>
            <w:tcW w:w="6044" w:type="dxa"/>
          </w:tcPr>
          <w:p w14:paraId="06F0B3D4" w14:textId="4D85586E" w:rsidR="00D76AB5" w:rsidRDefault="002D3607" w:rsidP="003A0403">
            <w:pPr>
              <w:rPr>
                <w:rFonts w:ascii="Work Sans" w:hAnsi="Work Sans"/>
                <w:szCs w:val="20"/>
              </w:rPr>
            </w:pPr>
            <w:r>
              <w:rPr>
                <w:rFonts w:ascii="Work Sans" w:hAnsi="Work Sans"/>
                <w:szCs w:val="20"/>
              </w:rPr>
              <w:t>1 March 2024</w:t>
            </w:r>
            <w:r w:rsidR="00D76AB5" w:rsidRPr="003119A7">
              <w:rPr>
                <w:rFonts w:ascii="Work Sans" w:hAnsi="Work Sans"/>
                <w:szCs w:val="20"/>
              </w:rPr>
              <w:t xml:space="preserve"> </w:t>
            </w:r>
          </w:p>
          <w:p w14:paraId="5B2F7AFF" w14:textId="10F1F074" w:rsidR="00A5102B" w:rsidRPr="003119A7" w:rsidRDefault="00A5102B" w:rsidP="56F1BA88">
            <w:pPr>
              <w:rPr>
                <w:rFonts w:ascii="Work Sans" w:hAnsi="Work Sans"/>
              </w:rPr>
            </w:pPr>
            <w:r w:rsidRPr="56F1BA88">
              <w:rPr>
                <w:rFonts w:ascii="Work Sans" w:hAnsi="Work Sans"/>
              </w:rPr>
              <w:t xml:space="preserve">Submissions should be placed in your private state channel in </w:t>
            </w:r>
            <w:bookmarkStart w:id="0" w:name="_Int_pqMhIG6T"/>
            <w:r w:rsidRPr="56F1BA88">
              <w:rPr>
                <w:rFonts w:ascii="Work Sans" w:hAnsi="Work Sans"/>
              </w:rPr>
              <w:t>CGC</w:t>
            </w:r>
            <w:bookmarkEnd w:id="0"/>
            <w:r w:rsidRPr="56F1BA88">
              <w:rPr>
                <w:rFonts w:ascii="Work Sans" w:hAnsi="Work Sans"/>
              </w:rPr>
              <w:t xml:space="preserve"> Engagement Teams, with a post notifying </w:t>
            </w:r>
            <w:r w:rsidR="003D6F9E">
              <w:rPr>
                <w:rFonts w:ascii="Work Sans" w:hAnsi="Work Sans"/>
              </w:rPr>
              <w:t>Katrina Baldock</w:t>
            </w:r>
            <w:r w:rsidR="27749D8C" w:rsidRPr="56F1BA88">
              <w:rPr>
                <w:rFonts w:ascii="Work Sans" w:hAnsi="Work Sans"/>
              </w:rPr>
              <w:t>.</w:t>
            </w:r>
          </w:p>
          <w:p w14:paraId="478E5E34" w14:textId="77777777" w:rsidR="00A5102B" w:rsidRPr="003119A7" w:rsidRDefault="00A5102B" w:rsidP="003A0403">
            <w:pPr>
              <w:rPr>
                <w:rFonts w:ascii="Work Sans" w:hAnsi="Work Sans"/>
                <w:szCs w:val="20"/>
              </w:rPr>
            </w:pPr>
            <w:r w:rsidRPr="003119A7">
              <w:rPr>
                <w:rFonts w:ascii="Work Sans" w:hAnsi="Work Sans"/>
                <w:szCs w:val="20"/>
              </w:rPr>
              <w:t xml:space="preserve">Submissions </w:t>
            </w:r>
            <w:r w:rsidR="005869CB">
              <w:rPr>
                <w:rFonts w:ascii="Work Sans" w:hAnsi="Work Sans"/>
                <w:szCs w:val="20"/>
              </w:rPr>
              <w:t>should be in Word format and posted in the relevant state channel of the CGC engagement Team.</w:t>
            </w:r>
            <w:r w:rsidR="005E421C">
              <w:rPr>
                <w:rFonts w:ascii="Work Sans" w:hAnsi="Work Sans"/>
                <w:szCs w:val="20"/>
              </w:rPr>
              <w:t xml:space="preserve"> Submissions </w:t>
            </w:r>
            <w:r w:rsidRPr="003119A7">
              <w:rPr>
                <w:rFonts w:ascii="Work Sans" w:hAnsi="Work Sans"/>
                <w:szCs w:val="20"/>
              </w:rPr>
              <w:t>more than 10 pages in length should include a summary section.</w:t>
            </w:r>
          </w:p>
        </w:tc>
      </w:tr>
      <w:tr w:rsidR="00A5102B" w14:paraId="3CD0B713" w14:textId="77777777" w:rsidTr="56F1BA88">
        <w:tc>
          <w:tcPr>
            <w:tcW w:w="2972" w:type="dxa"/>
          </w:tcPr>
          <w:p w14:paraId="70AC5CE4" w14:textId="77777777" w:rsidR="00A5102B" w:rsidRPr="003119A7" w:rsidRDefault="00A5102B" w:rsidP="003A0403">
            <w:pPr>
              <w:rPr>
                <w:rFonts w:ascii="Work Sans" w:hAnsi="Work Sans"/>
                <w:szCs w:val="20"/>
              </w:rPr>
            </w:pPr>
            <w:r w:rsidRPr="003119A7">
              <w:rPr>
                <w:rFonts w:ascii="Work Sans" w:hAnsi="Work Sans"/>
                <w:szCs w:val="20"/>
              </w:rPr>
              <w:t>Confidential material</w:t>
            </w:r>
          </w:p>
        </w:tc>
        <w:tc>
          <w:tcPr>
            <w:tcW w:w="6044" w:type="dxa"/>
          </w:tcPr>
          <w:p w14:paraId="1F749C6D" w14:textId="77777777" w:rsidR="00A5102B" w:rsidRPr="003119A7" w:rsidRDefault="00A5102B" w:rsidP="003A0403">
            <w:pPr>
              <w:rPr>
                <w:rFonts w:ascii="Work Sans" w:hAnsi="Work Sans"/>
                <w:szCs w:val="20"/>
              </w:rPr>
            </w:pPr>
            <w:r w:rsidRPr="003119A7">
              <w:rPr>
                <w:rFonts w:ascii="Work Sans" w:hAnsi="Work Sans"/>
                <w:szCs w:val="20"/>
              </w:rPr>
              <w:t xml:space="preserve">It is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 xml:space="preserve">normal practice to make state submissions available on its website under the CC BY licence, allowing free use of content by third parties. </w:t>
            </w:r>
          </w:p>
          <w:p w14:paraId="57A1D657" w14:textId="77777777" w:rsidR="00A5102B" w:rsidRPr="003119A7" w:rsidRDefault="00A5102B" w:rsidP="003A0403">
            <w:pPr>
              <w:rPr>
                <w:rFonts w:ascii="Work Sans" w:hAnsi="Work Sans"/>
                <w:szCs w:val="20"/>
              </w:rPr>
            </w:pPr>
            <w:r w:rsidRPr="003119A7">
              <w:rPr>
                <w:noProof/>
                <w:szCs w:val="20"/>
                <w:lang w:eastAsia="en-AU"/>
              </w:rPr>
              <w:drawing>
                <wp:inline distT="0" distB="0" distL="0" distR="0" wp14:anchorId="30A1AAA6" wp14:editId="451C79AC">
                  <wp:extent cx="828675" cy="295275"/>
                  <wp:effectExtent l="19050" t="0" r="9525" b="0"/>
                  <wp:docPr id="3" name="Picture 3"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3"/>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76A8B227" w14:textId="77777777" w:rsidR="00A5102B" w:rsidRPr="003119A7" w:rsidRDefault="00A5102B" w:rsidP="003A0403">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40C7673F" w14:textId="77777777" w:rsidR="00A5102B" w:rsidRPr="003119A7" w:rsidRDefault="00A5102B" w:rsidP="003A0403">
            <w:pPr>
              <w:rPr>
                <w:rFonts w:ascii="Work Sans" w:hAnsi="Work Sans"/>
                <w:szCs w:val="20"/>
              </w:rPr>
            </w:pPr>
            <w:r w:rsidRPr="003119A7">
              <w:rPr>
                <w:rFonts w:ascii="Work Sans" w:hAnsi="Work Sans"/>
                <w:szCs w:val="20"/>
              </w:rPr>
              <w:t xml:space="preserve">Confidential material contained in submissions must be clearly identified or included in separate attachment/s, and details provided in the covering email. Identified confidential material will not be published on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website.</w:t>
            </w:r>
          </w:p>
        </w:tc>
      </w:tr>
    </w:tbl>
    <w:p w14:paraId="2E0C2FEA" w14:textId="77777777" w:rsidR="005B6B61" w:rsidRDefault="005B6B61" w:rsidP="00DF1879">
      <w:pPr>
        <w:sectPr w:rsidR="005B6B61" w:rsidSect="004F0684">
          <w:headerReference w:type="default" r:id="rId14"/>
          <w:footerReference w:type="first" r:id="rId15"/>
          <w:pgSz w:w="11906" w:h="16838" w:code="9"/>
          <w:pgMar w:top="1440" w:right="1440" w:bottom="1440" w:left="1440" w:header="720" w:footer="720" w:gutter="0"/>
          <w:cols w:space="720"/>
          <w:docGrid w:linePitch="272"/>
        </w:sectPr>
      </w:pPr>
    </w:p>
    <w:sdt>
      <w:sdtPr>
        <w:rPr>
          <w:rFonts w:ascii="Open Sans Light" w:eastAsiaTheme="minorHAnsi" w:hAnsi="Open Sans Light" w:cstheme="minorBidi"/>
          <w:b w:val="0"/>
          <w:bCs w:val="0"/>
          <w:caps w:val="0"/>
          <w:color w:val="auto"/>
          <w:sz w:val="20"/>
          <w:szCs w:val="22"/>
        </w:rPr>
        <w:id w:val="2028664566"/>
        <w:docPartObj>
          <w:docPartGallery w:val="Table of Contents"/>
          <w:docPartUnique/>
        </w:docPartObj>
      </w:sdtPr>
      <w:sdtEndPr>
        <w:rPr>
          <w:noProof/>
        </w:rPr>
      </w:sdtEndPr>
      <w:sdtContent>
        <w:p w14:paraId="2496FFF2" w14:textId="77777777" w:rsidR="005B6B61" w:rsidRDefault="005B6B61">
          <w:pPr>
            <w:pStyle w:val="TOCHeading"/>
          </w:pPr>
          <w:r>
            <w:t>Contents</w:t>
          </w:r>
        </w:p>
        <w:p w14:paraId="4ADBC4FE" w14:textId="5E9CCA3C" w:rsidR="00347EE5" w:rsidRDefault="005B6B61">
          <w:pPr>
            <w:pStyle w:val="TOC2"/>
            <w:rPr>
              <w:rFonts w:asciiTheme="minorHAnsi" w:eastAsiaTheme="minorEastAsia" w:hAnsiTheme="minorHAnsi"/>
              <w:bCs w:val="0"/>
              <w:noProof/>
              <w:color w:val="auto"/>
              <w:kern w:val="2"/>
              <w:sz w:val="22"/>
              <w:szCs w:val="22"/>
              <w:lang w:eastAsia="en-AU"/>
              <w14:ligatures w14:val="standardContextual"/>
            </w:rPr>
          </w:pPr>
          <w:r>
            <w:fldChar w:fldCharType="begin"/>
          </w:r>
          <w:r>
            <w:instrText xml:space="preserve"> TOC \o "1-3" \h \z \u </w:instrText>
          </w:r>
          <w:r>
            <w:fldChar w:fldCharType="separate"/>
          </w:r>
          <w:hyperlink w:anchor="_Toc149220461" w:history="1">
            <w:r w:rsidR="00347EE5" w:rsidRPr="00BE6D20">
              <w:rPr>
                <w:rStyle w:val="Hyperlink"/>
                <w:noProof/>
              </w:rPr>
              <w:t>Overview of category</w:t>
            </w:r>
            <w:r w:rsidR="00347EE5">
              <w:rPr>
                <w:noProof/>
                <w:webHidden/>
              </w:rPr>
              <w:tab/>
            </w:r>
            <w:r w:rsidR="00347EE5">
              <w:rPr>
                <w:noProof/>
                <w:webHidden/>
              </w:rPr>
              <w:fldChar w:fldCharType="begin"/>
            </w:r>
            <w:r w:rsidR="00347EE5">
              <w:rPr>
                <w:noProof/>
                <w:webHidden/>
              </w:rPr>
              <w:instrText xml:space="preserve"> PAGEREF _Toc149220461 \h </w:instrText>
            </w:r>
            <w:r w:rsidR="00347EE5">
              <w:rPr>
                <w:noProof/>
                <w:webHidden/>
              </w:rPr>
            </w:r>
            <w:r w:rsidR="00347EE5">
              <w:rPr>
                <w:noProof/>
                <w:webHidden/>
              </w:rPr>
              <w:fldChar w:fldCharType="separate"/>
            </w:r>
            <w:r w:rsidR="00347EE5">
              <w:rPr>
                <w:noProof/>
                <w:webHidden/>
              </w:rPr>
              <w:t>4</w:t>
            </w:r>
            <w:r w:rsidR="00347EE5">
              <w:rPr>
                <w:noProof/>
                <w:webHidden/>
              </w:rPr>
              <w:fldChar w:fldCharType="end"/>
            </w:r>
          </w:hyperlink>
        </w:p>
        <w:p w14:paraId="6C2121EE" w14:textId="2FE2455E" w:rsidR="00347EE5" w:rsidRDefault="00000000">
          <w:pPr>
            <w:pStyle w:val="TOC2"/>
            <w:rPr>
              <w:rFonts w:asciiTheme="minorHAnsi" w:eastAsiaTheme="minorEastAsia" w:hAnsiTheme="minorHAnsi"/>
              <w:bCs w:val="0"/>
              <w:noProof/>
              <w:color w:val="auto"/>
              <w:kern w:val="2"/>
              <w:sz w:val="22"/>
              <w:szCs w:val="22"/>
              <w:lang w:eastAsia="en-AU"/>
              <w14:ligatures w14:val="standardContextual"/>
            </w:rPr>
          </w:pPr>
          <w:hyperlink w:anchor="_Toc149220462" w:history="1">
            <w:r w:rsidR="00347EE5" w:rsidRPr="00BE6D20">
              <w:rPr>
                <w:rStyle w:val="Hyperlink"/>
                <w:noProof/>
              </w:rPr>
              <w:t>Current assessment method – 2020 Review</w:t>
            </w:r>
            <w:r w:rsidR="00347EE5">
              <w:rPr>
                <w:noProof/>
                <w:webHidden/>
              </w:rPr>
              <w:tab/>
            </w:r>
            <w:r w:rsidR="00347EE5">
              <w:rPr>
                <w:noProof/>
                <w:webHidden/>
              </w:rPr>
              <w:fldChar w:fldCharType="begin"/>
            </w:r>
            <w:r w:rsidR="00347EE5">
              <w:rPr>
                <w:noProof/>
                <w:webHidden/>
              </w:rPr>
              <w:instrText xml:space="preserve"> PAGEREF _Toc149220462 \h </w:instrText>
            </w:r>
            <w:r w:rsidR="00347EE5">
              <w:rPr>
                <w:noProof/>
                <w:webHidden/>
              </w:rPr>
            </w:r>
            <w:r w:rsidR="00347EE5">
              <w:rPr>
                <w:noProof/>
                <w:webHidden/>
              </w:rPr>
              <w:fldChar w:fldCharType="separate"/>
            </w:r>
            <w:r w:rsidR="00347EE5">
              <w:rPr>
                <w:noProof/>
                <w:webHidden/>
              </w:rPr>
              <w:t>4</w:t>
            </w:r>
            <w:r w:rsidR="00347EE5">
              <w:rPr>
                <w:noProof/>
                <w:webHidden/>
              </w:rPr>
              <w:fldChar w:fldCharType="end"/>
            </w:r>
          </w:hyperlink>
        </w:p>
        <w:p w14:paraId="4E1FA99C" w14:textId="637BB3DA" w:rsidR="00347EE5"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9220463" w:history="1">
            <w:r w:rsidR="00347EE5" w:rsidRPr="00BE6D20">
              <w:rPr>
                <w:rStyle w:val="Hyperlink"/>
                <w:noProof/>
              </w:rPr>
              <w:t>Data used in the assessment</w:t>
            </w:r>
            <w:r w:rsidR="00347EE5">
              <w:rPr>
                <w:noProof/>
                <w:webHidden/>
              </w:rPr>
              <w:tab/>
            </w:r>
            <w:r w:rsidR="00347EE5">
              <w:rPr>
                <w:noProof/>
                <w:webHidden/>
              </w:rPr>
              <w:fldChar w:fldCharType="begin"/>
            </w:r>
            <w:r w:rsidR="00347EE5">
              <w:rPr>
                <w:noProof/>
                <w:webHidden/>
              </w:rPr>
              <w:instrText xml:space="preserve"> PAGEREF _Toc149220463 \h </w:instrText>
            </w:r>
            <w:r w:rsidR="00347EE5">
              <w:rPr>
                <w:noProof/>
                <w:webHidden/>
              </w:rPr>
            </w:r>
            <w:r w:rsidR="00347EE5">
              <w:rPr>
                <w:noProof/>
                <w:webHidden/>
              </w:rPr>
              <w:fldChar w:fldCharType="separate"/>
            </w:r>
            <w:r w:rsidR="00347EE5">
              <w:rPr>
                <w:noProof/>
                <w:webHidden/>
              </w:rPr>
              <w:t>5</w:t>
            </w:r>
            <w:r w:rsidR="00347EE5">
              <w:rPr>
                <w:noProof/>
                <w:webHidden/>
              </w:rPr>
              <w:fldChar w:fldCharType="end"/>
            </w:r>
          </w:hyperlink>
        </w:p>
        <w:p w14:paraId="2FBAB325" w14:textId="42CB549E" w:rsidR="00347EE5"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9220464" w:history="1">
            <w:r w:rsidR="00347EE5" w:rsidRPr="00BE6D20">
              <w:rPr>
                <w:rStyle w:val="Hyperlink"/>
                <w:noProof/>
              </w:rPr>
              <w:t>Category and component expenses</w:t>
            </w:r>
            <w:r w:rsidR="00347EE5">
              <w:rPr>
                <w:noProof/>
                <w:webHidden/>
              </w:rPr>
              <w:tab/>
            </w:r>
            <w:r w:rsidR="00347EE5">
              <w:rPr>
                <w:noProof/>
                <w:webHidden/>
              </w:rPr>
              <w:fldChar w:fldCharType="begin"/>
            </w:r>
            <w:r w:rsidR="00347EE5">
              <w:rPr>
                <w:noProof/>
                <w:webHidden/>
              </w:rPr>
              <w:instrText xml:space="preserve"> PAGEREF _Toc149220464 \h </w:instrText>
            </w:r>
            <w:r w:rsidR="00347EE5">
              <w:rPr>
                <w:noProof/>
                <w:webHidden/>
              </w:rPr>
            </w:r>
            <w:r w:rsidR="00347EE5">
              <w:rPr>
                <w:noProof/>
                <w:webHidden/>
              </w:rPr>
              <w:fldChar w:fldCharType="separate"/>
            </w:r>
            <w:r w:rsidR="00347EE5">
              <w:rPr>
                <w:noProof/>
                <w:webHidden/>
              </w:rPr>
              <w:t>6</w:t>
            </w:r>
            <w:r w:rsidR="00347EE5">
              <w:rPr>
                <w:noProof/>
                <w:webHidden/>
              </w:rPr>
              <w:fldChar w:fldCharType="end"/>
            </w:r>
          </w:hyperlink>
        </w:p>
        <w:p w14:paraId="28775461" w14:textId="6D297214" w:rsidR="00347EE5"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9220465" w:history="1">
            <w:r w:rsidR="00347EE5" w:rsidRPr="00BE6D20">
              <w:rPr>
                <w:rStyle w:val="Hyperlink"/>
                <w:noProof/>
              </w:rPr>
              <w:t>GST distribution in the 2023 Update</w:t>
            </w:r>
            <w:r w:rsidR="00347EE5">
              <w:rPr>
                <w:noProof/>
                <w:webHidden/>
              </w:rPr>
              <w:tab/>
            </w:r>
            <w:r w:rsidR="00347EE5">
              <w:rPr>
                <w:noProof/>
                <w:webHidden/>
              </w:rPr>
              <w:fldChar w:fldCharType="begin"/>
            </w:r>
            <w:r w:rsidR="00347EE5">
              <w:rPr>
                <w:noProof/>
                <w:webHidden/>
              </w:rPr>
              <w:instrText xml:space="preserve"> PAGEREF _Toc149220465 \h </w:instrText>
            </w:r>
            <w:r w:rsidR="00347EE5">
              <w:rPr>
                <w:noProof/>
                <w:webHidden/>
              </w:rPr>
            </w:r>
            <w:r w:rsidR="00347EE5">
              <w:rPr>
                <w:noProof/>
                <w:webHidden/>
              </w:rPr>
              <w:fldChar w:fldCharType="separate"/>
            </w:r>
            <w:r w:rsidR="00347EE5">
              <w:rPr>
                <w:noProof/>
                <w:webHidden/>
              </w:rPr>
              <w:t>7</w:t>
            </w:r>
            <w:r w:rsidR="00347EE5">
              <w:rPr>
                <w:noProof/>
                <w:webHidden/>
              </w:rPr>
              <w:fldChar w:fldCharType="end"/>
            </w:r>
          </w:hyperlink>
        </w:p>
        <w:p w14:paraId="04ECE116" w14:textId="3344059A" w:rsidR="00347EE5" w:rsidRDefault="00000000">
          <w:pPr>
            <w:pStyle w:val="TOC2"/>
            <w:rPr>
              <w:rFonts w:asciiTheme="minorHAnsi" w:eastAsiaTheme="minorEastAsia" w:hAnsiTheme="minorHAnsi"/>
              <w:bCs w:val="0"/>
              <w:noProof/>
              <w:color w:val="auto"/>
              <w:kern w:val="2"/>
              <w:sz w:val="22"/>
              <w:szCs w:val="22"/>
              <w:lang w:eastAsia="en-AU"/>
              <w14:ligatures w14:val="standardContextual"/>
            </w:rPr>
          </w:pPr>
          <w:hyperlink w:anchor="_Toc149220466" w:history="1">
            <w:r w:rsidR="00347EE5" w:rsidRPr="00BE6D20">
              <w:rPr>
                <w:rStyle w:val="Hyperlink"/>
                <w:noProof/>
              </w:rPr>
              <w:t>What has changed since the 2020 Review?</w:t>
            </w:r>
            <w:r w:rsidR="00347EE5">
              <w:rPr>
                <w:noProof/>
                <w:webHidden/>
              </w:rPr>
              <w:tab/>
            </w:r>
            <w:r w:rsidR="00347EE5">
              <w:rPr>
                <w:noProof/>
                <w:webHidden/>
              </w:rPr>
              <w:fldChar w:fldCharType="begin"/>
            </w:r>
            <w:r w:rsidR="00347EE5">
              <w:rPr>
                <w:noProof/>
                <w:webHidden/>
              </w:rPr>
              <w:instrText xml:space="preserve"> PAGEREF _Toc149220466 \h </w:instrText>
            </w:r>
            <w:r w:rsidR="00347EE5">
              <w:rPr>
                <w:noProof/>
                <w:webHidden/>
              </w:rPr>
            </w:r>
            <w:r w:rsidR="00347EE5">
              <w:rPr>
                <w:noProof/>
                <w:webHidden/>
              </w:rPr>
              <w:fldChar w:fldCharType="separate"/>
            </w:r>
            <w:r w:rsidR="00347EE5">
              <w:rPr>
                <w:noProof/>
                <w:webHidden/>
              </w:rPr>
              <w:t>8</w:t>
            </w:r>
            <w:r w:rsidR="00347EE5">
              <w:rPr>
                <w:noProof/>
                <w:webHidden/>
              </w:rPr>
              <w:fldChar w:fldCharType="end"/>
            </w:r>
          </w:hyperlink>
        </w:p>
        <w:p w14:paraId="0E83C649" w14:textId="08218838" w:rsidR="00347EE5"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9220467" w:history="1">
            <w:r w:rsidR="00347EE5" w:rsidRPr="00BE6D20">
              <w:rPr>
                <w:rStyle w:val="Hyperlink"/>
                <w:noProof/>
              </w:rPr>
              <w:t>Increased demand for child protection and family services</w:t>
            </w:r>
            <w:r w:rsidR="00347EE5">
              <w:rPr>
                <w:noProof/>
                <w:webHidden/>
              </w:rPr>
              <w:tab/>
            </w:r>
            <w:r w:rsidR="00347EE5">
              <w:rPr>
                <w:noProof/>
                <w:webHidden/>
              </w:rPr>
              <w:fldChar w:fldCharType="begin"/>
            </w:r>
            <w:r w:rsidR="00347EE5">
              <w:rPr>
                <w:noProof/>
                <w:webHidden/>
              </w:rPr>
              <w:instrText xml:space="preserve"> PAGEREF _Toc149220467 \h </w:instrText>
            </w:r>
            <w:r w:rsidR="00347EE5">
              <w:rPr>
                <w:noProof/>
                <w:webHidden/>
              </w:rPr>
            </w:r>
            <w:r w:rsidR="00347EE5">
              <w:rPr>
                <w:noProof/>
                <w:webHidden/>
              </w:rPr>
              <w:fldChar w:fldCharType="separate"/>
            </w:r>
            <w:r w:rsidR="00347EE5">
              <w:rPr>
                <w:noProof/>
                <w:webHidden/>
              </w:rPr>
              <w:t>8</w:t>
            </w:r>
            <w:r w:rsidR="00347EE5">
              <w:rPr>
                <w:noProof/>
                <w:webHidden/>
              </w:rPr>
              <w:fldChar w:fldCharType="end"/>
            </w:r>
          </w:hyperlink>
        </w:p>
        <w:p w14:paraId="705AA852" w14:textId="128DC441" w:rsidR="00347EE5"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9220468" w:history="1">
            <w:r w:rsidR="00347EE5" w:rsidRPr="00BE6D20">
              <w:rPr>
                <w:rStyle w:val="Hyperlink"/>
                <w:noProof/>
              </w:rPr>
              <w:t>Expansion of state government concession programs</w:t>
            </w:r>
            <w:r w:rsidR="00347EE5">
              <w:rPr>
                <w:noProof/>
                <w:webHidden/>
              </w:rPr>
              <w:tab/>
            </w:r>
            <w:r w:rsidR="00347EE5">
              <w:rPr>
                <w:noProof/>
                <w:webHidden/>
              </w:rPr>
              <w:fldChar w:fldCharType="begin"/>
            </w:r>
            <w:r w:rsidR="00347EE5">
              <w:rPr>
                <w:noProof/>
                <w:webHidden/>
              </w:rPr>
              <w:instrText xml:space="preserve"> PAGEREF _Toc149220468 \h </w:instrText>
            </w:r>
            <w:r w:rsidR="00347EE5">
              <w:rPr>
                <w:noProof/>
                <w:webHidden/>
              </w:rPr>
            </w:r>
            <w:r w:rsidR="00347EE5">
              <w:rPr>
                <w:noProof/>
                <w:webHidden/>
              </w:rPr>
              <w:fldChar w:fldCharType="separate"/>
            </w:r>
            <w:r w:rsidR="00347EE5">
              <w:rPr>
                <w:noProof/>
                <w:webHidden/>
              </w:rPr>
              <w:t>8</w:t>
            </w:r>
            <w:r w:rsidR="00347EE5">
              <w:rPr>
                <w:noProof/>
                <w:webHidden/>
              </w:rPr>
              <w:fldChar w:fldCharType="end"/>
            </w:r>
          </w:hyperlink>
        </w:p>
        <w:p w14:paraId="60F84EC5" w14:textId="61F9B163" w:rsidR="00347EE5"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9220469" w:history="1">
            <w:r w:rsidR="00347EE5" w:rsidRPr="00BE6D20">
              <w:rPr>
                <w:rStyle w:val="Hyperlink"/>
                <w:noProof/>
              </w:rPr>
              <w:t>Full implementation of the NDIS, and simplified data collection</w:t>
            </w:r>
            <w:r w:rsidR="00347EE5">
              <w:rPr>
                <w:noProof/>
                <w:webHidden/>
              </w:rPr>
              <w:tab/>
            </w:r>
            <w:r w:rsidR="00347EE5">
              <w:rPr>
                <w:noProof/>
                <w:webHidden/>
              </w:rPr>
              <w:fldChar w:fldCharType="begin"/>
            </w:r>
            <w:r w:rsidR="00347EE5">
              <w:rPr>
                <w:noProof/>
                <w:webHidden/>
              </w:rPr>
              <w:instrText xml:space="preserve"> PAGEREF _Toc149220469 \h </w:instrText>
            </w:r>
            <w:r w:rsidR="00347EE5">
              <w:rPr>
                <w:noProof/>
                <w:webHidden/>
              </w:rPr>
            </w:r>
            <w:r w:rsidR="00347EE5">
              <w:rPr>
                <w:noProof/>
                <w:webHidden/>
              </w:rPr>
              <w:fldChar w:fldCharType="separate"/>
            </w:r>
            <w:r w:rsidR="00347EE5">
              <w:rPr>
                <w:noProof/>
                <w:webHidden/>
              </w:rPr>
              <w:t>8</w:t>
            </w:r>
            <w:r w:rsidR="00347EE5">
              <w:rPr>
                <w:noProof/>
                <w:webHidden/>
              </w:rPr>
              <w:fldChar w:fldCharType="end"/>
            </w:r>
          </w:hyperlink>
        </w:p>
        <w:p w14:paraId="30F2B482" w14:textId="7779B7D7" w:rsidR="00347EE5"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9220470" w:history="1">
            <w:r w:rsidR="00347EE5" w:rsidRPr="00BE6D20">
              <w:rPr>
                <w:rStyle w:val="Hyperlink"/>
                <w:noProof/>
              </w:rPr>
              <w:t>Increased spending and new data on homelessness services use</w:t>
            </w:r>
            <w:r w:rsidR="00347EE5">
              <w:rPr>
                <w:noProof/>
                <w:webHidden/>
              </w:rPr>
              <w:tab/>
            </w:r>
            <w:r w:rsidR="00347EE5">
              <w:rPr>
                <w:noProof/>
                <w:webHidden/>
              </w:rPr>
              <w:fldChar w:fldCharType="begin"/>
            </w:r>
            <w:r w:rsidR="00347EE5">
              <w:rPr>
                <w:noProof/>
                <w:webHidden/>
              </w:rPr>
              <w:instrText xml:space="preserve"> PAGEREF _Toc149220470 \h </w:instrText>
            </w:r>
            <w:r w:rsidR="00347EE5">
              <w:rPr>
                <w:noProof/>
                <w:webHidden/>
              </w:rPr>
            </w:r>
            <w:r w:rsidR="00347EE5">
              <w:rPr>
                <w:noProof/>
                <w:webHidden/>
              </w:rPr>
              <w:fldChar w:fldCharType="separate"/>
            </w:r>
            <w:r w:rsidR="00347EE5">
              <w:rPr>
                <w:noProof/>
                <w:webHidden/>
              </w:rPr>
              <w:t>9</w:t>
            </w:r>
            <w:r w:rsidR="00347EE5">
              <w:rPr>
                <w:noProof/>
                <w:webHidden/>
              </w:rPr>
              <w:fldChar w:fldCharType="end"/>
            </w:r>
          </w:hyperlink>
        </w:p>
        <w:p w14:paraId="6A03AA01" w14:textId="393AAFAE" w:rsidR="00347EE5" w:rsidRDefault="00000000">
          <w:pPr>
            <w:pStyle w:val="TOC2"/>
            <w:rPr>
              <w:rFonts w:asciiTheme="minorHAnsi" w:eastAsiaTheme="minorEastAsia" w:hAnsiTheme="minorHAnsi"/>
              <w:bCs w:val="0"/>
              <w:noProof/>
              <w:color w:val="auto"/>
              <w:kern w:val="2"/>
              <w:sz w:val="22"/>
              <w:szCs w:val="22"/>
              <w:lang w:eastAsia="en-AU"/>
              <w14:ligatures w14:val="standardContextual"/>
            </w:rPr>
          </w:pPr>
          <w:hyperlink w:anchor="_Toc149220471" w:history="1">
            <w:r w:rsidR="00347EE5" w:rsidRPr="00BE6D20">
              <w:rPr>
                <w:rStyle w:val="Hyperlink"/>
                <w:noProof/>
              </w:rPr>
              <w:t>Implications for assessment</w:t>
            </w:r>
            <w:r w:rsidR="00347EE5">
              <w:rPr>
                <w:noProof/>
                <w:webHidden/>
              </w:rPr>
              <w:tab/>
            </w:r>
            <w:r w:rsidR="00347EE5">
              <w:rPr>
                <w:noProof/>
                <w:webHidden/>
              </w:rPr>
              <w:fldChar w:fldCharType="begin"/>
            </w:r>
            <w:r w:rsidR="00347EE5">
              <w:rPr>
                <w:noProof/>
                <w:webHidden/>
              </w:rPr>
              <w:instrText xml:space="preserve"> PAGEREF _Toc149220471 \h </w:instrText>
            </w:r>
            <w:r w:rsidR="00347EE5">
              <w:rPr>
                <w:noProof/>
                <w:webHidden/>
              </w:rPr>
            </w:r>
            <w:r w:rsidR="00347EE5">
              <w:rPr>
                <w:noProof/>
                <w:webHidden/>
              </w:rPr>
              <w:fldChar w:fldCharType="separate"/>
            </w:r>
            <w:r w:rsidR="00347EE5">
              <w:rPr>
                <w:noProof/>
                <w:webHidden/>
              </w:rPr>
              <w:t>9</w:t>
            </w:r>
            <w:r w:rsidR="00347EE5">
              <w:rPr>
                <w:noProof/>
                <w:webHidden/>
              </w:rPr>
              <w:fldChar w:fldCharType="end"/>
            </w:r>
          </w:hyperlink>
        </w:p>
        <w:p w14:paraId="299DCCD8" w14:textId="7C9FCE4D" w:rsidR="00347EE5"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9220472" w:history="1">
            <w:r w:rsidR="00347EE5" w:rsidRPr="00BE6D20">
              <w:rPr>
                <w:rStyle w:val="Hyperlink"/>
                <w:noProof/>
              </w:rPr>
              <w:t>The full implementation of the NDIS can simplify data collection</w:t>
            </w:r>
            <w:r w:rsidR="00347EE5">
              <w:rPr>
                <w:noProof/>
                <w:webHidden/>
              </w:rPr>
              <w:tab/>
            </w:r>
            <w:r w:rsidR="00347EE5">
              <w:rPr>
                <w:noProof/>
                <w:webHidden/>
              </w:rPr>
              <w:fldChar w:fldCharType="begin"/>
            </w:r>
            <w:r w:rsidR="00347EE5">
              <w:rPr>
                <w:noProof/>
                <w:webHidden/>
              </w:rPr>
              <w:instrText xml:space="preserve"> PAGEREF _Toc149220472 \h </w:instrText>
            </w:r>
            <w:r w:rsidR="00347EE5">
              <w:rPr>
                <w:noProof/>
                <w:webHidden/>
              </w:rPr>
            </w:r>
            <w:r w:rsidR="00347EE5">
              <w:rPr>
                <w:noProof/>
                <w:webHidden/>
              </w:rPr>
              <w:fldChar w:fldCharType="separate"/>
            </w:r>
            <w:r w:rsidR="00347EE5">
              <w:rPr>
                <w:noProof/>
                <w:webHidden/>
              </w:rPr>
              <w:t>10</w:t>
            </w:r>
            <w:r w:rsidR="00347EE5">
              <w:rPr>
                <w:noProof/>
                <w:webHidden/>
              </w:rPr>
              <w:fldChar w:fldCharType="end"/>
            </w:r>
          </w:hyperlink>
        </w:p>
        <w:p w14:paraId="25C84433" w14:textId="5496BAFE" w:rsidR="00347EE5"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9220473" w:history="1">
            <w:r w:rsidR="00347EE5" w:rsidRPr="00BE6D20">
              <w:rPr>
                <w:rStyle w:val="Hyperlink"/>
                <w:noProof/>
              </w:rPr>
              <w:t>Developing a homelessness services assessment</w:t>
            </w:r>
            <w:r w:rsidR="00347EE5">
              <w:rPr>
                <w:noProof/>
                <w:webHidden/>
              </w:rPr>
              <w:tab/>
            </w:r>
            <w:r w:rsidR="00347EE5">
              <w:rPr>
                <w:noProof/>
                <w:webHidden/>
              </w:rPr>
              <w:fldChar w:fldCharType="begin"/>
            </w:r>
            <w:r w:rsidR="00347EE5">
              <w:rPr>
                <w:noProof/>
                <w:webHidden/>
              </w:rPr>
              <w:instrText xml:space="preserve"> PAGEREF _Toc149220473 \h </w:instrText>
            </w:r>
            <w:r w:rsidR="00347EE5">
              <w:rPr>
                <w:noProof/>
                <w:webHidden/>
              </w:rPr>
            </w:r>
            <w:r w:rsidR="00347EE5">
              <w:rPr>
                <w:noProof/>
                <w:webHidden/>
              </w:rPr>
              <w:fldChar w:fldCharType="separate"/>
            </w:r>
            <w:r w:rsidR="00347EE5">
              <w:rPr>
                <w:noProof/>
                <w:webHidden/>
              </w:rPr>
              <w:t>10</w:t>
            </w:r>
            <w:r w:rsidR="00347EE5">
              <w:rPr>
                <w:noProof/>
                <w:webHidden/>
              </w:rPr>
              <w:fldChar w:fldCharType="end"/>
            </w:r>
          </w:hyperlink>
        </w:p>
        <w:p w14:paraId="0EED282E" w14:textId="6F980DDD" w:rsidR="00347EE5"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9220474" w:history="1">
            <w:r w:rsidR="00347EE5" w:rsidRPr="00BE6D20">
              <w:rPr>
                <w:rStyle w:val="Hyperlink"/>
                <w:noProof/>
              </w:rPr>
              <w:t>Simplifying the assessment by combining other welfare and non-NDIS disability services, aged care, and the National Redress Scheme</w:t>
            </w:r>
            <w:r w:rsidR="00347EE5">
              <w:rPr>
                <w:noProof/>
                <w:webHidden/>
              </w:rPr>
              <w:tab/>
            </w:r>
            <w:r w:rsidR="00347EE5">
              <w:rPr>
                <w:noProof/>
                <w:webHidden/>
              </w:rPr>
              <w:fldChar w:fldCharType="begin"/>
            </w:r>
            <w:r w:rsidR="00347EE5">
              <w:rPr>
                <w:noProof/>
                <w:webHidden/>
              </w:rPr>
              <w:instrText xml:space="preserve"> PAGEREF _Toc149220474 \h </w:instrText>
            </w:r>
            <w:r w:rsidR="00347EE5">
              <w:rPr>
                <w:noProof/>
                <w:webHidden/>
              </w:rPr>
            </w:r>
            <w:r w:rsidR="00347EE5">
              <w:rPr>
                <w:noProof/>
                <w:webHidden/>
              </w:rPr>
              <w:fldChar w:fldCharType="separate"/>
            </w:r>
            <w:r w:rsidR="00347EE5">
              <w:rPr>
                <w:noProof/>
                <w:webHidden/>
              </w:rPr>
              <w:t>14</w:t>
            </w:r>
            <w:r w:rsidR="00347EE5">
              <w:rPr>
                <w:noProof/>
                <w:webHidden/>
              </w:rPr>
              <w:fldChar w:fldCharType="end"/>
            </w:r>
          </w:hyperlink>
        </w:p>
        <w:p w14:paraId="3B2B2369" w14:textId="50C41BCB" w:rsidR="00347EE5" w:rsidRDefault="00000000">
          <w:pPr>
            <w:pStyle w:val="TOC2"/>
            <w:rPr>
              <w:rFonts w:asciiTheme="minorHAnsi" w:eastAsiaTheme="minorEastAsia" w:hAnsiTheme="minorHAnsi"/>
              <w:bCs w:val="0"/>
              <w:noProof/>
              <w:color w:val="auto"/>
              <w:kern w:val="2"/>
              <w:sz w:val="22"/>
              <w:szCs w:val="22"/>
              <w:lang w:eastAsia="en-AU"/>
              <w14:ligatures w14:val="standardContextual"/>
            </w:rPr>
          </w:pPr>
          <w:hyperlink w:anchor="_Toc149220475" w:history="1">
            <w:r w:rsidR="00347EE5" w:rsidRPr="00BE6D20">
              <w:rPr>
                <w:rStyle w:val="Hyperlink"/>
                <w:noProof/>
              </w:rPr>
              <w:t>Proposed assessment</w:t>
            </w:r>
            <w:r w:rsidR="00347EE5">
              <w:rPr>
                <w:noProof/>
                <w:webHidden/>
              </w:rPr>
              <w:tab/>
            </w:r>
            <w:r w:rsidR="00347EE5">
              <w:rPr>
                <w:noProof/>
                <w:webHidden/>
              </w:rPr>
              <w:fldChar w:fldCharType="begin"/>
            </w:r>
            <w:r w:rsidR="00347EE5">
              <w:rPr>
                <w:noProof/>
                <w:webHidden/>
              </w:rPr>
              <w:instrText xml:space="preserve"> PAGEREF _Toc149220475 \h </w:instrText>
            </w:r>
            <w:r w:rsidR="00347EE5">
              <w:rPr>
                <w:noProof/>
                <w:webHidden/>
              </w:rPr>
            </w:r>
            <w:r w:rsidR="00347EE5">
              <w:rPr>
                <w:noProof/>
                <w:webHidden/>
              </w:rPr>
              <w:fldChar w:fldCharType="separate"/>
            </w:r>
            <w:r w:rsidR="00347EE5">
              <w:rPr>
                <w:noProof/>
                <w:webHidden/>
              </w:rPr>
              <w:t>16</w:t>
            </w:r>
            <w:r w:rsidR="00347EE5">
              <w:rPr>
                <w:noProof/>
                <w:webHidden/>
              </w:rPr>
              <w:fldChar w:fldCharType="end"/>
            </w:r>
          </w:hyperlink>
        </w:p>
        <w:p w14:paraId="00FA3D8D" w14:textId="2377A0DE" w:rsidR="00347EE5"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9220476" w:history="1">
            <w:r w:rsidR="00347EE5" w:rsidRPr="00BE6D20">
              <w:rPr>
                <w:rStyle w:val="Hyperlink"/>
                <w:noProof/>
              </w:rPr>
              <w:t>Differences from the 2020 Review approach</w:t>
            </w:r>
            <w:r w:rsidR="00347EE5">
              <w:rPr>
                <w:noProof/>
                <w:webHidden/>
              </w:rPr>
              <w:tab/>
            </w:r>
            <w:r w:rsidR="00347EE5">
              <w:rPr>
                <w:noProof/>
                <w:webHidden/>
              </w:rPr>
              <w:fldChar w:fldCharType="begin"/>
            </w:r>
            <w:r w:rsidR="00347EE5">
              <w:rPr>
                <w:noProof/>
                <w:webHidden/>
              </w:rPr>
              <w:instrText xml:space="preserve"> PAGEREF _Toc149220476 \h </w:instrText>
            </w:r>
            <w:r w:rsidR="00347EE5">
              <w:rPr>
                <w:noProof/>
                <w:webHidden/>
              </w:rPr>
            </w:r>
            <w:r w:rsidR="00347EE5">
              <w:rPr>
                <w:noProof/>
                <w:webHidden/>
              </w:rPr>
              <w:fldChar w:fldCharType="separate"/>
            </w:r>
            <w:r w:rsidR="00347EE5">
              <w:rPr>
                <w:noProof/>
                <w:webHidden/>
              </w:rPr>
              <w:t>16</w:t>
            </w:r>
            <w:r w:rsidR="00347EE5">
              <w:rPr>
                <w:noProof/>
                <w:webHidden/>
              </w:rPr>
              <w:fldChar w:fldCharType="end"/>
            </w:r>
          </w:hyperlink>
        </w:p>
        <w:p w14:paraId="1B180BDD" w14:textId="5CC3A60F" w:rsidR="00347EE5"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9220477" w:history="1">
            <w:r w:rsidR="00347EE5" w:rsidRPr="00BE6D20">
              <w:rPr>
                <w:rStyle w:val="Hyperlink"/>
                <w:noProof/>
              </w:rPr>
              <w:t>Proposed assessment structure</w:t>
            </w:r>
            <w:r w:rsidR="00347EE5">
              <w:rPr>
                <w:noProof/>
                <w:webHidden/>
              </w:rPr>
              <w:tab/>
            </w:r>
            <w:r w:rsidR="00347EE5">
              <w:rPr>
                <w:noProof/>
                <w:webHidden/>
              </w:rPr>
              <w:fldChar w:fldCharType="begin"/>
            </w:r>
            <w:r w:rsidR="00347EE5">
              <w:rPr>
                <w:noProof/>
                <w:webHidden/>
              </w:rPr>
              <w:instrText xml:space="preserve"> PAGEREF _Toc149220477 \h </w:instrText>
            </w:r>
            <w:r w:rsidR="00347EE5">
              <w:rPr>
                <w:noProof/>
                <w:webHidden/>
              </w:rPr>
            </w:r>
            <w:r w:rsidR="00347EE5">
              <w:rPr>
                <w:noProof/>
                <w:webHidden/>
              </w:rPr>
              <w:fldChar w:fldCharType="separate"/>
            </w:r>
            <w:r w:rsidR="00347EE5">
              <w:rPr>
                <w:noProof/>
                <w:webHidden/>
              </w:rPr>
              <w:t>16</w:t>
            </w:r>
            <w:r w:rsidR="00347EE5">
              <w:rPr>
                <w:noProof/>
                <w:webHidden/>
              </w:rPr>
              <w:fldChar w:fldCharType="end"/>
            </w:r>
          </w:hyperlink>
        </w:p>
        <w:p w14:paraId="048BD543" w14:textId="7A2D7B29" w:rsidR="00347EE5" w:rsidRDefault="00000000">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9220478" w:history="1">
            <w:r w:rsidR="00347EE5" w:rsidRPr="00BE6D20">
              <w:rPr>
                <w:rStyle w:val="Hyperlink"/>
                <w:noProof/>
              </w:rPr>
              <w:t>New data requirements</w:t>
            </w:r>
            <w:r w:rsidR="00347EE5">
              <w:rPr>
                <w:noProof/>
                <w:webHidden/>
              </w:rPr>
              <w:tab/>
            </w:r>
            <w:r w:rsidR="00347EE5">
              <w:rPr>
                <w:noProof/>
                <w:webHidden/>
              </w:rPr>
              <w:fldChar w:fldCharType="begin"/>
            </w:r>
            <w:r w:rsidR="00347EE5">
              <w:rPr>
                <w:noProof/>
                <w:webHidden/>
              </w:rPr>
              <w:instrText xml:space="preserve"> PAGEREF _Toc149220478 \h </w:instrText>
            </w:r>
            <w:r w:rsidR="00347EE5">
              <w:rPr>
                <w:noProof/>
                <w:webHidden/>
              </w:rPr>
            </w:r>
            <w:r w:rsidR="00347EE5">
              <w:rPr>
                <w:noProof/>
                <w:webHidden/>
              </w:rPr>
              <w:fldChar w:fldCharType="separate"/>
            </w:r>
            <w:r w:rsidR="00347EE5">
              <w:rPr>
                <w:noProof/>
                <w:webHidden/>
              </w:rPr>
              <w:t>17</w:t>
            </w:r>
            <w:r w:rsidR="00347EE5">
              <w:rPr>
                <w:noProof/>
                <w:webHidden/>
              </w:rPr>
              <w:fldChar w:fldCharType="end"/>
            </w:r>
          </w:hyperlink>
        </w:p>
        <w:p w14:paraId="03811E42" w14:textId="30C36C66" w:rsidR="00347EE5" w:rsidRDefault="00000000">
          <w:pPr>
            <w:pStyle w:val="TOC2"/>
            <w:rPr>
              <w:rFonts w:asciiTheme="minorHAnsi" w:eastAsiaTheme="minorEastAsia" w:hAnsiTheme="minorHAnsi"/>
              <w:bCs w:val="0"/>
              <w:noProof/>
              <w:color w:val="auto"/>
              <w:kern w:val="2"/>
              <w:sz w:val="22"/>
              <w:szCs w:val="22"/>
              <w:lang w:eastAsia="en-AU"/>
              <w14:ligatures w14:val="standardContextual"/>
            </w:rPr>
          </w:pPr>
          <w:hyperlink w:anchor="_Toc149220479" w:history="1">
            <w:r w:rsidR="00347EE5" w:rsidRPr="00BE6D20">
              <w:rPr>
                <w:rStyle w:val="Hyperlink"/>
                <w:noProof/>
              </w:rPr>
              <w:t>Consultation</w:t>
            </w:r>
            <w:r w:rsidR="00347EE5">
              <w:rPr>
                <w:noProof/>
                <w:webHidden/>
              </w:rPr>
              <w:tab/>
            </w:r>
            <w:r w:rsidR="00347EE5">
              <w:rPr>
                <w:noProof/>
                <w:webHidden/>
              </w:rPr>
              <w:fldChar w:fldCharType="begin"/>
            </w:r>
            <w:r w:rsidR="00347EE5">
              <w:rPr>
                <w:noProof/>
                <w:webHidden/>
              </w:rPr>
              <w:instrText xml:space="preserve"> PAGEREF _Toc149220479 \h </w:instrText>
            </w:r>
            <w:r w:rsidR="00347EE5">
              <w:rPr>
                <w:noProof/>
                <w:webHidden/>
              </w:rPr>
            </w:r>
            <w:r w:rsidR="00347EE5">
              <w:rPr>
                <w:noProof/>
                <w:webHidden/>
              </w:rPr>
              <w:fldChar w:fldCharType="separate"/>
            </w:r>
            <w:r w:rsidR="00347EE5">
              <w:rPr>
                <w:noProof/>
                <w:webHidden/>
              </w:rPr>
              <w:t>17</w:t>
            </w:r>
            <w:r w:rsidR="00347EE5">
              <w:rPr>
                <w:noProof/>
                <w:webHidden/>
              </w:rPr>
              <w:fldChar w:fldCharType="end"/>
            </w:r>
          </w:hyperlink>
        </w:p>
        <w:p w14:paraId="5EC77BDE" w14:textId="0B727A92" w:rsidR="005B6B61" w:rsidRDefault="005B6B61">
          <w:r>
            <w:rPr>
              <w:b/>
              <w:bCs/>
              <w:noProof/>
            </w:rPr>
            <w:fldChar w:fldCharType="end"/>
          </w:r>
        </w:p>
      </w:sdtContent>
    </w:sdt>
    <w:p w14:paraId="25E7DEDF" w14:textId="77777777" w:rsidR="00693888" w:rsidRPr="00DF1879" w:rsidRDefault="00693888" w:rsidP="00DF1879">
      <w:r>
        <w:br w:type="page"/>
      </w:r>
    </w:p>
    <w:p w14:paraId="4B5DE814" w14:textId="0B3DAB37" w:rsidR="00A5102B" w:rsidRPr="007C4D64" w:rsidRDefault="00C53513" w:rsidP="00CA1C2C">
      <w:pPr>
        <w:pStyle w:val="Heading2"/>
      </w:pPr>
      <w:bookmarkStart w:id="1" w:name="_Toc133236145"/>
      <w:bookmarkStart w:id="2" w:name="_Toc133236171"/>
      <w:bookmarkStart w:id="3" w:name="_Toc148970783"/>
      <w:bookmarkStart w:id="4" w:name="_Toc149220461"/>
      <w:r>
        <w:lastRenderedPageBreak/>
        <w:t>Overview of category</w:t>
      </w:r>
      <w:bookmarkEnd w:id="1"/>
      <w:bookmarkEnd w:id="2"/>
      <w:bookmarkEnd w:id="3"/>
      <w:bookmarkEnd w:id="4"/>
    </w:p>
    <w:p w14:paraId="6C9D23A6" w14:textId="5182436E" w:rsidR="007C124F" w:rsidRPr="00A60CF4" w:rsidRDefault="002F1D8B" w:rsidP="004477FF">
      <w:pPr>
        <w:pStyle w:val="CGC2025ParaNumbers"/>
      </w:pPr>
      <w:r>
        <w:t>The welfare assessment has 5 components</w:t>
      </w:r>
      <w:r w:rsidR="584E2790">
        <w:t>. They are</w:t>
      </w:r>
      <w:r>
        <w:t>:</w:t>
      </w:r>
    </w:p>
    <w:p w14:paraId="6C2AB5A6" w14:textId="23674760" w:rsidR="00F86ED1" w:rsidRPr="00F86ED1" w:rsidRDefault="00F86ED1" w:rsidP="00F86ED1">
      <w:pPr>
        <w:pStyle w:val="CGC2025Bullet1"/>
      </w:pPr>
      <w:r>
        <w:t xml:space="preserve">state </w:t>
      </w:r>
      <w:r w:rsidR="00C06356">
        <w:t>and territory (state)</w:t>
      </w:r>
      <w:r>
        <w:t xml:space="preserve"> expenditure associated with child protection and family services, which </w:t>
      </w:r>
      <w:r w:rsidR="22075E1D">
        <w:t>consists</w:t>
      </w:r>
      <w:r>
        <w:t xml:space="preserve"> of child protection and out-of-home </w:t>
      </w:r>
      <w:proofErr w:type="gramStart"/>
      <w:r>
        <w:t>care</w:t>
      </w:r>
      <w:proofErr w:type="gramEnd"/>
      <w:r>
        <w:t xml:space="preserve"> </w:t>
      </w:r>
    </w:p>
    <w:p w14:paraId="1C3CF449" w14:textId="77777777" w:rsidR="00FC42C9" w:rsidRDefault="00F86ED1" w:rsidP="00A60CF4">
      <w:pPr>
        <w:pStyle w:val="CGC2025Bullet1"/>
      </w:pPr>
      <w:r>
        <w:t>state funding contributions to the National Disability Insurance Scheme (NDIS)</w:t>
      </w:r>
    </w:p>
    <w:p w14:paraId="53DC4A99" w14:textId="5A6B3C68" w:rsidR="00FC42C9" w:rsidRDefault="3F599082" w:rsidP="00A60CF4">
      <w:pPr>
        <w:pStyle w:val="CGC2025Bullet1"/>
      </w:pPr>
      <w:r>
        <w:t>n</w:t>
      </w:r>
      <w:r w:rsidR="00FC42C9">
        <w:t>on-NDIS disability service expenditure, state expenditure on aged care, and the National Redress Scheme for Institutional Child Sexual Abuse</w:t>
      </w:r>
      <w:r w:rsidR="0059275C">
        <w:t xml:space="preserve"> (National Redress Scheme)</w:t>
      </w:r>
    </w:p>
    <w:p w14:paraId="741C2DFB" w14:textId="03779B09" w:rsidR="00FC42C9" w:rsidRDefault="00FC42C9" w:rsidP="00A60CF4">
      <w:pPr>
        <w:pStyle w:val="CGC2025Bullet1"/>
      </w:pPr>
      <w:r>
        <w:t>concessions (excluding transport concessions)</w:t>
      </w:r>
      <w:r w:rsidR="0022267F">
        <w:t xml:space="preserve"> for pensioner and health card holders on electricity</w:t>
      </w:r>
      <w:r w:rsidR="00F55F20">
        <w:t xml:space="preserve"> and other energy,</w:t>
      </w:r>
      <w:r w:rsidR="0022267F">
        <w:t xml:space="preserve"> water </w:t>
      </w:r>
      <w:r w:rsidR="00F55F20">
        <w:t>and wastewater, rates</w:t>
      </w:r>
      <w:r w:rsidR="5687362A">
        <w:t>,</w:t>
      </w:r>
      <w:r w:rsidR="00F55F20">
        <w:t xml:space="preserve"> and other low-income </w:t>
      </w:r>
      <w:proofErr w:type="gramStart"/>
      <w:r w:rsidR="00F55F20">
        <w:t>concessions</w:t>
      </w:r>
      <w:proofErr w:type="gramEnd"/>
    </w:p>
    <w:p w14:paraId="636D9615" w14:textId="4FE7A623" w:rsidR="007C124F" w:rsidRPr="00927945" w:rsidRDefault="00FC42C9" w:rsidP="00A60CF4">
      <w:pPr>
        <w:pStyle w:val="CGC2025Bullet1"/>
      </w:pPr>
      <w:r>
        <w:t>other welfare services including homelessness assistance, women’s shelters, and information funding and referral services.</w:t>
      </w:r>
    </w:p>
    <w:p w14:paraId="3700624B" w14:textId="076FB8A8" w:rsidR="00A60B7F" w:rsidRPr="00904786" w:rsidRDefault="00A60B7F" w:rsidP="00A60B7F">
      <w:pPr>
        <w:pStyle w:val="Heading2"/>
      </w:pPr>
      <w:bookmarkStart w:id="5" w:name="_Toc121741483"/>
      <w:bookmarkStart w:id="6" w:name="_Toc139355296"/>
      <w:bookmarkStart w:id="7" w:name="_Toc148970784"/>
      <w:bookmarkStart w:id="8" w:name="_Toc149220462"/>
      <w:r>
        <w:t>Current assessment method</w:t>
      </w:r>
      <w:bookmarkEnd w:id="5"/>
      <w:r>
        <w:t xml:space="preserve"> – 2020 Review</w:t>
      </w:r>
      <w:bookmarkEnd w:id="6"/>
      <w:bookmarkEnd w:id="7"/>
      <w:bookmarkEnd w:id="8"/>
    </w:p>
    <w:p w14:paraId="40807259" w14:textId="13BEB4CF" w:rsidR="00131234" w:rsidRDefault="00131234" w:rsidP="00B95D96">
      <w:pPr>
        <w:pStyle w:val="CGC2025ParaNumbers"/>
      </w:pPr>
      <w:bookmarkStart w:id="9" w:name="_Toc133236147"/>
      <w:bookmarkStart w:id="10" w:name="_Toc133236173"/>
      <w:r>
        <w:t>Each of the</w:t>
      </w:r>
      <w:r w:rsidR="000A1EDB">
        <w:t xml:space="preserve"> 5 components </w:t>
      </w:r>
      <w:r w:rsidR="00044346">
        <w:t xml:space="preserve">assessments </w:t>
      </w:r>
      <w:r w:rsidR="006968B7">
        <w:t xml:space="preserve">has </w:t>
      </w:r>
      <w:r w:rsidR="00044346">
        <w:t xml:space="preserve">a unique </w:t>
      </w:r>
      <w:r w:rsidR="00642AEA">
        <w:t>assessment method</w:t>
      </w:r>
      <w:r w:rsidR="008026E9">
        <w:t>.</w:t>
      </w:r>
    </w:p>
    <w:p w14:paraId="4C3A5628" w14:textId="4ADAFC85" w:rsidR="00F041EB" w:rsidRDefault="00AF5754" w:rsidP="00127858">
      <w:pPr>
        <w:pStyle w:val="Heading4"/>
      </w:pPr>
      <w:r>
        <w:t>Child protection and family services</w:t>
      </w:r>
    </w:p>
    <w:p w14:paraId="0A23A377" w14:textId="190BB203" w:rsidR="007030B4" w:rsidRPr="007D3EE7" w:rsidRDefault="007030B4" w:rsidP="00B95D96">
      <w:pPr>
        <w:pStyle w:val="CGC2025ParaNumbers"/>
      </w:pPr>
      <w:r>
        <w:t xml:space="preserve">The </w:t>
      </w:r>
      <w:r w:rsidR="00C04B91">
        <w:t>c</w:t>
      </w:r>
      <w:r>
        <w:t xml:space="preserve">hild protection and family services assessment </w:t>
      </w:r>
      <w:bookmarkStart w:id="11" w:name="_Int_sZNikEny"/>
      <w:proofErr w:type="gramStart"/>
      <w:r>
        <w:t>recognises</w:t>
      </w:r>
      <w:bookmarkEnd w:id="11"/>
      <w:proofErr w:type="gramEnd"/>
      <w:r>
        <w:t xml:space="preserve"> that the </w:t>
      </w:r>
      <w:r w:rsidR="00B77DAE">
        <w:t xml:space="preserve">use and </w:t>
      </w:r>
      <w:r>
        <w:t>cost of provi</w:t>
      </w:r>
      <w:r w:rsidR="00A164EF">
        <w:t>ding these services is influenced by:</w:t>
      </w:r>
    </w:p>
    <w:p w14:paraId="4FE4221C" w14:textId="1159BBD6" w:rsidR="00EE4379" w:rsidRDefault="007E71EC" w:rsidP="00B126BA">
      <w:pPr>
        <w:pStyle w:val="CGC2025Bullet1"/>
      </w:pPr>
      <w:r>
        <w:t xml:space="preserve">the </w:t>
      </w:r>
      <w:r w:rsidR="009D15D1">
        <w:t>socio</w:t>
      </w:r>
      <w:r w:rsidR="00443C37">
        <w:t>-</w:t>
      </w:r>
      <w:r w:rsidR="009D15D1">
        <w:t>demographic composition of</w:t>
      </w:r>
      <w:r w:rsidR="006D26BD">
        <w:t xml:space="preserve"> </w:t>
      </w:r>
      <w:r w:rsidR="00FC1044">
        <w:t xml:space="preserve">each </w:t>
      </w:r>
      <w:r w:rsidR="005B0A87">
        <w:t>state’s</w:t>
      </w:r>
      <w:r w:rsidR="00FC1044">
        <w:t xml:space="preserve"> </w:t>
      </w:r>
      <w:r w:rsidR="006D26BD">
        <w:t xml:space="preserve">population </w:t>
      </w:r>
      <w:r w:rsidR="006A21AC">
        <w:t xml:space="preserve">including </w:t>
      </w:r>
      <w:r w:rsidR="00F800AD">
        <w:t>children aged 0-1</w:t>
      </w:r>
      <w:r w:rsidR="004C4D85">
        <w:t>7</w:t>
      </w:r>
      <w:r w:rsidR="00F800AD">
        <w:t xml:space="preserve"> years, </w:t>
      </w:r>
      <w:r w:rsidR="00B77DAE">
        <w:t>I</w:t>
      </w:r>
      <w:r w:rsidR="006A21AC">
        <w:t>ndigenous status</w:t>
      </w:r>
      <w:r w:rsidR="009D15D1">
        <w:t>,</w:t>
      </w:r>
      <w:r w:rsidR="00AF477F">
        <w:t xml:space="preserve"> socio</w:t>
      </w:r>
      <w:r w:rsidR="00443C37">
        <w:t>-</w:t>
      </w:r>
      <w:r w:rsidR="00AF477F">
        <w:t>economic status</w:t>
      </w:r>
      <w:r w:rsidR="00F800AD">
        <w:t xml:space="preserve"> and</w:t>
      </w:r>
      <w:r w:rsidR="00AF477F">
        <w:t xml:space="preserve"> </w:t>
      </w:r>
      <w:proofErr w:type="gramStart"/>
      <w:r w:rsidR="008F2842">
        <w:t>location</w:t>
      </w:r>
      <w:proofErr w:type="gramEnd"/>
    </w:p>
    <w:p w14:paraId="561DE4AD" w14:textId="6CB5F9E3" w:rsidR="009D15D1" w:rsidRDefault="007E71EC" w:rsidP="0035509C">
      <w:pPr>
        <w:pStyle w:val="CGC2025Bullet1"/>
      </w:pPr>
      <w:r>
        <w:t xml:space="preserve">the </w:t>
      </w:r>
      <w:r w:rsidR="00AF477F">
        <w:t>d</w:t>
      </w:r>
      <w:r w:rsidR="009D15D1">
        <w:t xml:space="preserve">ifferences in </w:t>
      </w:r>
      <w:r w:rsidR="00AF477F">
        <w:t xml:space="preserve">public sector </w:t>
      </w:r>
      <w:r w:rsidR="009D15D1">
        <w:t>wage costs between states</w:t>
      </w:r>
    </w:p>
    <w:p w14:paraId="539F8153" w14:textId="0D9F1EA6" w:rsidR="00B2197A" w:rsidRDefault="007E71EC" w:rsidP="0035509C">
      <w:pPr>
        <w:pStyle w:val="CGC2025Bullet1"/>
      </w:pPr>
      <w:r>
        <w:t xml:space="preserve">the </w:t>
      </w:r>
      <w:r w:rsidR="006948A4">
        <w:t>higher</w:t>
      </w:r>
      <w:r w:rsidR="00C67D31">
        <w:t xml:space="preserve"> cost of providing services in regional </w:t>
      </w:r>
      <w:proofErr w:type="gramStart"/>
      <w:r w:rsidR="00C67D31">
        <w:t>areas</w:t>
      </w:r>
      <w:proofErr w:type="gramEnd"/>
    </w:p>
    <w:p w14:paraId="6496DFAE" w14:textId="09588A70" w:rsidR="009D15D1" w:rsidRDefault="007E71EC" w:rsidP="0035509C">
      <w:pPr>
        <w:pStyle w:val="CGC2025Bullet1"/>
      </w:pPr>
      <w:r>
        <w:t xml:space="preserve">the </w:t>
      </w:r>
      <w:r w:rsidR="00AF477F">
        <w:t>d</w:t>
      </w:r>
      <w:r w:rsidR="00B2197A">
        <w:t>if</w:t>
      </w:r>
      <w:r w:rsidR="006365B6">
        <w:t>ferences in</w:t>
      </w:r>
      <w:r w:rsidR="00C67D31">
        <w:t xml:space="preserve"> service delivery scale costs</w:t>
      </w:r>
      <w:r w:rsidR="00732BD5">
        <w:t>,</w:t>
      </w:r>
      <w:r w:rsidR="00C67D31">
        <w:t xml:space="preserve"> which reflect the </w:t>
      </w:r>
      <w:r w:rsidR="00B2197A">
        <w:t>high fixed</w:t>
      </w:r>
      <w:r w:rsidR="00C67D31">
        <w:t xml:space="preserve"> costs of </w:t>
      </w:r>
      <w:r w:rsidR="00F008AC">
        <w:t>providing services in regional and remote areas.</w:t>
      </w:r>
    </w:p>
    <w:p w14:paraId="7865F82C" w14:textId="5055F4BB" w:rsidR="0014525B" w:rsidRDefault="005C3343" w:rsidP="00F12F54">
      <w:pPr>
        <w:pStyle w:val="CGC2025ParaNumbers"/>
        <w:rPr>
          <w:rFonts w:eastAsia="Calibri" w:cs="Times New Roman"/>
          <w:kern w:val="2"/>
          <w14:ligatures w14:val="standardContextual"/>
        </w:rPr>
      </w:pPr>
      <w:r w:rsidRPr="009E3F5E">
        <w:rPr>
          <w:rFonts w:eastAsia="Calibri" w:cs="Times New Roman"/>
          <w:kern w:val="2"/>
          <w14:ligatures w14:val="standardContextual"/>
        </w:rPr>
        <w:t xml:space="preserve">The assessment </w:t>
      </w:r>
      <w:r w:rsidR="00EE67F0" w:rsidRPr="009E3F5E">
        <w:rPr>
          <w:rFonts w:eastAsia="Calibri" w:cs="Times New Roman"/>
          <w:kern w:val="2"/>
          <w14:ligatures w14:val="standardContextual"/>
        </w:rPr>
        <w:t xml:space="preserve">estimates the </w:t>
      </w:r>
      <w:r w:rsidR="009C28F8" w:rsidRPr="003F4B4A">
        <w:rPr>
          <w:rFonts w:eastAsia="Calibri" w:cs="Times New Roman"/>
          <w:kern w:val="2"/>
          <w14:ligatures w14:val="standardContextual"/>
        </w:rPr>
        <w:t xml:space="preserve">average </w:t>
      </w:r>
      <w:r w:rsidR="00EE67F0" w:rsidRPr="009E3F5E">
        <w:rPr>
          <w:rFonts w:eastAsia="Calibri" w:cs="Times New Roman"/>
          <w:kern w:val="2"/>
          <w14:ligatures w14:val="standardContextual"/>
        </w:rPr>
        <w:t xml:space="preserve">service use rate for each </w:t>
      </w:r>
      <w:r w:rsidR="009C28F8" w:rsidRPr="003F4B4A">
        <w:rPr>
          <w:rFonts w:eastAsia="Calibri" w:cs="Times New Roman"/>
          <w:kern w:val="2"/>
          <w14:ligatures w14:val="standardContextual"/>
        </w:rPr>
        <w:t>combination of</w:t>
      </w:r>
      <w:r w:rsidR="00EE67F0" w:rsidRPr="003F4B4A">
        <w:rPr>
          <w:rFonts w:eastAsia="Calibri" w:cs="Times New Roman"/>
          <w:kern w:val="2"/>
          <w14:ligatures w14:val="standardContextual"/>
        </w:rPr>
        <w:t xml:space="preserve"> </w:t>
      </w:r>
      <w:r w:rsidR="00207007" w:rsidRPr="009E3F5E">
        <w:rPr>
          <w:rFonts w:eastAsia="Calibri" w:cs="Times New Roman"/>
          <w:kern w:val="2"/>
          <w14:ligatures w14:val="standardContextual"/>
        </w:rPr>
        <w:t xml:space="preserve">socio-economic </w:t>
      </w:r>
      <w:r w:rsidR="008E04E4">
        <w:rPr>
          <w:rFonts w:eastAsia="Calibri" w:cs="Times New Roman"/>
          <w:kern w:val="2"/>
          <w14:ligatures w14:val="standardContextual"/>
        </w:rPr>
        <w:t xml:space="preserve">and </w:t>
      </w:r>
      <w:r w:rsidR="00A963C9">
        <w:rPr>
          <w:rFonts w:eastAsia="Calibri" w:cs="Times New Roman"/>
          <w:kern w:val="2"/>
          <w14:ligatures w14:val="standardContextual"/>
        </w:rPr>
        <w:t>I</w:t>
      </w:r>
      <w:r w:rsidR="008E04E4">
        <w:rPr>
          <w:rFonts w:eastAsia="Calibri" w:cs="Times New Roman"/>
          <w:kern w:val="2"/>
          <w14:ligatures w14:val="standardContextual"/>
        </w:rPr>
        <w:t xml:space="preserve">ndigenous </w:t>
      </w:r>
      <w:r w:rsidR="00207007" w:rsidRPr="009E3F5E">
        <w:rPr>
          <w:rFonts w:eastAsia="Calibri" w:cs="Times New Roman"/>
          <w:kern w:val="2"/>
          <w14:ligatures w14:val="standardContextual"/>
        </w:rPr>
        <w:t>status</w:t>
      </w:r>
      <w:r w:rsidR="008E2BAD" w:rsidRPr="009E3F5E">
        <w:rPr>
          <w:rFonts w:eastAsia="Calibri" w:cs="Times New Roman"/>
          <w:kern w:val="2"/>
          <w14:ligatures w14:val="standardContextual"/>
        </w:rPr>
        <w:t xml:space="preserve"> and location</w:t>
      </w:r>
      <w:r w:rsidR="0071243A" w:rsidRPr="009E3F5E">
        <w:rPr>
          <w:rFonts w:eastAsia="Calibri" w:cs="Times New Roman"/>
          <w:kern w:val="2"/>
          <w14:ligatures w14:val="standardContextual"/>
        </w:rPr>
        <w:t xml:space="preserve"> categories.</w:t>
      </w:r>
      <w:r w:rsidR="00E65A6B" w:rsidRPr="009E3F5E">
        <w:rPr>
          <w:rFonts w:eastAsia="Calibri" w:cs="Times New Roman"/>
          <w:kern w:val="2"/>
          <w14:ligatures w14:val="standardContextual"/>
        </w:rPr>
        <w:t xml:space="preserve"> </w:t>
      </w:r>
      <w:r w:rsidR="00793257" w:rsidRPr="003F4B4A">
        <w:rPr>
          <w:rFonts w:eastAsia="Calibri" w:cs="Times New Roman"/>
          <w:kern w:val="2"/>
          <w14:ligatures w14:val="standardContextual"/>
        </w:rPr>
        <w:t xml:space="preserve">Average </w:t>
      </w:r>
      <w:r w:rsidR="003D0DB8" w:rsidRPr="003F4B4A">
        <w:rPr>
          <w:rFonts w:eastAsia="Calibri" w:cs="Times New Roman"/>
          <w:kern w:val="2"/>
          <w14:ligatures w14:val="standardContextual"/>
        </w:rPr>
        <w:t xml:space="preserve">national </w:t>
      </w:r>
      <w:r w:rsidR="00060341" w:rsidRPr="009E3F5E">
        <w:rPr>
          <w:rFonts w:eastAsia="Calibri" w:cs="Times New Roman"/>
          <w:kern w:val="2"/>
          <w14:ligatures w14:val="standardContextual"/>
        </w:rPr>
        <w:t xml:space="preserve">use rates are used to </w:t>
      </w:r>
      <w:r w:rsidR="003D0DB8" w:rsidRPr="003F4B4A">
        <w:rPr>
          <w:rFonts w:eastAsia="Calibri" w:cs="Times New Roman"/>
          <w:kern w:val="2"/>
          <w14:ligatures w14:val="standardContextual"/>
        </w:rPr>
        <w:t>estimate</w:t>
      </w:r>
      <w:r w:rsidR="00793257" w:rsidRPr="003F4B4A">
        <w:rPr>
          <w:rFonts w:eastAsia="Calibri" w:cs="Times New Roman"/>
          <w:kern w:val="2"/>
          <w14:ligatures w14:val="standardContextual"/>
        </w:rPr>
        <w:t xml:space="preserve"> </w:t>
      </w:r>
      <w:r w:rsidR="00614B41" w:rsidRPr="003F4B4A">
        <w:rPr>
          <w:rFonts w:eastAsia="Calibri" w:cs="Times New Roman"/>
          <w:kern w:val="2"/>
          <w14:ligatures w14:val="standardContextual"/>
        </w:rPr>
        <w:t>the</w:t>
      </w:r>
      <w:r w:rsidR="00793257" w:rsidRPr="003F4B4A">
        <w:rPr>
          <w:rFonts w:eastAsia="Calibri" w:cs="Times New Roman"/>
          <w:kern w:val="2"/>
          <w14:ligatures w14:val="standardContextual"/>
        </w:rPr>
        <w:t xml:space="preserve"> policy neutral </w:t>
      </w:r>
      <w:r w:rsidR="0014525B">
        <w:rPr>
          <w:rFonts w:eastAsia="Calibri" w:cs="Times New Roman"/>
          <w:kern w:val="2"/>
          <w14:ligatures w14:val="standardContextual"/>
        </w:rPr>
        <w:t xml:space="preserve">assessed service </w:t>
      </w:r>
      <w:r w:rsidR="00614B41" w:rsidRPr="003F4B4A">
        <w:rPr>
          <w:rFonts w:eastAsia="Calibri" w:cs="Times New Roman"/>
          <w:kern w:val="2"/>
          <w14:ligatures w14:val="standardContextual"/>
        </w:rPr>
        <w:t>use in each state</w:t>
      </w:r>
      <w:r w:rsidR="003D0DB8" w:rsidRPr="003F4B4A">
        <w:rPr>
          <w:rFonts w:eastAsia="Calibri" w:cs="Times New Roman"/>
          <w:kern w:val="2"/>
          <w14:ligatures w14:val="standardContextual"/>
        </w:rPr>
        <w:t>.</w:t>
      </w:r>
    </w:p>
    <w:p w14:paraId="5BF2825D" w14:textId="1EA0D8EF" w:rsidR="009C28F8" w:rsidRPr="003F4B4A" w:rsidRDefault="003F4B4A" w:rsidP="00F12F54">
      <w:pPr>
        <w:pStyle w:val="CGC2025ParaNumbers"/>
        <w:rPr>
          <w:rFonts w:eastAsia="Calibri" w:cs="Times New Roman"/>
          <w:kern w:val="2"/>
          <w14:ligatures w14:val="standardContextual"/>
        </w:rPr>
      </w:pPr>
      <w:r w:rsidRPr="003F4B4A">
        <w:rPr>
          <w:rFonts w:eastAsia="Calibri" w:cs="Times New Roman"/>
          <w:kern w:val="2"/>
          <w14:ligatures w14:val="standardContextual"/>
        </w:rPr>
        <w:t xml:space="preserve">The distribution of assessed service use between states is then </w:t>
      </w:r>
      <w:r w:rsidR="00060341" w:rsidRPr="003F4B4A">
        <w:rPr>
          <w:rFonts w:eastAsia="Calibri" w:cs="Times New Roman"/>
          <w:kern w:val="2"/>
          <w14:ligatures w14:val="standardContextual"/>
        </w:rPr>
        <w:t xml:space="preserve">used to </w:t>
      </w:r>
      <w:r w:rsidR="00403E24" w:rsidRPr="009E3F5E">
        <w:rPr>
          <w:rFonts w:eastAsia="Calibri" w:cs="Times New Roman"/>
          <w:kern w:val="2"/>
          <w14:ligatures w14:val="standardContextual"/>
        </w:rPr>
        <w:t>allocate</w:t>
      </w:r>
      <w:r w:rsidR="00060341" w:rsidRPr="009E3F5E">
        <w:rPr>
          <w:rFonts w:eastAsia="Calibri" w:cs="Times New Roman"/>
          <w:kern w:val="2"/>
          <w14:ligatures w14:val="standardContextual"/>
        </w:rPr>
        <w:t xml:space="preserve"> national spending on child protection and family services </w:t>
      </w:r>
      <w:r w:rsidRPr="003F4B4A">
        <w:rPr>
          <w:rFonts w:eastAsia="Calibri" w:cs="Times New Roman"/>
          <w:kern w:val="2"/>
          <w14:ligatures w14:val="standardContextual"/>
        </w:rPr>
        <w:t>between</w:t>
      </w:r>
      <w:r w:rsidR="00104917" w:rsidRPr="009E3F5E">
        <w:rPr>
          <w:rFonts w:eastAsia="Calibri" w:cs="Times New Roman"/>
          <w:kern w:val="2"/>
          <w14:ligatures w14:val="standardContextual"/>
        </w:rPr>
        <w:t xml:space="preserve"> states</w:t>
      </w:r>
      <w:r w:rsidR="00272616" w:rsidRPr="003F4B4A">
        <w:rPr>
          <w:rFonts w:eastAsia="Calibri" w:cs="Times New Roman"/>
          <w:kern w:val="2"/>
          <w14:ligatures w14:val="standardContextual"/>
        </w:rPr>
        <w:t>.</w:t>
      </w:r>
    </w:p>
    <w:p w14:paraId="73B2908B" w14:textId="67A4A2D3" w:rsidR="007D3EE7" w:rsidRPr="009E3F5E" w:rsidRDefault="009C28F8" w:rsidP="00272616">
      <w:pPr>
        <w:pStyle w:val="CGC2025ParaNumbers"/>
        <w:rPr>
          <w:rFonts w:eastAsia="Calibri" w:cs="Times New Roman"/>
          <w:kern w:val="2"/>
          <w14:ligatures w14:val="standardContextual"/>
        </w:rPr>
      </w:pPr>
      <w:r>
        <w:rPr>
          <w:rFonts w:eastAsia="Calibri" w:cs="Times New Roman"/>
          <w:kern w:val="2"/>
          <w14:ligatures w14:val="standardContextual"/>
        </w:rPr>
        <w:t>Assessed</w:t>
      </w:r>
      <w:r w:rsidR="00272616" w:rsidRPr="009E3F5E">
        <w:rPr>
          <w:rFonts w:eastAsia="Calibri" w:cs="Times New Roman"/>
          <w:kern w:val="2"/>
          <w14:ligatures w14:val="standardContextual"/>
        </w:rPr>
        <w:t xml:space="preserve"> state </w:t>
      </w:r>
      <w:r>
        <w:rPr>
          <w:rFonts w:eastAsia="Calibri" w:cs="Times New Roman"/>
          <w:kern w:val="2"/>
          <w14:ligatures w14:val="standardContextual"/>
        </w:rPr>
        <w:t>spending</w:t>
      </w:r>
      <w:r w:rsidR="00272616" w:rsidRPr="009E3F5E">
        <w:rPr>
          <w:rFonts w:eastAsia="Calibri" w:cs="Times New Roman"/>
          <w:kern w:val="2"/>
          <w14:ligatures w14:val="standardContextual"/>
        </w:rPr>
        <w:t xml:space="preserve"> is then scaled by wage costs</w:t>
      </w:r>
      <w:r w:rsidR="007A70C5">
        <w:rPr>
          <w:rFonts w:eastAsia="Calibri" w:cs="Times New Roman"/>
          <w:kern w:val="2"/>
          <w14:ligatures w14:val="standardContextual"/>
        </w:rPr>
        <w:t>,</w:t>
      </w:r>
      <w:r w:rsidR="00272616" w:rsidRPr="009E3F5E">
        <w:rPr>
          <w:rFonts w:eastAsia="Calibri" w:cs="Times New Roman"/>
          <w:kern w:val="2"/>
          <w14:ligatures w14:val="standardContextual"/>
        </w:rPr>
        <w:t xml:space="preserve"> </w:t>
      </w:r>
      <w:r w:rsidR="007A70C5" w:rsidRPr="009E3F5E">
        <w:rPr>
          <w:rFonts w:eastAsia="Calibri" w:cs="Times New Roman"/>
          <w:kern w:val="2"/>
          <w14:ligatures w14:val="standardContextual"/>
        </w:rPr>
        <w:t xml:space="preserve">regional </w:t>
      </w:r>
      <w:r w:rsidR="00272616" w:rsidRPr="009E3F5E">
        <w:rPr>
          <w:rFonts w:eastAsia="Calibri" w:cs="Times New Roman"/>
          <w:kern w:val="2"/>
          <w14:ligatures w14:val="standardContextual"/>
        </w:rPr>
        <w:t>and service delivery scale costs.</w:t>
      </w:r>
    </w:p>
    <w:p w14:paraId="4A25CE83" w14:textId="3E824CDF" w:rsidR="00AF5754" w:rsidRPr="009E3F5E" w:rsidRDefault="00AF5754" w:rsidP="00AF5754">
      <w:pPr>
        <w:pStyle w:val="Heading4"/>
      </w:pPr>
      <w:r w:rsidRPr="009E3F5E">
        <w:t xml:space="preserve">National </w:t>
      </w:r>
      <w:r w:rsidR="00AE0F86" w:rsidRPr="009E3F5E">
        <w:t>D</w:t>
      </w:r>
      <w:r w:rsidRPr="009E3F5E">
        <w:t xml:space="preserve">isability </w:t>
      </w:r>
      <w:r w:rsidR="00AE0F86" w:rsidRPr="009E3F5E">
        <w:t>I</w:t>
      </w:r>
      <w:r w:rsidRPr="009E3F5E">
        <w:t xml:space="preserve">nsurance </w:t>
      </w:r>
      <w:r w:rsidR="00AE0F86" w:rsidRPr="009E3F5E">
        <w:t>S</w:t>
      </w:r>
      <w:r w:rsidRPr="009E3F5E">
        <w:t>cheme</w:t>
      </w:r>
    </w:p>
    <w:p w14:paraId="751C6F56" w14:textId="27AD5845" w:rsidR="00C025AF" w:rsidRDefault="4818C3BB">
      <w:pPr>
        <w:pStyle w:val="CGC2025ParaNumbers"/>
      </w:pPr>
      <w:r>
        <w:t xml:space="preserve">State </w:t>
      </w:r>
      <w:r w:rsidR="765B9494">
        <w:t xml:space="preserve">NDIS spending is </w:t>
      </w:r>
      <w:r>
        <w:t>assessed</w:t>
      </w:r>
      <w:r w:rsidR="1C43184E">
        <w:t xml:space="preserve"> </w:t>
      </w:r>
      <w:r w:rsidR="0BF113CD">
        <w:t xml:space="preserve">using the </w:t>
      </w:r>
      <w:r w:rsidR="1C43184E">
        <w:t>state’s</w:t>
      </w:r>
      <w:r w:rsidR="0BF113CD">
        <w:t xml:space="preserve"> share of the national population at the most recent </w:t>
      </w:r>
      <w:r w:rsidR="00003917">
        <w:t>Australian Bureau of Statistics (</w:t>
      </w:r>
      <w:r w:rsidR="00CF19C7">
        <w:t>ABS</w:t>
      </w:r>
      <w:r w:rsidR="00003917">
        <w:t>)</w:t>
      </w:r>
      <w:r w:rsidR="00CF19C7">
        <w:t xml:space="preserve"> </w:t>
      </w:r>
      <w:r w:rsidR="0BF113CD">
        <w:t>census</w:t>
      </w:r>
      <w:r w:rsidR="69F7C4D7">
        <w:t xml:space="preserve"> (currently 2021)</w:t>
      </w:r>
      <w:r w:rsidR="6A4A0446">
        <w:t xml:space="preserve">. </w:t>
      </w:r>
      <w:r w:rsidR="78E928FE">
        <w:t xml:space="preserve">The assessment reflects the </w:t>
      </w:r>
      <w:r w:rsidR="1596FFBD">
        <w:t>method used to determine state contributions to the NDIS</w:t>
      </w:r>
      <w:r w:rsidR="78E928FE">
        <w:t xml:space="preserve"> at full scheme implementation</w:t>
      </w:r>
      <w:r w:rsidR="4B07617C">
        <w:t>.</w:t>
      </w:r>
    </w:p>
    <w:p w14:paraId="1B6B9879" w14:textId="590AC4DF" w:rsidR="00CB5E10" w:rsidRPr="009E3F5E" w:rsidRDefault="009569F3" w:rsidP="00C62C49">
      <w:pPr>
        <w:pStyle w:val="CGC2025ParaNumbers"/>
      </w:pPr>
      <w:r w:rsidRPr="009E3F5E">
        <w:lastRenderedPageBreak/>
        <w:t xml:space="preserve">Prior to </w:t>
      </w:r>
      <w:r w:rsidR="00CB5E10" w:rsidRPr="009E3F5E">
        <w:t>the</w:t>
      </w:r>
      <w:r w:rsidR="003F751B">
        <w:t xml:space="preserve"> 2023 Update, </w:t>
      </w:r>
      <w:r w:rsidR="00CB5E10" w:rsidRPr="009E3F5E">
        <w:t xml:space="preserve">the Commission assessed state </w:t>
      </w:r>
      <w:r w:rsidR="0037447F" w:rsidRPr="009E3F5E">
        <w:t xml:space="preserve">NDIS </w:t>
      </w:r>
      <w:r w:rsidR="00CB5E10" w:rsidRPr="009E3F5E">
        <w:t>spending using the 2011</w:t>
      </w:r>
      <w:r w:rsidR="00FC0093">
        <w:t> </w:t>
      </w:r>
      <w:r w:rsidR="001E7A5F" w:rsidRPr="009E3F5E">
        <w:t>Census</w:t>
      </w:r>
      <w:r w:rsidR="00CB5E10" w:rsidRPr="009E3F5E">
        <w:t xml:space="preserve"> populations</w:t>
      </w:r>
      <w:r w:rsidR="00DE53DB" w:rsidRPr="009E3F5E">
        <w:t xml:space="preserve"> as outlined in the intergovernmental funding agreements.</w:t>
      </w:r>
    </w:p>
    <w:p w14:paraId="568E4D40" w14:textId="47701438" w:rsidR="009B6558" w:rsidRDefault="009B6558" w:rsidP="009B6558">
      <w:pPr>
        <w:pStyle w:val="Heading4"/>
      </w:pPr>
      <w:r>
        <w:t>Non-NDIS, non-</w:t>
      </w:r>
      <w:r w:rsidR="00AE10C9">
        <w:t>C</w:t>
      </w:r>
      <w:r>
        <w:t xml:space="preserve">ommonwealth aged care and the </w:t>
      </w:r>
      <w:r w:rsidR="009C5A11">
        <w:t xml:space="preserve">National Redress Scheme </w:t>
      </w:r>
      <w:r>
        <w:t xml:space="preserve">for </w:t>
      </w:r>
      <w:r w:rsidR="009C5A11">
        <w:t>Institutional Child Sexual Abuse</w:t>
      </w:r>
    </w:p>
    <w:p w14:paraId="2001E0A5" w14:textId="606A284A" w:rsidR="009E52EE" w:rsidRDefault="00535124" w:rsidP="00535124">
      <w:pPr>
        <w:pStyle w:val="CGC2025ParaNumbers"/>
      </w:pPr>
      <w:r>
        <w:t>Most</w:t>
      </w:r>
      <w:r w:rsidR="00B43277">
        <w:t xml:space="preserve"> disability and aged care services are provided by the Commonwealth. </w:t>
      </w:r>
      <w:r w:rsidR="009C63DF">
        <w:t>However</w:t>
      </w:r>
      <w:r>
        <w:t>,</w:t>
      </w:r>
      <w:r w:rsidR="009C63DF">
        <w:t xml:space="preserve"> </w:t>
      </w:r>
      <w:r w:rsidR="008A7B80">
        <w:t xml:space="preserve">there </w:t>
      </w:r>
      <w:r>
        <w:t xml:space="preserve">are </w:t>
      </w:r>
      <w:r w:rsidR="008A7B80">
        <w:t>residual</w:t>
      </w:r>
      <w:r>
        <w:t xml:space="preserve"> </w:t>
      </w:r>
      <w:r w:rsidR="008A7B80">
        <w:t>disability and aged care services</w:t>
      </w:r>
      <w:r>
        <w:t xml:space="preserve"> which are provided by the states.</w:t>
      </w:r>
    </w:p>
    <w:p w14:paraId="3A655534" w14:textId="0196FC94" w:rsidR="00535124" w:rsidRDefault="00334DDD" w:rsidP="00535124">
      <w:pPr>
        <w:pStyle w:val="CGC2025ParaNumbers"/>
      </w:pPr>
      <w:r>
        <w:t xml:space="preserve">This spending is assessed </w:t>
      </w:r>
      <w:r w:rsidR="00312B95">
        <w:t>using a</w:t>
      </w:r>
      <w:r>
        <w:t xml:space="preserve"> non-deliberative equal per capita assessment</w:t>
      </w:r>
      <w:r w:rsidR="0046517A">
        <w:t xml:space="preserve"> </w:t>
      </w:r>
      <w:r w:rsidR="00427C67">
        <w:t>because the Commission is not able to identify a policy neutral driver of spending</w:t>
      </w:r>
      <w:r w:rsidR="00761E1F">
        <w:t>.</w:t>
      </w:r>
    </w:p>
    <w:p w14:paraId="6BD4E5A8" w14:textId="08C7170E" w:rsidR="009B6558" w:rsidRDefault="009B6558" w:rsidP="009B6558">
      <w:pPr>
        <w:pStyle w:val="Heading4"/>
      </w:pPr>
      <w:r>
        <w:t>Concessions</w:t>
      </w:r>
    </w:p>
    <w:p w14:paraId="1038CC13" w14:textId="60DE8A7C" w:rsidR="00307AC5" w:rsidRDefault="008F7A68" w:rsidP="008F7A68">
      <w:pPr>
        <w:pStyle w:val="CGC2025ParaNumbers"/>
      </w:pPr>
      <w:r>
        <w:t>The driver of need for spending on concessions is the socio</w:t>
      </w:r>
      <w:r w:rsidR="3B33BED3">
        <w:t>-</w:t>
      </w:r>
      <w:r>
        <w:t xml:space="preserve">demographic </w:t>
      </w:r>
      <w:r w:rsidR="12CAA0D3">
        <w:t>composition</w:t>
      </w:r>
      <w:r>
        <w:t xml:space="preserve"> of state population</w:t>
      </w:r>
      <w:r w:rsidR="57672FDA">
        <w:t>.</w:t>
      </w:r>
      <w:r w:rsidR="009077E2">
        <w:t xml:space="preserve"> T</w:t>
      </w:r>
      <w:r w:rsidR="06F052F4">
        <w:t>he need for</w:t>
      </w:r>
      <w:r w:rsidR="009077E2">
        <w:t xml:space="preserve"> state</w:t>
      </w:r>
      <w:r w:rsidR="06F052F4">
        <w:t xml:space="preserve"> </w:t>
      </w:r>
      <w:r w:rsidR="303DC67B">
        <w:t>concession spending is based on</w:t>
      </w:r>
      <w:r>
        <w:t xml:space="preserve"> the </w:t>
      </w:r>
      <w:r w:rsidR="00307AC5">
        <w:t>proportion</w:t>
      </w:r>
      <w:r>
        <w:t xml:space="preserve"> of </w:t>
      </w:r>
      <w:r w:rsidR="00FF286C">
        <w:t>national concession card holders in each state.</w:t>
      </w:r>
    </w:p>
    <w:p w14:paraId="71A9A9B8" w14:textId="7C85BA56" w:rsidR="00307AC5" w:rsidRDefault="00FF286C" w:rsidP="008F7A68">
      <w:pPr>
        <w:pStyle w:val="CGC2025ParaNumbers"/>
      </w:pPr>
      <w:r>
        <w:t xml:space="preserve">The concession cards considered </w:t>
      </w:r>
      <w:r w:rsidR="23C0A144">
        <w:t>in</w:t>
      </w:r>
      <w:r>
        <w:t xml:space="preserve"> the assessment are</w:t>
      </w:r>
      <w:r w:rsidR="00307AC5">
        <w:t>:</w:t>
      </w:r>
    </w:p>
    <w:p w14:paraId="147C22D6" w14:textId="0F2AB755" w:rsidR="00307AC5" w:rsidRDefault="00307AC5" w:rsidP="00307AC5">
      <w:pPr>
        <w:pStyle w:val="CGC2025Bullet1"/>
      </w:pPr>
      <w:r>
        <w:t>low</w:t>
      </w:r>
      <w:r w:rsidR="79CE07EC">
        <w:t>-</w:t>
      </w:r>
      <w:r>
        <w:t xml:space="preserve">income </w:t>
      </w:r>
      <w:r w:rsidR="008F7A68">
        <w:t>healthcare</w:t>
      </w:r>
      <w:r>
        <w:t xml:space="preserve"> card</w:t>
      </w:r>
    </w:p>
    <w:p w14:paraId="1CBFE2E5" w14:textId="253831AB" w:rsidR="00307AC5" w:rsidRDefault="00307AC5" w:rsidP="00307AC5">
      <w:pPr>
        <w:pStyle w:val="CGC2025Bullet1"/>
      </w:pPr>
      <w:r>
        <w:t>p</w:t>
      </w:r>
      <w:r w:rsidR="008F7A68">
        <w:t>ensioner</w:t>
      </w:r>
      <w:r>
        <w:t xml:space="preserve"> concession card</w:t>
      </w:r>
    </w:p>
    <w:p w14:paraId="46F2B0A3" w14:textId="419BC03D" w:rsidR="008F7A68" w:rsidRDefault="008F7A68" w:rsidP="00307AC5">
      <w:pPr>
        <w:pStyle w:val="CGC2025Bullet1"/>
      </w:pPr>
      <w:r>
        <w:t>veteran concession card</w:t>
      </w:r>
      <w:r w:rsidR="00A707F5">
        <w:t>.</w:t>
      </w:r>
    </w:p>
    <w:p w14:paraId="2BCBA8D7" w14:textId="52E03719" w:rsidR="009B6558" w:rsidRDefault="009B6558" w:rsidP="009B6558">
      <w:pPr>
        <w:pStyle w:val="Heading4"/>
      </w:pPr>
      <w:r>
        <w:t xml:space="preserve">Other </w:t>
      </w:r>
      <w:r w:rsidR="009077E2">
        <w:t>w</w:t>
      </w:r>
      <w:r>
        <w:t>elfare</w:t>
      </w:r>
      <w:r w:rsidR="00C765EF">
        <w:t xml:space="preserve"> services</w:t>
      </w:r>
    </w:p>
    <w:p w14:paraId="241B6B7C" w14:textId="7B39DCE4" w:rsidR="00681B80" w:rsidRDefault="00D6279C" w:rsidP="00CF1DD3">
      <w:pPr>
        <w:pStyle w:val="CGC2025ParaNumbers"/>
      </w:pPr>
      <w:r>
        <w:t xml:space="preserve">The use of </w:t>
      </w:r>
      <w:r w:rsidR="00235038">
        <w:t xml:space="preserve">other </w:t>
      </w:r>
      <w:r w:rsidR="00C765EF">
        <w:t>welfare service</w:t>
      </w:r>
      <w:r>
        <w:t>s</w:t>
      </w:r>
      <w:r w:rsidR="00C765EF">
        <w:t xml:space="preserve"> </w:t>
      </w:r>
      <w:r w:rsidR="00312B95">
        <w:t xml:space="preserve">is </w:t>
      </w:r>
      <w:r w:rsidR="00981B7F">
        <w:t xml:space="preserve">assessed </w:t>
      </w:r>
      <w:r w:rsidR="00752CEA">
        <w:t xml:space="preserve">as </w:t>
      </w:r>
      <w:r w:rsidR="00BD7ECF">
        <w:t xml:space="preserve">non-deliberative </w:t>
      </w:r>
      <w:r w:rsidR="00752CEA">
        <w:t>equal per capita</w:t>
      </w:r>
      <w:r w:rsidR="00BD7ECF">
        <w:t xml:space="preserve"> because </w:t>
      </w:r>
      <w:r w:rsidR="00051BED">
        <w:t>the Commission is not able to identify a policy neutral driver of spending</w:t>
      </w:r>
      <w:r w:rsidR="00BD7ECF">
        <w:t>.</w:t>
      </w:r>
    </w:p>
    <w:p w14:paraId="49808CA6" w14:textId="55B503D9" w:rsidR="00761E1F" w:rsidRDefault="00051BED" w:rsidP="00CF1DD3">
      <w:pPr>
        <w:pStyle w:val="CGC2025ParaNumbers"/>
      </w:pPr>
      <w:r>
        <w:t xml:space="preserve">Adjustments are made to the </w:t>
      </w:r>
      <w:r w:rsidR="11A37199">
        <w:t>equal per capita</w:t>
      </w:r>
      <w:r>
        <w:t xml:space="preserve"> distribution </w:t>
      </w:r>
      <w:r w:rsidR="00C5505D">
        <w:t>for</w:t>
      </w:r>
      <w:r w:rsidR="00535124">
        <w:t xml:space="preserve"> the:</w:t>
      </w:r>
    </w:p>
    <w:p w14:paraId="57879823" w14:textId="783DACED" w:rsidR="00752CEA" w:rsidRDefault="008D06E4" w:rsidP="00752CEA">
      <w:pPr>
        <w:pStyle w:val="CGC2025Bullet1"/>
      </w:pPr>
      <w:r>
        <w:t>d</w:t>
      </w:r>
      <w:r w:rsidR="00752CEA">
        <w:t xml:space="preserve">ifferences in </w:t>
      </w:r>
      <w:r w:rsidR="00C9076A">
        <w:t xml:space="preserve">public sector </w:t>
      </w:r>
      <w:r w:rsidR="00752CEA">
        <w:t xml:space="preserve">wage costs between states </w:t>
      </w:r>
    </w:p>
    <w:p w14:paraId="45A26084" w14:textId="7EEC6376" w:rsidR="00CF1DD3" w:rsidRDefault="00AD6250" w:rsidP="00752CEA">
      <w:pPr>
        <w:pStyle w:val="CGC2025Bullet1"/>
      </w:pPr>
      <w:r>
        <w:t xml:space="preserve">differences in </w:t>
      </w:r>
      <w:r w:rsidR="00752CEA">
        <w:t xml:space="preserve">cost of providing services in regional </w:t>
      </w:r>
      <w:proofErr w:type="gramStart"/>
      <w:r w:rsidR="00752CEA">
        <w:t>areas</w:t>
      </w:r>
      <w:proofErr w:type="gramEnd"/>
    </w:p>
    <w:p w14:paraId="4E8C5318" w14:textId="77474D22" w:rsidR="00A61E0F" w:rsidRDefault="008D06E4" w:rsidP="00342DF8">
      <w:pPr>
        <w:pStyle w:val="CGC2025Bullet1"/>
      </w:pPr>
      <w:r>
        <w:t>c</w:t>
      </w:r>
      <w:r w:rsidR="000C0CFA">
        <w:t>ross</w:t>
      </w:r>
      <w:r w:rsidR="00670692">
        <w:t>-</w:t>
      </w:r>
      <w:r w:rsidR="000C0CFA">
        <w:t xml:space="preserve">border costs </w:t>
      </w:r>
      <w:r w:rsidR="00752CEA">
        <w:t xml:space="preserve">incurred by the </w:t>
      </w:r>
      <w:r w:rsidR="00996DD7">
        <w:t xml:space="preserve">ACT </w:t>
      </w:r>
      <w:r w:rsidR="00F31C12">
        <w:t>G</w:t>
      </w:r>
      <w:r w:rsidR="00996DD7">
        <w:t xml:space="preserve">overnment </w:t>
      </w:r>
      <w:r w:rsidR="00B34809">
        <w:t xml:space="preserve">in </w:t>
      </w:r>
      <w:r w:rsidR="00996DD7">
        <w:t>providing</w:t>
      </w:r>
      <w:r w:rsidR="002A18DA">
        <w:t xml:space="preserve"> homelessness</w:t>
      </w:r>
      <w:r w:rsidR="00996DD7">
        <w:t xml:space="preserve"> services to regional New South Wales</w:t>
      </w:r>
      <w:r w:rsidR="007C2A4A">
        <w:t>.</w:t>
      </w:r>
    </w:p>
    <w:p w14:paraId="17C441B6" w14:textId="77777777" w:rsidR="007A0F3F" w:rsidRDefault="00D71528" w:rsidP="0006117F">
      <w:pPr>
        <w:pStyle w:val="Heading3"/>
        <w:keepNext/>
        <w:keepLines/>
      </w:pPr>
      <w:bookmarkStart w:id="12" w:name="_Toc148970785"/>
      <w:bookmarkStart w:id="13" w:name="_Toc149220463"/>
      <w:r>
        <w:t xml:space="preserve">Data used in the </w:t>
      </w:r>
      <w:proofErr w:type="gramStart"/>
      <w:r>
        <w:t>assessment</w:t>
      </w:r>
      <w:bookmarkEnd w:id="9"/>
      <w:bookmarkEnd w:id="10"/>
      <w:bookmarkEnd w:id="12"/>
      <w:bookmarkEnd w:id="13"/>
      <w:proofErr w:type="gramEnd"/>
    </w:p>
    <w:p w14:paraId="6B323CD3" w14:textId="1E7E94DD" w:rsidR="000E76E9" w:rsidRDefault="00B937A5">
      <w:pPr>
        <w:pStyle w:val="CGC2025ParaNumbers"/>
        <w:tabs>
          <w:tab w:val="clear" w:pos="567"/>
        </w:tabs>
      </w:pPr>
      <w:bookmarkStart w:id="14" w:name="_Toc132729100"/>
      <w:bookmarkStart w:id="15" w:name="_Toc133236148"/>
      <w:bookmarkStart w:id="16" w:name="_Toc133236174"/>
      <w:r>
        <w:t xml:space="preserve">State government spending on </w:t>
      </w:r>
      <w:r w:rsidR="006856A7">
        <w:t>c</w:t>
      </w:r>
      <w:r w:rsidR="00360052">
        <w:t xml:space="preserve">oncessions, NDIS and non-NDIS disability services and the </w:t>
      </w:r>
      <w:r w:rsidR="00212A00">
        <w:t>N</w:t>
      </w:r>
      <w:r w:rsidR="00360052">
        <w:t xml:space="preserve">ational </w:t>
      </w:r>
      <w:r w:rsidR="00212A00">
        <w:t>R</w:t>
      </w:r>
      <w:r w:rsidR="00360052">
        <w:t xml:space="preserve">edress </w:t>
      </w:r>
      <w:r w:rsidR="00212A00">
        <w:t>S</w:t>
      </w:r>
      <w:r w:rsidR="00360052">
        <w:t xml:space="preserve">cheme are collected </w:t>
      </w:r>
      <w:r w:rsidR="75494210">
        <w:t xml:space="preserve">through data requests </w:t>
      </w:r>
      <w:r w:rsidR="004D5ED1">
        <w:t>to the</w:t>
      </w:r>
      <w:r w:rsidR="00360052">
        <w:t xml:space="preserve"> </w:t>
      </w:r>
      <w:r w:rsidR="00086AC8">
        <w:t>state</w:t>
      </w:r>
      <w:r w:rsidR="00F1529E">
        <w:t>s</w:t>
      </w:r>
      <w:r w:rsidR="00360052">
        <w:t>.</w:t>
      </w:r>
    </w:p>
    <w:p w14:paraId="3978621F" w14:textId="48F427EB" w:rsidR="00AE3D16" w:rsidRDefault="00734C4D">
      <w:pPr>
        <w:pStyle w:val="CGC2025ParaNumbers"/>
        <w:tabs>
          <w:tab w:val="clear" w:pos="567"/>
        </w:tabs>
      </w:pPr>
      <w:r>
        <w:t xml:space="preserve">The number of </w:t>
      </w:r>
      <w:r w:rsidR="000548DB">
        <w:t>healthcare and pension</w:t>
      </w:r>
      <w:r>
        <w:t xml:space="preserve"> card holders is collected </w:t>
      </w:r>
      <w:r w:rsidR="000548DB">
        <w:t xml:space="preserve">from </w:t>
      </w:r>
      <w:r w:rsidR="004307AA">
        <w:t>publicly</w:t>
      </w:r>
      <w:r w:rsidR="000548DB">
        <w:t xml:space="preserve"> available </w:t>
      </w:r>
      <w:r w:rsidR="002C295E">
        <w:t>S</w:t>
      </w:r>
      <w:r w:rsidR="000548DB">
        <w:t>ervices Australia datasets.</w:t>
      </w:r>
      <w:r w:rsidR="00D13A0D">
        <w:t xml:space="preserve"> The number of</w:t>
      </w:r>
      <w:r w:rsidR="000548DB">
        <w:t xml:space="preserve"> </w:t>
      </w:r>
      <w:r w:rsidR="00D13A0D">
        <w:t>v</w:t>
      </w:r>
      <w:r w:rsidR="004307AA">
        <w:t xml:space="preserve">eteran </w:t>
      </w:r>
      <w:r w:rsidR="001A1D29">
        <w:t>concession</w:t>
      </w:r>
      <w:r w:rsidR="004307AA">
        <w:t xml:space="preserve"> cardholders </w:t>
      </w:r>
      <w:r w:rsidR="002C295E">
        <w:t>is</w:t>
      </w:r>
      <w:r w:rsidR="004307AA">
        <w:t xml:space="preserve"> collected </w:t>
      </w:r>
      <w:r w:rsidR="003C1E09">
        <w:t>from</w:t>
      </w:r>
      <w:r>
        <w:t xml:space="preserve"> the </w:t>
      </w:r>
      <w:r w:rsidR="00C06356">
        <w:t xml:space="preserve">Commonwealth </w:t>
      </w:r>
      <w:r w:rsidR="008233CE">
        <w:t>Department of Veterans</w:t>
      </w:r>
      <w:r w:rsidR="00E0140F">
        <w:t>’</w:t>
      </w:r>
      <w:r w:rsidR="008233CE">
        <w:t xml:space="preserve"> Affairs.</w:t>
      </w:r>
    </w:p>
    <w:p w14:paraId="1D379B60" w14:textId="24DF5AFD" w:rsidR="00110805" w:rsidRDefault="00110805" w:rsidP="00834D59">
      <w:pPr>
        <w:pStyle w:val="CGC2025ParaNumbers"/>
        <w:tabs>
          <w:tab w:val="clear" w:pos="567"/>
        </w:tabs>
      </w:pPr>
      <w:r>
        <w:t xml:space="preserve">Spending on </w:t>
      </w:r>
      <w:r w:rsidR="00EA205B">
        <w:t>c</w:t>
      </w:r>
      <w:r>
        <w:t>hild protection and family services and cross</w:t>
      </w:r>
      <w:r w:rsidR="00670692">
        <w:t>-</w:t>
      </w:r>
      <w:r>
        <w:t xml:space="preserve">border state services is collected from the annual </w:t>
      </w:r>
      <w:r w:rsidRPr="005B2FD8">
        <w:rPr>
          <w:i/>
          <w:iCs/>
        </w:rPr>
        <w:t>Report of Governme</w:t>
      </w:r>
      <w:r w:rsidR="00B937A5" w:rsidRPr="005B2FD8">
        <w:rPr>
          <w:i/>
          <w:iCs/>
        </w:rPr>
        <w:t>nt</w:t>
      </w:r>
      <w:r w:rsidRPr="005B2FD8">
        <w:rPr>
          <w:i/>
          <w:iCs/>
        </w:rPr>
        <w:t xml:space="preserve"> </w:t>
      </w:r>
      <w:r w:rsidR="00B937A5" w:rsidRPr="005B2FD8">
        <w:rPr>
          <w:i/>
          <w:iCs/>
        </w:rPr>
        <w:t>S</w:t>
      </w:r>
      <w:r w:rsidRPr="005B2FD8">
        <w:rPr>
          <w:i/>
          <w:iCs/>
        </w:rPr>
        <w:t>ervices</w:t>
      </w:r>
      <w:r w:rsidR="00B937A5">
        <w:t xml:space="preserve"> </w:t>
      </w:r>
      <w:r>
        <w:t>published by the Productivity Commission.</w:t>
      </w:r>
    </w:p>
    <w:p w14:paraId="120D058A" w14:textId="434B12F8" w:rsidR="00834D59" w:rsidRDefault="7932C95B" w:rsidP="00834D59">
      <w:pPr>
        <w:pStyle w:val="CGC2025ParaNumbers"/>
        <w:tabs>
          <w:tab w:val="clear" w:pos="567"/>
        </w:tabs>
      </w:pPr>
      <w:r>
        <w:lastRenderedPageBreak/>
        <w:t xml:space="preserve">The number of child protection and family service </w:t>
      </w:r>
      <w:r w:rsidR="25281D83">
        <w:t>‘substantiation</w:t>
      </w:r>
      <w:r w:rsidR="7E982BD9">
        <w:t>s</w:t>
      </w:r>
      <w:r w:rsidR="25281D83">
        <w:t xml:space="preserve">’ </w:t>
      </w:r>
      <w:r>
        <w:t xml:space="preserve">by location and </w:t>
      </w:r>
      <w:r w:rsidR="004664F2">
        <w:t>I</w:t>
      </w:r>
      <w:r>
        <w:t xml:space="preserve">ndigenous status is </w:t>
      </w:r>
      <w:r w:rsidR="00D44DDB">
        <w:t>sourced</w:t>
      </w:r>
      <w:r w:rsidR="004E7E6C" w:rsidDel="00D44DDB">
        <w:t xml:space="preserve"> </w:t>
      </w:r>
      <w:r w:rsidR="047A901C">
        <w:t>from the Australian Institu</w:t>
      </w:r>
      <w:r w:rsidR="76D9A90F">
        <w:t>t</w:t>
      </w:r>
      <w:r w:rsidR="047A901C">
        <w:t>e of Health and Welfare.</w:t>
      </w:r>
      <w:r w:rsidR="00C452CB">
        <w:rPr>
          <w:rStyle w:val="FootnoteReference"/>
        </w:rPr>
        <w:footnoteReference w:id="2"/>
      </w:r>
    </w:p>
    <w:p w14:paraId="326D74AB" w14:textId="458FC57E" w:rsidR="00165C22" w:rsidRDefault="047A901C" w:rsidP="00165C22">
      <w:pPr>
        <w:pStyle w:val="CGC2025ParaNumbers"/>
        <w:tabs>
          <w:tab w:val="clear" w:pos="567"/>
        </w:tabs>
      </w:pPr>
      <w:r>
        <w:t>State p</w:t>
      </w:r>
      <w:r w:rsidR="00FE58DB">
        <w:t xml:space="preserve">opulation characteristics </w:t>
      </w:r>
      <w:r w:rsidR="008D50E5">
        <w:t>such as</w:t>
      </w:r>
      <w:r w:rsidR="00FE58DB">
        <w:t xml:space="preserve"> age</w:t>
      </w:r>
      <w:r w:rsidR="008D50E5">
        <w:t>,</w:t>
      </w:r>
      <w:r w:rsidR="00FE58DB">
        <w:t xml:space="preserve"> </w:t>
      </w:r>
      <w:r w:rsidR="0006117F">
        <w:t>Indigenous status</w:t>
      </w:r>
      <w:r w:rsidR="00FE58DB">
        <w:t xml:space="preserve"> and location are sourced from </w:t>
      </w:r>
      <w:r w:rsidR="00D21B92">
        <w:t xml:space="preserve">latest available </w:t>
      </w:r>
      <w:r w:rsidR="0006117F">
        <w:t xml:space="preserve">ABS </w:t>
      </w:r>
      <w:r w:rsidR="00D21B92">
        <w:t>census data</w:t>
      </w:r>
      <w:r w:rsidR="00834D59">
        <w:t>.</w:t>
      </w:r>
      <w:r w:rsidR="00165C22">
        <w:t xml:space="preserve"> </w:t>
      </w:r>
      <w:r w:rsidR="0076077C">
        <w:t>Th</w:t>
      </w:r>
      <w:r w:rsidR="00340285">
        <w:t>ese</w:t>
      </w:r>
      <w:r w:rsidR="0076077C">
        <w:t xml:space="preserve"> </w:t>
      </w:r>
      <w:r w:rsidR="00D21B92">
        <w:t xml:space="preserve">data </w:t>
      </w:r>
      <w:r w:rsidR="00F87AF8">
        <w:t>are being</w:t>
      </w:r>
      <w:r w:rsidR="00D21B92">
        <w:t xml:space="preserve"> continually </w:t>
      </w:r>
      <w:r w:rsidR="0076077C">
        <w:t>updated to the 202</w:t>
      </w:r>
      <w:r w:rsidR="00EA4B5D">
        <w:t xml:space="preserve">1 Census </w:t>
      </w:r>
      <w:r w:rsidR="00F87AF8">
        <w:t>as</w:t>
      </w:r>
      <w:r w:rsidR="00D21B92">
        <w:t xml:space="preserve"> new data </w:t>
      </w:r>
      <w:r w:rsidR="003018D7">
        <w:t xml:space="preserve">are </w:t>
      </w:r>
      <w:r w:rsidR="00D21B92">
        <w:t>released by the ABS</w:t>
      </w:r>
      <w:r w:rsidR="00EA4B5D">
        <w:t>.</w:t>
      </w:r>
    </w:p>
    <w:p w14:paraId="5A79E436" w14:textId="0B1DF167" w:rsidR="00165C22" w:rsidRDefault="00165C22" w:rsidP="00165C22">
      <w:pPr>
        <w:pStyle w:val="CGC2025ParaNumbers"/>
        <w:tabs>
          <w:tab w:val="clear" w:pos="567"/>
        </w:tabs>
      </w:pPr>
      <w:r>
        <w:t xml:space="preserve">Annual population statistics are sourced from the </w:t>
      </w:r>
      <w:r w:rsidR="00340285">
        <w:t>n</w:t>
      </w:r>
      <w:r>
        <w:t>ational, state and territory population</w:t>
      </w:r>
      <w:r w:rsidR="00340285">
        <w:t>s</w:t>
      </w:r>
      <w:r>
        <w:t xml:space="preserve"> published by the</w:t>
      </w:r>
      <w:r w:rsidR="3F2AF3FE">
        <w:t xml:space="preserve"> </w:t>
      </w:r>
      <w:r>
        <w:t>ABS.</w:t>
      </w:r>
    </w:p>
    <w:p w14:paraId="13793B53" w14:textId="26D5231C" w:rsidR="00834D59" w:rsidRDefault="00045652" w:rsidP="00045652">
      <w:pPr>
        <w:pStyle w:val="CGC2025ParaNumbers"/>
        <w:tabs>
          <w:tab w:val="clear" w:pos="567"/>
        </w:tabs>
      </w:pPr>
      <w:r w:rsidRPr="00723C10">
        <w:t>Wage</w:t>
      </w:r>
      <w:r w:rsidR="00C70625">
        <w:t>,</w:t>
      </w:r>
      <w:r w:rsidR="008D12A1">
        <w:t xml:space="preserve"> r</w:t>
      </w:r>
      <w:r w:rsidRPr="00723C10">
        <w:t xml:space="preserve">egional </w:t>
      </w:r>
      <w:r w:rsidR="00812B80">
        <w:t xml:space="preserve">and </w:t>
      </w:r>
      <w:r w:rsidR="008D12A1">
        <w:t>s</w:t>
      </w:r>
      <w:r w:rsidR="5C169BB5">
        <w:t xml:space="preserve">ervice </w:t>
      </w:r>
      <w:r w:rsidR="008D12A1">
        <w:t>d</w:t>
      </w:r>
      <w:r w:rsidR="5C169BB5">
        <w:t xml:space="preserve">elivery </w:t>
      </w:r>
      <w:r w:rsidR="008D12A1">
        <w:t>s</w:t>
      </w:r>
      <w:r w:rsidR="00812B80">
        <w:t xml:space="preserve">cale </w:t>
      </w:r>
      <w:r w:rsidRPr="00723C10">
        <w:t xml:space="preserve">cost factors </w:t>
      </w:r>
      <w:r w:rsidR="00FD1F3C">
        <w:t>are</w:t>
      </w:r>
      <w:r w:rsidR="00FD1F3C" w:rsidRPr="00723C10">
        <w:t xml:space="preserve"> </w:t>
      </w:r>
      <w:r w:rsidRPr="00723C10">
        <w:t>derived using the method</w:t>
      </w:r>
      <w:r>
        <w:t>s</w:t>
      </w:r>
      <w:r w:rsidRPr="00723C10">
        <w:t xml:space="preserve"> outlined in </w:t>
      </w:r>
      <w:r>
        <w:t>v</w:t>
      </w:r>
      <w:r w:rsidRPr="00723C10">
        <w:t>olume 2</w:t>
      </w:r>
      <w:r>
        <w:t>,</w:t>
      </w:r>
      <w:r w:rsidRPr="00723C10">
        <w:t xml:space="preserve"> </w:t>
      </w:r>
      <w:r>
        <w:t>c</w:t>
      </w:r>
      <w:r w:rsidRPr="00723C10">
        <w:t xml:space="preserve">hapter 27 – Wage costs and </w:t>
      </w:r>
      <w:r>
        <w:t>c</w:t>
      </w:r>
      <w:r w:rsidRPr="00723C10">
        <w:t xml:space="preserve">hapter 28 – Regional costs of the </w:t>
      </w:r>
      <w:hyperlink r:id="rId16">
        <w:r w:rsidRPr="1CD2C273">
          <w:rPr>
            <w:rStyle w:val="Hyperlink"/>
          </w:rPr>
          <w:t>Report on GST Revenue Sharing Relativities, 2020 Review</w:t>
        </w:r>
      </w:hyperlink>
      <w:r w:rsidRPr="00723C10">
        <w:t>. Regional cost</w:t>
      </w:r>
      <w:r w:rsidR="00061751">
        <w:t>s</w:t>
      </w:r>
      <w:r w:rsidRPr="00723C10">
        <w:t xml:space="preserve"> and wage factors are also subject to th</w:t>
      </w:r>
      <w:r w:rsidR="007E7BD9">
        <w:t>e current</w:t>
      </w:r>
      <w:r w:rsidRPr="00723C10">
        <w:t xml:space="preserve"> review.</w:t>
      </w:r>
    </w:p>
    <w:p w14:paraId="7417B25D" w14:textId="77777777" w:rsidR="00361D06" w:rsidRPr="00927945" w:rsidRDefault="00361D06" w:rsidP="00554A84">
      <w:pPr>
        <w:pStyle w:val="Heading3"/>
      </w:pPr>
      <w:bookmarkStart w:id="17" w:name="_Toc148970786"/>
      <w:bookmarkStart w:id="18" w:name="_Toc149220464"/>
      <w:r w:rsidRPr="00927945">
        <w:t>Category and component expenses</w:t>
      </w:r>
      <w:bookmarkEnd w:id="14"/>
      <w:bookmarkEnd w:id="15"/>
      <w:bookmarkEnd w:id="16"/>
      <w:bookmarkEnd w:id="17"/>
      <w:bookmarkEnd w:id="18"/>
    </w:p>
    <w:bookmarkStart w:id="19" w:name="_Toc121741486"/>
    <w:bookmarkStart w:id="20" w:name="_Toc132729102"/>
    <w:bookmarkStart w:id="21" w:name="_Toc133236149"/>
    <w:bookmarkStart w:id="22" w:name="_Toc133236175"/>
    <w:bookmarkStart w:id="23" w:name="_Toc127428352"/>
    <w:p w14:paraId="4E6C1DE8" w14:textId="46A4E055" w:rsidR="00E4475F" w:rsidRDefault="00DB0944" w:rsidP="00E4475F">
      <w:pPr>
        <w:pStyle w:val="CGC2025ParaNumbers"/>
        <w:tabs>
          <w:tab w:val="clear" w:pos="567"/>
        </w:tabs>
      </w:pPr>
      <w:r>
        <w:fldChar w:fldCharType="begin"/>
      </w:r>
      <w:r>
        <w:instrText xml:space="preserve"> REF _Ref147405487 \h </w:instrText>
      </w:r>
      <w:r>
        <w:fldChar w:fldCharType="separate"/>
      </w:r>
      <w:r w:rsidR="00837FC6">
        <w:t xml:space="preserve">Table </w:t>
      </w:r>
      <w:r w:rsidR="00837FC6" w:rsidRPr="7C937E31">
        <w:rPr>
          <w:noProof/>
        </w:rPr>
        <w:t>1</w:t>
      </w:r>
      <w:r>
        <w:fldChar w:fldCharType="end"/>
      </w:r>
      <w:r w:rsidR="00E4475F">
        <w:t xml:space="preserve"> shows total state spending on welfare services. These expenses totalled around $24 billion in 2021</w:t>
      </w:r>
      <w:r w:rsidR="0097197B">
        <w:t>–</w:t>
      </w:r>
      <w:r w:rsidR="00E4475F">
        <w:t xml:space="preserve">22, representing 7% of total state </w:t>
      </w:r>
      <w:r w:rsidR="006C674F">
        <w:t>government spending</w:t>
      </w:r>
      <w:r w:rsidR="00E4475F">
        <w:t>. South Australia spent the largest share of its state budget on welfare services</w:t>
      </w:r>
      <w:r w:rsidR="00C0697C">
        <w:t xml:space="preserve"> (9.</w:t>
      </w:r>
      <w:r w:rsidR="6D2567D5">
        <w:t>2</w:t>
      </w:r>
      <w:r w:rsidR="00C0697C">
        <w:t>%)</w:t>
      </w:r>
      <w:r w:rsidR="00E4475F">
        <w:t xml:space="preserve"> </w:t>
      </w:r>
      <w:r w:rsidR="00C0697C">
        <w:t xml:space="preserve">while </w:t>
      </w:r>
      <w:r w:rsidR="00CA5B6F">
        <w:t xml:space="preserve">the </w:t>
      </w:r>
      <w:r w:rsidR="00C0697C">
        <w:t>ACT spent th</w:t>
      </w:r>
      <w:r w:rsidR="000A250B">
        <w:t>e smallest share (4.9%)</w:t>
      </w:r>
      <w:r w:rsidR="00E4475F">
        <w:t>.</w:t>
      </w:r>
    </w:p>
    <w:p w14:paraId="24C43668" w14:textId="3F6A28E8" w:rsidR="00E4475F" w:rsidRPr="00F9677B" w:rsidRDefault="00E4475F" w:rsidP="00E4475F">
      <w:pPr>
        <w:pStyle w:val="Caption"/>
        <w:rPr>
          <w:rFonts w:ascii="Work Sans" w:hAnsi="Work Sans"/>
          <w:noProof/>
        </w:rPr>
      </w:pPr>
      <w:bookmarkStart w:id="24" w:name="_Ref147405487"/>
      <w:r w:rsidRPr="00F9677B">
        <w:rPr>
          <w:rFonts w:ascii="Work Sans" w:hAnsi="Work Sans"/>
        </w:rPr>
        <w:t xml:space="preserve">Table </w:t>
      </w:r>
      <w:r w:rsidRPr="00F9677B">
        <w:rPr>
          <w:rFonts w:ascii="Work Sans" w:hAnsi="Work Sans"/>
        </w:rPr>
        <w:fldChar w:fldCharType="begin"/>
      </w:r>
      <w:r w:rsidRPr="00F9677B">
        <w:rPr>
          <w:rFonts w:ascii="Work Sans" w:hAnsi="Work Sans"/>
        </w:rPr>
        <w:instrText>SEQ Table \* ARABIC</w:instrText>
      </w:r>
      <w:r w:rsidRPr="00F9677B">
        <w:rPr>
          <w:rFonts w:ascii="Work Sans" w:hAnsi="Work Sans"/>
        </w:rPr>
        <w:fldChar w:fldCharType="separate"/>
      </w:r>
      <w:r w:rsidR="00837FC6">
        <w:rPr>
          <w:rFonts w:ascii="Work Sans" w:hAnsi="Work Sans"/>
          <w:noProof/>
        </w:rPr>
        <w:t>1</w:t>
      </w:r>
      <w:r w:rsidRPr="00F9677B">
        <w:rPr>
          <w:rFonts w:ascii="Work Sans" w:hAnsi="Work Sans"/>
        </w:rPr>
        <w:fldChar w:fldCharType="end"/>
      </w:r>
      <w:bookmarkEnd w:id="24"/>
      <w:r w:rsidRPr="00F9677B">
        <w:rPr>
          <w:rFonts w:ascii="Work Sans" w:hAnsi="Work Sans"/>
        </w:rPr>
        <w:tab/>
        <w:t>Welfare expenditure by state</w:t>
      </w:r>
      <w:r w:rsidR="007E7BD9">
        <w:rPr>
          <w:rFonts w:ascii="Work Sans" w:hAnsi="Work Sans"/>
        </w:rPr>
        <w:t>,</w:t>
      </w:r>
      <w:r w:rsidRPr="00F9677B">
        <w:rPr>
          <w:rFonts w:ascii="Work Sans" w:hAnsi="Work Sans"/>
        </w:rPr>
        <w:t xml:space="preserve"> 2021–22</w:t>
      </w:r>
    </w:p>
    <w:tbl>
      <w:tblPr>
        <w:tblW w:w="5000" w:type="pct"/>
        <w:tblLook w:val="04A0" w:firstRow="1" w:lastRow="0" w:firstColumn="1" w:lastColumn="0" w:noHBand="0" w:noVBand="1"/>
      </w:tblPr>
      <w:tblGrid>
        <w:gridCol w:w="2971"/>
        <w:gridCol w:w="704"/>
        <w:gridCol w:w="704"/>
        <w:gridCol w:w="704"/>
        <w:gridCol w:w="704"/>
        <w:gridCol w:w="657"/>
        <w:gridCol w:w="576"/>
        <w:gridCol w:w="619"/>
        <w:gridCol w:w="576"/>
        <w:gridCol w:w="811"/>
      </w:tblGrid>
      <w:tr w:rsidR="00E4475F" w:rsidRPr="00A6242B" w14:paraId="2A67A48E" w14:textId="77777777" w:rsidTr="00F337C8">
        <w:trPr>
          <w:trHeight w:val="379"/>
        </w:trPr>
        <w:tc>
          <w:tcPr>
            <w:tcW w:w="1646" w:type="pct"/>
            <w:tcBorders>
              <w:top w:val="nil"/>
              <w:left w:val="nil"/>
              <w:bottom w:val="nil"/>
              <w:right w:val="nil"/>
            </w:tcBorders>
            <w:shd w:val="clear" w:color="auto" w:fill="006991"/>
            <w:vAlign w:val="bottom"/>
            <w:hideMark/>
          </w:tcPr>
          <w:p w14:paraId="1668078E" w14:textId="77777777" w:rsidR="00E4475F" w:rsidRPr="00A6242B" w:rsidRDefault="00E4475F">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25" w:name="RANGE!A11:J13"/>
            <w:r w:rsidRPr="00A6242B">
              <w:rPr>
                <w:rFonts w:ascii="Open Sans Semibold" w:eastAsia="Times New Roman" w:hAnsi="Open Sans Semibold" w:cs="Open Sans Semibold"/>
                <w:color w:val="FFFFFF"/>
                <w:sz w:val="16"/>
                <w:szCs w:val="16"/>
                <w:lang w:eastAsia="en-AU"/>
              </w:rPr>
              <w:t> </w:t>
            </w:r>
            <w:bookmarkEnd w:id="25"/>
          </w:p>
        </w:tc>
        <w:tc>
          <w:tcPr>
            <w:tcW w:w="390" w:type="pct"/>
            <w:tcBorders>
              <w:top w:val="nil"/>
              <w:left w:val="nil"/>
              <w:bottom w:val="nil"/>
              <w:right w:val="nil"/>
            </w:tcBorders>
            <w:shd w:val="clear" w:color="auto" w:fill="006991"/>
            <w:vAlign w:val="center"/>
            <w:hideMark/>
          </w:tcPr>
          <w:p w14:paraId="2FF688E9" w14:textId="77777777" w:rsidR="00E4475F" w:rsidRPr="00A6242B" w:rsidRDefault="00E4475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242B">
              <w:rPr>
                <w:rFonts w:ascii="Open Sans Semibold" w:eastAsia="Times New Roman" w:hAnsi="Open Sans Semibold" w:cs="Open Sans Semibold"/>
                <w:color w:val="FFFFFF"/>
                <w:sz w:val="16"/>
                <w:szCs w:val="16"/>
                <w:lang w:eastAsia="en-AU"/>
              </w:rPr>
              <w:t>NSW</w:t>
            </w:r>
          </w:p>
        </w:tc>
        <w:tc>
          <w:tcPr>
            <w:tcW w:w="390" w:type="pct"/>
            <w:tcBorders>
              <w:top w:val="nil"/>
              <w:left w:val="nil"/>
              <w:bottom w:val="nil"/>
              <w:right w:val="nil"/>
            </w:tcBorders>
            <w:shd w:val="clear" w:color="auto" w:fill="006991"/>
            <w:vAlign w:val="center"/>
            <w:hideMark/>
          </w:tcPr>
          <w:p w14:paraId="1FEF2092" w14:textId="77777777" w:rsidR="00E4475F" w:rsidRPr="00A6242B" w:rsidRDefault="00E4475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242B">
              <w:rPr>
                <w:rFonts w:ascii="Open Sans Semibold" w:eastAsia="Times New Roman" w:hAnsi="Open Sans Semibold" w:cs="Open Sans Semibold"/>
                <w:color w:val="FFFFFF"/>
                <w:sz w:val="16"/>
                <w:szCs w:val="16"/>
                <w:lang w:eastAsia="en-AU"/>
              </w:rPr>
              <w:t>Vic</w:t>
            </w:r>
          </w:p>
        </w:tc>
        <w:tc>
          <w:tcPr>
            <w:tcW w:w="390" w:type="pct"/>
            <w:tcBorders>
              <w:top w:val="nil"/>
              <w:left w:val="nil"/>
              <w:bottom w:val="nil"/>
              <w:right w:val="nil"/>
            </w:tcBorders>
            <w:shd w:val="clear" w:color="auto" w:fill="006991"/>
            <w:vAlign w:val="center"/>
            <w:hideMark/>
          </w:tcPr>
          <w:p w14:paraId="33C15748" w14:textId="77777777" w:rsidR="00E4475F" w:rsidRPr="00A6242B" w:rsidRDefault="00E4475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242B">
              <w:rPr>
                <w:rFonts w:ascii="Open Sans Semibold" w:eastAsia="Times New Roman" w:hAnsi="Open Sans Semibold" w:cs="Open Sans Semibold"/>
                <w:color w:val="FFFFFF"/>
                <w:sz w:val="16"/>
                <w:szCs w:val="16"/>
                <w:lang w:eastAsia="en-AU"/>
              </w:rPr>
              <w:t>Qld</w:t>
            </w:r>
          </w:p>
        </w:tc>
        <w:tc>
          <w:tcPr>
            <w:tcW w:w="390" w:type="pct"/>
            <w:tcBorders>
              <w:top w:val="nil"/>
              <w:left w:val="nil"/>
              <w:bottom w:val="nil"/>
              <w:right w:val="nil"/>
            </w:tcBorders>
            <w:shd w:val="clear" w:color="auto" w:fill="006991"/>
            <w:vAlign w:val="center"/>
            <w:hideMark/>
          </w:tcPr>
          <w:p w14:paraId="1B3E419F" w14:textId="77777777" w:rsidR="00E4475F" w:rsidRPr="00A6242B" w:rsidRDefault="00E4475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3577048C">
              <w:rPr>
                <w:rFonts w:ascii="Open Sans Semibold" w:eastAsia="Times New Roman" w:hAnsi="Open Sans Semibold" w:cs="Open Sans Semibold"/>
                <w:color w:val="FFFFFF" w:themeColor="background1"/>
                <w:sz w:val="16"/>
                <w:szCs w:val="16"/>
                <w:lang w:eastAsia="en-AU"/>
              </w:rPr>
              <w:t>WA</w:t>
            </w:r>
          </w:p>
        </w:tc>
        <w:tc>
          <w:tcPr>
            <w:tcW w:w="364" w:type="pct"/>
            <w:tcBorders>
              <w:top w:val="nil"/>
              <w:left w:val="nil"/>
              <w:bottom w:val="nil"/>
              <w:right w:val="nil"/>
            </w:tcBorders>
            <w:shd w:val="clear" w:color="auto" w:fill="006991"/>
            <w:vAlign w:val="center"/>
            <w:hideMark/>
          </w:tcPr>
          <w:p w14:paraId="3E6829C8" w14:textId="77777777" w:rsidR="00E4475F" w:rsidRPr="00A6242B" w:rsidRDefault="00E4475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bookmarkStart w:id="26" w:name="_Int_2PXTxKlV"/>
            <w:r w:rsidRPr="251E6EF1">
              <w:rPr>
                <w:rFonts w:ascii="Open Sans Semibold" w:eastAsia="Times New Roman" w:hAnsi="Open Sans Semibold" w:cs="Open Sans Semibold"/>
                <w:color w:val="FFFFFF" w:themeColor="background1"/>
                <w:sz w:val="16"/>
                <w:szCs w:val="16"/>
                <w:lang w:eastAsia="en-AU"/>
              </w:rPr>
              <w:t>SA</w:t>
            </w:r>
            <w:bookmarkEnd w:id="26"/>
          </w:p>
        </w:tc>
        <w:tc>
          <w:tcPr>
            <w:tcW w:w="319" w:type="pct"/>
            <w:tcBorders>
              <w:top w:val="nil"/>
              <w:left w:val="nil"/>
              <w:bottom w:val="nil"/>
              <w:right w:val="nil"/>
            </w:tcBorders>
            <w:shd w:val="clear" w:color="auto" w:fill="006991"/>
            <w:vAlign w:val="center"/>
            <w:hideMark/>
          </w:tcPr>
          <w:p w14:paraId="3D17C043" w14:textId="77777777" w:rsidR="00E4475F" w:rsidRPr="00A6242B" w:rsidRDefault="00E4475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242B">
              <w:rPr>
                <w:rFonts w:ascii="Open Sans Semibold" w:eastAsia="Times New Roman" w:hAnsi="Open Sans Semibold" w:cs="Open Sans Semibold"/>
                <w:color w:val="FFFFFF"/>
                <w:sz w:val="16"/>
                <w:szCs w:val="16"/>
                <w:lang w:eastAsia="en-AU"/>
              </w:rPr>
              <w:t>Tas</w:t>
            </w:r>
          </w:p>
        </w:tc>
        <w:tc>
          <w:tcPr>
            <w:tcW w:w="343" w:type="pct"/>
            <w:tcBorders>
              <w:top w:val="nil"/>
              <w:left w:val="nil"/>
              <w:bottom w:val="nil"/>
              <w:right w:val="nil"/>
            </w:tcBorders>
            <w:shd w:val="clear" w:color="auto" w:fill="006991"/>
            <w:vAlign w:val="center"/>
            <w:hideMark/>
          </w:tcPr>
          <w:p w14:paraId="5337A5AD" w14:textId="77777777" w:rsidR="00E4475F" w:rsidRPr="00A6242B" w:rsidRDefault="00E4475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242B">
              <w:rPr>
                <w:rFonts w:ascii="Open Sans Semibold" w:eastAsia="Times New Roman" w:hAnsi="Open Sans Semibold" w:cs="Open Sans Semibold"/>
                <w:color w:val="FFFFFF"/>
                <w:sz w:val="16"/>
                <w:szCs w:val="16"/>
                <w:lang w:eastAsia="en-AU"/>
              </w:rPr>
              <w:t>ACT</w:t>
            </w:r>
          </w:p>
        </w:tc>
        <w:tc>
          <w:tcPr>
            <w:tcW w:w="319" w:type="pct"/>
            <w:tcBorders>
              <w:top w:val="nil"/>
              <w:left w:val="nil"/>
              <w:bottom w:val="nil"/>
              <w:right w:val="nil"/>
            </w:tcBorders>
            <w:shd w:val="clear" w:color="auto" w:fill="006991"/>
            <w:vAlign w:val="center"/>
            <w:hideMark/>
          </w:tcPr>
          <w:p w14:paraId="18DBC7CD" w14:textId="77777777" w:rsidR="00E4475F" w:rsidRPr="00A6242B" w:rsidRDefault="00E4475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bookmarkStart w:id="27" w:name="_Int_Vs8irFlk"/>
            <w:r w:rsidRPr="251E6EF1">
              <w:rPr>
                <w:rFonts w:ascii="Open Sans Semibold" w:eastAsia="Times New Roman" w:hAnsi="Open Sans Semibold" w:cs="Open Sans Semibold"/>
                <w:color w:val="FFFFFF" w:themeColor="background1"/>
                <w:sz w:val="16"/>
                <w:szCs w:val="16"/>
                <w:lang w:eastAsia="en-AU"/>
              </w:rPr>
              <w:t>NT</w:t>
            </w:r>
            <w:bookmarkEnd w:id="27"/>
          </w:p>
        </w:tc>
        <w:tc>
          <w:tcPr>
            <w:tcW w:w="449" w:type="pct"/>
            <w:tcBorders>
              <w:top w:val="nil"/>
              <w:left w:val="nil"/>
              <w:bottom w:val="nil"/>
              <w:right w:val="nil"/>
            </w:tcBorders>
            <w:shd w:val="clear" w:color="auto" w:fill="006991"/>
            <w:vAlign w:val="center"/>
            <w:hideMark/>
          </w:tcPr>
          <w:p w14:paraId="428CB0CE" w14:textId="77777777" w:rsidR="00E4475F" w:rsidRPr="00A6242B" w:rsidRDefault="00E4475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242B">
              <w:rPr>
                <w:rFonts w:ascii="Open Sans Semibold" w:eastAsia="Times New Roman" w:hAnsi="Open Sans Semibold" w:cs="Open Sans Semibold"/>
                <w:color w:val="FFFFFF"/>
                <w:sz w:val="16"/>
                <w:szCs w:val="16"/>
                <w:lang w:eastAsia="en-AU"/>
              </w:rPr>
              <w:t>Total</w:t>
            </w:r>
          </w:p>
        </w:tc>
      </w:tr>
      <w:tr w:rsidR="00E4475F" w:rsidRPr="00A6242B" w14:paraId="1A2002E9" w14:textId="77777777" w:rsidTr="00F337C8">
        <w:trPr>
          <w:trHeight w:val="315"/>
        </w:trPr>
        <w:tc>
          <w:tcPr>
            <w:tcW w:w="1646" w:type="pct"/>
            <w:tcBorders>
              <w:top w:val="single" w:sz="4" w:space="0" w:color="ADD6EA"/>
              <w:left w:val="nil"/>
              <w:bottom w:val="nil"/>
              <w:right w:val="nil"/>
            </w:tcBorders>
            <w:shd w:val="clear" w:color="auto" w:fill="auto"/>
            <w:vAlign w:val="bottom"/>
            <w:hideMark/>
          </w:tcPr>
          <w:p w14:paraId="6520ADA1" w14:textId="77777777" w:rsidR="00E4475F" w:rsidRPr="00A6242B" w:rsidRDefault="00E4475F">
            <w:pPr>
              <w:tabs>
                <w:tab w:val="clear" w:pos="567"/>
              </w:tabs>
              <w:spacing w:before="0" w:line="240" w:lineRule="auto"/>
              <w:rPr>
                <w:rFonts w:eastAsia="Times New Roman" w:cs="Open Sans Light"/>
                <w:color w:val="000000"/>
                <w:sz w:val="16"/>
                <w:szCs w:val="16"/>
                <w:lang w:eastAsia="en-AU"/>
              </w:rPr>
            </w:pPr>
            <w:r w:rsidRPr="00A6242B">
              <w:rPr>
                <w:rFonts w:eastAsia="Times New Roman" w:cs="Open Sans Light"/>
                <w:color w:val="000000"/>
                <w:sz w:val="16"/>
                <w:szCs w:val="16"/>
                <w:lang w:eastAsia="en-AU"/>
              </w:rPr>
              <w:t>Total ex</w:t>
            </w:r>
            <w:r>
              <w:rPr>
                <w:rFonts w:eastAsia="Times New Roman" w:cs="Open Sans Light"/>
                <w:color w:val="000000"/>
                <w:sz w:val="16"/>
                <w:szCs w:val="16"/>
                <w:lang w:eastAsia="en-AU"/>
              </w:rPr>
              <w:t>penditure</w:t>
            </w:r>
            <w:r w:rsidRPr="00A6242B">
              <w:rPr>
                <w:rFonts w:eastAsia="Times New Roman" w:cs="Open Sans Light"/>
                <w:color w:val="000000"/>
                <w:sz w:val="16"/>
                <w:szCs w:val="16"/>
                <w:lang w:eastAsia="en-AU"/>
              </w:rPr>
              <w:t xml:space="preserve"> ($m)</w:t>
            </w:r>
          </w:p>
        </w:tc>
        <w:tc>
          <w:tcPr>
            <w:tcW w:w="390" w:type="pct"/>
            <w:tcBorders>
              <w:top w:val="single" w:sz="4" w:space="0" w:color="ADD6EA"/>
              <w:left w:val="nil"/>
              <w:bottom w:val="nil"/>
              <w:right w:val="nil"/>
            </w:tcBorders>
            <w:shd w:val="clear" w:color="auto" w:fill="auto"/>
            <w:noWrap/>
            <w:vAlign w:val="bottom"/>
            <w:hideMark/>
          </w:tcPr>
          <w:p w14:paraId="31B1F5B8"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7,292</w:t>
            </w:r>
          </w:p>
        </w:tc>
        <w:tc>
          <w:tcPr>
            <w:tcW w:w="390" w:type="pct"/>
            <w:tcBorders>
              <w:top w:val="single" w:sz="4" w:space="0" w:color="ADD6EA"/>
              <w:left w:val="nil"/>
              <w:bottom w:val="nil"/>
              <w:right w:val="nil"/>
            </w:tcBorders>
            <w:shd w:val="clear" w:color="auto" w:fill="auto"/>
            <w:noWrap/>
            <w:vAlign w:val="bottom"/>
            <w:hideMark/>
          </w:tcPr>
          <w:p w14:paraId="132C73D4"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5,824</w:t>
            </w:r>
          </w:p>
        </w:tc>
        <w:tc>
          <w:tcPr>
            <w:tcW w:w="390" w:type="pct"/>
            <w:tcBorders>
              <w:top w:val="single" w:sz="4" w:space="0" w:color="ADD6EA"/>
              <w:left w:val="nil"/>
              <w:bottom w:val="nil"/>
              <w:right w:val="nil"/>
            </w:tcBorders>
            <w:shd w:val="clear" w:color="auto" w:fill="auto"/>
            <w:noWrap/>
            <w:vAlign w:val="bottom"/>
            <w:hideMark/>
          </w:tcPr>
          <w:p w14:paraId="2B6459A5"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4,797</w:t>
            </w:r>
          </w:p>
        </w:tc>
        <w:tc>
          <w:tcPr>
            <w:tcW w:w="390" w:type="pct"/>
            <w:tcBorders>
              <w:top w:val="single" w:sz="4" w:space="0" w:color="ADD6EA"/>
              <w:left w:val="nil"/>
              <w:bottom w:val="nil"/>
              <w:right w:val="nil"/>
            </w:tcBorders>
            <w:shd w:val="clear" w:color="auto" w:fill="auto"/>
            <w:noWrap/>
            <w:vAlign w:val="bottom"/>
            <w:hideMark/>
          </w:tcPr>
          <w:p w14:paraId="43CFC950"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2,683</w:t>
            </w:r>
          </w:p>
        </w:tc>
        <w:tc>
          <w:tcPr>
            <w:tcW w:w="364" w:type="pct"/>
            <w:tcBorders>
              <w:top w:val="single" w:sz="4" w:space="0" w:color="ADD6EA"/>
              <w:left w:val="nil"/>
              <w:bottom w:val="nil"/>
              <w:right w:val="nil"/>
            </w:tcBorders>
            <w:shd w:val="clear" w:color="auto" w:fill="auto"/>
            <w:noWrap/>
            <w:vAlign w:val="bottom"/>
            <w:hideMark/>
          </w:tcPr>
          <w:p w14:paraId="156AC8A6"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2,008</w:t>
            </w:r>
          </w:p>
        </w:tc>
        <w:tc>
          <w:tcPr>
            <w:tcW w:w="319" w:type="pct"/>
            <w:tcBorders>
              <w:top w:val="single" w:sz="4" w:space="0" w:color="ADD6EA"/>
              <w:left w:val="nil"/>
              <w:bottom w:val="nil"/>
              <w:right w:val="nil"/>
            </w:tcBorders>
            <w:shd w:val="clear" w:color="auto" w:fill="auto"/>
            <w:noWrap/>
            <w:vAlign w:val="bottom"/>
            <w:hideMark/>
          </w:tcPr>
          <w:p w14:paraId="3CA03FD4"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574</w:t>
            </w:r>
          </w:p>
        </w:tc>
        <w:tc>
          <w:tcPr>
            <w:tcW w:w="343" w:type="pct"/>
            <w:tcBorders>
              <w:top w:val="single" w:sz="4" w:space="0" w:color="ADD6EA"/>
              <w:left w:val="nil"/>
              <w:bottom w:val="nil"/>
              <w:right w:val="nil"/>
            </w:tcBorders>
            <w:shd w:val="clear" w:color="auto" w:fill="auto"/>
            <w:noWrap/>
            <w:vAlign w:val="bottom"/>
            <w:hideMark/>
          </w:tcPr>
          <w:p w14:paraId="6ABD7258"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325</w:t>
            </w:r>
          </w:p>
        </w:tc>
        <w:tc>
          <w:tcPr>
            <w:tcW w:w="319" w:type="pct"/>
            <w:tcBorders>
              <w:top w:val="single" w:sz="4" w:space="0" w:color="ADD6EA"/>
              <w:left w:val="nil"/>
              <w:bottom w:val="nil"/>
              <w:right w:val="nil"/>
            </w:tcBorders>
            <w:shd w:val="clear" w:color="auto" w:fill="auto"/>
            <w:noWrap/>
            <w:vAlign w:val="bottom"/>
            <w:hideMark/>
          </w:tcPr>
          <w:p w14:paraId="00D87B01"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506</w:t>
            </w:r>
          </w:p>
        </w:tc>
        <w:tc>
          <w:tcPr>
            <w:tcW w:w="449" w:type="pct"/>
            <w:tcBorders>
              <w:top w:val="single" w:sz="4" w:space="0" w:color="ADD6EA"/>
              <w:left w:val="nil"/>
              <w:bottom w:val="nil"/>
              <w:right w:val="nil"/>
            </w:tcBorders>
            <w:shd w:val="clear" w:color="auto" w:fill="auto"/>
            <w:noWrap/>
            <w:vAlign w:val="bottom"/>
            <w:hideMark/>
          </w:tcPr>
          <w:p w14:paraId="0BF39176"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bookmarkStart w:id="28" w:name="RANGE!J6"/>
            <w:r>
              <w:rPr>
                <w:rFonts w:cs="Open Sans Light"/>
                <w:sz w:val="16"/>
                <w:szCs w:val="16"/>
              </w:rPr>
              <w:t>24,009</w:t>
            </w:r>
            <w:bookmarkEnd w:id="28"/>
          </w:p>
        </w:tc>
      </w:tr>
      <w:tr w:rsidR="00E4475F" w:rsidRPr="00A6242B" w14:paraId="37473536" w14:textId="77777777" w:rsidTr="00F337C8">
        <w:trPr>
          <w:trHeight w:val="315"/>
        </w:trPr>
        <w:tc>
          <w:tcPr>
            <w:tcW w:w="1646" w:type="pct"/>
            <w:tcBorders>
              <w:top w:val="single" w:sz="4" w:space="0" w:color="ADD6EA"/>
              <w:left w:val="nil"/>
              <w:bottom w:val="single" w:sz="4" w:space="0" w:color="ADD6EA"/>
              <w:right w:val="nil"/>
            </w:tcBorders>
            <w:shd w:val="clear" w:color="auto" w:fill="auto"/>
            <w:vAlign w:val="bottom"/>
            <w:hideMark/>
          </w:tcPr>
          <w:p w14:paraId="591C559C" w14:textId="77777777" w:rsidR="00E4475F" w:rsidRPr="00A6242B" w:rsidRDefault="00E4475F">
            <w:pPr>
              <w:tabs>
                <w:tab w:val="clear" w:pos="567"/>
              </w:tabs>
              <w:spacing w:before="0" w:line="240" w:lineRule="auto"/>
              <w:rPr>
                <w:rFonts w:eastAsia="Times New Roman" w:cs="Open Sans Light"/>
                <w:color w:val="000000"/>
                <w:sz w:val="16"/>
                <w:szCs w:val="16"/>
                <w:lang w:eastAsia="en-AU"/>
              </w:rPr>
            </w:pPr>
            <w:r w:rsidRPr="00A6242B">
              <w:rPr>
                <w:rFonts w:eastAsia="Times New Roman" w:cs="Open Sans Light"/>
                <w:color w:val="000000"/>
                <w:sz w:val="16"/>
                <w:szCs w:val="16"/>
                <w:lang w:eastAsia="en-AU"/>
              </w:rPr>
              <w:t>Proportion of total expenditure (%)</w:t>
            </w:r>
          </w:p>
        </w:tc>
        <w:tc>
          <w:tcPr>
            <w:tcW w:w="390" w:type="pct"/>
            <w:tcBorders>
              <w:top w:val="single" w:sz="4" w:space="0" w:color="ADD6EA"/>
              <w:left w:val="nil"/>
              <w:bottom w:val="single" w:sz="4" w:space="0" w:color="ADD6EA"/>
              <w:right w:val="nil"/>
            </w:tcBorders>
            <w:shd w:val="clear" w:color="auto" w:fill="auto"/>
            <w:vAlign w:val="bottom"/>
            <w:hideMark/>
          </w:tcPr>
          <w:p w14:paraId="2F0D2344"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6.4</w:t>
            </w:r>
          </w:p>
        </w:tc>
        <w:tc>
          <w:tcPr>
            <w:tcW w:w="390" w:type="pct"/>
            <w:tcBorders>
              <w:top w:val="single" w:sz="4" w:space="0" w:color="ADD6EA"/>
              <w:left w:val="nil"/>
              <w:bottom w:val="single" w:sz="4" w:space="0" w:color="ADD6EA"/>
              <w:right w:val="nil"/>
            </w:tcBorders>
            <w:shd w:val="clear" w:color="auto" w:fill="auto"/>
            <w:vAlign w:val="bottom"/>
            <w:hideMark/>
          </w:tcPr>
          <w:p w14:paraId="260EC4EA"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6.2</w:t>
            </w:r>
          </w:p>
        </w:tc>
        <w:tc>
          <w:tcPr>
            <w:tcW w:w="390" w:type="pct"/>
            <w:tcBorders>
              <w:top w:val="single" w:sz="4" w:space="0" w:color="ADD6EA"/>
              <w:left w:val="nil"/>
              <w:bottom w:val="single" w:sz="4" w:space="0" w:color="ADD6EA"/>
              <w:right w:val="nil"/>
            </w:tcBorders>
            <w:shd w:val="clear" w:color="auto" w:fill="auto"/>
            <w:vAlign w:val="bottom"/>
            <w:hideMark/>
          </w:tcPr>
          <w:p w14:paraId="1FA51D5A"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8.0</w:t>
            </w:r>
          </w:p>
        </w:tc>
        <w:tc>
          <w:tcPr>
            <w:tcW w:w="390" w:type="pct"/>
            <w:tcBorders>
              <w:top w:val="single" w:sz="4" w:space="0" w:color="ADD6EA"/>
              <w:left w:val="nil"/>
              <w:bottom w:val="single" w:sz="4" w:space="0" w:color="ADD6EA"/>
              <w:right w:val="nil"/>
            </w:tcBorders>
            <w:shd w:val="clear" w:color="auto" w:fill="auto"/>
            <w:vAlign w:val="bottom"/>
            <w:hideMark/>
          </w:tcPr>
          <w:p w14:paraId="1C63BF18"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7.8</w:t>
            </w:r>
          </w:p>
        </w:tc>
        <w:tc>
          <w:tcPr>
            <w:tcW w:w="364" w:type="pct"/>
            <w:tcBorders>
              <w:top w:val="single" w:sz="4" w:space="0" w:color="ADD6EA"/>
              <w:left w:val="nil"/>
              <w:bottom w:val="single" w:sz="4" w:space="0" w:color="ADD6EA"/>
              <w:right w:val="nil"/>
            </w:tcBorders>
            <w:shd w:val="clear" w:color="auto" w:fill="auto"/>
            <w:vAlign w:val="bottom"/>
            <w:hideMark/>
          </w:tcPr>
          <w:p w14:paraId="39A6B471"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9.2</w:t>
            </w:r>
          </w:p>
        </w:tc>
        <w:tc>
          <w:tcPr>
            <w:tcW w:w="319" w:type="pct"/>
            <w:tcBorders>
              <w:top w:val="single" w:sz="4" w:space="0" w:color="ADD6EA"/>
              <w:left w:val="nil"/>
              <w:bottom w:val="single" w:sz="4" w:space="0" w:color="ADD6EA"/>
              <w:right w:val="nil"/>
            </w:tcBorders>
            <w:shd w:val="clear" w:color="auto" w:fill="auto"/>
            <w:vAlign w:val="bottom"/>
            <w:hideMark/>
          </w:tcPr>
          <w:p w14:paraId="4B6519C8"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8.2</w:t>
            </w:r>
          </w:p>
        </w:tc>
        <w:tc>
          <w:tcPr>
            <w:tcW w:w="343" w:type="pct"/>
            <w:tcBorders>
              <w:top w:val="single" w:sz="4" w:space="0" w:color="ADD6EA"/>
              <w:left w:val="nil"/>
              <w:bottom w:val="single" w:sz="4" w:space="0" w:color="ADD6EA"/>
              <w:right w:val="nil"/>
            </w:tcBorders>
            <w:shd w:val="clear" w:color="auto" w:fill="auto"/>
            <w:vAlign w:val="bottom"/>
            <w:hideMark/>
          </w:tcPr>
          <w:p w14:paraId="009AF97B"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4.9</w:t>
            </w:r>
          </w:p>
        </w:tc>
        <w:tc>
          <w:tcPr>
            <w:tcW w:w="319" w:type="pct"/>
            <w:tcBorders>
              <w:top w:val="single" w:sz="4" w:space="0" w:color="ADD6EA"/>
              <w:left w:val="nil"/>
              <w:bottom w:val="single" w:sz="4" w:space="0" w:color="ADD6EA"/>
              <w:right w:val="nil"/>
            </w:tcBorders>
            <w:shd w:val="clear" w:color="auto" w:fill="auto"/>
            <w:vAlign w:val="bottom"/>
            <w:hideMark/>
          </w:tcPr>
          <w:p w14:paraId="5461A5C5"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7.8</w:t>
            </w:r>
          </w:p>
        </w:tc>
        <w:tc>
          <w:tcPr>
            <w:tcW w:w="449" w:type="pct"/>
            <w:tcBorders>
              <w:top w:val="single" w:sz="4" w:space="0" w:color="ADD6EA"/>
              <w:left w:val="nil"/>
              <w:bottom w:val="single" w:sz="4" w:space="0" w:color="ADD6EA"/>
              <w:right w:val="nil"/>
            </w:tcBorders>
            <w:shd w:val="clear" w:color="auto" w:fill="auto"/>
            <w:vAlign w:val="bottom"/>
            <w:hideMark/>
          </w:tcPr>
          <w:p w14:paraId="41215859" w14:textId="77777777" w:rsidR="00E4475F" w:rsidRPr="00A6242B" w:rsidRDefault="00E4475F">
            <w:pPr>
              <w:tabs>
                <w:tab w:val="clear" w:pos="567"/>
              </w:tabs>
              <w:spacing w:before="0" w:line="240" w:lineRule="auto"/>
              <w:jc w:val="right"/>
              <w:rPr>
                <w:rFonts w:eastAsia="Times New Roman" w:cs="Open Sans Light"/>
                <w:color w:val="000000"/>
                <w:sz w:val="16"/>
                <w:szCs w:val="16"/>
                <w:lang w:eastAsia="en-AU"/>
              </w:rPr>
            </w:pPr>
            <w:r>
              <w:rPr>
                <w:rFonts w:cs="Open Sans Light"/>
                <w:sz w:val="16"/>
                <w:szCs w:val="16"/>
              </w:rPr>
              <w:t>7.0</w:t>
            </w:r>
          </w:p>
        </w:tc>
      </w:tr>
    </w:tbl>
    <w:p w14:paraId="41D2DA00" w14:textId="77777777" w:rsidR="00886837" w:rsidRPr="003F1F10" w:rsidRDefault="00886837" w:rsidP="00B61100">
      <w:pPr>
        <w:pStyle w:val="CGC2025TableNote"/>
      </w:pPr>
      <w:r>
        <w:t>Source:</w:t>
      </w:r>
      <w:r>
        <w:tab/>
        <w:t>Commission calculation, 2023 Update.</w:t>
      </w:r>
    </w:p>
    <w:p w14:paraId="41D11B27" w14:textId="14BC9465" w:rsidR="00E4475F" w:rsidRDefault="00E4475F" w:rsidP="00E4475F">
      <w:pPr>
        <w:pStyle w:val="CGC2025ParaNumbers"/>
        <w:tabs>
          <w:tab w:val="clear" w:pos="567"/>
        </w:tabs>
      </w:pPr>
      <w:r>
        <w:t>State expenditure on welfare ha</w:t>
      </w:r>
      <w:r w:rsidR="00866F0D">
        <w:t>s</w:t>
      </w:r>
      <w:r>
        <w:t xml:space="preserve"> increased 26% from $19.1 billion in 2018</w:t>
      </w:r>
      <w:r w:rsidR="000A250B">
        <w:t>–</w:t>
      </w:r>
      <w:r>
        <w:t>19 to around $24 billion in 2021</w:t>
      </w:r>
      <w:r w:rsidR="000A250B">
        <w:t>–</w:t>
      </w:r>
      <w:r>
        <w:t xml:space="preserve">22 (see </w:t>
      </w:r>
      <w:r w:rsidR="00B20995">
        <w:fldChar w:fldCharType="begin"/>
      </w:r>
      <w:r w:rsidR="00B20995">
        <w:instrText xml:space="preserve"> REF _Ref142660499 \h </w:instrText>
      </w:r>
      <w:r w:rsidR="00B20995">
        <w:fldChar w:fldCharType="separate"/>
      </w:r>
      <w:r w:rsidR="00837FC6" w:rsidRPr="00A87842">
        <w:t xml:space="preserve">Table </w:t>
      </w:r>
      <w:r w:rsidR="00837FC6">
        <w:rPr>
          <w:noProof/>
        </w:rPr>
        <w:t>2</w:t>
      </w:r>
      <w:r w:rsidR="00B20995">
        <w:fldChar w:fldCharType="end"/>
      </w:r>
      <w:r>
        <w:t>).</w:t>
      </w:r>
      <w:r w:rsidR="00806B17">
        <w:t xml:space="preserve"> However, growth in other state spending </w:t>
      </w:r>
      <w:r w:rsidR="00020AA1">
        <w:t xml:space="preserve">has exceeded </w:t>
      </w:r>
      <w:r w:rsidR="00EA00B0">
        <w:t>growth in welfare spendin</w:t>
      </w:r>
      <w:r w:rsidR="00C40EBF">
        <w:t>g.</w:t>
      </w:r>
    </w:p>
    <w:p w14:paraId="20EC7501" w14:textId="4CEA4141" w:rsidR="00A87842" w:rsidRPr="00A87842" w:rsidRDefault="00A87842" w:rsidP="00A87842">
      <w:pPr>
        <w:pStyle w:val="Caption"/>
        <w:rPr>
          <w:rFonts w:ascii="Work Sans" w:hAnsi="Work Sans"/>
        </w:rPr>
      </w:pPr>
      <w:bookmarkStart w:id="29" w:name="_Ref142660499"/>
      <w:r w:rsidRPr="00A87842">
        <w:rPr>
          <w:rFonts w:ascii="Work Sans" w:hAnsi="Work Sans"/>
        </w:rPr>
        <w:t xml:space="preserve">Table </w:t>
      </w:r>
      <w:r w:rsidRPr="00A87842">
        <w:rPr>
          <w:rFonts w:ascii="Work Sans" w:hAnsi="Work Sans"/>
        </w:rPr>
        <w:fldChar w:fldCharType="begin"/>
      </w:r>
      <w:r w:rsidRPr="00A87842">
        <w:rPr>
          <w:rFonts w:ascii="Work Sans" w:hAnsi="Work Sans"/>
        </w:rPr>
        <w:instrText xml:space="preserve"> SEQ Table \* ARABIC </w:instrText>
      </w:r>
      <w:r w:rsidRPr="00A87842">
        <w:rPr>
          <w:rFonts w:ascii="Work Sans" w:hAnsi="Work Sans"/>
        </w:rPr>
        <w:fldChar w:fldCharType="separate"/>
      </w:r>
      <w:r w:rsidR="00837FC6">
        <w:rPr>
          <w:rFonts w:ascii="Work Sans" w:hAnsi="Work Sans"/>
          <w:noProof/>
        </w:rPr>
        <w:t>2</w:t>
      </w:r>
      <w:r w:rsidRPr="00A87842">
        <w:rPr>
          <w:rFonts w:ascii="Work Sans" w:hAnsi="Work Sans"/>
        </w:rPr>
        <w:fldChar w:fldCharType="end"/>
      </w:r>
      <w:bookmarkEnd w:id="29"/>
      <w:r>
        <w:rPr>
          <w:rFonts w:ascii="Work Sans" w:hAnsi="Work Sans"/>
        </w:rPr>
        <w:tab/>
      </w:r>
      <w:r w:rsidRPr="00F9677B">
        <w:rPr>
          <w:rFonts w:ascii="Work Sans" w:hAnsi="Work Sans"/>
          <w:noProof/>
        </w:rPr>
        <w:t xml:space="preserve">Total </w:t>
      </w:r>
      <w:r w:rsidR="007E7BD9">
        <w:rPr>
          <w:rFonts w:ascii="Work Sans" w:hAnsi="Work Sans"/>
          <w:noProof/>
        </w:rPr>
        <w:t>w</w:t>
      </w:r>
      <w:r w:rsidRPr="00F9677B">
        <w:rPr>
          <w:rFonts w:ascii="Work Sans" w:hAnsi="Work Sans"/>
          <w:noProof/>
        </w:rPr>
        <w:t>elfare expenditure</w:t>
      </w:r>
      <w:r w:rsidR="007E7BD9">
        <w:rPr>
          <w:rFonts w:ascii="Work Sans" w:hAnsi="Work Sans"/>
          <w:noProof/>
        </w:rPr>
        <w:t>,</w:t>
      </w:r>
      <w:r w:rsidRPr="00F9677B">
        <w:rPr>
          <w:rFonts w:ascii="Work Sans" w:hAnsi="Work Sans"/>
          <w:noProof/>
        </w:rPr>
        <w:t xml:space="preserve"> 2021–22</w:t>
      </w:r>
    </w:p>
    <w:tbl>
      <w:tblPr>
        <w:tblW w:w="8940" w:type="dxa"/>
        <w:tblLook w:val="04A0" w:firstRow="1" w:lastRow="0" w:firstColumn="1" w:lastColumn="0" w:noHBand="0" w:noVBand="1"/>
      </w:tblPr>
      <w:tblGrid>
        <w:gridCol w:w="3820"/>
        <w:gridCol w:w="1280"/>
        <w:gridCol w:w="1280"/>
        <w:gridCol w:w="1280"/>
        <w:gridCol w:w="1280"/>
      </w:tblGrid>
      <w:tr w:rsidR="00E4475F" w:rsidRPr="005C4C58" w14:paraId="196CA933" w14:textId="77777777">
        <w:trPr>
          <w:trHeight w:val="379"/>
        </w:trPr>
        <w:tc>
          <w:tcPr>
            <w:tcW w:w="3820" w:type="dxa"/>
            <w:tcBorders>
              <w:top w:val="single" w:sz="4" w:space="0" w:color="ADD6EA"/>
              <w:left w:val="nil"/>
              <w:bottom w:val="single" w:sz="4" w:space="0" w:color="ADD6EA"/>
              <w:right w:val="nil"/>
            </w:tcBorders>
            <w:shd w:val="clear" w:color="000000" w:fill="006991"/>
            <w:noWrap/>
            <w:vAlign w:val="center"/>
            <w:hideMark/>
          </w:tcPr>
          <w:p w14:paraId="6C15E7BD" w14:textId="77777777" w:rsidR="00E4475F" w:rsidRPr="005C4C58" w:rsidRDefault="00E4475F">
            <w:pPr>
              <w:keepNext/>
              <w:keepLines/>
              <w:widowControl w:val="0"/>
              <w:tabs>
                <w:tab w:val="clear" w:pos="567"/>
              </w:tabs>
              <w:spacing w:before="0" w:line="240" w:lineRule="auto"/>
              <w:jc w:val="right"/>
              <w:rPr>
                <w:rFonts w:ascii="Work Sans" w:eastAsia="Times New Roman" w:hAnsi="Work Sans" w:cs="Times New Roman"/>
                <w:b/>
                <w:bCs/>
                <w:color w:val="FFFFFF"/>
                <w:sz w:val="16"/>
                <w:szCs w:val="16"/>
                <w:lang w:eastAsia="en-AU"/>
              </w:rPr>
            </w:pPr>
            <w:r w:rsidRPr="005C4C58">
              <w:rPr>
                <w:rFonts w:ascii="Work Sans" w:eastAsia="Times New Roman" w:hAnsi="Work Sans" w:cs="Times New Roman"/>
                <w:b/>
                <w:bCs/>
                <w:color w:val="FFFFFF"/>
                <w:sz w:val="16"/>
                <w:szCs w:val="16"/>
                <w:lang w:eastAsia="en-AU"/>
              </w:rPr>
              <w:t> </w:t>
            </w:r>
          </w:p>
        </w:tc>
        <w:tc>
          <w:tcPr>
            <w:tcW w:w="1280" w:type="dxa"/>
            <w:tcBorders>
              <w:top w:val="single" w:sz="4" w:space="0" w:color="ADD6EA"/>
              <w:left w:val="nil"/>
              <w:bottom w:val="single" w:sz="4" w:space="0" w:color="ADD6EA"/>
              <w:right w:val="nil"/>
            </w:tcBorders>
            <w:shd w:val="clear" w:color="000000" w:fill="006991"/>
            <w:noWrap/>
            <w:vAlign w:val="center"/>
            <w:hideMark/>
          </w:tcPr>
          <w:p w14:paraId="1F6830D4" w14:textId="353538BB" w:rsidR="00E4475F" w:rsidRPr="00433DCB" w:rsidRDefault="00E4475F">
            <w:pPr>
              <w:keepNext/>
              <w:keepLines/>
              <w:widowControl w:val="0"/>
              <w:tabs>
                <w:tab w:val="clear" w:pos="567"/>
              </w:tabs>
              <w:spacing w:before="0" w:line="240" w:lineRule="auto"/>
              <w:jc w:val="right"/>
              <w:rPr>
                <w:rFonts w:ascii="Open Sans Semibold" w:eastAsia="Times New Roman" w:hAnsi="Open Sans Semibold" w:cs="Times New Roman"/>
                <w:bCs/>
                <w:color w:val="FFFFFF"/>
                <w:sz w:val="16"/>
                <w:szCs w:val="16"/>
                <w:lang w:eastAsia="en-AU"/>
              </w:rPr>
            </w:pPr>
            <w:r w:rsidRPr="00433DCB">
              <w:rPr>
                <w:rFonts w:ascii="Open Sans Semibold" w:eastAsia="Times New Roman" w:hAnsi="Open Sans Semibold" w:cs="Times New Roman"/>
                <w:bCs/>
                <w:color w:val="FFFFFF"/>
                <w:sz w:val="16"/>
                <w:szCs w:val="16"/>
                <w:lang w:eastAsia="en-AU"/>
              </w:rPr>
              <w:t>2018</w:t>
            </w:r>
            <w:r w:rsidR="008C4CF8">
              <w:rPr>
                <w:rFonts w:ascii="Open Sans Semibold" w:eastAsia="Times New Roman" w:hAnsi="Open Sans Semibold" w:cs="Times New Roman"/>
                <w:bCs/>
                <w:color w:val="FFFFFF"/>
                <w:sz w:val="16"/>
                <w:szCs w:val="16"/>
                <w:lang w:eastAsia="en-AU"/>
              </w:rPr>
              <w:t>–</w:t>
            </w:r>
            <w:r w:rsidRPr="00433DCB">
              <w:rPr>
                <w:rFonts w:ascii="Open Sans Semibold" w:eastAsia="Times New Roman" w:hAnsi="Open Sans Semibold" w:cs="Times New Roman"/>
                <w:bCs/>
                <w:color w:val="FFFFFF"/>
                <w:sz w:val="16"/>
                <w:szCs w:val="16"/>
                <w:lang w:eastAsia="en-AU"/>
              </w:rPr>
              <w:t>19</w:t>
            </w:r>
          </w:p>
        </w:tc>
        <w:tc>
          <w:tcPr>
            <w:tcW w:w="1280" w:type="dxa"/>
            <w:tcBorders>
              <w:top w:val="single" w:sz="4" w:space="0" w:color="ADD6EA"/>
              <w:left w:val="nil"/>
              <w:bottom w:val="single" w:sz="4" w:space="0" w:color="ADD6EA"/>
              <w:right w:val="nil"/>
            </w:tcBorders>
            <w:shd w:val="clear" w:color="000000" w:fill="006991"/>
            <w:noWrap/>
            <w:vAlign w:val="center"/>
            <w:hideMark/>
          </w:tcPr>
          <w:p w14:paraId="7B25EF88" w14:textId="62E83C7B" w:rsidR="00E4475F" w:rsidRPr="00433DCB" w:rsidRDefault="00E4475F">
            <w:pPr>
              <w:keepNext/>
              <w:keepLines/>
              <w:widowControl w:val="0"/>
              <w:tabs>
                <w:tab w:val="clear" w:pos="567"/>
              </w:tabs>
              <w:spacing w:before="0" w:line="240" w:lineRule="auto"/>
              <w:jc w:val="right"/>
              <w:rPr>
                <w:rFonts w:ascii="Open Sans Semibold" w:eastAsia="Times New Roman" w:hAnsi="Open Sans Semibold" w:cs="Times New Roman"/>
                <w:bCs/>
                <w:color w:val="FFFFFF"/>
                <w:sz w:val="16"/>
                <w:szCs w:val="16"/>
                <w:lang w:eastAsia="en-AU"/>
              </w:rPr>
            </w:pPr>
            <w:r w:rsidRPr="00433DCB">
              <w:rPr>
                <w:rFonts w:ascii="Open Sans Semibold" w:eastAsia="Times New Roman" w:hAnsi="Open Sans Semibold" w:cs="Times New Roman"/>
                <w:bCs/>
                <w:color w:val="FFFFFF"/>
                <w:sz w:val="16"/>
                <w:szCs w:val="16"/>
                <w:lang w:eastAsia="en-AU"/>
              </w:rPr>
              <w:t>2019</w:t>
            </w:r>
            <w:r w:rsidR="008C4CF8">
              <w:rPr>
                <w:rFonts w:ascii="Open Sans Semibold" w:eastAsia="Times New Roman" w:hAnsi="Open Sans Semibold" w:cs="Times New Roman"/>
                <w:bCs/>
                <w:color w:val="FFFFFF"/>
                <w:sz w:val="16"/>
                <w:szCs w:val="16"/>
                <w:lang w:eastAsia="en-AU"/>
              </w:rPr>
              <w:t>–</w:t>
            </w:r>
            <w:r w:rsidRPr="00433DCB">
              <w:rPr>
                <w:rFonts w:ascii="Open Sans Semibold" w:eastAsia="Times New Roman" w:hAnsi="Open Sans Semibold" w:cs="Times New Roman"/>
                <w:bCs/>
                <w:color w:val="FFFFFF"/>
                <w:sz w:val="16"/>
                <w:szCs w:val="16"/>
                <w:lang w:eastAsia="en-AU"/>
              </w:rPr>
              <w:t>20</w:t>
            </w:r>
          </w:p>
        </w:tc>
        <w:tc>
          <w:tcPr>
            <w:tcW w:w="1280" w:type="dxa"/>
            <w:tcBorders>
              <w:top w:val="single" w:sz="4" w:space="0" w:color="ADD6EA"/>
              <w:left w:val="nil"/>
              <w:bottom w:val="single" w:sz="4" w:space="0" w:color="ADD6EA"/>
              <w:right w:val="nil"/>
            </w:tcBorders>
            <w:shd w:val="clear" w:color="000000" w:fill="006991"/>
            <w:noWrap/>
            <w:vAlign w:val="center"/>
            <w:hideMark/>
          </w:tcPr>
          <w:p w14:paraId="79632F49" w14:textId="7C079C62" w:rsidR="00E4475F" w:rsidRPr="00433DCB" w:rsidRDefault="00E4475F">
            <w:pPr>
              <w:keepNext/>
              <w:keepLines/>
              <w:widowControl w:val="0"/>
              <w:tabs>
                <w:tab w:val="clear" w:pos="567"/>
              </w:tabs>
              <w:spacing w:before="0" w:line="240" w:lineRule="auto"/>
              <w:jc w:val="right"/>
              <w:rPr>
                <w:rFonts w:ascii="Open Sans Semibold" w:eastAsia="Times New Roman" w:hAnsi="Open Sans Semibold" w:cs="Times New Roman"/>
                <w:bCs/>
                <w:color w:val="FFFFFF"/>
                <w:sz w:val="16"/>
                <w:szCs w:val="16"/>
                <w:lang w:eastAsia="en-AU"/>
              </w:rPr>
            </w:pPr>
            <w:r w:rsidRPr="00433DCB">
              <w:rPr>
                <w:rFonts w:ascii="Open Sans Semibold" w:eastAsia="Times New Roman" w:hAnsi="Open Sans Semibold" w:cs="Times New Roman"/>
                <w:bCs/>
                <w:color w:val="FFFFFF"/>
                <w:sz w:val="16"/>
                <w:szCs w:val="16"/>
                <w:lang w:eastAsia="en-AU"/>
              </w:rPr>
              <w:t>2020</w:t>
            </w:r>
            <w:r w:rsidR="008C4CF8">
              <w:rPr>
                <w:rFonts w:ascii="Open Sans Semibold" w:eastAsia="Times New Roman" w:hAnsi="Open Sans Semibold" w:cs="Times New Roman"/>
                <w:bCs/>
                <w:color w:val="FFFFFF"/>
                <w:sz w:val="16"/>
                <w:szCs w:val="16"/>
                <w:lang w:eastAsia="en-AU"/>
              </w:rPr>
              <w:t>–</w:t>
            </w:r>
            <w:r w:rsidRPr="00433DCB">
              <w:rPr>
                <w:rFonts w:ascii="Open Sans Semibold" w:eastAsia="Times New Roman" w:hAnsi="Open Sans Semibold" w:cs="Times New Roman"/>
                <w:bCs/>
                <w:color w:val="FFFFFF"/>
                <w:sz w:val="16"/>
                <w:szCs w:val="16"/>
                <w:lang w:eastAsia="en-AU"/>
              </w:rPr>
              <w:t>21</w:t>
            </w:r>
          </w:p>
        </w:tc>
        <w:tc>
          <w:tcPr>
            <w:tcW w:w="1280" w:type="dxa"/>
            <w:tcBorders>
              <w:top w:val="single" w:sz="4" w:space="0" w:color="ADD6EA"/>
              <w:left w:val="nil"/>
              <w:bottom w:val="single" w:sz="4" w:space="0" w:color="ADD6EA"/>
              <w:right w:val="nil"/>
            </w:tcBorders>
            <w:shd w:val="clear" w:color="000000" w:fill="006991"/>
            <w:noWrap/>
            <w:vAlign w:val="center"/>
            <w:hideMark/>
          </w:tcPr>
          <w:p w14:paraId="6D19FF86" w14:textId="70D33F1E" w:rsidR="00E4475F" w:rsidRPr="00433DCB" w:rsidRDefault="00E4475F">
            <w:pPr>
              <w:keepNext/>
              <w:keepLines/>
              <w:widowControl w:val="0"/>
              <w:tabs>
                <w:tab w:val="clear" w:pos="567"/>
              </w:tabs>
              <w:spacing w:before="0" w:line="240" w:lineRule="auto"/>
              <w:jc w:val="right"/>
              <w:rPr>
                <w:rFonts w:ascii="Open Sans Semibold" w:eastAsia="Times New Roman" w:hAnsi="Open Sans Semibold" w:cs="Times New Roman"/>
                <w:bCs/>
                <w:color w:val="FFFFFF"/>
                <w:sz w:val="16"/>
                <w:szCs w:val="16"/>
                <w:lang w:eastAsia="en-AU"/>
              </w:rPr>
            </w:pPr>
            <w:r w:rsidRPr="00433DCB">
              <w:rPr>
                <w:rFonts w:ascii="Open Sans Semibold" w:eastAsia="Times New Roman" w:hAnsi="Open Sans Semibold" w:cs="Times New Roman"/>
                <w:bCs/>
                <w:color w:val="FFFFFF"/>
                <w:sz w:val="16"/>
                <w:szCs w:val="16"/>
                <w:lang w:eastAsia="en-AU"/>
              </w:rPr>
              <w:t>2021</w:t>
            </w:r>
            <w:r w:rsidR="008C4CF8">
              <w:rPr>
                <w:rFonts w:ascii="Open Sans Semibold" w:eastAsia="Times New Roman" w:hAnsi="Open Sans Semibold" w:cs="Times New Roman"/>
                <w:bCs/>
                <w:color w:val="FFFFFF"/>
                <w:sz w:val="16"/>
                <w:szCs w:val="16"/>
                <w:lang w:eastAsia="en-AU"/>
              </w:rPr>
              <w:t>–</w:t>
            </w:r>
            <w:r w:rsidRPr="00433DCB">
              <w:rPr>
                <w:rFonts w:ascii="Open Sans Semibold" w:eastAsia="Times New Roman" w:hAnsi="Open Sans Semibold" w:cs="Times New Roman"/>
                <w:bCs/>
                <w:color w:val="FFFFFF"/>
                <w:sz w:val="16"/>
                <w:szCs w:val="16"/>
                <w:lang w:eastAsia="en-AU"/>
              </w:rPr>
              <w:t>22</w:t>
            </w:r>
          </w:p>
        </w:tc>
      </w:tr>
      <w:tr w:rsidR="00E4475F" w:rsidRPr="005C4C58" w14:paraId="305E625B" w14:textId="77777777">
        <w:trPr>
          <w:trHeight w:val="319"/>
        </w:trPr>
        <w:tc>
          <w:tcPr>
            <w:tcW w:w="3820" w:type="dxa"/>
            <w:tcBorders>
              <w:top w:val="nil"/>
              <w:left w:val="nil"/>
              <w:bottom w:val="nil"/>
              <w:right w:val="nil"/>
            </w:tcBorders>
            <w:shd w:val="clear" w:color="auto" w:fill="auto"/>
            <w:vAlign w:val="bottom"/>
            <w:hideMark/>
          </w:tcPr>
          <w:p w14:paraId="78A3C431" w14:textId="77777777" w:rsidR="00E4475F" w:rsidRPr="00433DCB" w:rsidRDefault="00E4475F">
            <w:pPr>
              <w:keepNext/>
              <w:keepLines/>
              <w:widowControl w:val="0"/>
              <w:tabs>
                <w:tab w:val="clear" w:pos="567"/>
              </w:tabs>
              <w:spacing w:before="0" w:line="240" w:lineRule="auto"/>
              <w:rPr>
                <w:rFonts w:eastAsia="Times New Roman" w:cs="Times New Roman"/>
                <w:sz w:val="16"/>
                <w:szCs w:val="16"/>
                <w:lang w:eastAsia="en-AU"/>
              </w:rPr>
            </w:pPr>
            <w:r w:rsidRPr="00433DCB">
              <w:rPr>
                <w:rFonts w:eastAsia="Times New Roman" w:cs="Times New Roman"/>
                <w:sz w:val="16"/>
                <w:szCs w:val="16"/>
                <w:lang w:eastAsia="en-AU"/>
              </w:rPr>
              <w:t>Total expenditure ($m)</w:t>
            </w:r>
          </w:p>
        </w:tc>
        <w:tc>
          <w:tcPr>
            <w:tcW w:w="1280" w:type="dxa"/>
            <w:tcBorders>
              <w:top w:val="nil"/>
              <w:left w:val="nil"/>
              <w:bottom w:val="nil"/>
              <w:right w:val="nil"/>
            </w:tcBorders>
            <w:shd w:val="clear" w:color="auto" w:fill="auto"/>
            <w:vAlign w:val="bottom"/>
            <w:hideMark/>
          </w:tcPr>
          <w:p w14:paraId="3DAA949F" w14:textId="77777777" w:rsidR="00E4475F" w:rsidRPr="00433DCB" w:rsidRDefault="00E4475F">
            <w:pPr>
              <w:keepNext/>
              <w:keepLines/>
              <w:widowControl w:val="0"/>
              <w:tabs>
                <w:tab w:val="clear" w:pos="567"/>
              </w:tabs>
              <w:spacing w:before="0" w:line="240" w:lineRule="auto"/>
              <w:jc w:val="right"/>
              <w:rPr>
                <w:rFonts w:eastAsia="Times New Roman" w:cs="Times New Roman"/>
                <w:sz w:val="16"/>
                <w:szCs w:val="16"/>
                <w:lang w:eastAsia="en-AU"/>
              </w:rPr>
            </w:pPr>
            <w:r>
              <w:rPr>
                <w:rFonts w:eastAsia="Times New Roman" w:cs="Times New Roman"/>
                <w:sz w:val="16"/>
                <w:szCs w:val="16"/>
                <w:lang w:eastAsia="en-AU"/>
              </w:rPr>
              <w:t>19,110</w:t>
            </w:r>
          </w:p>
        </w:tc>
        <w:tc>
          <w:tcPr>
            <w:tcW w:w="1280" w:type="dxa"/>
            <w:tcBorders>
              <w:top w:val="nil"/>
              <w:left w:val="nil"/>
              <w:bottom w:val="nil"/>
              <w:right w:val="nil"/>
            </w:tcBorders>
            <w:shd w:val="clear" w:color="auto" w:fill="auto"/>
            <w:vAlign w:val="bottom"/>
            <w:hideMark/>
          </w:tcPr>
          <w:p w14:paraId="54146550" w14:textId="77777777" w:rsidR="00E4475F" w:rsidRPr="00433DCB" w:rsidRDefault="00E4475F">
            <w:pPr>
              <w:keepNext/>
              <w:keepLines/>
              <w:widowControl w:val="0"/>
              <w:tabs>
                <w:tab w:val="clear" w:pos="567"/>
              </w:tabs>
              <w:spacing w:before="0" w:line="240" w:lineRule="auto"/>
              <w:jc w:val="right"/>
              <w:rPr>
                <w:rFonts w:eastAsia="Times New Roman" w:cs="Times New Roman"/>
                <w:sz w:val="16"/>
                <w:szCs w:val="16"/>
                <w:lang w:eastAsia="en-AU"/>
              </w:rPr>
            </w:pPr>
            <w:r w:rsidRPr="00433DCB">
              <w:rPr>
                <w:rFonts w:eastAsia="Times New Roman" w:cs="Times New Roman"/>
                <w:sz w:val="16"/>
                <w:szCs w:val="16"/>
                <w:lang w:eastAsia="en-AU"/>
              </w:rPr>
              <w:t>2</w:t>
            </w:r>
            <w:r>
              <w:rPr>
                <w:rFonts w:eastAsia="Times New Roman" w:cs="Times New Roman"/>
                <w:sz w:val="16"/>
                <w:szCs w:val="16"/>
                <w:lang w:eastAsia="en-AU"/>
              </w:rPr>
              <w:t>1</w:t>
            </w:r>
            <w:r w:rsidRPr="00433DCB">
              <w:rPr>
                <w:rFonts w:eastAsia="Times New Roman" w:cs="Times New Roman"/>
                <w:sz w:val="16"/>
                <w:szCs w:val="16"/>
                <w:lang w:eastAsia="en-AU"/>
              </w:rPr>
              <w:t>,</w:t>
            </w:r>
            <w:r>
              <w:rPr>
                <w:rFonts w:eastAsia="Times New Roman" w:cs="Times New Roman"/>
                <w:sz w:val="16"/>
                <w:szCs w:val="16"/>
                <w:lang w:eastAsia="en-AU"/>
              </w:rPr>
              <w:t>265</w:t>
            </w:r>
          </w:p>
        </w:tc>
        <w:tc>
          <w:tcPr>
            <w:tcW w:w="1280" w:type="dxa"/>
            <w:tcBorders>
              <w:top w:val="nil"/>
              <w:left w:val="nil"/>
              <w:bottom w:val="nil"/>
              <w:right w:val="nil"/>
            </w:tcBorders>
            <w:shd w:val="clear" w:color="auto" w:fill="auto"/>
            <w:vAlign w:val="bottom"/>
            <w:hideMark/>
          </w:tcPr>
          <w:p w14:paraId="2D7F87D4" w14:textId="77777777" w:rsidR="00E4475F" w:rsidRPr="00433DCB" w:rsidRDefault="00E4475F">
            <w:pPr>
              <w:keepNext/>
              <w:keepLines/>
              <w:widowControl w:val="0"/>
              <w:tabs>
                <w:tab w:val="clear" w:pos="567"/>
              </w:tabs>
              <w:spacing w:before="0" w:line="240" w:lineRule="auto"/>
              <w:jc w:val="right"/>
              <w:rPr>
                <w:rFonts w:eastAsia="Times New Roman" w:cs="Times New Roman"/>
                <w:sz w:val="16"/>
                <w:szCs w:val="16"/>
                <w:lang w:eastAsia="en-AU"/>
              </w:rPr>
            </w:pPr>
            <w:r w:rsidRPr="00433DCB">
              <w:rPr>
                <w:rFonts w:eastAsia="Times New Roman" w:cs="Times New Roman"/>
                <w:sz w:val="16"/>
                <w:szCs w:val="16"/>
                <w:lang w:eastAsia="en-AU"/>
              </w:rPr>
              <w:t>2</w:t>
            </w:r>
            <w:r>
              <w:rPr>
                <w:rFonts w:eastAsia="Times New Roman" w:cs="Times New Roman"/>
                <w:sz w:val="16"/>
                <w:szCs w:val="16"/>
                <w:lang w:eastAsia="en-AU"/>
              </w:rPr>
              <w:t>2</w:t>
            </w:r>
            <w:r w:rsidRPr="00433DCB">
              <w:rPr>
                <w:rFonts w:eastAsia="Times New Roman" w:cs="Times New Roman"/>
                <w:sz w:val="16"/>
                <w:szCs w:val="16"/>
                <w:lang w:eastAsia="en-AU"/>
              </w:rPr>
              <w:t>,</w:t>
            </w:r>
            <w:r>
              <w:rPr>
                <w:rFonts w:eastAsia="Times New Roman" w:cs="Times New Roman"/>
                <w:sz w:val="16"/>
                <w:szCs w:val="16"/>
                <w:lang w:eastAsia="en-AU"/>
              </w:rPr>
              <w:t>245</w:t>
            </w:r>
          </w:p>
        </w:tc>
        <w:tc>
          <w:tcPr>
            <w:tcW w:w="1280" w:type="dxa"/>
            <w:tcBorders>
              <w:top w:val="nil"/>
              <w:left w:val="nil"/>
              <w:bottom w:val="nil"/>
              <w:right w:val="nil"/>
            </w:tcBorders>
            <w:shd w:val="clear" w:color="auto" w:fill="auto"/>
            <w:vAlign w:val="bottom"/>
            <w:hideMark/>
          </w:tcPr>
          <w:p w14:paraId="108A9AB9" w14:textId="77777777" w:rsidR="00E4475F" w:rsidRPr="00433DCB" w:rsidRDefault="00E4475F">
            <w:pPr>
              <w:keepNext/>
              <w:keepLines/>
              <w:widowControl w:val="0"/>
              <w:tabs>
                <w:tab w:val="clear" w:pos="567"/>
              </w:tabs>
              <w:spacing w:before="0" w:line="240" w:lineRule="auto"/>
              <w:jc w:val="right"/>
              <w:rPr>
                <w:rFonts w:eastAsia="Times New Roman" w:cs="Times New Roman"/>
                <w:sz w:val="16"/>
                <w:szCs w:val="16"/>
                <w:lang w:eastAsia="en-AU"/>
              </w:rPr>
            </w:pPr>
            <w:r w:rsidRPr="00433DCB">
              <w:rPr>
                <w:rFonts w:eastAsia="Times New Roman" w:cs="Times New Roman"/>
                <w:sz w:val="16"/>
                <w:szCs w:val="16"/>
                <w:lang w:eastAsia="en-AU"/>
              </w:rPr>
              <w:t>2</w:t>
            </w:r>
            <w:r>
              <w:rPr>
                <w:rFonts w:eastAsia="Times New Roman" w:cs="Times New Roman"/>
                <w:sz w:val="16"/>
                <w:szCs w:val="16"/>
                <w:lang w:eastAsia="en-AU"/>
              </w:rPr>
              <w:t>4</w:t>
            </w:r>
            <w:r w:rsidRPr="00433DCB">
              <w:rPr>
                <w:rFonts w:eastAsia="Times New Roman" w:cs="Times New Roman"/>
                <w:sz w:val="16"/>
                <w:szCs w:val="16"/>
                <w:lang w:eastAsia="en-AU"/>
              </w:rPr>
              <w:t>,</w:t>
            </w:r>
            <w:r>
              <w:rPr>
                <w:rFonts w:eastAsia="Times New Roman" w:cs="Times New Roman"/>
                <w:sz w:val="16"/>
                <w:szCs w:val="16"/>
                <w:lang w:eastAsia="en-AU"/>
              </w:rPr>
              <w:t>009</w:t>
            </w:r>
          </w:p>
        </w:tc>
      </w:tr>
      <w:tr w:rsidR="00E4475F" w:rsidRPr="005C4C58" w14:paraId="45DC3EFB" w14:textId="77777777">
        <w:trPr>
          <w:trHeight w:val="319"/>
        </w:trPr>
        <w:tc>
          <w:tcPr>
            <w:tcW w:w="3820" w:type="dxa"/>
            <w:tcBorders>
              <w:top w:val="single" w:sz="4" w:space="0" w:color="ADD6EA"/>
              <w:left w:val="nil"/>
              <w:bottom w:val="single" w:sz="4" w:space="0" w:color="ADD6EA"/>
              <w:right w:val="nil"/>
            </w:tcBorders>
            <w:shd w:val="clear" w:color="auto" w:fill="auto"/>
            <w:vAlign w:val="bottom"/>
            <w:hideMark/>
          </w:tcPr>
          <w:p w14:paraId="2FF00AE9" w14:textId="77777777" w:rsidR="00E4475F" w:rsidRPr="00433DCB" w:rsidRDefault="00E4475F">
            <w:pPr>
              <w:keepNext/>
              <w:keepLines/>
              <w:widowControl w:val="0"/>
              <w:tabs>
                <w:tab w:val="clear" w:pos="567"/>
              </w:tabs>
              <w:spacing w:before="0" w:line="240" w:lineRule="auto"/>
              <w:rPr>
                <w:rFonts w:eastAsia="Times New Roman" w:cs="Times New Roman"/>
                <w:sz w:val="16"/>
                <w:szCs w:val="16"/>
                <w:lang w:eastAsia="en-AU"/>
              </w:rPr>
            </w:pPr>
            <w:r w:rsidRPr="00433DCB">
              <w:rPr>
                <w:rFonts w:eastAsia="Times New Roman" w:cs="Times New Roman"/>
                <w:sz w:val="16"/>
                <w:szCs w:val="16"/>
                <w:lang w:eastAsia="en-AU"/>
              </w:rPr>
              <w:t>Proportion of total expenditure (%)</w:t>
            </w:r>
          </w:p>
        </w:tc>
        <w:tc>
          <w:tcPr>
            <w:tcW w:w="1280" w:type="dxa"/>
            <w:tcBorders>
              <w:top w:val="single" w:sz="4" w:space="0" w:color="ADD6EA"/>
              <w:left w:val="nil"/>
              <w:bottom w:val="single" w:sz="4" w:space="0" w:color="ADD6EA"/>
              <w:right w:val="nil"/>
            </w:tcBorders>
            <w:shd w:val="clear" w:color="auto" w:fill="auto"/>
            <w:vAlign w:val="bottom"/>
            <w:hideMark/>
          </w:tcPr>
          <w:p w14:paraId="26DF5BEC" w14:textId="77777777" w:rsidR="00E4475F" w:rsidRPr="00433DCB" w:rsidRDefault="00E4475F">
            <w:pPr>
              <w:keepNext/>
              <w:keepLines/>
              <w:widowControl w:val="0"/>
              <w:tabs>
                <w:tab w:val="clear" w:pos="567"/>
              </w:tabs>
              <w:spacing w:before="0" w:line="240" w:lineRule="auto"/>
              <w:jc w:val="right"/>
              <w:rPr>
                <w:rFonts w:eastAsia="Times New Roman" w:cs="Times New Roman"/>
                <w:sz w:val="16"/>
                <w:szCs w:val="16"/>
                <w:lang w:eastAsia="en-AU"/>
              </w:rPr>
            </w:pPr>
            <w:r>
              <w:rPr>
                <w:rFonts w:eastAsia="Times New Roman" w:cs="Times New Roman"/>
                <w:sz w:val="16"/>
                <w:szCs w:val="16"/>
                <w:lang w:eastAsia="en-AU"/>
              </w:rPr>
              <w:t>7.3</w:t>
            </w:r>
          </w:p>
        </w:tc>
        <w:tc>
          <w:tcPr>
            <w:tcW w:w="1280" w:type="dxa"/>
            <w:tcBorders>
              <w:top w:val="single" w:sz="4" w:space="0" w:color="ADD6EA"/>
              <w:left w:val="nil"/>
              <w:bottom w:val="single" w:sz="4" w:space="0" w:color="ADD6EA"/>
              <w:right w:val="nil"/>
            </w:tcBorders>
            <w:shd w:val="clear" w:color="auto" w:fill="auto"/>
            <w:vAlign w:val="bottom"/>
            <w:hideMark/>
          </w:tcPr>
          <w:p w14:paraId="61D626F4" w14:textId="77777777" w:rsidR="00E4475F" w:rsidRPr="00433DCB" w:rsidRDefault="00E4475F">
            <w:pPr>
              <w:keepNext/>
              <w:keepLines/>
              <w:widowControl w:val="0"/>
              <w:tabs>
                <w:tab w:val="clear" w:pos="567"/>
              </w:tabs>
              <w:spacing w:before="0" w:line="240" w:lineRule="auto"/>
              <w:jc w:val="right"/>
              <w:rPr>
                <w:rFonts w:eastAsia="Times New Roman" w:cs="Times New Roman"/>
                <w:sz w:val="16"/>
                <w:szCs w:val="16"/>
                <w:lang w:eastAsia="en-AU"/>
              </w:rPr>
            </w:pPr>
            <w:r>
              <w:rPr>
                <w:rFonts w:eastAsia="Times New Roman" w:cs="Times New Roman"/>
                <w:sz w:val="16"/>
                <w:szCs w:val="16"/>
                <w:lang w:eastAsia="en-AU"/>
              </w:rPr>
              <w:t>7.5</w:t>
            </w:r>
          </w:p>
        </w:tc>
        <w:tc>
          <w:tcPr>
            <w:tcW w:w="1280" w:type="dxa"/>
            <w:tcBorders>
              <w:top w:val="single" w:sz="4" w:space="0" w:color="ADD6EA"/>
              <w:left w:val="nil"/>
              <w:bottom w:val="single" w:sz="4" w:space="0" w:color="ADD6EA"/>
              <w:right w:val="nil"/>
            </w:tcBorders>
            <w:shd w:val="clear" w:color="auto" w:fill="auto"/>
            <w:vAlign w:val="bottom"/>
            <w:hideMark/>
          </w:tcPr>
          <w:p w14:paraId="6FA13DA6" w14:textId="77777777" w:rsidR="00E4475F" w:rsidRPr="00433DCB" w:rsidRDefault="00E4475F">
            <w:pPr>
              <w:keepNext/>
              <w:keepLines/>
              <w:widowControl w:val="0"/>
              <w:tabs>
                <w:tab w:val="clear" w:pos="567"/>
              </w:tabs>
              <w:spacing w:before="0" w:line="240" w:lineRule="auto"/>
              <w:jc w:val="right"/>
              <w:rPr>
                <w:rFonts w:eastAsia="Times New Roman" w:cs="Times New Roman"/>
                <w:sz w:val="16"/>
                <w:szCs w:val="16"/>
                <w:lang w:eastAsia="en-AU"/>
              </w:rPr>
            </w:pPr>
            <w:r>
              <w:rPr>
                <w:rFonts w:eastAsia="Times New Roman" w:cs="Times New Roman"/>
                <w:sz w:val="16"/>
                <w:szCs w:val="16"/>
                <w:lang w:eastAsia="en-AU"/>
              </w:rPr>
              <w:t>7.2</w:t>
            </w:r>
          </w:p>
        </w:tc>
        <w:tc>
          <w:tcPr>
            <w:tcW w:w="1280" w:type="dxa"/>
            <w:tcBorders>
              <w:top w:val="single" w:sz="4" w:space="0" w:color="ADD6EA"/>
              <w:left w:val="nil"/>
              <w:bottom w:val="single" w:sz="4" w:space="0" w:color="ADD6EA"/>
              <w:right w:val="nil"/>
            </w:tcBorders>
            <w:shd w:val="clear" w:color="auto" w:fill="auto"/>
            <w:vAlign w:val="bottom"/>
            <w:hideMark/>
          </w:tcPr>
          <w:p w14:paraId="17C6EF6F" w14:textId="77777777" w:rsidR="00E4475F" w:rsidRPr="00433DCB" w:rsidRDefault="00E4475F">
            <w:pPr>
              <w:keepNext/>
              <w:keepLines/>
              <w:widowControl w:val="0"/>
              <w:tabs>
                <w:tab w:val="clear" w:pos="567"/>
              </w:tabs>
              <w:spacing w:before="0" w:line="240" w:lineRule="auto"/>
              <w:jc w:val="right"/>
              <w:rPr>
                <w:rFonts w:eastAsia="Times New Roman" w:cs="Times New Roman"/>
                <w:sz w:val="16"/>
                <w:szCs w:val="16"/>
                <w:lang w:eastAsia="en-AU"/>
              </w:rPr>
            </w:pPr>
            <w:r>
              <w:rPr>
                <w:rFonts w:eastAsia="Times New Roman" w:cs="Times New Roman"/>
                <w:sz w:val="16"/>
                <w:szCs w:val="16"/>
                <w:lang w:eastAsia="en-AU"/>
              </w:rPr>
              <w:t>7</w:t>
            </w:r>
            <w:r w:rsidRPr="00433DCB">
              <w:rPr>
                <w:rFonts w:eastAsia="Times New Roman" w:cs="Times New Roman"/>
                <w:sz w:val="16"/>
                <w:szCs w:val="16"/>
                <w:lang w:eastAsia="en-AU"/>
              </w:rPr>
              <w:t>.0</w:t>
            </w:r>
          </w:p>
        </w:tc>
      </w:tr>
    </w:tbl>
    <w:p w14:paraId="2D68EBDE" w14:textId="77777777" w:rsidR="00E4475F" w:rsidRPr="003F1F10" w:rsidRDefault="00E4475F" w:rsidP="00B61100">
      <w:pPr>
        <w:pStyle w:val="CGC2025TableNote"/>
      </w:pPr>
      <w:bookmarkStart w:id="30" w:name="_Hlk147417946"/>
      <w:r>
        <w:t>Source:</w:t>
      </w:r>
      <w:r>
        <w:tab/>
        <w:t>Commission calculation, 2023 Update.</w:t>
      </w:r>
    </w:p>
    <w:bookmarkEnd w:id="30"/>
    <w:p w14:paraId="4B96535F" w14:textId="77777777" w:rsidR="00895075" w:rsidRDefault="00895075">
      <w:pPr>
        <w:tabs>
          <w:tab w:val="clear" w:pos="567"/>
        </w:tabs>
        <w:spacing w:before="0" w:after="200" w:line="276" w:lineRule="auto"/>
        <w:rPr>
          <w:rFonts w:ascii="Work Sans" w:hAnsi="Work Sans"/>
          <w:szCs w:val="24"/>
        </w:rPr>
      </w:pPr>
      <w:r>
        <w:br w:type="page"/>
      </w:r>
    </w:p>
    <w:p w14:paraId="408DEBA0" w14:textId="7352D3DA" w:rsidR="00E4475F" w:rsidRDefault="00E4475F" w:rsidP="00E4475F">
      <w:pPr>
        <w:pStyle w:val="CGC2025ParaNumbers"/>
        <w:tabs>
          <w:tab w:val="clear" w:pos="567"/>
        </w:tabs>
      </w:pPr>
      <w:r>
        <w:lastRenderedPageBreak/>
        <w:t xml:space="preserve">The </w:t>
      </w:r>
      <w:r w:rsidR="00886837">
        <w:t>welfare</w:t>
      </w:r>
      <w:r>
        <w:t xml:space="preserve"> assessment has 5 components. </w:t>
      </w:r>
      <w:r w:rsidR="00B20995">
        <w:fldChar w:fldCharType="begin"/>
      </w:r>
      <w:r w:rsidR="00B20995">
        <w:instrText xml:space="preserve"> REF _Ref142660506 \h </w:instrText>
      </w:r>
      <w:r w:rsidR="00B20995">
        <w:fldChar w:fldCharType="separate"/>
      </w:r>
      <w:r w:rsidR="00837FC6" w:rsidRPr="00A87842">
        <w:t xml:space="preserve">Table </w:t>
      </w:r>
      <w:r w:rsidR="00837FC6">
        <w:rPr>
          <w:noProof/>
        </w:rPr>
        <w:t>3</w:t>
      </w:r>
      <w:r w:rsidR="00B20995">
        <w:fldChar w:fldCharType="end"/>
      </w:r>
      <w:r>
        <w:t xml:space="preserve"> shows the size of each component and the driver used by the Commission to assess states’ expense needs.</w:t>
      </w:r>
    </w:p>
    <w:p w14:paraId="081B3295" w14:textId="0AD17189" w:rsidR="00A87842" w:rsidRPr="00F9677B" w:rsidRDefault="00A87842" w:rsidP="00A87842">
      <w:pPr>
        <w:pStyle w:val="Caption"/>
        <w:rPr>
          <w:rFonts w:ascii="Work Sans" w:hAnsi="Work Sans"/>
          <w:noProof/>
        </w:rPr>
      </w:pPr>
      <w:bookmarkStart w:id="31" w:name="_Ref142660506"/>
      <w:r w:rsidRPr="00A87842">
        <w:rPr>
          <w:rFonts w:ascii="Work Sans" w:hAnsi="Work Sans"/>
        </w:rPr>
        <w:t xml:space="preserve">Table </w:t>
      </w:r>
      <w:r w:rsidRPr="00A87842">
        <w:rPr>
          <w:rFonts w:ascii="Work Sans" w:hAnsi="Work Sans"/>
        </w:rPr>
        <w:fldChar w:fldCharType="begin"/>
      </w:r>
      <w:r w:rsidRPr="00A87842">
        <w:rPr>
          <w:rFonts w:ascii="Work Sans" w:hAnsi="Work Sans"/>
        </w:rPr>
        <w:instrText xml:space="preserve"> SEQ Table \* ARABIC </w:instrText>
      </w:r>
      <w:r w:rsidRPr="00A87842">
        <w:rPr>
          <w:rFonts w:ascii="Work Sans" w:hAnsi="Work Sans"/>
        </w:rPr>
        <w:fldChar w:fldCharType="separate"/>
      </w:r>
      <w:r w:rsidR="00837FC6">
        <w:rPr>
          <w:rFonts w:ascii="Work Sans" w:hAnsi="Work Sans"/>
          <w:noProof/>
        </w:rPr>
        <w:t>3</w:t>
      </w:r>
      <w:r w:rsidRPr="00A87842">
        <w:rPr>
          <w:rFonts w:ascii="Work Sans" w:hAnsi="Work Sans"/>
        </w:rPr>
        <w:fldChar w:fldCharType="end"/>
      </w:r>
      <w:bookmarkEnd w:id="31"/>
      <w:r>
        <w:rPr>
          <w:rFonts w:ascii="Work Sans" w:hAnsi="Work Sans"/>
        </w:rPr>
        <w:tab/>
      </w:r>
      <w:r w:rsidRPr="00F9677B">
        <w:rPr>
          <w:rFonts w:ascii="Work Sans" w:hAnsi="Work Sans"/>
        </w:rPr>
        <w:t xml:space="preserve">Structure </w:t>
      </w:r>
      <w:r w:rsidRPr="00F9677B">
        <w:rPr>
          <w:rFonts w:ascii="Work Sans" w:hAnsi="Work Sans"/>
          <w:noProof/>
        </w:rPr>
        <w:t xml:space="preserve">of the </w:t>
      </w:r>
      <w:r w:rsidR="00886837">
        <w:rPr>
          <w:rFonts w:ascii="Work Sans" w:hAnsi="Work Sans"/>
          <w:noProof/>
        </w:rPr>
        <w:t>w</w:t>
      </w:r>
      <w:r w:rsidR="00886837" w:rsidRPr="00F9677B">
        <w:rPr>
          <w:rFonts w:ascii="Work Sans" w:hAnsi="Work Sans"/>
          <w:noProof/>
        </w:rPr>
        <w:t>elfare</w:t>
      </w:r>
      <w:r w:rsidRPr="00F9677B">
        <w:rPr>
          <w:rFonts w:ascii="Work Sans" w:hAnsi="Work Sans"/>
          <w:noProof/>
        </w:rPr>
        <w:t xml:space="preserve"> assessment</w:t>
      </w:r>
      <w:r w:rsidR="0023060E">
        <w:rPr>
          <w:rFonts w:ascii="Work Sans" w:hAnsi="Work Sans"/>
          <w:noProof/>
        </w:rPr>
        <w:t>,</w:t>
      </w:r>
      <w:r w:rsidRPr="00F9677B">
        <w:rPr>
          <w:rFonts w:ascii="Work Sans" w:hAnsi="Work Sans"/>
          <w:noProof/>
        </w:rPr>
        <w:t xml:space="preserve"> 2021</w:t>
      </w:r>
      <w:r>
        <w:rPr>
          <w:rFonts w:ascii="Work Sans" w:hAnsi="Work Sans"/>
          <w:noProof/>
        </w:rPr>
        <w:t>–</w:t>
      </w:r>
      <w:r w:rsidRPr="00F9677B">
        <w:rPr>
          <w:rFonts w:ascii="Work Sans" w:hAnsi="Work Sans"/>
          <w:noProof/>
        </w:rPr>
        <w:t>22</w:t>
      </w:r>
    </w:p>
    <w:tbl>
      <w:tblPr>
        <w:tblW w:w="8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100"/>
        <w:gridCol w:w="285"/>
        <w:gridCol w:w="1995"/>
        <w:gridCol w:w="3135"/>
      </w:tblGrid>
      <w:tr w:rsidR="00E4475F" w:rsidRPr="0053358F" w14:paraId="16C187BD" w14:textId="77777777" w:rsidTr="6FC220B8">
        <w:trPr>
          <w:trHeight w:val="375"/>
        </w:trPr>
        <w:tc>
          <w:tcPr>
            <w:tcW w:w="1410" w:type="dxa"/>
            <w:tcBorders>
              <w:top w:val="nil"/>
              <w:left w:val="nil"/>
              <w:bottom w:val="single" w:sz="6" w:space="0" w:color="ADD6EA"/>
              <w:right w:val="nil"/>
            </w:tcBorders>
            <w:shd w:val="clear" w:color="auto" w:fill="006991"/>
            <w:vAlign w:val="center"/>
            <w:hideMark/>
          </w:tcPr>
          <w:p w14:paraId="36B7A319" w14:textId="77777777" w:rsidR="00E4475F" w:rsidRPr="00433DCB" w:rsidRDefault="00E4475F" w:rsidP="00124346">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bookmarkStart w:id="32" w:name="_Hlk121740367"/>
            <w:r w:rsidRPr="00433DCB">
              <w:rPr>
                <w:rFonts w:ascii="Open Sans Semibold" w:eastAsia="Times New Roman" w:hAnsi="Open Sans Semibold" w:cs="Segoe UI"/>
                <w:color w:val="FFFFFF"/>
                <w:sz w:val="16"/>
                <w:szCs w:val="16"/>
                <w:lang w:eastAsia="en-AU"/>
              </w:rPr>
              <w:t>Component </w:t>
            </w:r>
          </w:p>
        </w:tc>
        <w:tc>
          <w:tcPr>
            <w:tcW w:w="2100" w:type="dxa"/>
            <w:tcBorders>
              <w:top w:val="nil"/>
              <w:left w:val="nil"/>
              <w:bottom w:val="single" w:sz="6" w:space="0" w:color="ADD6EA"/>
              <w:right w:val="nil"/>
            </w:tcBorders>
            <w:shd w:val="clear" w:color="auto" w:fill="006991"/>
            <w:vAlign w:val="center"/>
            <w:hideMark/>
          </w:tcPr>
          <w:p w14:paraId="3DF8C1FC" w14:textId="77777777" w:rsidR="00E4475F" w:rsidRPr="00433DCB" w:rsidRDefault="00E4475F" w:rsidP="00124346">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Component expense </w:t>
            </w:r>
          </w:p>
        </w:tc>
        <w:tc>
          <w:tcPr>
            <w:tcW w:w="285" w:type="dxa"/>
            <w:tcBorders>
              <w:top w:val="nil"/>
              <w:left w:val="nil"/>
              <w:bottom w:val="single" w:sz="6" w:space="0" w:color="ADD6EA"/>
              <w:right w:val="nil"/>
            </w:tcBorders>
            <w:shd w:val="clear" w:color="auto" w:fill="006991"/>
            <w:vAlign w:val="center"/>
            <w:hideMark/>
          </w:tcPr>
          <w:p w14:paraId="0B36BA77" w14:textId="77777777" w:rsidR="00E4475F" w:rsidRPr="00433DCB" w:rsidRDefault="00E4475F" w:rsidP="00124346">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FFFFFF"/>
                <w:sz w:val="16"/>
                <w:szCs w:val="16"/>
                <w:lang w:eastAsia="en-AU"/>
              </w:rPr>
              <w:t> </w:t>
            </w:r>
            <w:r w:rsidRPr="00433DCB">
              <w:rPr>
                <w:rFonts w:ascii="Open Sans Semibold" w:eastAsia="Times New Roman" w:hAnsi="Open Sans Semibold" w:cs="Segoe UI"/>
                <w:color w:val="FFFFFF"/>
                <w:sz w:val="16"/>
                <w:szCs w:val="16"/>
                <w:lang w:eastAsia="en-AU"/>
              </w:rPr>
              <w:t> </w:t>
            </w:r>
          </w:p>
        </w:tc>
        <w:tc>
          <w:tcPr>
            <w:tcW w:w="1995" w:type="dxa"/>
            <w:tcBorders>
              <w:top w:val="nil"/>
              <w:left w:val="nil"/>
              <w:bottom w:val="single" w:sz="6" w:space="0" w:color="ADD6EA"/>
              <w:right w:val="nil"/>
            </w:tcBorders>
            <w:shd w:val="clear" w:color="auto" w:fill="006991"/>
            <w:vAlign w:val="center"/>
            <w:hideMark/>
          </w:tcPr>
          <w:p w14:paraId="4D9C1982" w14:textId="77777777" w:rsidR="00E4475F" w:rsidRPr="00433DCB" w:rsidRDefault="00E4475F" w:rsidP="00124346">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Driver </w:t>
            </w:r>
            <w:r>
              <w:rPr>
                <w:rFonts w:ascii="Open Sans Semibold" w:eastAsia="Times New Roman" w:hAnsi="Open Sans Semibold" w:cs="Segoe UI"/>
                <w:color w:val="FFFFFF"/>
                <w:sz w:val="16"/>
                <w:szCs w:val="16"/>
                <w:lang w:eastAsia="en-AU"/>
              </w:rPr>
              <w:t>of need</w:t>
            </w:r>
          </w:p>
        </w:tc>
        <w:tc>
          <w:tcPr>
            <w:tcW w:w="3135" w:type="dxa"/>
            <w:tcBorders>
              <w:top w:val="nil"/>
              <w:left w:val="nil"/>
              <w:bottom w:val="single" w:sz="6" w:space="0" w:color="ADD6EA"/>
              <w:right w:val="nil"/>
            </w:tcBorders>
            <w:shd w:val="clear" w:color="auto" w:fill="006991"/>
            <w:vAlign w:val="center"/>
            <w:hideMark/>
          </w:tcPr>
          <w:p w14:paraId="788B657E" w14:textId="77777777" w:rsidR="00E4475F" w:rsidRPr="00433DCB" w:rsidRDefault="00E4475F" w:rsidP="00124346">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Influence measured by driver </w:t>
            </w:r>
          </w:p>
        </w:tc>
      </w:tr>
      <w:tr w:rsidR="00E4475F" w:rsidRPr="00433DCB" w14:paraId="6A452E65" w14:textId="77777777" w:rsidTr="6FC220B8">
        <w:trPr>
          <w:trHeight w:val="255"/>
        </w:trPr>
        <w:tc>
          <w:tcPr>
            <w:tcW w:w="1410" w:type="dxa"/>
            <w:tcBorders>
              <w:top w:val="nil"/>
              <w:left w:val="nil"/>
              <w:bottom w:val="single" w:sz="6" w:space="0" w:color="ADD6EA"/>
              <w:right w:val="nil"/>
            </w:tcBorders>
            <w:shd w:val="clear" w:color="auto" w:fill="B6D5E4"/>
            <w:vAlign w:val="center"/>
            <w:hideMark/>
          </w:tcPr>
          <w:p w14:paraId="198125F8" w14:textId="77777777" w:rsidR="00E4475F" w:rsidRPr="00433DCB" w:rsidRDefault="00E4475F" w:rsidP="00124346">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2100" w:type="dxa"/>
            <w:tcBorders>
              <w:top w:val="nil"/>
              <w:left w:val="nil"/>
              <w:bottom w:val="single" w:sz="6" w:space="0" w:color="ADD6EA"/>
              <w:right w:val="nil"/>
            </w:tcBorders>
            <w:shd w:val="clear" w:color="auto" w:fill="B6D5E4"/>
            <w:vAlign w:val="center"/>
            <w:hideMark/>
          </w:tcPr>
          <w:p w14:paraId="0A9A5970" w14:textId="77777777" w:rsidR="00E4475F" w:rsidRPr="00433DCB" w:rsidRDefault="00E4475F" w:rsidP="00124346">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000000"/>
                <w:sz w:val="16"/>
                <w:szCs w:val="16"/>
                <w:lang w:eastAsia="en-AU"/>
              </w:rPr>
              <w:t>$m </w:t>
            </w:r>
          </w:p>
        </w:tc>
        <w:tc>
          <w:tcPr>
            <w:tcW w:w="285" w:type="dxa"/>
            <w:tcBorders>
              <w:top w:val="nil"/>
              <w:left w:val="nil"/>
              <w:bottom w:val="single" w:sz="6" w:space="0" w:color="ADD6EA"/>
              <w:right w:val="nil"/>
            </w:tcBorders>
            <w:shd w:val="clear" w:color="auto" w:fill="B6D5E4"/>
            <w:vAlign w:val="center"/>
            <w:hideMark/>
          </w:tcPr>
          <w:p w14:paraId="5E65D5F5" w14:textId="77777777" w:rsidR="00E4475F" w:rsidRPr="00433DCB" w:rsidRDefault="00E4475F" w:rsidP="00124346">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995" w:type="dxa"/>
            <w:tcBorders>
              <w:top w:val="nil"/>
              <w:left w:val="nil"/>
              <w:bottom w:val="single" w:sz="6" w:space="0" w:color="ADD6EA"/>
              <w:right w:val="nil"/>
            </w:tcBorders>
            <w:shd w:val="clear" w:color="auto" w:fill="B6D5E4"/>
            <w:vAlign w:val="center"/>
            <w:hideMark/>
          </w:tcPr>
          <w:p w14:paraId="03CE01A8" w14:textId="77777777" w:rsidR="00E4475F" w:rsidRPr="00433DCB" w:rsidRDefault="00E4475F" w:rsidP="00124346">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3135" w:type="dxa"/>
            <w:tcBorders>
              <w:top w:val="nil"/>
              <w:left w:val="nil"/>
              <w:bottom w:val="single" w:sz="6" w:space="0" w:color="ADD6EA"/>
              <w:right w:val="nil"/>
            </w:tcBorders>
            <w:shd w:val="clear" w:color="auto" w:fill="B6D5E4"/>
            <w:vAlign w:val="center"/>
            <w:hideMark/>
          </w:tcPr>
          <w:p w14:paraId="112241DB" w14:textId="77777777" w:rsidR="00E4475F" w:rsidRPr="00433DCB" w:rsidRDefault="00E4475F" w:rsidP="00124346">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r>
      <w:tr w:rsidR="002A76C2" w:rsidRPr="00433DCB" w14:paraId="5C268EE8" w14:textId="77777777" w:rsidTr="6FC220B8">
        <w:trPr>
          <w:trHeight w:val="795"/>
        </w:trPr>
        <w:tc>
          <w:tcPr>
            <w:tcW w:w="1410" w:type="dxa"/>
            <w:tcBorders>
              <w:top w:val="nil"/>
              <w:left w:val="nil"/>
              <w:bottom w:val="nil"/>
              <w:right w:val="nil"/>
            </w:tcBorders>
            <w:shd w:val="clear" w:color="auto" w:fill="auto"/>
            <w:hideMark/>
          </w:tcPr>
          <w:p w14:paraId="7B11CF99" w14:textId="77777777" w:rsidR="002A76C2" w:rsidRPr="00433DCB" w:rsidRDefault="002A76C2" w:rsidP="00124346">
            <w:pPr>
              <w:keepNext/>
              <w:keepLines/>
              <w:tabs>
                <w:tab w:val="clear" w:pos="567"/>
              </w:tabs>
              <w:spacing w:before="0" w:line="240" w:lineRule="auto"/>
              <w:textAlignment w:val="baseline"/>
              <w:rPr>
                <w:rFonts w:eastAsia="Times New Roman" w:cs="Segoe UI"/>
                <w:sz w:val="18"/>
                <w:szCs w:val="18"/>
                <w:lang w:eastAsia="en-AU"/>
              </w:rPr>
            </w:pPr>
            <w:r>
              <w:rPr>
                <w:rFonts w:eastAsia="Times New Roman" w:cs="Segoe UI"/>
                <w:color w:val="000000"/>
                <w:sz w:val="16"/>
                <w:szCs w:val="16"/>
                <w:lang w:eastAsia="en-AU"/>
              </w:rPr>
              <w:t>Child protection and family services</w:t>
            </w:r>
          </w:p>
        </w:tc>
        <w:tc>
          <w:tcPr>
            <w:tcW w:w="2100" w:type="dxa"/>
            <w:tcBorders>
              <w:top w:val="nil"/>
              <w:left w:val="nil"/>
              <w:bottom w:val="nil"/>
              <w:right w:val="nil"/>
            </w:tcBorders>
            <w:shd w:val="clear" w:color="auto" w:fill="auto"/>
            <w:hideMark/>
          </w:tcPr>
          <w:p w14:paraId="75562AE6" w14:textId="77777777" w:rsidR="002A76C2" w:rsidRPr="00433DCB" w:rsidRDefault="002A76C2" w:rsidP="00124346">
            <w:pPr>
              <w:keepNext/>
              <w:keepLines/>
              <w:tabs>
                <w:tab w:val="clear" w:pos="567"/>
              </w:tabs>
              <w:spacing w:before="0" w:line="240" w:lineRule="auto"/>
              <w:jc w:val="right"/>
              <w:textAlignment w:val="baseline"/>
              <w:rPr>
                <w:rFonts w:eastAsia="Times New Roman" w:cs="Segoe UI"/>
                <w:sz w:val="18"/>
                <w:szCs w:val="18"/>
                <w:lang w:eastAsia="en-AU"/>
              </w:rPr>
            </w:pPr>
            <w:r>
              <w:rPr>
                <w:rFonts w:eastAsia="Times New Roman" w:cs="Segoe UI"/>
                <w:color w:val="000000"/>
                <w:sz w:val="16"/>
                <w:szCs w:val="16"/>
                <w:lang w:eastAsia="en-AU"/>
              </w:rPr>
              <w:t>8</w:t>
            </w:r>
            <w:r w:rsidRPr="00433DCB">
              <w:rPr>
                <w:rFonts w:eastAsia="Times New Roman" w:cs="Segoe UI"/>
                <w:color w:val="000000"/>
                <w:sz w:val="16"/>
                <w:szCs w:val="16"/>
                <w:lang w:eastAsia="en-AU"/>
              </w:rPr>
              <w:t>,</w:t>
            </w:r>
            <w:r>
              <w:rPr>
                <w:rFonts w:eastAsia="Times New Roman" w:cs="Segoe UI"/>
                <w:color w:val="000000"/>
                <w:sz w:val="16"/>
                <w:szCs w:val="16"/>
                <w:lang w:eastAsia="en-AU"/>
              </w:rPr>
              <w:t>359</w:t>
            </w:r>
            <w:r w:rsidRPr="00433DCB">
              <w:rPr>
                <w:rFonts w:eastAsia="Times New Roman" w:cs="Segoe UI"/>
                <w:color w:val="000000"/>
                <w:sz w:val="16"/>
                <w:szCs w:val="16"/>
                <w:lang w:eastAsia="en-AU"/>
              </w:rPr>
              <w:t> </w:t>
            </w:r>
          </w:p>
        </w:tc>
        <w:tc>
          <w:tcPr>
            <w:tcW w:w="285" w:type="dxa"/>
            <w:tcBorders>
              <w:top w:val="nil"/>
              <w:left w:val="nil"/>
              <w:bottom w:val="nil"/>
              <w:right w:val="nil"/>
            </w:tcBorders>
            <w:shd w:val="clear" w:color="auto" w:fill="auto"/>
            <w:vAlign w:val="bottom"/>
            <w:hideMark/>
          </w:tcPr>
          <w:p w14:paraId="05B89F63" w14:textId="77777777" w:rsidR="002A76C2" w:rsidRPr="00433DCB" w:rsidRDefault="002A76C2" w:rsidP="00124346">
            <w:pPr>
              <w:keepNext/>
              <w:keepLines/>
              <w:tabs>
                <w:tab w:val="clear" w:pos="567"/>
              </w:tabs>
              <w:spacing w:before="0" w:line="240" w:lineRule="auto"/>
              <w:jc w:val="right"/>
              <w:textAlignment w:val="baseline"/>
              <w:rPr>
                <w:rFonts w:eastAsia="Times New Roman" w:cs="Segoe UI"/>
                <w:sz w:val="18"/>
                <w:szCs w:val="18"/>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995" w:type="dxa"/>
            <w:tcBorders>
              <w:top w:val="nil"/>
              <w:left w:val="nil"/>
              <w:bottom w:val="nil"/>
              <w:right w:val="nil"/>
            </w:tcBorders>
            <w:shd w:val="clear" w:color="auto" w:fill="auto"/>
            <w:hideMark/>
          </w:tcPr>
          <w:p w14:paraId="16C746C0" w14:textId="3718A9D2" w:rsidR="002A76C2" w:rsidRPr="00433DCB" w:rsidRDefault="002A76C2" w:rsidP="00124346">
            <w:pPr>
              <w:keepNext/>
              <w:keepLines/>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Socio</w:t>
            </w:r>
            <w:r w:rsidR="001974BA">
              <w:rPr>
                <w:rFonts w:eastAsia="Times New Roman" w:cs="Segoe UI"/>
                <w:color w:val="000000"/>
                <w:sz w:val="16"/>
                <w:szCs w:val="16"/>
                <w:lang w:eastAsia="en-AU"/>
              </w:rPr>
              <w:t>-</w:t>
            </w:r>
            <w:r w:rsidRPr="00433DCB">
              <w:rPr>
                <w:rFonts w:eastAsia="Times New Roman" w:cs="Segoe UI"/>
                <w:color w:val="000000"/>
                <w:sz w:val="16"/>
                <w:szCs w:val="16"/>
                <w:lang w:eastAsia="en-AU"/>
              </w:rPr>
              <w:t>demographic composition</w:t>
            </w:r>
          </w:p>
        </w:tc>
        <w:tc>
          <w:tcPr>
            <w:tcW w:w="3135" w:type="dxa"/>
            <w:tcBorders>
              <w:top w:val="nil"/>
              <w:left w:val="nil"/>
              <w:bottom w:val="nil"/>
              <w:right w:val="nil"/>
            </w:tcBorders>
            <w:shd w:val="clear" w:color="auto" w:fill="auto"/>
            <w:hideMark/>
          </w:tcPr>
          <w:p w14:paraId="75F1E68C" w14:textId="0FDC1330" w:rsidR="002A76C2" w:rsidRPr="00285328" w:rsidRDefault="002A76C2" w:rsidP="00124346">
            <w:pPr>
              <w:keepNext/>
              <w:keepLines/>
              <w:tabs>
                <w:tab w:val="clear" w:pos="567"/>
              </w:tabs>
              <w:spacing w:before="0" w:line="240" w:lineRule="auto"/>
              <w:textAlignment w:val="baseline"/>
              <w:rPr>
                <w:rFonts w:eastAsia="Times New Roman" w:cs="Segoe UI"/>
                <w:sz w:val="18"/>
                <w:szCs w:val="18"/>
                <w:highlight w:val="yellow"/>
                <w:lang w:eastAsia="en-AU"/>
              </w:rPr>
            </w:pPr>
            <w:r w:rsidRPr="00473B78">
              <w:rPr>
                <w:rFonts w:eastAsia="Times New Roman" w:cs="Segoe UI"/>
                <w:color w:val="000000"/>
                <w:sz w:val="16"/>
                <w:szCs w:val="16"/>
                <w:lang w:eastAsia="en-AU"/>
              </w:rPr>
              <w:t>Recognises that service use is influenced by the socio</w:t>
            </w:r>
            <w:r w:rsidR="00B60E64">
              <w:rPr>
                <w:rFonts w:eastAsia="Times New Roman" w:cs="Segoe UI"/>
                <w:color w:val="000000"/>
                <w:sz w:val="16"/>
                <w:szCs w:val="16"/>
                <w:lang w:eastAsia="en-AU"/>
              </w:rPr>
              <w:t>-</w:t>
            </w:r>
            <w:r w:rsidRPr="00473B78">
              <w:rPr>
                <w:rFonts w:eastAsia="Times New Roman" w:cs="Segoe UI"/>
                <w:color w:val="000000"/>
                <w:sz w:val="16"/>
                <w:szCs w:val="16"/>
                <w:lang w:eastAsia="en-AU"/>
              </w:rPr>
              <w:t xml:space="preserve">demographic composition of the state population including those aged 0-14, </w:t>
            </w:r>
            <w:r w:rsidR="00E0025C" w:rsidRPr="00473B78">
              <w:rPr>
                <w:rFonts w:eastAsia="Times New Roman" w:cs="Segoe UI"/>
                <w:color w:val="000000"/>
                <w:sz w:val="16"/>
                <w:szCs w:val="16"/>
                <w:lang w:eastAsia="en-AU"/>
              </w:rPr>
              <w:t>Indigenous</w:t>
            </w:r>
            <w:r w:rsidRPr="00473B78">
              <w:rPr>
                <w:rFonts w:eastAsia="Times New Roman" w:cs="Segoe UI"/>
                <w:color w:val="000000"/>
                <w:sz w:val="16"/>
                <w:szCs w:val="16"/>
                <w:lang w:eastAsia="en-AU"/>
              </w:rPr>
              <w:t xml:space="preserve"> status, socio-economic status, and where people live</w:t>
            </w:r>
            <w:r w:rsidRPr="000D5C68">
              <w:rPr>
                <w:rFonts w:eastAsia="Times New Roman" w:cs="Segoe UI"/>
                <w:color w:val="000000"/>
                <w:sz w:val="16"/>
                <w:szCs w:val="16"/>
                <w:lang w:eastAsia="en-AU"/>
              </w:rPr>
              <w:t>.</w:t>
            </w:r>
            <w:r w:rsidRPr="000D5C68">
              <w:rPr>
                <w:rFonts w:eastAsia="Times New Roman" w:cs="Segoe UI"/>
                <w:color w:val="000000" w:themeColor="text1"/>
                <w:sz w:val="16"/>
                <w:szCs w:val="16"/>
                <w:lang w:eastAsia="en-AU"/>
              </w:rPr>
              <w:t> </w:t>
            </w:r>
          </w:p>
        </w:tc>
      </w:tr>
      <w:tr w:rsidR="00E4475F" w:rsidRPr="00433DCB" w14:paraId="38FC39C3" w14:textId="77777777" w:rsidTr="6FC220B8">
        <w:trPr>
          <w:trHeight w:val="300"/>
        </w:trPr>
        <w:tc>
          <w:tcPr>
            <w:tcW w:w="1410" w:type="dxa"/>
            <w:tcBorders>
              <w:top w:val="nil"/>
              <w:left w:val="nil"/>
              <w:bottom w:val="nil"/>
              <w:right w:val="nil"/>
            </w:tcBorders>
            <w:shd w:val="clear" w:color="auto" w:fill="auto"/>
            <w:vAlign w:val="bottom"/>
            <w:hideMark/>
          </w:tcPr>
          <w:p w14:paraId="4E453279" w14:textId="77777777" w:rsidR="00E4475F" w:rsidRPr="00433DCB" w:rsidRDefault="00E4475F" w:rsidP="00124346">
            <w:pPr>
              <w:keepNext/>
              <w:keepLines/>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 </w:t>
            </w:r>
          </w:p>
        </w:tc>
        <w:tc>
          <w:tcPr>
            <w:tcW w:w="2100" w:type="dxa"/>
            <w:tcBorders>
              <w:top w:val="nil"/>
              <w:left w:val="nil"/>
              <w:bottom w:val="nil"/>
              <w:right w:val="nil"/>
            </w:tcBorders>
            <w:shd w:val="clear" w:color="auto" w:fill="auto"/>
            <w:vAlign w:val="bottom"/>
            <w:hideMark/>
          </w:tcPr>
          <w:p w14:paraId="4FAE1DC7" w14:textId="77777777" w:rsidR="00E4475F" w:rsidRPr="00433DCB" w:rsidRDefault="00E4475F" w:rsidP="00124346">
            <w:pPr>
              <w:keepNext/>
              <w:keepLines/>
              <w:tabs>
                <w:tab w:val="clear" w:pos="567"/>
              </w:tabs>
              <w:spacing w:before="0" w:line="240" w:lineRule="auto"/>
              <w:textAlignment w:val="baseline"/>
              <w:rPr>
                <w:rFonts w:eastAsia="Times New Roman" w:cs="Segoe UI"/>
                <w:sz w:val="18"/>
                <w:szCs w:val="18"/>
                <w:lang w:eastAsia="en-AU"/>
              </w:rPr>
            </w:pPr>
            <w:r w:rsidRPr="00433DCB">
              <w:rPr>
                <w:rFonts w:eastAsia="Times New Roman" w:cs="Times New Roman"/>
                <w:szCs w:val="20"/>
                <w:lang w:eastAsia="en-AU"/>
              </w:rPr>
              <w:t> </w:t>
            </w:r>
          </w:p>
        </w:tc>
        <w:tc>
          <w:tcPr>
            <w:tcW w:w="285" w:type="dxa"/>
            <w:tcBorders>
              <w:top w:val="single" w:sz="6" w:space="0" w:color="ADD6EA"/>
              <w:left w:val="nil"/>
              <w:bottom w:val="nil"/>
              <w:right w:val="nil"/>
            </w:tcBorders>
            <w:shd w:val="clear" w:color="auto" w:fill="auto"/>
            <w:vAlign w:val="bottom"/>
            <w:hideMark/>
          </w:tcPr>
          <w:p w14:paraId="65B9429E" w14:textId="77777777" w:rsidR="00E4475F" w:rsidRPr="00433DCB" w:rsidRDefault="00E4475F" w:rsidP="00124346">
            <w:pPr>
              <w:keepNext/>
              <w:keepLines/>
              <w:tabs>
                <w:tab w:val="clear" w:pos="567"/>
              </w:tabs>
              <w:spacing w:before="0" w:line="240" w:lineRule="auto"/>
              <w:jc w:val="right"/>
              <w:textAlignment w:val="baseline"/>
              <w:rPr>
                <w:rFonts w:eastAsia="Times New Roman" w:cs="Segoe UI"/>
                <w:sz w:val="18"/>
                <w:szCs w:val="18"/>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995" w:type="dxa"/>
            <w:tcBorders>
              <w:top w:val="single" w:sz="6" w:space="0" w:color="ADD6EA"/>
              <w:left w:val="nil"/>
              <w:bottom w:val="nil"/>
              <w:right w:val="nil"/>
            </w:tcBorders>
            <w:shd w:val="clear" w:color="auto" w:fill="auto"/>
            <w:hideMark/>
          </w:tcPr>
          <w:p w14:paraId="0F3D93C0" w14:textId="77777777" w:rsidR="00E4475F" w:rsidRPr="00433DCB" w:rsidRDefault="00E4475F" w:rsidP="00124346">
            <w:pPr>
              <w:keepNext/>
              <w:keepLines/>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Wage costs </w:t>
            </w:r>
          </w:p>
        </w:tc>
        <w:tc>
          <w:tcPr>
            <w:tcW w:w="3135" w:type="dxa"/>
            <w:tcBorders>
              <w:top w:val="single" w:sz="6" w:space="0" w:color="ADD6EA"/>
              <w:left w:val="nil"/>
              <w:bottom w:val="nil"/>
              <w:right w:val="nil"/>
            </w:tcBorders>
            <w:shd w:val="clear" w:color="auto" w:fill="auto"/>
            <w:hideMark/>
          </w:tcPr>
          <w:p w14:paraId="4859D2E3" w14:textId="77777777" w:rsidR="00E4475F" w:rsidRPr="00433DCB" w:rsidRDefault="00E4475F" w:rsidP="00124346">
            <w:pPr>
              <w:keepNext/>
              <w:keepLines/>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Recognises differences in wage costs between states. </w:t>
            </w:r>
          </w:p>
        </w:tc>
      </w:tr>
      <w:tr w:rsidR="00E4475F" w:rsidRPr="00433DCB" w14:paraId="3B9B3BDA" w14:textId="77777777" w:rsidTr="6FC220B8">
        <w:trPr>
          <w:trHeight w:val="540"/>
        </w:trPr>
        <w:tc>
          <w:tcPr>
            <w:tcW w:w="1410" w:type="dxa"/>
            <w:tcBorders>
              <w:top w:val="nil"/>
              <w:left w:val="nil"/>
              <w:bottom w:val="nil"/>
              <w:right w:val="nil"/>
            </w:tcBorders>
            <w:shd w:val="clear" w:color="auto" w:fill="auto"/>
            <w:vAlign w:val="bottom"/>
          </w:tcPr>
          <w:p w14:paraId="3F40CBE0" w14:textId="77777777" w:rsidR="00E4475F" w:rsidRPr="00433DCB" w:rsidRDefault="00E4475F" w:rsidP="00124346">
            <w:pPr>
              <w:keepNext/>
              <w:keepLines/>
              <w:tabs>
                <w:tab w:val="clear" w:pos="567"/>
              </w:tabs>
              <w:spacing w:before="0" w:line="240" w:lineRule="auto"/>
              <w:textAlignment w:val="baseline"/>
              <w:rPr>
                <w:rFonts w:eastAsia="Times New Roman" w:cs="Segoe UI"/>
                <w:color w:val="000000"/>
                <w:sz w:val="16"/>
                <w:szCs w:val="16"/>
                <w:lang w:eastAsia="en-AU"/>
              </w:rPr>
            </w:pPr>
          </w:p>
        </w:tc>
        <w:tc>
          <w:tcPr>
            <w:tcW w:w="2100" w:type="dxa"/>
            <w:tcBorders>
              <w:top w:val="nil"/>
              <w:left w:val="nil"/>
              <w:bottom w:val="nil"/>
              <w:right w:val="nil"/>
            </w:tcBorders>
            <w:shd w:val="clear" w:color="auto" w:fill="auto"/>
            <w:vAlign w:val="bottom"/>
          </w:tcPr>
          <w:p w14:paraId="33DA28A4" w14:textId="77777777" w:rsidR="00E4475F" w:rsidRPr="00433DCB" w:rsidRDefault="00E4475F" w:rsidP="00124346">
            <w:pPr>
              <w:keepNext/>
              <w:keepLines/>
              <w:tabs>
                <w:tab w:val="clear" w:pos="567"/>
              </w:tabs>
              <w:spacing w:before="0" w:line="240" w:lineRule="auto"/>
              <w:textAlignment w:val="baseline"/>
              <w:rPr>
                <w:rFonts w:eastAsia="Times New Roman" w:cs="Times New Roman"/>
                <w:szCs w:val="20"/>
                <w:lang w:eastAsia="en-AU"/>
              </w:rPr>
            </w:pPr>
          </w:p>
        </w:tc>
        <w:tc>
          <w:tcPr>
            <w:tcW w:w="285" w:type="dxa"/>
            <w:tcBorders>
              <w:top w:val="single" w:sz="6" w:space="0" w:color="ADD6EA"/>
              <w:left w:val="nil"/>
              <w:bottom w:val="nil"/>
              <w:right w:val="nil"/>
            </w:tcBorders>
            <w:shd w:val="clear" w:color="auto" w:fill="auto"/>
            <w:vAlign w:val="bottom"/>
          </w:tcPr>
          <w:p w14:paraId="5355F45E" w14:textId="77777777" w:rsidR="00E4475F" w:rsidRPr="00433DCB" w:rsidRDefault="00E4475F" w:rsidP="00124346">
            <w:pPr>
              <w:keepNext/>
              <w:keepLines/>
              <w:tabs>
                <w:tab w:val="clear" w:pos="567"/>
              </w:tabs>
              <w:spacing w:before="0" w:line="240" w:lineRule="auto"/>
              <w:jc w:val="right"/>
              <w:textAlignment w:val="baseline"/>
              <w:rPr>
                <w:rFonts w:ascii="Arial" w:eastAsia="Times New Roman" w:hAnsi="Arial" w:cs="Arial"/>
                <w:color w:val="000000"/>
                <w:sz w:val="16"/>
                <w:szCs w:val="16"/>
                <w:lang w:eastAsia="en-AU"/>
              </w:rPr>
            </w:pPr>
          </w:p>
        </w:tc>
        <w:tc>
          <w:tcPr>
            <w:tcW w:w="1995" w:type="dxa"/>
            <w:tcBorders>
              <w:top w:val="single" w:sz="6" w:space="0" w:color="ADD6EA"/>
              <w:left w:val="nil"/>
              <w:bottom w:val="nil"/>
              <w:right w:val="nil"/>
            </w:tcBorders>
            <w:shd w:val="clear" w:color="auto" w:fill="auto"/>
          </w:tcPr>
          <w:p w14:paraId="238C9D5B" w14:textId="77777777" w:rsidR="00E4475F" w:rsidRPr="00433DCB" w:rsidRDefault="00E4475F" w:rsidP="00124346">
            <w:pPr>
              <w:keepNext/>
              <w:keepLines/>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Regional</w:t>
            </w:r>
            <w:r w:rsidRPr="00433DCB">
              <w:rPr>
                <w:rFonts w:eastAsia="Times New Roman" w:cs="Segoe UI"/>
                <w:color w:val="000000"/>
                <w:sz w:val="16"/>
                <w:szCs w:val="16"/>
                <w:lang w:eastAsia="en-AU"/>
              </w:rPr>
              <w:t xml:space="preserve"> costs</w:t>
            </w:r>
            <w:r>
              <w:rPr>
                <w:rFonts w:eastAsia="Times New Roman" w:cs="Segoe UI"/>
                <w:color w:val="000000"/>
                <w:sz w:val="16"/>
                <w:szCs w:val="16"/>
                <w:lang w:eastAsia="en-AU"/>
              </w:rPr>
              <w:t xml:space="preserve"> and service delivery scale</w:t>
            </w:r>
            <w:r w:rsidRPr="00433DCB">
              <w:rPr>
                <w:rFonts w:eastAsia="Times New Roman" w:cs="Segoe UI"/>
                <w:color w:val="000000"/>
                <w:sz w:val="16"/>
                <w:szCs w:val="16"/>
                <w:lang w:eastAsia="en-AU"/>
              </w:rPr>
              <w:t> </w:t>
            </w:r>
          </w:p>
        </w:tc>
        <w:tc>
          <w:tcPr>
            <w:tcW w:w="3135" w:type="dxa"/>
            <w:tcBorders>
              <w:top w:val="single" w:sz="6" w:space="0" w:color="ADD6EA"/>
              <w:left w:val="nil"/>
              <w:bottom w:val="nil"/>
              <w:right w:val="nil"/>
            </w:tcBorders>
            <w:shd w:val="clear" w:color="auto" w:fill="auto"/>
          </w:tcPr>
          <w:p w14:paraId="647D726A" w14:textId="586E9708" w:rsidR="00E4475F" w:rsidRPr="00433DCB" w:rsidRDefault="00E4475F" w:rsidP="00124346">
            <w:pPr>
              <w:keepNext/>
              <w:keepLines/>
              <w:tabs>
                <w:tab w:val="clear" w:pos="567"/>
              </w:tabs>
              <w:spacing w:before="0" w:line="240" w:lineRule="auto"/>
              <w:textAlignment w:val="baseline"/>
              <w:rPr>
                <w:rFonts w:eastAsia="Times New Roman" w:cs="Segoe UI"/>
                <w:color w:val="000000"/>
                <w:sz w:val="16"/>
                <w:szCs w:val="16"/>
                <w:lang w:eastAsia="en-AU"/>
              </w:rPr>
            </w:pPr>
            <w:r w:rsidRPr="6FC220B8">
              <w:rPr>
                <w:rFonts w:eastAsia="Times New Roman" w:cs="Segoe UI"/>
                <w:color w:val="000000" w:themeColor="text1"/>
                <w:sz w:val="16"/>
                <w:szCs w:val="16"/>
                <w:lang w:eastAsia="en-AU"/>
              </w:rPr>
              <w:t xml:space="preserve">Recognises the </w:t>
            </w:r>
            <w:r w:rsidR="0069736F" w:rsidRPr="6FC220B8">
              <w:rPr>
                <w:rFonts w:eastAsia="Times New Roman" w:cs="Segoe UI"/>
                <w:color w:val="000000" w:themeColor="text1"/>
                <w:sz w:val="16"/>
                <w:szCs w:val="16"/>
                <w:lang w:eastAsia="en-AU"/>
              </w:rPr>
              <w:t xml:space="preserve">higher </w:t>
            </w:r>
            <w:r w:rsidRPr="6FC220B8">
              <w:rPr>
                <w:rFonts w:eastAsia="Times New Roman" w:cs="Segoe UI"/>
                <w:color w:val="000000" w:themeColor="text1"/>
                <w:sz w:val="16"/>
                <w:szCs w:val="16"/>
                <w:lang w:eastAsia="en-AU"/>
              </w:rPr>
              <w:t xml:space="preserve">cost of providing services to </w:t>
            </w:r>
            <w:r w:rsidR="00602099" w:rsidRPr="6FC220B8">
              <w:rPr>
                <w:rFonts w:eastAsia="Times New Roman" w:cs="Segoe UI"/>
                <w:color w:val="000000" w:themeColor="text1"/>
                <w:sz w:val="16"/>
                <w:szCs w:val="16"/>
                <w:lang w:eastAsia="en-AU"/>
              </w:rPr>
              <w:t>regional</w:t>
            </w:r>
            <w:r w:rsidRPr="6FC220B8">
              <w:rPr>
                <w:rFonts w:eastAsia="Times New Roman" w:cs="Segoe UI"/>
                <w:color w:val="000000" w:themeColor="text1"/>
                <w:sz w:val="16"/>
                <w:szCs w:val="16"/>
                <w:lang w:eastAsia="en-AU"/>
              </w:rPr>
              <w:t xml:space="preserve"> areas within a </w:t>
            </w:r>
            <w:r w:rsidR="008B60BE" w:rsidRPr="6FC220B8">
              <w:rPr>
                <w:rFonts w:eastAsia="Times New Roman" w:cs="Segoe UI"/>
                <w:color w:val="000000" w:themeColor="text1"/>
                <w:sz w:val="16"/>
                <w:szCs w:val="16"/>
                <w:lang w:eastAsia="en-AU"/>
              </w:rPr>
              <w:t>s</w:t>
            </w:r>
            <w:r w:rsidRPr="6FC220B8">
              <w:rPr>
                <w:rFonts w:eastAsia="Times New Roman" w:cs="Segoe UI"/>
                <w:color w:val="000000" w:themeColor="text1"/>
                <w:sz w:val="16"/>
                <w:szCs w:val="16"/>
                <w:lang w:eastAsia="en-AU"/>
              </w:rPr>
              <w:t xml:space="preserve">tate and </w:t>
            </w:r>
            <w:r w:rsidR="00AD75DB" w:rsidRPr="6FC220B8">
              <w:rPr>
                <w:rFonts w:eastAsia="Times New Roman" w:cs="Segoe UI"/>
                <w:color w:val="000000" w:themeColor="text1"/>
                <w:sz w:val="16"/>
                <w:szCs w:val="16"/>
                <w:lang w:eastAsia="en-AU"/>
              </w:rPr>
              <w:t xml:space="preserve">to </w:t>
            </w:r>
            <w:r w:rsidRPr="6FC220B8">
              <w:rPr>
                <w:rFonts w:eastAsia="Times New Roman" w:cs="Segoe UI"/>
                <w:color w:val="000000" w:themeColor="text1"/>
                <w:sz w:val="16"/>
                <w:szCs w:val="16"/>
                <w:lang w:eastAsia="en-AU"/>
              </w:rPr>
              <w:t>small population centre</w:t>
            </w:r>
            <w:r w:rsidR="00602099" w:rsidRPr="6FC220B8">
              <w:rPr>
                <w:rFonts w:eastAsia="Times New Roman" w:cs="Segoe UI"/>
                <w:color w:val="000000" w:themeColor="text1"/>
                <w:sz w:val="16"/>
                <w:szCs w:val="16"/>
                <w:lang w:eastAsia="en-AU"/>
              </w:rPr>
              <w:t>s</w:t>
            </w:r>
            <w:r w:rsidR="00C4130C" w:rsidRPr="6FC220B8">
              <w:rPr>
                <w:rFonts w:eastAsia="Times New Roman" w:cs="Segoe UI"/>
                <w:color w:val="000000" w:themeColor="text1"/>
                <w:sz w:val="16"/>
                <w:szCs w:val="16"/>
                <w:lang w:eastAsia="en-AU"/>
              </w:rPr>
              <w:t>.</w:t>
            </w:r>
            <w:r w:rsidRPr="6FC220B8">
              <w:rPr>
                <w:rFonts w:eastAsia="Times New Roman" w:cs="Segoe UI"/>
                <w:color w:val="000000" w:themeColor="text1"/>
                <w:sz w:val="16"/>
                <w:szCs w:val="16"/>
                <w:lang w:eastAsia="en-AU"/>
              </w:rPr>
              <w:t> </w:t>
            </w:r>
          </w:p>
        </w:tc>
      </w:tr>
      <w:tr w:rsidR="00E4475F" w:rsidRPr="00433DCB" w14:paraId="2B761C7B" w14:textId="77777777" w:rsidTr="6FC220B8">
        <w:trPr>
          <w:trHeight w:val="315"/>
        </w:trPr>
        <w:tc>
          <w:tcPr>
            <w:tcW w:w="1410" w:type="dxa"/>
            <w:tcBorders>
              <w:top w:val="single" w:sz="6" w:space="0" w:color="ADD6EA"/>
              <w:left w:val="nil"/>
              <w:bottom w:val="single" w:sz="6" w:space="0" w:color="ADD6EA"/>
              <w:right w:val="nil"/>
            </w:tcBorders>
            <w:shd w:val="clear" w:color="auto" w:fill="auto"/>
            <w:hideMark/>
          </w:tcPr>
          <w:p w14:paraId="32958682" w14:textId="77777777" w:rsidR="00E4475F" w:rsidRPr="00433DCB" w:rsidRDefault="00E4475F" w:rsidP="00124346">
            <w:pPr>
              <w:keepNext/>
              <w:keepLines/>
              <w:tabs>
                <w:tab w:val="clear" w:pos="567"/>
              </w:tabs>
              <w:spacing w:before="0" w:line="240" w:lineRule="auto"/>
              <w:textAlignment w:val="baseline"/>
              <w:rPr>
                <w:rFonts w:eastAsia="Times New Roman" w:cs="Segoe UI"/>
                <w:sz w:val="18"/>
                <w:szCs w:val="18"/>
                <w:lang w:eastAsia="en-AU"/>
              </w:rPr>
            </w:pPr>
            <w:r>
              <w:rPr>
                <w:rFonts w:eastAsia="Times New Roman" w:cs="Segoe UI"/>
                <w:color w:val="000000"/>
                <w:sz w:val="16"/>
                <w:szCs w:val="16"/>
                <w:lang w:eastAsia="en-AU"/>
              </w:rPr>
              <w:t>National Disability Insurance Scheme</w:t>
            </w:r>
            <w:r w:rsidRPr="00433DCB">
              <w:rPr>
                <w:rFonts w:eastAsia="Times New Roman" w:cs="Segoe UI"/>
                <w:color w:val="000000"/>
                <w:sz w:val="16"/>
                <w:szCs w:val="16"/>
                <w:lang w:eastAsia="en-AU"/>
              </w:rPr>
              <w:t> </w:t>
            </w:r>
          </w:p>
        </w:tc>
        <w:tc>
          <w:tcPr>
            <w:tcW w:w="2100" w:type="dxa"/>
            <w:tcBorders>
              <w:top w:val="single" w:sz="6" w:space="0" w:color="ADD6EA"/>
              <w:left w:val="nil"/>
              <w:bottom w:val="single" w:sz="6" w:space="0" w:color="ADD6EA"/>
              <w:right w:val="nil"/>
            </w:tcBorders>
            <w:shd w:val="clear" w:color="auto" w:fill="auto"/>
            <w:hideMark/>
          </w:tcPr>
          <w:p w14:paraId="2D560444" w14:textId="77777777" w:rsidR="00E4475F" w:rsidRPr="00433DCB" w:rsidRDefault="00E4475F" w:rsidP="00124346">
            <w:pPr>
              <w:keepNext/>
              <w:keepLines/>
              <w:tabs>
                <w:tab w:val="clear" w:pos="567"/>
              </w:tabs>
              <w:spacing w:before="0" w:line="240" w:lineRule="auto"/>
              <w:jc w:val="right"/>
              <w:textAlignment w:val="baseline"/>
              <w:rPr>
                <w:rFonts w:eastAsia="Times New Roman" w:cs="Segoe UI"/>
                <w:sz w:val="18"/>
                <w:szCs w:val="18"/>
                <w:lang w:eastAsia="en-AU"/>
              </w:rPr>
            </w:pPr>
            <w:r>
              <w:rPr>
                <w:rFonts w:eastAsia="Times New Roman" w:cs="Segoe UI"/>
                <w:color w:val="000000"/>
                <w:sz w:val="16"/>
                <w:szCs w:val="16"/>
                <w:lang w:eastAsia="en-AU"/>
              </w:rPr>
              <w:t>9,839</w:t>
            </w:r>
            <w:r w:rsidRPr="00433DCB">
              <w:rPr>
                <w:rFonts w:eastAsia="Times New Roman" w:cs="Segoe UI"/>
                <w:color w:val="000000"/>
                <w:sz w:val="16"/>
                <w:szCs w:val="16"/>
                <w:lang w:eastAsia="en-AU"/>
              </w:rPr>
              <w:t> </w:t>
            </w:r>
          </w:p>
        </w:tc>
        <w:tc>
          <w:tcPr>
            <w:tcW w:w="285" w:type="dxa"/>
            <w:tcBorders>
              <w:top w:val="single" w:sz="6" w:space="0" w:color="ADD6EA"/>
              <w:left w:val="nil"/>
              <w:bottom w:val="single" w:sz="6" w:space="0" w:color="ADD6EA"/>
              <w:right w:val="nil"/>
            </w:tcBorders>
            <w:shd w:val="clear" w:color="auto" w:fill="auto"/>
            <w:vAlign w:val="bottom"/>
            <w:hideMark/>
          </w:tcPr>
          <w:p w14:paraId="57EE72C7" w14:textId="77777777" w:rsidR="00E4475F" w:rsidRPr="00433DCB" w:rsidRDefault="00E4475F" w:rsidP="00124346">
            <w:pPr>
              <w:keepNext/>
              <w:keepLines/>
              <w:tabs>
                <w:tab w:val="clear" w:pos="567"/>
              </w:tabs>
              <w:spacing w:before="0" w:line="240" w:lineRule="auto"/>
              <w:jc w:val="right"/>
              <w:textAlignment w:val="baseline"/>
              <w:rPr>
                <w:rFonts w:eastAsia="Times New Roman" w:cs="Segoe UI"/>
                <w:sz w:val="18"/>
                <w:szCs w:val="18"/>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995" w:type="dxa"/>
            <w:tcBorders>
              <w:top w:val="single" w:sz="6" w:space="0" w:color="ADD6EA"/>
              <w:left w:val="nil"/>
              <w:bottom w:val="single" w:sz="6" w:space="0" w:color="ADD6EA"/>
              <w:right w:val="nil"/>
            </w:tcBorders>
            <w:shd w:val="clear" w:color="auto" w:fill="auto"/>
            <w:hideMark/>
          </w:tcPr>
          <w:p w14:paraId="71B62078" w14:textId="77777777" w:rsidR="00E4475F" w:rsidRPr="00433DCB" w:rsidRDefault="00E4475F" w:rsidP="00124346">
            <w:pPr>
              <w:keepNext/>
              <w:keepLines/>
              <w:tabs>
                <w:tab w:val="clear" w:pos="567"/>
              </w:tabs>
              <w:spacing w:before="0" w:line="240" w:lineRule="auto"/>
              <w:textAlignment w:val="baseline"/>
              <w:rPr>
                <w:rFonts w:eastAsia="Times New Roman" w:cs="Segoe UI"/>
                <w:sz w:val="18"/>
                <w:szCs w:val="18"/>
                <w:lang w:eastAsia="en-AU"/>
              </w:rPr>
            </w:pPr>
            <w:r>
              <w:rPr>
                <w:rFonts w:eastAsia="Times New Roman" w:cs="Segoe UI"/>
                <w:color w:val="000000"/>
                <w:sz w:val="16"/>
                <w:szCs w:val="16"/>
                <w:lang w:eastAsia="en-AU"/>
              </w:rPr>
              <w:t>Census population shares</w:t>
            </w:r>
            <w:r w:rsidRPr="00433DCB">
              <w:rPr>
                <w:rFonts w:eastAsia="Times New Roman" w:cs="Segoe UI"/>
                <w:color w:val="000000"/>
                <w:sz w:val="16"/>
                <w:szCs w:val="16"/>
                <w:lang w:eastAsia="en-AU"/>
              </w:rPr>
              <w:t> </w:t>
            </w:r>
          </w:p>
        </w:tc>
        <w:tc>
          <w:tcPr>
            <w:tcW w:w="3135" w:type="dxa"/>
            <w:tcBorders>
              <w:top w:val="single" w:sz="6" w:space="0" w:color="ADD6EA"/>
              <w:left w:val="nil"/>
              <w:bottom w:val="single" w:sz="6" w:space="0" w:color="ADD6EA"/>
              <w:right w:val="nil"/>
            </w:tcBorders>
            <w:shd w:val="clear" w:color="auto" w:fill="auto"/>
            <w:hideMark/>
          </w:tcPr>
          <w:p w14:paraId="7308962C" w14:textId="47C04BDD" w:rsidR="00E4475F" w:rsidRPr="00433DCB" w:rsidRDefault="200CCDB6" w:rsidP="00124346">
            <w:pPr>
              <w:keepNext/>
              <w:keepLines/>
              <w:tabs>
                <w:tab w:val="clear" w:pos="567"/>
              </w:tabs>
              <w:spacing w:before="0" w:line="240" w:lineRule="auto"/>
              <w:textAlignment w:val="baseline"/>
            </w:pPr>
            <w:r w:rsidRPr="6FC220B8">
              <w:rPr>
                <w:rFonts w:eastAsia="Open Sans Light" w:cs="Open Sans Light"/>
                <w:sz w:val="16"/>
                <w:szCs w:val="16"/>
              </w:rPr>
              <w:t xml:space="preserve">Recognises that the </w:t>
            </w:r>
            <w:r w:rsidR="5D69B547" w:rsidRPr="6FC220B8">
              <w:rPr>
                <w:rFonts w:eastAsia="Open Sans Light" w:cs="Open Sans Light"/>
                <w:sz w:val="16"/>
                <w:szCs w:val="16"/>
              </w:rPr>
              <w:t>funding agreements for the N</w:t>
            </w:r>
            <w:r w:rsidR="2C0824CB" w:rsidRPr="6FC220B8">
              <w:rPr>
                <w:rFonts w:eastAsia="Open Sans Light" w:cs="Open Sans Light"/>
                <w:sz w:val="16"/>
                <w:szCs w:val="16"/>
              </w:rPr>
              <w:t xml:space="preserve">DIS are based on each </w:t>
            </w:r>
            <w:r w:rsidR="6469F00A" w:rsidRPr="6FC220B8">
              <w:rPr>
                <w:rFonts w:eastAsia="Open Sans Light" w:cs="Open Sans Light"/>
                <w:sz w:val="16"/>
                <w:szCs w:val="16"/>
              </w:rPr>
              <w:t>state's</w:t>
            </w:r>
            <w:r w:rsidR="2C0824CB" w:rsidRPr="6FC220B8">
              <w:rPr>
                <w:rFonts w:eastAsia="Open Sans Light" w:cs="Open Sans Light"/>
                <w:sz w:val="16"/>
                <w:szCs w:val="16"/>
              </w:rPr>
              <w:t xml:space="preserve"> population at the latest census</w:t>
            </w:r>
            <w:r w:rsidR="2401813F" w:rsidRPr="6FC220B8">
              <w:rPr>
                <w:rFonts w:eastAsia="Open Sans Light" w:cs="Open Sans Light"/>
                <w:sz w:val="16"/>
                <w:szCs w:val="16"/>
              </w:rPr>
              <w:t>.</w:t>
            </w:r>
          </w:p>
        </w:tc>
      </w:tr>
      <w:tr w:rsidR="00E4475F" w:rsidRPr="00433DCB" w14:paraId="5525E2F6" w14:textId="77777777" w:rsidTr="6FC220B8">
        <w:trPr>
          <w:trHeight w:val="315"/>
        </w:trPr>
        <w:tc>
          <w:tcPr>
            <w:tcW w:w="1410" w:type="dxa"/>
            <w:tcBorders>
              <w:top w:val="single" w:sz="6" w:space="0" w:color="ADD6EA"/>
              <w:left w:val="nil"/>
              <w:bottom w:val="single" w:sz="6" w:space="0" w:color="ADD6EA"/>
              <w:right w:val="nil"/>
            </w:tcBorders>
            <w:shd w:val="clear" w:color="auto" w:fill="auto"/>
          </w:tcPr>
          <w:p w14:paraId="6D2F7652" w14:textId="6FFA2257" w:rsidR="00E4475F" w:rsidRDefault="00E4475F" w:rsidP="00124346">
            <w:pPr>
              <w:keepNext/>
              <w:keepLines/>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 xml:space="preserve">Non-NDIS </w:t>
            </w:r>
            <w:r w:rsidR="00DF1CFF">
              <w:rPr>
                <w:rFonts w:eastAsia="Times New Roman" w:cs="Segoe UI"/>
                <w:color w:val="000000"/>
                <w:sz w:val="16"/>
                <w:szCs w:val="16"/>
                <w:lang w:eastAsia="en-AU"/>
              </w:rPr>
              <w:t>d</w:t>
            </w:r>
            <w:r>
              <w:rPr>
                <w:rFonts w:eastAsia="Times New Roman" w:cs="Segoe UI"/>
                <w:color w:val="000000"/>
                <w:sz w:val="16"/>
                <w:szCs w:val="16"/>
                <w:lang w:eastAsia="en-AU"/>
              </w:rPr>
              <w:t xml:space="preserve">isability </w:t>
            </w:r>
            <w:r w:rsidR="00DF1CFF">
              <w:rPr>
                <w:rFonts w:eastAsia="Times New Roman" w:cs="Segoe UI"/>
                <w:color w:val="000000"/>
                <w:sz w:val="16"/>
                <w:szCs w:val="16"/>
                <w:lang w:eastAsia="en-AU"/>
              </w:rPr>
              <w:t>s</w:t>
            </w:r>
            <w:r>
              <w:rPr>
                <w:rFonts w:eastAsia="Times New Roman" w:cs="Segoe UI"/>
                <w:color w:val="000000"/>
                <w:sz w:val="16"/>
                <w:szCs w:val="16"/>
                <w:lang w:eastAsia="en-AU"/>
              </w:rPr>
              <w:t xml:space="preserve">ervices, </w:t>
            </w:r>
            <w:r w:rsidR="00DF1CFF">
              <w:rPr>
                <w:rFonts w:eastAsia="Times New Roman" w:cs="Segoe UI"/>
                <w:color w:val="000000"/>
                <w:sz w:val="16"/>
                <w:szCs w:val="16"/>
                <w:lang w:eastAsia="en-AU"/>
              </w:rPr>
              <w:t>a</w:t>
            </w:r>
            <w:r>
              <w:rPr>
                <w:rFonts w:eastAsia="Times New Roman" w:cs="Segoe UI"/>
                <w:color w:val="000000"/>
                <w:sz w:val="16"/>
                <w:szCs w:val="16"/>
                <w:lang w:eastAsia="en-AU"/>
              </w:rPr>
              <w:t xml:space="preserve">ged </w:t>
            </w:r>
            <w:proofErr w:type="gramStart"/>
            <w:r w:rsidR="00DF1CFF">
              <w:rPr>
                <w:rFonts w:eastAsia="Times New Roman" w:cs="Segoe UI"/>
                <w:color w:val="000000"/>
                <w:sz w:val="16"/>
                <w:szCs w:val="16"/>
                <w:lang w:eastAsia="en-AU"/>
              </w:rPr>
              <w:t>c</w:t>
            </w:r>
            <w:r>
              <w:rPr>
                <w:rFonts w:eastAsia="Times New Roman" w:cs="Segoe UI"/>
                <w:color w:val="000000"/>
                <w:sz w:val="16"/>
                <w:szCs w:val="16"/>
                <w:lang w:eastAsia="en-AU"/>
              </w:rPr>
              <w:t>are</w:t>
            </w:r>
            <w:proofErr w:type="gramEnd"/>
            <w:r>
              <w:rPr>
                <w:rFonts w:eastAsia="Times New Roman" w:cs="Segoe UI"/>
                <w:color w:val="000000"/>
                <w:sz w:val="16"/>
                <w:szCs w:val="16"/>
                <w:lang w:eastAsia="en-AU"/>
              </w:rPr>
              <w:t xml:space="preserve"> and National Redress Scheme</w:t>
            </w:r>
          </w:p>
        </w:tc>
        <w:tc>
          <w:tcPr>
            <w:tcW w:w="2100" w:type="dxa"/>
            <w:tcBorders>
              <w:top w:val="single" w:sz="6" w:space="0" w:color="ADD6EA"/>
              <w:left w:val="nil"/>
              <w:bottom w:val="single" w:sz="6" w:space="0" w:color="ADD6EA"/>
              <w:right w:val="nil"/>
            </w:tcBorders>
            <w:shd w:val="clear" w:color="auto" w:fill="auto"/>
          </w:tcPr>
          <w:p w14:paraId="50DB073F" w14:textId="77777777" w:rsidR="00E4475F" w:rsidRPr="00433DCB" w:rsidRDefault="00E4475F" w:rsidP="00124346">
            <w:pPr>
              <w:keepNext/>
              <w:keepLines/>
              <w:tabs>
                <w:tab w:val="clear" w:pos="567"/>
              </w:tabs>
              <w:spacing w:before="0" w:line="240" w:lineRule="auto"/>
              <w:jc w:val="right"/>
              <w:textAlignment w:val="baseline"/>
              <w:rPr>
                <w:rFonts w:eastAsia="Times New Roman" w:cs="Segoe UI"/>
                <w:color w:val="000000"/>
                <w:sz w:val="16"/>
                <w:szCs w:val="16"/>
                <w:lang w:eastAsia="en-AU"/>
              </w:rPr>
            </w:pPr>
            <w:r>
              <w:rPr>
                <w:rFonts w:eastAsia="Times New Roman" w:cs="Segoe UI"/>
                <w:color w:val="000000"/>
                <w:sz w:val="16"/>
                <w:szCs w:val="16"/>
                <w:lang w:eastAsia="en-AU"/>
              </w:rPr>
              <w:t>1,517</w:t>
            </w:r>
          </w:p>
        </w:tc>
        <w:tc>
          <w:tcPr>
            <w:tcW w:w="285" w:type="dxa"/>
            <w:tcBorders>
              <w:top w:val="single" w:sz="6" w:space="0" w:color="ADD6EA"/>
              <w:left w:val="nil"/>
              <w:bottom w:val="single" w:sz="6" w:space="0" w:color="ADD6EA"/>
              <w:right w:val="nil"/>
            </w:tcBorders>
            <w:shd w:val="clear" w:color="auto" w:fill="auto"/>
            <w:vAlign w:val="bottom"/>
          </w:tcPr>
          <w:p w14:paraId="7DB1E59B" w14:textId="77777777" w:rsidR="00E4475F" w:rsidRPr="00433DCB" w:rsidRDefault="00E4475F" w:rsidP="00124346">
            <w:pPr>
              <w:keepNext/>
              <w:keepLines/>
              <w:tabs>
                <w:tab w:val="clear" w:pos="567"/>
              </w:tabs>
              <w:spacing w:before="0" w:line="240" w:lineRule="auto"/>
              <w:jc w:val="right"/>
              <w:textAlignment w:val="baseline"/>
              <w:rPr>
                <w:rFonts w:ascii="Arial" w:eastAsia="Times New Roman" w:hAnsi="Arial" w:cs="Arial"/>
                <w:color w:val="000000"/>
                <w:sz w:val="16"/>
                <w:szCs w:val="16"/>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995" w:type="dxa"/>
            <w:tcBorders>
              <w:top w:val="single" w:sz="6" w:space="0" w:color="ADD6EA"/>
              <w:left w:val="nil"/>
              <w:bottom w:val="single" w:sz="6" w:space="0" w:color="ADD6EA"/>
              <w:right w:val="nil"/>
            </w:tcBorders>
            <w:shd w:val="clear" w:color="auto" w:fill="auto"/>
          </w:tcPr>
          <w:p w14:paraId="2CC276D4" w14:textId="77777777" w:rsidR="00E4475F" w:rsidRPr="00433DCB" w:rsidRDefault="00E4475F" w:rsidP="00124346">
            <w:pPr>
              <w:keepNext/>
              <w:keepLines/>
              <w:tabs>
                <w:tab w:val="clear" w:pos="567"/>
              </w:tabs>
              <w:spacing w:before="0" w:line="240" w:lineRule="auto"/>
              <w:textAlignment w:val="baseline"/>
              <w:rPr>
                <w:rFonts w:eastAsia="Times New Roman" w:cs="Segoe UI"/>
                <w:color w:val="000000"/>
                <w:sz w:val="16"/>
                <w:szCs w:val="16"/>
                <w:lang w:eastAsia="en-AU"/>
              </w:rPr>
            </w:pPr>
            <w:r w:rsidRPr="00433DCB">
              <w:rPr>
                <w:rFonts w:eastAsia="Times New Roman" w:cs="Segoe UI"/>
                <w:color w:val="000000"/>
                <w:sz w:val="16"/>
                <w:szCs w:val="16"/>
                <w:lang w:eastAsia="en-AU"/>
              </w:rPr>
              <w:t>Equal per capita </w:t>
            </w:r>
          </w:p>
        </w:tc>
        <w:tc>
          <w:tcPr>
            <w:tcW w:w="3135" w:type="dxa"/>
            <w:tcBorders>
              <w:top w:val="single" w:sz="6" w:space="0" w:color="ADD6EA"/>
              <w:left w:val="nil"/>
              <w:bottom w:val="single" w:sz="6" w:space="0" w:color="ADD6EA"/>
              <w:right w:val="nil"/>
            </w:tcBorders>
            <w:shd w:val="clear" w:color="auto" w:fill="auto"/>
          </w:tcPr>
          <w:p w14:paraId="3B555EE2" w14:textId="26397534" w:rsidR="00E4475F" w:rsidRPr="00433DCB" w:rsidRDefault="00334D5E" w:rsidP="00124346">
            <w:pPr>
              <w:keepNext/>
              <w:keepLines/>
              <w:tabs>
                <w:tab w:val="clear" w:pos="567"/>
              </w:tabs>
              <w:spacing w:before="0" w:line="240" w:lineRule="auto"/>
              <w:textAlignment w:val="baseline"/>
              <w:rPr>
                <w:rFonts w:eastAsia="Times New Roman" w:cs="Segoe UI"/>
                <w:color w:val="000000"/>
                <w:sz w:val="16"/>
                <w:szCs w:val="16"/>
                <w:lang w:eastAsia="en-AU"/>
              </w:rPr>
            </w:pPr>
            <w:r w:rsidRPr="6FC220B8">
              <w:rPr>
                <w:rFonts w:eastAsia="Times New Roman" w:cs="Segoe UI"/>
                <w:color w:val="000000" w:themeColor="text1"/>
                <w:sz w:val="16"/>
                <w:szCs w:val="16"/>
                <w:lang w:eastAsia="en-AU"/>
              </w:rPr>
              <w:t xml:space="preserve">Recognises that the Commission has not found a </w:t>
            </w:r>
            <w:r w:rsidR="00EA5816" w:rsidRPr="6FC220B8">
              <w:rPr>
                <w:rFonts w:eastAsia="Times New Roman" w:cs="Segoe UI"/>
                <w:color w:val="000000" w:themeColor="text1"/>
                <w:sz w:val="16"/>
                <w:szCs w:val="16"/>
                <w:lang w:eastAsia="en-AU"/>
              </w:rPr>
              <w:t xml:space="preserve">differential driver </w:t>
            </w:r>
            <w:r w:rsidR="000A6DC1" w:rsidRPr="6FC220B8">
              <w:rPr>
                <w:rFonts w:eastAsia="Times New Roman" w:cs="Segoe UI"/>
                <w:color w:val="000000" w:themeColor="text1"/>
                <w:sz w:val="16"/>
                <w:szCs w:val="16"/>
                <w:lang w:eastAsia="en-AU"/>
              </w:rPr>
              <w:t xml:space="preserve">of </w:t>
            </w:r>
            <w:r w:rsidR="0DCCDE69" w:rsidRPr="6FC220B8">
              <w:rPr>
                <w:rFonts w:eastAsia="Times New Roman" w:cs="Segoe UI"/>
                <w:color w:val="000000" w:themeColor="text1"/>
                <w:sz w:val="16"/>
                <w:szCs w:val="16"/>
                <w:lang w:eastAsia="en-AU"/>
              </w:rPr>
              <w:t>need.</w:t>
            </w:r>
            <w:r w:rsidR="00EA5816" w:rsidRPr="6FC220B8">
              <w:rPr>
                <w:rFonts w:eastAsia="Times New Roman" w:cs="Segoe UI"/>
                <w:color w:val="000000" w:themeColor="text1"/>
                <w:sz w:val="16"/>
                <w:szCs w:val="16"/>
                <w:lang w:eastAsia="en-AU"/>
              </w:rPr>
              <w:t xml:space="preserve"> </w:t>
            </w:r>
            <w:r w:rsidR="4622E9E8" w:rsidRPr="6FC220B8">
              <w:rPr>
                <w:rFonts w:eastAsia="Times New Roman" w:cs="Segoe UI"/>
                <w:color w:val="000000" w:themeColor="text1"/>
                <w:sz w:val="16"/>
                <w:szCs w:val="16"/>
                <w:lang w:eastAsia="en-AU"/>
              </w:rPr>
              <w:t>T</w:t>
            </w:r>
            <w:r w:rsidR="00EA5816" w:rsidRPr="6FC220B8">
              <w:rPr>
                <w:rFonts w:eastAsia="Times New Roman" w:cs="Segoe UI"/>
                <w:color w:val="000000" w:themeColor="text1"/>
                <w:sz w:val="16"/>
                <w:szCs w:val="16"/>
                <w:lang w:eastAsia="en-AU"/>
              </w:rPr>
              <w:t xml:space="preserve">his spending is assessed as a non-deliberative </w:t>
            </w:r>
            <w:r w:rsidR="00E4475F" w:rsidRPr="6FC220B8">
              <w:rPr>
                <w:rFonts w:eastAsia="Times New Roman" w:cs="Segoe UI"/>
                <w:color w:val="000000" w:themeColor="text1"/>
                <w:sz w:val="16"/>
                <w:szCs w:val="16"/>
                <w:lang w:eastAsia="en-AU"/>
              </w:rPr>
              <w:t>equal per capita assessment</w:t>
            </w:r>
            <w:r w:rsidR="00C4130C" w:rsidRPr="6FC220B8">
              <w:rPr>
                <w:rFonts w:eastAsia="Times New Roman" w:cs="Segoe UI"/>
                <w:color w:val="000000" w:themeColor="text1"/>
                <w:sz w:val="16"/>
                <w:szCs w:val="16"/>
                <w:lang w:eastAsia="en-AU"/>
              </w:rPr>
              <w:t>.</w:t>
            </w:r>
            <w:r w:rsidR="00E4475F" w:rsidRPr="6FC220B8">
              <w:rPr>
                <w:rFonts w:eastAsia="Times New Roman" w:cs="Segoe UI"/>
                <w:color w:val="000000" w:themeColor="text1"/>
                <w:sz w:val="16"/>
                <w:szCs w:val="16"/>
                <w:lang w:eastAsia="en-AU"/>
              </w:rPr>
              <w:t> </w:t>
            </w:r>
          </w:p>
        </w:tc>
      </w:tr>
      <w:tr w:rsidR="00674C88" w:rsidRPr="00433DCB" w14:paraId="42099408" w14:textId="77777777" w:rsidTr="6FC220B8">
        <w:trPr>
          <w:trHeight w:val="315"/>
        </w:trPr>
        <w:tc>
          <w:tcPr>
            <w:tcW w:w="1410" w:type="dxa"/>
            <w:tcBorders>
              <w:top w:val="single" w:sz="6" w:space="0" w:color="ADD6EA"/>
              <w:left w:val="nil"/>
              <w:bottom w:val="single" w:sz="6" w:space="0" w:color="ADD6EA"/>
              <w:right w:val="nil"/>
            </w:tcBorders>
            <w:shd w:val="clear" w:color="auto" w:fill="auto"/>
          </w:tcPr>
          <w:p w14:paraId="62671EB9" w14:textId="76678AAA" w:rsidR="00674C88" w:rsidRDefault="00674C88" w:rsidP="00124346">
            <w:pPr>
              <w:keepNext/>
              <w:keepLines/>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Concessions</w:t>
            </w:r>
            <w:r w:rsidRPr="00433DCB">
              <w:rPr>
                <w:rFonts w:eastAsia="Times New Roman" w:cs="Segoe UI"/>
                <w:color w:val="000000"/>
                <w:sz w:val="16"/>
                <w:szCs w:val="16"/>
                <w:lang w:eastAsia="en-AU"/>
              </w:rPr>
              <w:t> </w:t>
            </w:r>
          </w:p>
        </w:tc>
        <w:tc>
          <w:tcPr>
            <w:tcW w:w="2100" w:type="dxa"/>
            <w:tcBorders>
              <w:top w:val="single" w:sz="6" w:space="0" w:color="ADD6EA"/>
              <w:left w:val="nil"/>
              <w:bottom w:val="single" w:sz="6" w:space="0" w:color="ADD6EA"/>
              <w:right w:val="nil"/>
            </w:tcBorders>
            <w:shd w:val="clear" w:color="auto" w:fill="auto"/>
          </w:tcPr>
          <w:p w14:paraId="29127A2C" w14:textId="09E4F9D9" w:rsidR="00674C88" w:rsidRDefault="00674C88" w:rsidP="00124346">
            <w:pPr>
              <w:keepNext/>
              <w:keepLines/>
              <w:tabs>
                <w:tab w:val="clear" w:pos="567"/>
              </w:tabs>
              <w:spacing w:before="0" w:line="240" w:lineRule="auto"/>
              <w:jc w:val="right"/>
              <w:textAlignment w:val="baseline"/>
              <w:rPr>
                <w:rFonts w:eastAsia="Times New Roman" w:cs="Segoe UI"/>
                <w:color w:val="000000"/>
                <w:sz w:val="16"/>
                <w:szCs w:val="16"/>
                <w:lang w:eastAsia="en-AU"/>
              </w:rPr>
            </w:pPr>
            <w:r>
              <w:rPr>
                <w:rFonts w:eastAsia="Times New Roman" w:cs="Segoe UI"/>
                <w:color w:val="000000"/>
                <w:sz w:val="16"/>
                <w:szCs w:val="16"/>
                <w:lang w:eastAsia="en-AU"/>
              </w:rPr>
              <w:t>2,403</w:t>
            </w:r>
            <w:r w:rsidRPr="00433DCB">
              <w:rPr>
                <w:rFonts w:eastAsia="Times New Roman" w:cs="Segoe UI"/>
                <w:color w:val="000000"/>
                <w:sz w:val="16"/>
                <w:szCs w:val="16"/>
                <w:lang w:eastAsia="en-AU"/>
              </w:rPr>
              <w:t> </w:t>
            </w:r>
          </w:p>
        </w:tc>
        <w:tc>
          <w:tcPr>
            <w:tcW w:w="285" w:type="dxa"/>
            <w:tcBorders>
              <w:top w:val="single" w:sz="6" w:space="0" w:color="ADD6EA"/>
              <w:left w:val="nil"/>
              <w:bottom w:val="single" w:sz="6" w:space="0" w:color="ADD6EA"/>
              <w:right w:val="nil"/>
            </w:tcBorders>
            <w:shd w:val="clear" w:color="auto" w:fill="auto"/>
            <w:vAlign w:val="bottom"/>
          </w:tcPr>
          <w:p w14:paraId="44E5B117" w14:textId="48F0FBAE" w:rsidR="00674C88" w:rsidRPr="00433DCB" w:rsidRDefault="00674C88" w:rsidP="00124346">
            <w:pPr>
              <w:keepNext/>
              <w:keepLines/>
              <w:tabs>
                <w:tab w:val="clear" w:pos="567"/>
              </w:tabs>
              <w:spacing w:before="0" w:line="240" w:lineRule="auto"/>
              <w:jc w:val="right"/>
              <w:textAlignment w:val="baseline"/>
              <w:rPr>
                <w:rFonts w:ascii="Arial" w:eastAsia="Times New Roman" w:hAnsi="Arial" w:cs="Arial"/>
                <w:color w:val="000000"/>
                <w:sz w:val="16"/>
                <w:szCs w:val="16"/>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995" w:type="dxa"/>
            <w:tcBorders>
              <w:top w:val="single" w:sz="6" w:space="0" w:color="ADD6EA"/>
              <w:left w:val="nil"/>
              <w:bottom w:val="single" w:sz="6" w:space="0" w:color="ADD6EA"/>
              <w:right w:val="nil"/>
            </w:tcBorders>
            <w:shd w:val="clear" w:color="auto" w:fill="auto"/>
          </w:tcPr>
          <w:p w14:paraId="3AC7A7A8" w14:textId="03A2D25C" w:rsidR="00674C88" w:rsidRPr="00433DCB" w:rsidRDefault="001974BA" w:rsidP="00124346">
            <w:pPr>
              <w:keepNext/>
              <w:keepLines/>
              <w:tabs>
                <w:tab w:val="clear" w:pos="567"/>
              </w:tabs>
              <w:spacing w:before="0" w:line="240" w:lineRule="auto"/>
              <w:textAlignment w:val="baseline"/>
              <w:rPr>
                <w:rFonts w:eastAsia="Times New Roman" w:cs="Segoe UI"/>
                <w:color w:val="000000"/>
                <w:sz w:val="16"/>
                <w:szCs w:val="16"/>
                <w:lang w:eastAsia="en-AU"/>
              </w:rPr>
            </w:pPr>
            <w:r w:rsidRPr="00433DCB">
              <w:rPr>
                <w:rFonts w:eastAsia="Times New Roman" w:cs="Segoe UI"/>
                <w:color w:val="000000"/>
                <w:sz w:val="16"/>
                <w:szCs w:val="16"/>
                <w:lang w:eastAsia="en-AU"/>
              </w:rPr>
              <w:t>Socio</w:t>
            </w:r>
            <w:r>
              <w:rPr>
                <w:rFonts w:eastAsia="Times New Roman" w:cs="Segoe UI"/>
                <w:color w:val="000000"/>
                <w:sz w:val="16"/>
                <w:szCs w:val="16"/>
                <w:lang w:eastAsia="en-AU"/>
              </w:rPr>
              <w:t>-</w:t>
            </w:r>
            <w:r w:rsidRPr="00433DCB">
              <w:rPr>
                <w:rFonts w:eastAsia="Times New Roman" w:cs="Segoe UI"/>
                <w:color w:val="000000"/>
                <w:sz w:val="16"/>
                <w:szCs w:val="16"/>
                <w:lang w:eastAsia="en-AU"/>
              </w:rPr>
              <w:t>demographic composition</w:t>
            </w:r>
          </w:p>
        </w:tc>
        <w:tc>
          <w:tcPr>
            <w:tcW w:w="3135" w:type="dxa"/>
            <w:tcBorders>
              <w:top w:val="single" w:sz="6" w:space="0" w:color="ADD6EA"/>
              <w:left w:val="nil"/>
              <w:bottom w:val="single" w:sz="6" w:space="0" w:color="ADD6EA"/>
              <w:right w:val="nil"/>
            </w:tcBorders>
            <w:shd w:val="clear" w:color="auto" w:fill="auto"/>
          </w:tcPr>
          <w:p w14:paraId="1877ABE1" w14:textId="0EA12C67" w:rsidR="00674C88" w:rsidRPr="00433DCB" w:rsidRDefault="00674C88" w:rsidP="00124346">
            <w:pPr>
              <w:keepNext/>
              <w:keepLines/>
              <w:tabs>
                <w:tab w:val="clear" w:pos="567"/>
              </w:tabs>
              <w:spacing w:before="0" w:line="240" w:lineRule="auto"/>
              <w:textAlignment w:val="baseline"/>
              <w:rPr>
                <w:rFonts w:eastAsia="Times New Roman" w:cs="Segoe UI"/>
                <w:color w:val="000000"/>
                <w:sz w:val="16"/>
                <w:szCs w:val="16"/>
                <w:lang w:eastAsia="en-AU"/>
              </w:rPr>
            </w:pPr>
            <w:r w:rsidRPr="6FC220B8">
              <w:rPr>
                <w:rFonts w:eastAsia="Open Sans Light" w:cs="Open Sans Light"/>
                <w:sz w:val="16"/>
                <w:szCs w:val="16"/>
              </w:rPr>
              <w:t>Recognises that numbers of pensioner concession card plus health care card holders affect the use and cost of providing concessions.</w:t>
            </w:r>
          </w:p>
        </w:tc>
      </w:tr>
      <w:tr w:rsidR="00EA5816" w:rsidRPr="00433DCB" w14:paraId="517CCF34" w14:textId="77777777" w:rsidTr="6FC220B8">
        <w:trPr>
          <w:trHeight w:val="315"/>
        </w:trPr>
        <w:tc>
          <w:tcPr>
            <w:tcW w:w="1410" w:type="dxa"/>
            <w:tcBorders>
              <w:top w:val="single" w:sz="6" w:space="0" w:color="ADD6EA"/>
              <w:left w:val="nil"/>
              <w:bottom w:val="none" w:sz="6" w:space="0" w:color="ADD6EA"/>
              <w:right w:val="nil"/>
            </w:tcBorders>
            <w:shd w:val="clear" w:color="auto" w:fill="auto"/>
          </w:tcPr>
          <w:p w14:paraId="2980CF8F" w14:textId="4216FA24" w:rsidR="00EA5816" w:rsidRDefault="00EA5816" w:rsidP="00EA5816">
            <w:pPr>
              <w:keepNext/>
              <w:keepLines/>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 xml:space="preserve">Other </w:t>
            </w:r>
            <w:r w:rsidR="002D4542">
              <w:rPr>
                <w:rFonts w:eastAsia="Times New Roman" w:cs="Segoe UI"/>
                <w:color w:val="000000"/>
                <w:sz w:val="16"/>
                <w:szCs w:val="16"/>
                <w:lang w:eastAsia="en-AU"/>
              </w:rPr>
              <w:t>w</w:t>
            </w:r>
            <w:r>
              <w:rPr>
                <w:rFonts w:eastAsia="Times New Roman" w:cs="Segoe UI"/>
                <w:color w:val="000000"/>
                <w:sz w:val="16"/>
                <w:szCs w:val="16"/>
                <w:lang w:eastAsia="en-AU"/>
              </w:rPr>
              <w:t>elfare</w:t>
            </w:r>
          </w:p>
        </w:tc>
        <w:tc>
          <w:tcPr>
            <w:tcW w:w="2100" w:type="dxa"/>
            <w:tcBorders>
              <w:top w:val="single" w:sz="6" w:space="0" w:color="ADD6EA"/>
              <w:left w:val="nil"/>
              <w:bottom w:val="none" w:sz="6" w:space="0" w:color="ADD6EA"/>
              <w:right w:val="nil"/>
            </w:tcBorders>
            <w:shd w:val="clear" w:color="auto" w:fill="auto"/>
          </w:tcPr>
          <w:p w14:paraId="4DA772C5" w14:textId="77777777" w:rsidR="00EA5816" w:rsidRPr="00433DCB" w:rsidRDefault="00EA5816" w:rsidP="00EA5816">
            <w:pPr>
              <w:keepNext/>
              <w:keepLines/>
              <w:tabs>
                <w:tab w:val="clear" w:pos="567"/>
              </w:tabs>
              <w:spacing w:before="0" w:line="240" w:lineRule="auto"/>
              <w:jc w:val="right"/>
              <w:textAlignment w:val="baseline"/>
              <w:rPr>
                <w:rFonts w:eastAsia="Times New Roman" w:cs="Segoe UI"/>
                <w:color w:val="000000"/>
                <w:sz w:val="16"/>
                <w:szCs w:val="16"/>
                <w:lang w:eastAsia="en-AU"/>
              </w:rPr>
            </w:pPr>
            <w:r>
              <w:rPr>
                <w:rFonts w:eastAsia="Times New Roman" w:cs="Segoe UI"/>
                <w:color w:val="000000"/>
                <w:sz w:val="16"/>
                <w:szCs w:val="16"/>
                <w:lang w:eastAsia="en-AU"/>
              </w:rPr>
              <w:t>1,891</w:t>
            </w:r>
          </w:p>
        </w:tc>
        <w:tc>
          <w:tcPr>
            <w:tcW w:w="285" w:type="dxa"/>
            <w:tcBorders>
              <w:top w:val="single" w:sz="6" w:space="0" w:color="ADD6EA"/>
              <w:left w:val="nil"/>
              <w:bottom w:val="single" w:sz="6" w:space="0" w:color="ADD6EA"/>
              <w:right w:val="nil"/>
            </w:tcBorders>
            <w:shd w:val="clear" w:color="auto" w:fill="auto"/>
            <w:vAlign w:val="bottom"/>
          </w:tcPr>
          <w:p w14:paraId="2BEAD6E5" w14:textId="77777777" w:rsidR="00EA5816" w:rsidRPr="00433DCB" w:rsidRDefault="00EA5816" w:rsidP="00EA5816">
            <w:pPr>
              <w:keepNext/>
              <w:keepLines/>
              <w:tabs>
                <w:tab w:val="clear" w:pos="567"/>
              </w:tabs>
              <w:spacing w:before="0" w:line="240" w:lineRule="auto"/>
              <w:jc w:val="right"/>
              <w:textAlignment w:val="baseline"/>
              <w:rPr>
                <w:rFonts w:ascii="Arial" w:eastAsia="Times New Roman" w:hAnsi="Arial" w:cs="Arial"/>
                <w:color w:val="000000"/>
                <w:sz w:val="16"/>
                <w:szCs w:val="16"/>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995" w:type="dxa"/>
            <w:tcBorders>
              <w:top w:val="single" w:sz="6" w:space="0" w:color="ADD6EA"/>
              <w:left w:val="nil"/>
              <w:bottom w:val="single" w:sz="6" w:space="0" w:color="ADD6EA"/>
              <w:right w:val="nil"/>
            </w:tcBorders>
            <w:shd w:val="clear" w:color="auto" w:fill="auto"/>
          </w:tcPr>
          <w:p w14:paraId="6B42D52C" w14:textId="77777777" w:rsidR="00EA5816" w:rsidRPr="00433DCB" w:rsidRDefault="00EA5816" w:rsidP="00EA5816">
            <w:pPr>
              <w:keepNext/>
              <w:keepLines/>
              <w:tabs>
                <w:tab w:val="clear" w:pos="567"/>
              </w:tabs>
              <w:spacing w:before="0" w:line="240" w:lineRule="auto"/>
              <w:textAlignment w:val="baseline"/>
              <w:rPr>
                <w:rFonts w:eastAsia="Times New Roman" w:cs="Segoe UI"/>
                <w:color w:val="000000"/>
                <w:sz w:val="16"/>
                <w:szCs w:val="16"/>
                <w:lang w:eastAsia="en-AU"/>
              </w:rPr>
            </w:pPr>
            <w:r w:rsidRPr="00433DCB">
              <w:rPr>
                <w:rFonts w:eastAsia="Times New Roman" w:cs="Segoe UI"/>
                <w:color w:val="000000"/>
                <w:sz w:val="16"/>
                <w:szCs w:val="16"/>
                <w:lang w:eastAsia="en-AU"/>
              </w:rPr>
              <w:t>Equal per capita </w:t>
            </w:r>
          </w:p>
        </w:tc>
        <w:tc>
          <w:tcPr>
            <w:tcW w:w="3135" w:type="dxa"/>
            <w:tcBorders>
              <w:top w:val="single" w:sz="6" w:space="0" w:color="ADD6EA"/>
              <w:left w:val="nil"/>
              <w:bottom w:val="single" w:sz="6" w:space="0" w:color="ADD6EA"/>
              <w:right w:val="nil"/>
            </w:tcBorders>
            <w:shd w:val="clear" w:color="auto" w:fill="auto"/>
          </w:tcPr>
          <w:p w14:paraId="7DF8EBD9" w14:textId="66F7A975" w:rsidR="00EA5816" w:rsidRPr="00433DCB" w:rsidRDefault="00EA5816" w:rsidP="00EA5816">
            <w:pPr>
              <w:keepNext/>
              <w:keepLines/>
              <w:tabs>
                <w:tab w:val="clear" w:pos="567"/>
              </w:tabs>
              <w:spacing w:before="0" w:line="240" w:lineRule="auto"/>
              <w:textAlignment w:val="baseline"/>
              <w:rPr>
                <w:rFonts w:eastAsia="Times New Roman" w:cs="Segoe UI"/>
                <w:color w:val="000000"/>
                <w:sz w:val="16"/>
                <w:szCs w:val="16"/>
                <w:lang w:eastAsia="en-AU"/>
              </w:rPr>
            </w:pPr>
            <w:r w:rsidRPr="6FC220B8">
              <w:rPr>
                <w:rFonts w:eastAsia="Times New Roman" w:cs="Segoe UI"/>
                <w:color w:val="000000" w:themeColor="text1"/>
                <w:sz w:val="16"/>
                <w:szCs w:val="16"/>
                <w:lang w:eastAsia="en-AU"/>
              </w:rPr>
              <w:t xml:space="preserve">Recognises that the Commission has not found a differential driver of </w:t>
            </w:r>
            <w:r w:rsidR="2CC29A4D" w:rsidRPr="6FC220B8">
              <w:rPr>
                <w:rFonts w:eastAsia="Times New Roman" w:cs="Segoe UI"/>
                <w:color w:val="000000" w:themeColor="text1"/>
                <w:sz w:val="16"/>
                <w:szCs w:val="16"/>
                <w:lang w:eastAsia="en-AU"/>
              </w:rPr>
              <w:t xml:space="preserve">need. </w:t>
            </w:r>
            <w:r w:rsidR="71374A14" w:rsidRPr="6FC220B8">
              <w:rPr>
                <w:rFonts w:eastAsia="Times New Roman" w:cs="Segoe UI"/>
                <w:color w:val="000000" w:themeColor="text1"/>
                <w:sz w:val="16"/>
                <w:szCs w:val="16"/>
                <w:lang w:eastAsia="en-AU"/>
              </w:rPr>
              <w:t>T</w:t>
            </w:r>
            <w:r w:rsidRPr="6FC220B8">
              <w:rPr>
                <w:rFonts w:eastAsia="Times New Roman" w:cs="Segoe UI"/>
                <w:color w:val="000000" w:themeColor="text1"/>
                <w:sz w:val="16"/>
                <w:szCs w:val="16"/>
                <w:lang w:eastAsia="en-AU"/>
              </w:rPr>
              <w:t>his spending</w:t>
            </w:r>
            <w:r w:rsidR="1812382F" w:rsidRPr="6FC220B8">
              <w:rPr>
                <w:rFonts w:eastAsia="Times New Roman" w:cs="Segoe UI"/>
                <w:color w:val="000000" w:themeColor="text1"/>
                <w:sz w:val="16"/>
                <w:szCs w:val="16"/>
                <w:lang w:eastAsia="en-AU"/>
              </w:rPr>
              <w:t xml:space="preserve"> </w:t>
            </w:r>
            <w:r w:rsidRPr="6FC220B8">
              <w:rPr>
                <w:rFonts w:eastAsia="Times New Roman" w:cs="Segoe UI"/>
                <w:color w:val="000000" w:themeColor="text1"/>
                <w:sz w:val="16"/>
                <w:szCs w:val="16"/>
                <w:lang w:eastAsia="en-AU"/>
              </w:rPr>
              <w:t>is assessed as a non-deliberative equal per capita assessment</w:t>
            </w:r>
            <w:r w:rsidR="00C4130C" w:rsidRPr="6FC220B8">
              <w:rPr>
                <w:rFonts w:eastAsia="Times New Roman" w:cs="Segoe UI"/>
                <w:color w:val="000000" w:themeColor="text1"/>
                <w:sz w:val="16"/>
                <w:szCs w:val="16"/>
                <w:lang w:eastAsia="en-AU"/>
              </w:rPr>
              <w:t>.</w:t>
            </w:r>
            <w:r w:rsidRPr="6FC220B8">
              <w:rPr>
                <w:rFonts w:eastAsia="Times New Roman" w:cs="Segoe UI"/>
                <w:color w:val="000000" w:themeColor="text1"/>
                <w:sz w:val="16"/>
                <w:szCs w:val="16"/>
                <w:lang w:eastAsia="en-AU"/>
              </w:rPr>
              <w:t> </w:t>
            </w:r>
          </w:p>
        </w:tc>
      </w:tr>
      <w:tr w:rsidR="00EA5816" w:rsidRPr="00433DCB" w14:paraId="5ED73517" w14:textId="77777777" w:rsidTr="6FC220B8">
        <w:trPr>
          <w:trHeight w:val="315"/>
        </w:trPr>
        <w:tc>
          <w:tcPr>
            <w:tcW w:w="1410" w:type="dxa"/>
            <w:tcBorders>
              <w:top w:val="none" w:sz="6" w:space="0" w:color="ADD6EA"/>
              <w:left w:val="none" w:sz="6" w:space="0" w:color="000000" w:themeColor="text1"/>
              <w:bottom w:val="none" w:sz="6" w:space="0" w:color="ADD6EA"/>
              <w:right w:val="none" w:sz="4" w:space="0" w:color="000000" w:themeColor="text1"/>
            </w:tcBorders>
            <w:shd w:val="clear" w:color="auto" w:fill="auto"/>
          </w:tcPr>
          <w:p w14:paraId="3C25E2F8" w14:textId="77777777" w:rsidR="00EA5816" w:rsidRDefault="00EA5816" w:rsidP="00EA5816">
            <w:pPr>
              <w:keepNext/>
              <w:keepLines/>
              <w:tabs>
                <w:tab w:val="clear" w:pos="567"/>
              </w:tabs>
              <w:spacing w:before="0" w:line="240" w:lineRule="auto"/>
              <w:textAlignment w:val="baseline"/>
              <w:rPr>
                <w:rFonts w:eastAsia="Times New Roman" w:cs="Segoe UI"/>
                <w:color w:val="000000"/>
                <w:sz w:val="16"/>
                <w:szCs w:val="16"/>
                <w:lang w:eastAsia="en-AU"/>
              </w:rPr>
            </w:pPr>
          </w:p>
        </w:tc>
        <w:tc>
          <w:tcPr>
            <w:tcW w:w="2100" w:type="dxa"/>
            <w:tcBorders>
              <w:top w:val="none" w:sz="6" w:space="0" w:color="ADD6EA"/>
              <w:left w:val="none" w:sz="6" w:space="0" w:color="000000" w:themeColor="text1"/>
              <w:bottom w:val="none" w:sz="6" w:space="0" w:color="ADD6EA"/>
              <w:right w:val="none" w:sz="4" w:space="0" w:color="000000" w:themeColor="text1"/>
            </w:tcBorders>
            <w:shd w:val="clear" w:color="auto" w:fill="auto"/>
          </w:tcPr>
          <w:p w14:paraId="14811F36" w14:textId="77777777" w:rsidR="00EA5816" w:rsidRDefault="00EA5816" w:rsidP="00EA5816">
            <w:pPr>
              <w:keepNext/>
              <w:keepLines/>
              <w:tabs>
                <w:tab w:val="clear" w:pos="567"/>
              </w:tabs>
              <w:spacing w:before="0" w:line="240" w:lineRule="auto"/>
              <w:jc w:val="right"/>
              <w:textAlignment w:val="baseline"/>
              <w:rPr>
                <w:rFonts w:eastAsia="Times New Roman" w:cs="Segoe UI"/>
                <w:color w:val="000000"/>
                <w:sz w:val="16"/>
                <w:szCs w:val="16"/>
                <w:lang w:eastAsia="en-AU"/>
              </w:rPr>
            </w:pPr>
          </w:p>
        </w:tc>
        <w:tc>
          <w:tcPr>
            <w:tcW w:w="285" w:type="dxa"/>
            <w:tcBorders>
              <w:top w:val="single" w:sz="6" w:space="0" w:color="ADD6EA"/>
              <w:left w:val="none" w:sz="4" w:space="0" w:color="000000" w:themeColor="text1"/>
              <w:bottom w:val="single" w:sz="6" w:space="0" w:color="ADD6EA"/>
              <w:right w:val="nil"/>
            </w:tcBorders>
            <w:shd w:val="clear" w:color="auto" w:fill="auto"/>
            <w:vAlign w:val="bottom"/>
          </w:tcPr>
          <w:p w14:paraId="3897094C" w14:textId="77777777" w:rsidR="00EA5816" w:rsidRPr="00433DCB" w:rsidRDefault="00EA5816" w:rsidP="00EA5816">
            <w:pPr>
              <w:keepNext/>
              <w:keepLines/>
              <w:tabs>
                <w:tab w:val="clear" w:pos="567"/>
              </w:tabs>
              <w:spacing w:before="0" w:line="240" w:lineRule="auto"/>
              <w:jc w:val="right"/>
              <w:textAlignment w:val="baseline"/>
              <w:rPr>
                <w:rFonts w:ascii="Arial" w:eastAsia="Times New Roman" w:hAnsi="Arial" w:cs="Arial"/>
                <w:color w:val="000000"/>
                <w:sz w:val="16"/>
                <w:szCs w:val="16"/>
                <w:lang w:eastAsia="en-AU"/>
              </w:rPr>
            </w:pPr>
          </w:p>
        </w:tc>
        <w:tc>
          <w:tcPr>
            <w:tcW w:w="1995" w:type="dxa"/>
            <w:tcBorders>
              <w:top w:val="single" w:sz="6" w:space="0" w:color="ADD6EA"/>
              <w:left w:val="nil"/>
              <w:bottom w:val="single" w:sz="6" w:space="0" w:color="ADD6EA"/>
              <w:right w:val="nil"/>
            </w:tcBorders>
            <w:shd w:val="clear" w:color="auto" w:fill="auto"/>
          </w:tcPr>
          <w:p w14:paraId="154C88AC" w14:textId="77777777" w:rsidR="00EA5816" w:rsidRPr="00433DCB" w:rsidRDefault="00EA5816" w:rsidP="00EA5816">
            <w:pPr>
              <w:keepNext/>
              <w:keepLines/>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Wage costs</w:t>
            </w:r>
          </w:p>
        </w:tc>
        <w:tc>
          <w:tcPr>
            <w:tcW w:w="3135" w:type="dxa"/>
            <w:tcBorders>
              <w:top w:val="single" w:sz="6" w:space="0" w:color="ADD6EA"/>
              <w:left w:val="nil"/>
              <w:bottom w:val="single" w:sz="6" w:space="0" w:color="ADD6EA"/>
              <w:right w:val="nil"/>
            </w:tcBorders>
            <w:shd w:val="clear" w:color="auto" w:fill="auto"/>
          </w:tcPr>
          <w:p w14:paraId="3423DCB7" w14:textId="1646668A" w:rsidR="00EA5816" w:rsidRPr="00433DCB" w:rsidRDefault="00EA5816" w:rsidP="00EA5816">
            <w:pPr>
              <w:keepNext/>
              <w:keepLines/>
              <w:tabs>
                <w:tab w:val="clear" w:pos="567"/>
              </w:tabs>
              <w:spacing w:before="0" w:line="240" w:lineRule="auto"/>
              <w:textAlignment w:val="baseline"/>
              <w:rPr>
                <w:rFonts w:eastAsia="Times New Roman" w:cs="Segoe UI"/>
                <w:color w:val="000000"/>
                <w:sz w:val="16"/>
                <w:szCs w:val="16"/>
                <w:lang w:eastAsia="en-AU"/>
              </w:rPr>
            </w:pPr>
            <w:r w:rsidRPr="1CD2C273">
              <w:rPr>
                <w:rFonts w:eastAsia="Times New Roman" w:cs="Segoe UI"/>
                <w:color w:val="000000" w:themeColor="text1"/>
                <w:sz w:val="16"/>
                <w:szCs w:val="16"/>
                <w:lang w:eastAsia="en-AU"/>
              </w:rPr>
              <w:t>Recognises differences in wage costs between states.</w:t>
            </w:r>
          </w:p>
        </w:tc>
      </w:tr>
      <w:tr w:rsidR="00EA5816" w:rsidRPr="00433DCB" w14:paraId="7668A13D" w14:textId="77777777" w:rsidTr="6FC220B8">
        <w:trPr>
          <w:trHeight w:val="315"/>
        </w:trPr>
        <w:tc>
          <w:tcPr>
            <w:tcW w:w="1410" w:type="dxa"/>
            <w:tcBorders>
              <w:top w:val="none" w:sz="6" w:space="0" w:color="ADD6EA"/>
              <w:left w:val="none" w:sz="6" w:space="0" w:color="000000" w:themeColor="text1"/>
              <w:bottom w:val="none" w:sz="6" w:space="0" w:color="ADD6EA"/>
              <w:right w:val="none" w:sz="4" w:space="0" w:color="000000" w:themeColor="text1"/>
            </w:tcBorders>
            <w:shd w:val="clear" w:color="auto" w:fill="auto"/>
          </w:tcPr>
          <w:p w14:paraId="011CA0AE" w14:textId="77777777" w:rsidR="00EA5816" w:rsidRDefault="00EA5816" w:rsidP="00EA5816">
            <w:pPr>
              <w:keepNext/>
              <w:keepLines/>
              <w:tabs>
                <w:tab w:val="clear" w:pos="567"/>
              </w:tabs>
              <w:spacing w:before="0" w:line="240" w:lineRule="auto"/>
              <w:textAlignment w:val="baseline"/>
              <w:rPr>
                <w:rFonts w:eastAsia="Times New Roman" w:cs="Segoe UI"/>
                <w:color w:val="000000"/>
                <w:sz w:val="16"/>
                <w:szCs w:val="16"/>
                <w:lang w:eastAsia="en-AU"/>
              </w:rPr>
            </w:pPr>
          </w:p>
        </w:tc>
        <w:tc>
          <w:tcPr>
            <w:tcW w:w="2100" w:type="dxa"/>
            <w:tcBorders>
              <w:top w:val="none" w:sz="6" w:space="0" w:color="ADD6EA"/>
              <w:left w:val="none" w:sz="6" w:space="0" w:color="000000" w:themeColor="text1"/>
              <w:bottom w:val="none" w:sz="6" w:space="0" w:color="ADD6EA"/>
              <w:right w:val="none" w:sz="4" w:space="0" w:color="000000" w:themeColor="text1"/>
            </w:tcBorders>
            <w:shd w:val="clear" w:color="auto" w:fill="auto"/>
          </w:tcPr>
          <w:p w14:paraId="424CE736" w14:textId="77777777" w:rsidR="00EA5816" w:rsidRDefault="00EA5816" w:rsidP="00EA5816">
            <w:pPr>
              <w:keepNext/>
              <w:keepLines/>
              <w:tabs>
                <w:tab w:val="clear" w:pos="567"/>
              </w:tabs>
              <w:spacing w:before="0" w:line="240" w:lineRule="auto"/>
              <w:jc w:val="right"/>
              <w:textAlignment w:val="baseline"/>
              <w:rPr>
                <w:rFonts w:eastAsia="Times New Roman" w:cs="Segoe UI"/>
                <w:color w:val="000000"/>
                <w:sz w:val="16"/>
                <w:szCs w:val="16"/>
                <w:lang w:eastAsia="en-AU"/>
              </w:rPr>
            </w:pPr>
          </w:p>
        </w:tc>
        <w:tc>
          <w:tcPr>
            <w:tcW w:w="285" w:type="dxa"/>
            <w:tcBorders>
              <w:top w:val="single" w:sz="6" w:space="0" w:color="ADD6EA"/>
              <w:left w:val="none" w:sz="4" w:space="0" w:color="000000" w:themeColor="text1"/>
              <w:bottom w:val="single" w:sz="6" w:space="0" w:color="ADD6EA"/>
              <w:right w:val="nil"/>
            </w:tcBorders>
            <w:shd w:val="clear" w:color="auto" w:fill="auto"/>
            <w:vAlign w:val="bottom"/>
          </w:tcPr>
          <w:p w14:paraId="1B4EDEB5" w14:textId="77777777" w:rsidR="00EA5816" w:rsidRPr="00433DCB" w:rsidRDefault="00EA5816" w:rsidP="00EA5816">
            <w:pPr>
              <w:keepNext/>
              <w:keepLines/>
              <w:tabs>
                <w:tab w:val="clear" w:pos="567"/>
              </w:tabs>
              <w:spacing w:before="0" w:line="240" w:lineRule="auto"/>
              <w:jc w:val="right"/>
              <w:textAlignment w:val="baseline"/>
              <w:rPr>
                <w:rFonts w:ascii="Arial" w:eastAsia="Times New Roman" w:hAnsi="Arial" w:cs="Arial"/>
                <w:color w:val="000000"/>
                <w:sz w:val="16"/>
                <w:szCs w:val="16"/>
                <w:lang w:eastAsia="en-AU"/>
              </w:rPr>
            </w:pPr>
          </w:p>
        </w:tc>
        <w:tc>
          <w:tcPr>
            <w:tcW w:w="1995" w:type="dxa"/>
            <w:tcBorders>
              <w:top w:val="single" w:sz="6" w:space="0" w:color="ADD6EA"/>
              <w:left w:val="nil"/>
              <w:bottom w:val="single" w:sz="6" w:space="0" w:color="ADD6EA"/>
              <w:right w:val="nil"/>
            </w:tcBorders>
            <w:shd w:val="clear" w:color="auto" w:fill="auto"/>
          </w:tcPr>
          <w:p w14:paraId="3BC28DC3" w14:textId="77777777" w:rsidR="00EA5816" w:rsidRPr="00433DCB" w:rsidRDefault="00EA5816" w:rsidP="00EA5816">
            <w:pPr>
              <w:keepNext/>
              <w:keepLines/>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Regional costs</w:t>
            </w:r>
          </w:p>
        </w:tc>
        <w:tc>
          <w:tcPr>
            <w:tcW w:w="3135" w:type="dxa"/>
            <w:tcBorders>
              <w:top w:val="single" w:sz="6" w:space="0" w:color="ADD6EA"/>
              <w:left w:val="nil"/>
              <w:bottom w:val="single" w:sz="6" w:space="0" w:color="ADD6EA"/>
              <w:right w:val="nil"/>
            </w:tcBorders>
            <w:shd w:val="clear" w:color="auto" w:fill="auto"/>
          </w:tcPr>
          <w:p w14:paraId="31C53AAC" w14:textId="1AEFB595" w:rsidR="00EA5816" w:rsidRPr="00433DCB" w:rsidRDefault="00EA5816" w:rsidP="00EA5816">
            <w:pPr>
              <w:keepNext/>
              <w:keepLines/>
              <w:tabs>
                <w:tab w:val="clear" w:pos="567"/>
              </w:tabs>
              <w:spacing w:before="0" w:line="240" w:lineRule="auto"/>
              <w:textAlignment w:val="baseline"/>
              <w:rPr>
                <w:rFonts w:eastAsia="Times New Roman" w:cs="Segoe UI"/>
                <w:color w:val="000000"/>
                <w:sz w:val="16"/>
                <w:szCs w:val="16"/>
                <w:lang w:eastAsia="en-AU"/>
              </w:rPr>
            </w:pPr>
            <w:r w:rsidRPr="6FC220B8">
              <w:rPr>
                <w:rFonts w:eastAsia="Times New Roman" w:cs="Segoe UI"/>
                <w:color w:val="000000" w:themeColor="text1"/>
                <w:sz w:val="16"/>
                <w:szCs w:val="16"/>
                <w:lang w:eastAsia="en-AU"/>
              </w:rPr>
              <w:t>Recognises the higher cost of providing services to regional areas within a state.</w:t>
            </w:r>
          </w:p>
        </w:tc>
      </w:tr>
      <w:tr w:rsidR="00EA5816" w:rsidRPr="00433DCB" w14:paraId="04D56DE0" w14:textId="77777777" w:rsidTr="6FC220B8">
        <w:trPr>
          <w:trHeight w:val="315"/>
        </w:trPr>
        <w:tc>
          <w:tcPr>
            <w:tcW w:w="1410" w:type="dxa"/>
            <w:tcBorders>
              <w:top w:val="none" w:sz="6" w:space="0" w:color="ADD6EA"/>
              <w:left w:val="nil"/>
              <w:bottom w:val="single" w:sz="6" w:space="0" w:color="ADD6EA"/>
              <w:right w:val="nil"/>
            </w:tcBorders>
            <w:shd w:val="clear" w:color="auto" w:fill="auto"/>
          </w:tcPr>
          <w:p w14:paraId="26FE8950" w14:textId="77777777" w:rsidR="00EA5816" w:rsidRDefault="00EA5816" w:rsidP="00EA5816">
            <w:pPr>
              <w:keepNext/>
              <w:keepLines/>
              <w:tabs>
                <w:tab w:val="clear" w:pos="567"/>
              </w:tabs>
              <w:spacing w:before="0" w:line="240" w:lineRule="auto"/>
              <w:textAlignment w:val="baseline"/>
              <w:rPr>
                <w:rFonts w:eastAsia="Times New Roman" w:cs="Segoe UI"/>
                <w:color w:val="000000"/>
                <w:sz w:val="16"/>
                <w:szCs w:val="16"/>
                <w:lang w:eastAsia="en-AU"/>
              </w:rPr>
            </w:pPr>
          </w:p>
        </w:tc>
        <w:tc>
          <w:tcPr>
            <w:tcW w:w="2100" w:type="dxa"/>
            <w:tcBorders>
              <w:top w:val="none" w:sz="6" w:space="0" w:color="ADD6EA"/>
              <w:left w:val="nil"/>
              <w:bottom w:val="single" w:sz="6" w:space="0" w:color="ADD6EA"/>
              <w:right w:val="nil"/>
            </w:tcBorders>
            <w:shd w:val="clear" w:color="auto" w:fill="auto"/>
          </w:tcPr>
          <w:p w14:paraId="0DE68820" w14:textId="77777777" w:rsidR="00EA5816" w:rsidRDefault="00EA5816" w:rsidP="00EA5816">
            <w:pPr>
              <w:keepNext/>
              <w:keepLines/>
              <w:tabs>
                <w:tab w:val="clear" w:pos="567"/>
              </w:tabs>
              <w:spacing w:before="0" w:line="240" w:lineRule="auto"/>
              <w:jc w:val="right"/>
              <w:textAlignment w:val="baseline"/>
              <w:rPr>
                <w:rFonts w:eastAsia="Times New Roman" w:cs="Segoe UI"/>
                <w:color w:val="000000"/>
                <w:sz w:val="16"/>
                <w:szCs w:val="16"/>
                <w:lang w:eastAsia="en-AU"/>
              </w:rPr>
            </w:pPr>
          </w:p>
        </w:tc>
        <w:tc>
          <w:tcPr>
            <w:tcW w:w="285" w:type="dxa"/>
            <w:tcBorders>
              <w:top w:val="single" w:sz="6" w:space="0" w:color="ADD6EA"/>
              <w:left w:val="nil"/>
              <w:bottom w:val="single" w:sz="6" w:space="0" w:color="ADD6EA"/>
              <w:right w:val="nil"/>
            </w:tcBorders>
            <w:shd w:val="clear" w:color="auto" w:fill="auto"/>
            <w:vAlign w:val="bottom"/>
          </w:tcPr>
          <w:p w14:paraId="6000E0BB" w14:textId="77777777" w:rsidR="00EA5816" w:rsidRPr="00433DCB" w:rsidRDefault="00EA5816" w:rsidP="00EA5816">
            <w:pPr>
              <w:keepNext/>
              <w:keepLines/>
              <w:tabs>
                <w:tab w:val="clear" w:pos="567"/>
              </w:tabs>
              <w:spacing w:before="0" w:line="240" w:lineRule="auto"/>
              <w:jc w:val="right"/>
              <w:textAlignment w:val="baseline"/>
              <w:rPr>
                <w:rFonts w:ascii="Arial" w:eastAsia="Times New Roman" w:hAnsi="Arial" w:cs="Arial"/>
                <w:color w:val="000000"/>
                <w:sz w:val="16"/>
                <w:szCs w:val="16"/>
                <w:lang w:eastAsia="en-AU"/>
              </w:rPr>
            </w:pPr>
          </w:p>
        </w:tc>
        <w:tc>
          <w:tcPr>
            <w:tcW w:w="1995" w:type="dxa"/>
            <w:tcBorders>
              <w:top w:val="single" w:sz="6" w:space="0" w:color="ADD6EA"/>
              <w:left w:val="nil"/>
              <w:bottom w:val="single" w:sz="6" w:space="0" w:color="ADD6EA"/>
              <w:right w:val="nil"/>
            </w:tcBorders>
            <w:shd w:val="clear" w:color="auto" w:fill="auto"/>
          </w:tcPr>
          <w:p w14:paraId="1CBA4D1D" w14:textId="77777777" w:rsidR="00EA5816" w:rsidRPr="00433DCB" w:rsidRDefault="00EA5816" w:rsidP="00EA5816">
            <w:pPr>
              <w:keepNext/>
              <w:keepLines/>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Cross-border costs</w:t>
            </w:r>
          </w:p>
        </w:tc>
        <w:tc>
          <w:tcPr>
            <w:tcW w:w="3135" w:type="dxa"/>
            <w:tcBorders>
              <w:top w:val="single" w:sz="6" w:space="0" w:color="ADD6EA"/>
              <w:left w:val="nil"/>
              <w:bottom w:val="single" w:sz="6" w:space="0" w:color="ADD6EA"/>
              <w:right w:val="nil"/>
            </w:tcBorders>
            <w:shd w:val="clear" w:color="auto" w:fill="auto"/>
          </w:tcPr>
          <w:p w14:paraId="322D0995" w14:textId="77777777" w:rsidR="00EA5816" w:rsidRPr="00433DCB" w:rsidRDefault="00EA5816" w:rsidP="00EA5816">
            <w:pPr>
              <w:keepNext/>
              <w:keepLines/>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Recognises the cost to the ACT of providing homelessness services to New South Wales residents.</w:t>
            </w:r>
          </w:p>
        </w:tc>
      </w:tr>
    </w:tbl>
    <w:bookmarkEnd w:id="32"/>
    <w:p w14:paraId="0AE4EE90" w14:textId="77777777" w:rsidR="00E4475F" w:rsidRPr="003F1F10" w:rsidRDefault="00E4475F" w:rsidP="00CC4DD8">
      <w:pPr>
        <w:pStyle w:val="CGC2025TableNote"/>
      </w:pPr>
      <w:r>
        <w:t>Source:</w:t>
      </w:r>
      <w:r>
        <w:tab/>
        <w:t xml:space="preserve">Commission calculation, 2023 Update. </w:t>
      </w:r>
    </w:p>
    <w:p w14:paraId="620AE3AA" w14:textId="30740F54" w:rsidR="00B10737" w:rsidRDefault="00B10737" w:rsidP="00203F82">
      <w:pPr>
        <w:pStyle w:val="Heading3"/>
      </w:pPr>
      <w:bookmarkStart w:id="33" w:name="_Toc148970787"/>
      <w:bookmarkStart w:id="34" w:name="_Toc149220465"/>
      <w:r>
        <w:t xml:space="preserve">GST </w:t>
      </w:r>
      <w:r w:rsidR="00EA03F6">
        <w:t>d</w:t>
      </w:r>
      <w:r>
        <w:t xml:space="preserve">istribution in the 2023 </w:t>
      </w:r>
      <w:r w:rsidR="00652B54">
        <w:t>Update</w:t>
      </w:r>
      <w:bookmarkEnd w:id="33"/>
      <w:bookmarkEnd w:id="34"/>
    </w:p>
    <w:p w14:paraId="7B74CBA5" w14:textId="1EA0AD31" w:rsidR="009C3CC3" w:rsidRDefault="00B20995" w:rsidP="009C3CC3">
      <w:pPr>
        <w:pStyle w:val="CGC2025ParaNumbers"/>
      </w:pPr>
      <w:r>
        <w:fldChar w:fldCharType="begin"/>
      </w:r>
      <w:r>
        <w:instrText xml:space="preserve"> REF _Ref142660520 \h </w:instrText>
      </w:r>
      <w:r>
        <w:fldChar w:fldCharType="separate"/>
      </w:r>
      <w:r w:rsidR="00837FC6" w:rsidRPr="6FC220B8">
        <w:t xml:space="preserve">Table </w:t>
      </w:r>
      <w:r w:rsidR="00837FC6">
        <w:rPr>
          <w:noProof/>
        </w:rPr>
        <w:t>4</w:t>
      </w:r>
      <w:r>
        <w:fldChar w:fldCharType="end"/>
      </w:r>
      <w:r w:rsidR="009C3CC3">
        <w:t xml:space="preserve"> shows the GST impact (distribution from </w:t>
      </w:r>
      <w:r w:rsidR="31FFD701">
        <w:t>equal per capita</w:t>
      </w:r>
      <w:r w:rsidR="009C3CC3">
        <w:t xml:space="preserve">) of the welfare assessment. </w:t>
      </w:r>
      <w:r w:rsidR="00B902F1">
        <w:t>In total t</w:t>
      </w:r>
      <w:r w:rsidR="009C3CC3">
        <w:t>he category distributed $938 million ($35 per capita) away from an equal</w:t>
      </w:r>
      <w:r w:rsidR="006B7455">
        <w:t> </w:t>
      </w:r>
      <w:r w:rsidR="009C3CC3">
        <w:t>per</w:t>
      </w:r>
      <w:r w:rsidR="006B7455">
        <w:t> </w:t>
      </w:r>
      <w:r w:rsidR="009C3CC3">
        <w:t>capita distribution in the 2023 Update.</w:t>
      </w:r>
      <w:r w:rsidR="00CD7534">
        <w:t xml:space="preserve"> </w:t>
      </w:r>
      <w:r w:rsidR="008F68EA">
        <w:t>Child protection and family services was the largest category</w:t>
      </w:r>
      <w:r w:rsidR="00DE0277">
        <w:t>,</w:t>
      </w:r>
      <w:r w:rsidR="008F68EA">
        <w:t xml:space="preserve"> distributing $800 million.</w:t>
      </w:r>
    </w:p>
    <w:p w14:paraId="4AB56C41" w14:textId="59AC3038" w:rsidR="009C3CC3" w:rsidRDefault="009C3CC3" w:rsidP="009C3CC3">
      <w:pPr>
        <w:pStyle w:val="CGC2025ParaNumbers"/>
        <w:rPr>
          <w:rFonts w:eastAsia="Calibri" w:cs="Arial"/>
        </w:rPr>
      </w:pPr>
      <w:r w:rsidRPr="009C3CC3">
        <w:t xml:space="preserve">The </w:t>
      </w:r>
      <w:r w:rsidR="00886837">
        <w:t>w</w:t>
      </w:r>
      <w:r w:rsidR="00886837" w:rsidRPr="009C3CC3">
        <w:t>elfare</w:t>
      </w:r>
      <w:r w:rsidRPr="009C3CC3">
        <w:t xml:space="preserve"> assessment distribut</w:t>
      </w:r>
      <w:r w:rsidR="00B472E9">
        <w:t>ed</w:t>
      </w:r>
      <w:r w:rsidRPr="009C3CC3">
        <w:t xml:space="preserve"> </w:t>
      </w:r>
      <w:r w:rsidR="00B472E9" w:rsidRPr="1CD2C273">
        <w:rPr>
          <w:rFonts w:eastAsia="Calibri" w:cs="Arial"/>
        </w:rPr>
        <w:t>$285 million or $1,096 per capita</w:t>
      </w:r>
      <w:r w:rsidR="00B472E9" w:rsidRPr="009C3CC3">
        <w:t xml:space="preserve"> </w:t>
      </w:r>
      <w:r w:rsidR="00B472E9">
        <w:t>to</w:t>
      </w:r>
      <w:r w:rsidRPr="009C3CC3">
        <w:t xml:space="preserve"> the N</w:t>
      </w:r>
      <w:r w:rsidR="007B416E">
        <w:t>orthern</w:t>
      </w:r>
      <w:r w:rsidR="0065791B">
        <w:t> </w:t>
      </w:r>
      <w:r w:rsidRPr="009C3CC3">
        <w:t>T</w:t>
      </w:r>
      <w:r w:rsidR="007B416E">
        <w:t>erritory</w:t>
      </w:r>
      <w:r w:rsidR="00665A67">
        <w:t xml:space="preserve"> and</w:t>
      </w:r>
      <w:r w:rsidR="00B472E9">
        <w:t xml:space="preserve"> $</w:t>
      </w:r>
      <w:r w:rsidR="00AF686C">
        <w:t>81</w:t>
      </w:r>
      <w:r w:rsidR="00B472E9">
        <w:t> million or $</w:t>
      </w:r>
      <w:r w:rsidR="007C13FD">
        <w:t>171</w:t>
      </w:r>
      <w:r w:rsidR="00B472E9">
        <w:t xml:space="preserve"> per capita away from </w:t>
      </w:r>
      <w:r w:rsidR="007C13FD">
        <w:t>the ACT</w:t>
      </w:r>
      <w:r w:rsidR="00665A67">
        <w:rPr>
          <w:rFonts w:eastAsia="Calibri" w:cs="Arial"/>
        </w:rPr>
        <w:t>.</w:t>
      </w:r>
    </w:p>
    <w:p w14:paraId="480842F9" w14:textId="1125684F" w:rsidR="00A87842" w:rsidRPr="00A87842" w:rsidRDefault="00A87842" w:rsidP="00A87842">
      <w:pPr>
        <w:pStyle w:val="Caption"/>
        <w:rPr>
          <w:rFonts w:ascii="Work Sans" w:hAnsi="Work Sans"/>
        </w:rPr>
      </w:pPr>
      <w:bookmarkStart w:id="35" w:name="_Ref142660520"/>
      <w:r w:rsidRPr="6FC220B8">
        <w:rPr>
          <w:rFonts w:ascii="Work Sans" w:hAnsi="Work Sans"/>
        </w:rPr>
        <w:lastRenderedPageBreak/>
        <w:t xml:space="preserve">Table </w:t>
      </w:r>
      <w:r w:rsidRPr="6FC220B8">
        <w:rPr>
          <w:rFonts w:ascii="Work Sans" w:hAnsi="Work Sans"/>
        </w:rPr>
        <w:fldChar w:fldCharType="begin"/>
      </w:r>
      <w:r w:rsidRPr="6FC220B8">
        <w:rPr>
          <w:rFonts w:ascii="Work Sans" w:hAnsi="Work Sans"/>
        </w:rPr>
        <w:instrText xml:space="preserve"> SEQ Table \* ARABIC </w:instrText>
      </w:r>
      <w:r w:rsidRPr="6FC220B8">
        <w:rPr>
          <w:rFonts w:ascii="Work Sans" w:hAnsi="Work Sans"/>
        </w:rPr>
        <w:fldChar w:fldCharType="separate"/>
      </w:r>
      <w:r w:rsidR="00837FC6">
        <w:rPr>
          <w:rFonts w:ascii="Work Sans" w:hAnsi="Work Sans"/>
          <w:noProof/>
        </w:rPr>
        <w:t>4</w:t>
      </w:r>
      <w:r w:rsidRPr="6FC220B8">
        <w:rPr>
          <w:rFonts w:ascii="Work Sans" w:hAnsi="Work Sans"/>
        </w:rPr>
        <w:fldChar w:fldCharType="end"/>
      </w:r>
      <w:bookmarkEnd w:id="35"/>
      <w:r>
        <w:tab/>
      </w:r>
      <w:r w:rsidRPr="6FC220B8">
        <w:rPr>
          <w:rFonts w:ascii="Work Sans" w:hAnsi="Work Sans"/>
          <w:noProof/>
        </w:rPr>
        <w:t>GST impact of the welfare assessment</w:t>
      </w:r>
      <w:r w:rsidR="00E548F5">
        <w:rPr>
          <w:rFonts w:ascii="Work Sans" w:hAnsi="Work Sans"/>
          <w:noProof/>
        </w:rPr>
        <w:t>,</w:t>
      </w:r>
      <w:r w:rsidRPr="6FC220B8">
        <w:rPr>
          <w:rFonts w:ascii="Work Sans" w:hAnsi="Work Sans"/>
          <w:noProof/>
        </w:rPr>
        <w:t xml:space="preserve"> 2022–23</w:t>
      </w:r>
    </w:p>
    <w:tbl>
      <w:tblPr>
        <w:tblW w:w="8959" w:type="dxa"/>
        <w:tblLayout w:type="fixed"/>
        <w:tblLook w:val="04A0" w:firstRow="1" w:lastRow="0" w:firstColumn="1" w:lastColumn="0" w:noHBand="0" w:noVBand="1"/>
      </w:tblPr>
      <w:tblGrid>
        <w:gridCol w:w="2127"/>
        <w:gridCol w:w="759"/>
        <w:gridCol w:w="759"/>
        <w:gridCol w:w="759"/>
        <w:gridCol w:w="759"/>
        <w:gridCol w:w="759"/>
        <w:gridCol w:w="759"/>
        <w:gridCol w:w="759"/>
        <w:gridCol w:w="759"/>
        <w:gridCol w:w="760"/>
      </w:tblGrid>
      <w:tr w:rsidR="009C3CC3" w:rsidRPr="00FF5BF7" w14:paraId="7F5075B1" w14:textId="77777777" w:rsidTr="56F1BA88">
        <w:trPr>
          <w:trHeight w:val="375"/>
        </w:trPr>
        <w:tc>
          <w:tcPr>
            <w:tcW w:w="2127" w:type="dxa"/>
            <w:tcBorders>
              <w:top w:val="nil"/>
              <w:left w:val="nil"/>
              <w:bottom w:val="nil"/>
              <w:right w:val="nil"/>
            </w:tcBorders>
            <w:shd w:val="clear" w:color="auto" w:fill="006991"/>
            <w:vAlign w:val="bottom"/>
            <w:hideMark/>
          </w:tcPr>
          <w:p w14:paraId="7D0FB699" w14:textId="77777777" w:rsidR="009C3CC3" w:rsidRPr="00FF5BF7" w:rsidRDefault="009C3CC3">
            <w:pPr>
              <w:keepNext/>
              <w:keepLines/>
              <w:widowControl w:val="0"/>
              <w:tabs>
                <w:tab w:val="clear" w:pos="567"/>
              </w:tabs>
              <w:spacing w:before="0" w:line="240" w:lineRule="auto"/>
              <w:rPr>
                <w:rFonts w:ascii="Work Sans SemiBold" w:eastAsia="Times New Roman" w:hAnsi="Work Sans SemiBold" w:cs="Times New Roman"/>
                <w:color w:val="FFFFFF"/>
                <w:sz w:val="16"/>
                <w:szCs w:val="16"/>
                <w:lang w:eastAsia="en-AU"/>
              </w:rPr>
            </w:pPr>
            <w:bookmarkStart w:id="36" w:name="RANGE!A1:J11"/>
            <w:r w:rsidRPr="00FF5BF7">
              <w:rPr>
                <w:rFonts w:ascii="Work Sans SemiBold" w:eastAsia="Times New Roman" w:hAnsi="Work Sans SemiBold" w:cs="Times New Roman"/>
                <w:color w:val="FFFFFF"/>
                <w:sz w:val="16"/>
                <w:szCs w:val="16"/>
                <w:lang w:eastAsia="en-AU"/>
              </w:rPr>
              <w:t> </w:t>
            </w:r>
            <w:bookmarkEnd w:id="36"/>
          </w:p>
        </w:tc>
        <w:tc>
          <w:tcPr>
            <w:tcW w:w="759" w:type="dxa"/>
            <w:tcBorders>
              <w:top w:val="nil"/>
              <w:left w:val="nil"/>
              <w:bottom w:val="nil"/>
              <w:right w:val="nil"/>
            </w:tcBorders>
            <w:shd w:val="clear" w:color="auto" w:fill="006991"/>
            <w:vAlign w:val="center"/>
            <w:hideMark/>
          </w:tcPr>
          <w:p w14:paraId="5EDD0856"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FFFFFF"/>
                <w:sz w:val="16"/>
                <w:szCs w:val="16"/>
                <w:lang w:eastAsia="en-AU"/>
              </w:rPr>
            </w:pPr>
            <w:r w:rsidRPr="00433DCB">
              <w:rPr>
                <w:rFonts w:ascii="Open Sans Semibold" w:eastAsia="Times New Roman" w:hAnsi="Open Sans Semibold" w:cs="Times New Roman"/>
                <w:color w:val="FFFFFF"/>
                <w:sz w:val="16"/>
                <w:szCs w:val="16"/>
                <w:lang w:eastAsia="en-AU"/>
              </w:rPr>
              <w:t>NSW</w:t>
            </w:r>
          </w:p>
        </w:tc>
        <w:tc>
          <w:tcPr>
            <w:tcW w:w="759" w:type="dxa"/>
            <w:tcBorders>
              <w:top w:val="nil"/>
              <w:left w:val="nil"/>
              <w:bottom w:val="nil"/>
              <w:right w:val="nil"/>
            </w:tcBorders>
            <w:shd w:val="clear" w:color="auto" w:fill="006991"/>
            <w:vAlign w:val="center"/>
            <w:hideMark/>
          </w:tcPr>
          <w:p w14:paraId="6095B5B7"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FFFFFF"/>
                <w:sz w:val="16"/>
                <w:szCs w:val="16"/>
                <w:lang w:eastAsia="en-AU"/>
              </w:rPr>
            </w:pPr>
            <w:r w:rsidRPr="00433DCB">
              <w:rPr>
                <w:rFonts w:ascii="Open Sans Semibold" w:eastAsia="Times New Roman" w:hAnsi="Open Sans Semibold" w:cs="Times New Roman"/>
                <w:color w:val="FFFFFF"/>
                <w:sz w:val="16"/>
                <w:szCs w:val="16"/>
                <w:lang w:eastAsia="en-AU"/>
              </w:rPr>
              <w:t>Vic</w:t>
            </w:r>
          </w:p>
        </w:tc>
        <w:tc>
          <w:tcPr>
            <w:tcW w:w="759" w:type="dxa"/>
            <w:tcBorders>
              <w:top w:val="nil"/>
              <w:left w:val="nil"/>
              <w:bottom w:val="nil"/>
              <w:right w:val="nil"/>
            </w:tcBorders>
            <w:shd w:val="clear" w:color="auto" w:fill="006991"/>
            <w:vAlign w:val="center"/>
            <w:hideMark/>
          </w:tcPr>
          <w:p w14:paraId="6A690B97"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FFFFFF"/>
                <w:sz w:val="16"/>
                <w:szCs w:val="16"/>
                <w:lang w:eastAsia="en-AU"/>
              </w:rPr>
            </w:pPr>
            <w:r w:rsidRPr="00433DCB">
              <w:rPr>
                <w:rFonts w:ascii="Open Sans Semibold" w:eastAsia="Times New Roman" w:hAnsi="Open Sans Semibold" w:cs="Times New Roman"/>
                <w:color w:val="FFFFFF"/>
                <w:sz w:val="16"/>
                <w:szCs w:val="16"/>
                <w:lang w:eastAsia="en-AU"/>
              </w:rPr>
              <w:t>Qld</w:t>
            </w:r>
          </w:p>
        </w:tc>
        <w:tc>
          <w:tcPr>
            <w:tcW w:w="759" w:type="dxa"/>
            <w:tcBorders>
              <w:top w:val="nil"/>
              <w:left w:val="nil"/>
              <w:bottom w:val="nil"/>
              <w:right w:val="nil"/>
            </w:tcBorders>
            <w:shd w:val="clear" w:color="auto" w:fill="006991"/>
            <w:vAlign w:val="center"/>
            <w:hideMark/>
          </w:tcPr>
          <w:p w14:paraId="5AEE7F17"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FFFFFF"/>
                <w:sz w:val="16"/>
                <w:szCs w:val="16"/>
                <w:lang w:eastAsia="en-AU"/>
              </w:rPr>
            </w:pPr>
            <w:r w:rsidRPr="00433DCB">
              <w:rPr>
                <w:rFonts w:ascii="Open Sans Semibold" w:eastAsia="Times New Roman" w:hAnsi="Open Sans Semibold" w:cs="Times New Roman"/>
                <w:color w:val="FFFFFF"/>
                <w:sz w:val="16"/>
                <w:szCs w:val="16"/>
                <w:lang w:eastAsia="en-AU"/>
              </w:rPr>
              <w:t>WA</w:t>
            </w:r>
          </w:p>
        </w:tc>
        <w:tc>
          <w:tcPr>
            <w:tcW w:w="759" w:type="dxa"/>
            <w:tcBorders>
              <w:top w:val="nil"/>
              <w:left w:val="nil"/>
              <w:bottom w:val="nil"/>
              <w:right w:val="nil"/>
            </w:tcBorders>
            <w:shd w:val="clear" w:color="auto" w:fill="006991"/>
            <w:vAlign w:val="center"/>
            <w:hideMark/>
          </w:tcPr>
          <w:p w14:paraId="0A8E6A07"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FFFFFF"/>
                <w:sz w:val="16"/>
                <w:szCs w:val="16"/>
                <w:lang w:eastAsia="en-AU"/>
              </w:rPr>
            </w:pPr>
            <w:r w:rsidRPr="00433DCB">
              <w:rPr>
                <w:rFonts w:ascii="Open Sans Semibold" w:eastAsia="Times New Roman" w:hAnsi="Open Sans Semibold" w:cs="Times New Roman"/>
                <w:color w:val="FFFFFF"/>
                <w:sz w:val="16"/>
                <w:szCs w:val="16"/>
                <w:lang w:eastAsia="en-AU"/>
              </w:rPr>
              <w:t>SA</w:t>
            </w:r>
          </w:p>
        </w:tc>
        <w:tc>
          <w:tcPr>
            <w:tcW w:w="759" w:type="dxa"/>
            <w:tcBorders>
              <w:top w:val="nil"/>
              <w:left w:val="nil"/>
              <w:bottom w:val="nil"/>
              <w:right w:val="nil"/>
            </w:tcBorders>
            <w:shd w:val="clear" w:color="auto" w:fill="006991"/>
            <w:vAlign w:val="center"/>
            <w:hideMark/>
          </w:tcPr>
          <w:p w14:paraId="14864BC3"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FFFFFF"/>
                <w:sz w:val="16"/>
                <w:szCs w:val="16"/>
                <w:lang w:eastAsia="en-AU"/>
              </w:rPr>
            </w:pPr>
            <w:r w:rsidRPr="00433DCB">
              <w:rPr>
                <w:rFonts w:ascii="Open Sans Semibold" w:eastAsia="Times New Roman" w:hAnsi="Open Sans Semibold" w:cs="Times New Roman"/>
                <w:color w:val="FFFFFF"/>
                <w:sz w:val="16"/>
                <w:szCs w:val="16"/>
                <w:lang w:eastAsia="en-AU"/>
              </w:rPr>
              <w:t>Tas</w:t>
            </w:r>
          </w:p>
        </w:tc>
        <w:tc>
          <w:tcPr>
            <w:tcW w:w="759" w:type="dxa"/>
            <w:tcBorders>
              <w:top w:val="nil"/>
              <w:left w:val="nil"/>
              <w:bottom w:val="nil"/>
              <w:right w:val="nil"/>
            </w:tcBorders>
            <w:shd w:val="clear" w:color="auto" w:fill="006991"/>
            <w:vAlign w:val="center"/>
            <w:hideMark/>
          </w:tcPr>
          <w:p w14:paraId="7F153AAC"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FFFFFF"/>
                <w:sz w:val="16"/>
                <w:szCs w:val="16"/>
                <w:lang w:eastAsia="en-AU"/>
              </w:rPr>
            </w:pPr>
            <w:r w:rsidRPr="00433DCB">
              <w:rPr>
                <w:rFonts w:ascii="Open Sans Semibold" w:eastAsia="Times New Roman" w:hAnsi="Open Sans Semibold" w:cs="Times New Roman"/>
                <w:color w:val="FFFFFF"/>
                <w:sz w:val="16"/>
                <w:szCs w:val="16"/>
                <w:lang w:eastAsia="en-AU"/>
              </w:rPr>
              <w:t>ACT</w:t>
            </w:r>
          </w:p>
        </w:tc>
        <w:tc>
          <w:tcPr>
            <w:tcW w:w="759" w:type="dxa"/>
            <w:tcBorders>
              <w:top w:val="nil"/>
              <w:left w:val="nil"/>
              <w:bottom w:val="nil"/>
              <w:right w:val="nil"/>
            </w:tcBorders>
            <w:shd w:val="clear" w:color="auto" w:fill="006991"/>
            <w:vAlign w:val="center"/>
            <w:hideMark/>
          </w:tcPr>
          <w:p w14:paraId="6C78D995"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FFFFFF"/>
                <w:sz w:val="16"/>
                <w:szCs w:val="16"/>
                <w:lang w:eastAsia="en-AU"/>
              </w:rPr>
            </w:pPr>
            <w:r w:rsidRPr="00433DCB">
              <w:rPr>
                <w:rFonts w:ascii="Open Sans Semibold" w:eastAsia="Times New Roman" w:hAnsi="Open Sans Semibold" w:cs="Times New Roman"/>
                <w:color w:val="FFFFFF"/>
                <w:sz w:val="16"/>
                <w:szCs w:val="16"/>
                <w:lang w:eastAsia="en-AU"/>
              </w:rPr>
              <w:t>NT</w:t>
            </w:r>
          </w:p>
        </w:tc>
        <w:tc>
          <w:tcPr>
            <w:tcW w:w="760" w:type="dxa"/>
            <w:tcBorders>
              <w:top w:val="nil"/>
              <w:left w:val="nil"/>
              <w:bottom w:val="nil"/>
              <w:right w:val="nil"/>
            </w:tcBorders>
            <w:shd w:val="clear" w:color="auto" w:fill="006991"/>
            <w:vAlign w:val="center"/>
            <w:hideMark/>
          </w:tcPr>
          <w:p w14:paraId="73402821"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FFFFFF"/>
                <w:sz w:val="16"/>
                <w:szCs w:val="16"/>
                <w:lang w:eastAsia="en-AU"/>
              </w:rPr>
            </w:pPr>
            <w:proofErr w:type="spellStart"/>
            <w:r w:rsidRPr="00433DCB">
              <w:rPr>
                <w:rFonts w:ascii="Open Sans Semibold" w:eastAsia="Times New Roman" w:hAnsi="Open Sans Semibold" w:cs="Times New Roman"/>
                <w:color w:val="FFFFFF"/>
                <w:sz w:val="16"/>
                <w:szCs w:val="16"/>
                <w:lang w:eastAsia="en-AU"/>
              </w:rPr>
              <w:t>Redist</w:t>
            </w:r>
            <w:proofErr w:type="spellEnd"/>
          </w:p>
        </w:tc>
      </w:tr>
      <w:tr w:rsidR="009C3CC3" w:rsidRPr="00433DCB" w14:paraId="70E33F8A" w14:textId="77777777" w:rsidTr="56F1BA88">
        <w:trPr>
          <w:trHeight w:val="255"/>
        </w:trPr>
        <w:tc>
          <w:tcPr>
            <w:tcW w:w="2127" w:type="dxa"/>
            <w:tcBorders>
              <w:top w:val="single" w:sz="4" w:space="0" w:color="ADD6EA"/>
              <w:left w:val="nil"/>
              <w:bottom w:val="nil"/>
              <w:right w:val="nil"/>
            </w:tcBorders>
            <w:shd w:val="clear" w:color="auto" w:fill="B6D5E4"/>
            <w:vAlign w:val="center"/>
            <w:hideMark/>
          </w:tcPr>
          <w:p w14:paraId="4CC0034F" w14:textId="77777777" w:rsidR="009C3CC3" w:rsidRPr="00433DCB" w:rsidRDefault="009C3CC3">
            <w:pPr>
              <w:keepNext/>
              <w:keepLines/>
              <w:widowControl w:val="0"/>
              <w:tabs>
                <w:tab w:val="clear" w:pos="567"/>
              </w:tabs>
              <w:spacing w:before="0" w:line="240" w:lineRule="auto"/>
              <w:rPr>
                <w:rFonts w:ascii="Open Sans Semibold" w:eastAsia="Times New Roman" w:hAnsi="Open Sans Semibold" w:cs="Times New Roman"/>
                <w:color w:val="000000"/>
                <w:sz w:val="16"/>
                <w:szCs w:val="16"/>
                <w:lang w:eastAsia="en-AU"/>
              </w:rPr>
            </w:pPr>
            <w:r w:rsidRPr="00433DCB">
              <w:rPr>
                <w:rFonts w:ascii="Open Sans Semibold" w:eastAsia="Times New Roman" w:hAnsi="Open Sans Semibold" w:cs="Times New Roman"/>
                <w:color w:val="000000"/>
                <w:sz w:val="16"/>
                <w:szCs w:val="16"/>
                <w:lang w:eastAsia="en-AU"/>
              </w:rPr>
              <w:t> </w:t>
            </w:r>
          </w:p>
        </w:tc>
        <w:tc>
          <w:tcPr>
            <w:tcW w:w="759" w:type="dxa"/>
            <w:tcBorders>
              <w:top w:val="single" w:sz="4" w:space="0" w:color="ADD6EA"/>
              <w:left w:val="nil"/>
              <w:bottom w:val="nil"/>
              <w:right w:val="nil"/>
            </w:tcBorders>
            <w:shd w:val="clear" w:color="auto" w:fill="B6D5E4"/>
            <w:noWrap/>
            <w:vAlign w:val="center"/>
            <w:hideMark/>
          </w:tcPr>
          <w:p w14:paraId="7D4BB8D9"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000000"/>
                <w:sz w:val="16"/>
                <w:szCs w:val="16"/>
                <w:lang w:eastAsia="en-AU"/>
              </w:rPr>
            </w:pPr>
            <w:r w:rsidRPr="00433DCB">
              <w:rPr>
                <w:rFonts w:ascii="Open Sans Semibold" w:eastAsia="Times New Roman" w:hAnsi="Open Sans Semibold" w:cs="Times New Roman"/>
                <w:color w:val="000000"/>
                <w:sz w:val="16"/>
                <w:szCs w:val="16"/>
                <w:lang w:eastAsia="en-AU"/>
              </w:rPr>
              <w:t>$m</w:t>
            </w:r>
          </w:p>
        </w:tc>
        <w:tc>
          <w:tcPr>
            <w:tcW w:w="759" w:type="dxa"/>
            <w:tcBorders>
              <w:top w:val="single" w:sz="4" w:space="0" w:color="ADD6EA"/>
              <w:left w:val="nil"/>
              <w:bottom w:val="nil"/>
              <w:right w:val="nil"/>
            </w:tcBorders>
            <w:shd w:val="clear" w:color="auto" w:fill="B6D5E4"/>
            <w:noWrap/>
            <w:vAlign w:val="center"/>
            <w:hideMark/>
          </w:tcPr>
          <w:p w14:paraId="5CFF6427"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000000"/>
                <w:sz w:val="16"/>
                <w:szCs w:val="16"/>
                <w:lang w:eastAsia="en-AU"/>
              </w:rPr>
            </w:pPr>
            <w:r w:rsidRPr="00433DCB">
              <w:rPr>
                <w:rFonts w:ascii="Open Sans Semibold" w:eastAsia="Times New Roman" w:hAnsi="Open Sans Semibold" w:cs="Times New Roman"/>
                <w:color w:val="000000"/>
                <w:sz w:val="16"/>
                <w:szCs w:val="16"/>
                <w:lang w:eastAsia="en-AU"/>
              </w:rPr>
              <w:t>$m</w:t>
            </w:r>
          </w:p>
        </w:tc>
        <w:tc>
          <w:tcPr>
            <w:tcW w:w="759" w:type="dxa"/>
            <w:tcBorders>
              <w:top w:val="single" w:sz="4" w:space="0" w:color="ADD6EA"/>
              <w:left w:val="nil"/>
              <w:bottom w:val="nil"/>
              <w:right w:val="nil"/>
            </w:tcBorders>
            <w:shd w:val="clear" w:color="auto" w:fill="B6D5E4"/>
            <w:noWrap/>
            <w:vAlign w:val="center"/>
            <w:hideMark/>
          </w:tcPr>
          <w:p w14:paraId="4CB207CE"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000000"/>
                <w:sz w:val="16"/>
                <w:szCs w:val="16"/>
                <w:lang w:eastAsia="en-AU"/>
              </w:rPr>
            </w:pPr>
            <w:r w:rsidRPr="00433DCB">
              <w:rPr>
                <w:rFonts w:ascii="Open Sans Semibold" w:eastAsia="Times New Roman" w:hAnsi="Open Sans Semibold" w:cs="Times New Roman"/>
                <w:color w:val="000000"/>
                <w:sz w:val="16"/>
                <w:szCs w:val="16"/>
                <w:lang w:eastAsia="en-AU"/>
              </w:rPr>
              <w:t>$m</w:t>
            </w:r>
          </w:p>
        </w:tc>
        <w:tc>
          <w:tcPr>
            <w:tcW w:w="759" w:type="dxa"/>
            <w:tcBorders>
              <w:top w:val="single" w:sz="4" w:space="0" w:color="ADD6EA"/>
              <w:left w:val="nil"/>
              <w:bottom w:val="nil"/>
              <w:right w:val="nil"/>
            </w:tcBorders>
            <w:shd w:val="clear" w:color="auto" w:fill="B6D5E4"/>
            <w:noWrap/>
            <w:vAlign w:val="center"/>
            <w:hideMark/>
          </w:tcPr>
          <w:p w14:paraId="64E2494B"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000000"/>
                <w:sz w:val="16"/>
                <w:szCs w:val="16"/>
                <w:lang w:eastAsia="en-AU"/>
              </w:rPr>
            </w:pPr>
            <w:r w:rsidRPr="00433DCB">
              <w:rPr>
                <w:rFonts w:ascii="Open Sans Semibold" w:eastAsia="Times New Roman" w:hAnsi="Open Sans Semibold" w:cs="Times New Roman"/>
                <w:color w:val="000000"/>
                <w:sz w:val="16"/>
                <w:szCs w:val="16"/>
                <w:lang w:eastAsia="en-AU"/>
              </w:rPr>
              <w:t>$m</w:t>
            </w:r>
          </w:p>
        </w:tc>
        <w:tc>
          <w:tcPr>
            <w:tcW w:w="759" w:type="dxa"/>
            <w:tcBorders>
              <w:top w:val="single" w:sz="4" w:space="0" w:color="ADD6EA"/>
              <w:left w:val="nil"/>
              <w:bottom w:val="nil"/>
              <w:right w:val="nil"/>
            </w:tcBorders>
            <w:shd w:val="clear" w:color="auto" w:fill="B6D5E4"/>
            <w:noWrap/>
            <w:vAlign w:val="center"/>
            <w:hideMark/>
          </w:tcPr>
          <w:p w14:paraId="5822ABD2"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000000"/>
                <w:sz w:val="16"/>
                <w:szCs w:val="16"/>
                <w:lang w:eastAsia="en-AU"/>
              </w:rPr>
            </w:pPr>
            <w:r w:rsidRPr="00433DCB">
              <w:rPr>
                <w:rFonts w:ascii="Open Sans Semibold" w:eastAsia="Times New Roman" w:hAnsi="Open Sans Semibold" w:cs="Times New Roman"/>
                <w:color w:val="000000"/>
                <w:sz w:val="16"/>
                <w:szCs w:val="16"/>
                <w:lang w:eastAsia="en-AU"/>
              </w:rPr>
              <w:t>$m</w:t>
            </w:r>
          </w:p>
        </w:tc>
        <w:tc>
          <w:tcPr>
            <w:tcW w:w="759" w:type="dxa"/>
            <w:tcBorders>
              <w:top w:val="single" w:sz="4" w:space="0" w:color="ADD6EA"/>
              <w:left w:val="nil"/>
              <w:bottom w:val="nil"/>
              <w:right w:val="nil"/>
            </w:tcBorders>
            <w:shd w:val="clear" w:color="auto" w:fill="B6D5E4"/>
            <w:noWrap/>
            <w:vAlign w:val="center"/>
            <w:hideMark/>
          </w:tcPr>
          <w:p w14:paraId="45266E81"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000000"/>
                <w:sz w:val="16"/>
                <w:szCs w:val="16"/>
                <w:lang w:eastAsia="en-AU"/>
              </w:rPr>
            </w:pPr>
            <w:r w:rsidRPr="00433DCB">
              <w:rPr>
                <w:rFonts w:ascii="Open Sans Semibold" w:eastAsia="Times New Roman" w:hAnsi="Open Sans Semibold" w:cs="Times New Roman"/>
                <w:color w:val="000000"/>
                <w:sz w:val="16"/>
                <w:szCs w:val="16"/>
                <w:lang w:eastAsia="en-AU"/>
              </w:rPr>
              <w:t>$m</w:t>
            </w:r>
          </w:p>
        </w:tc>
        <w:tc>
          <w:tcPr>
            <w:tcW w:w="759" w:type="dxa"/>
            <w:tcBorders>
              <w:top w:val="single" w:sz="4" w:space="0" w:color="ADD6EA"/>
              <w:left w:val="nil"/>
              <w:bottom w:val="nil"/>
              <w:right w:val="nil"/>
            </w:tcBorders>
            <w:shd w:val="clear" w:color="auto" w:fill="B6D5E4"/>
            <w:noWrap/>
            <w:vAlign w:val="center"/>
            <w:hideMark/>
          </w:tcPr>
          <w:p w14:paraId="6E6A352F"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000000"/>
                <w:sz w:val="16"/>
                <w:szCs w:val="16"/>
                <w:lang w:eastAsia="en-AU"/>
              </w:rPr>
            </w:pPr>
            <w:r w:rsidRPr="00433DCB">
              <w:rPr>
                <w:rFonts w:ascii="Open Sans Semibold" w:eastAsia="Times New Roman" w:hAnsi="Open Sans Semibold" w:cs="Times New Roman"/>
                <w:color w:val="000000"/>
                <w:sz w:val="16"/>
                <w:szCs w:val="16"/>
                <w:lang w:eastAsia="en-AU"/>
              </w:rPr>
              <w:t>$m</w:t>
            </w:r>
          </w:p>
        </w:tc>
        <w:tc>
          <w:tcPr>
            <w:tcW w:w="759" w:type="dxa"/>
            <w:tcBorders>
              <w:top w:val="single" w:sz="4" w:space="0" w:color="ADD6EA"/>
              <w:left w:val="nil"/>
              <w:bottom w:val="nil"/>
              <w:right w:val="nil"/>
            </w:tcBorders>
            <w:shd w:val="clear" w:color="auto" w:fill="B6D5E4"/>
            <w:noWrap/>
            <w:vAlign w:val="center"/>
            <w:hideMark/>
          </w:tcPr>
          <w:p w14:paraId="7B87429C"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000000"/>
                <w:sz w:val="16"/>
                <w:szCs w:val="16"/>
                <w:lang w:eastAsia="en-AU"/>
              </w:rPr>
            </w:pPr>
            <w:r w:rsidRPr="00433DCB">
              <w:rPr>
                <w:rFonts w:ascii="Open Sans Semibold" w:eastAsia="Times New Roman" w:hAnsi="Open Sans Semibold" w:cs="Times New Roman"/>
                <w:color w:val="000000"/>
                <w:sz w:val="16"/>
                <w:szCs w:val="16"/>
                <w:lang w:eastAsia="en-AU"/>
              </w:rPr>
              <w:t>$m</w:t>
            </w:r>
          </w:p>
        </w:tc>
        <w:tc>
          <w:tcPr>
            <w:tcW w:w="760" w:type="dxa"/>
            <w:tcBorders>
              <w:top w:val="single" w:sz="4" w:space="0" w:color="ADD6EA"/>
              <w:left w:val="nil"/>
              <w:bottom w:val="nil"/>
              <w:right w:val="nil"/>
            </w:tcBorders>
            <w:shd w:val="clear" w:color="auto" w:fill="B6D5E4"/>
            <w:noWrap/>
            <w:vAlign w:val="center"/>
            <w:hideMark/>
          </w:tcPr>
          <w:p w14:paraId="0F13424D" w14:textId="77777777" w:rsidR="009C3CC3" w:rsidRPr="00433DCB" w:rsidRDefault="009C3CC3">
            <w:pPr>
              <w:keepNext/>
              <w:keepLines/>
              <w:widowControl w:val="0"/>
              <w:tabs>
                <w:tab w:val="clear" w:pos="567"/>
              </w:tabs>
              <w:spacing w:before="0" w:line="240" w:lineRule="auto"/>
              <w:jc w:val="right"/>
              <w:rPr>
                <w:rFonts w:ascii="Open Sans Semibold" w:eastAsia="Times New Roman" w:hAnsi="Open Sans Semibold" w:cs="Times New Roman"/>
                <w:color w:val="000000"/>
                <w:sz w:val="16"/>
                <w:szCs w:val="16"/>
                <w:lang w:eastAsia="en-AU"/>
              </w:rPr>
            </w:pPr>
            <w:r w:rsidRPr="00433DCB">
              <w:rPr>
                <w:rFonts w:ascii="Open Sans Semibold" w:eastAsia="Times New Roman" w:hAnsi="Open Sans Semibold" w:cs="Times New Roman"/>
                <w:color w:val="000000"/>
                <w:sz w:val="16"/>
                <w:szCs w:val="16"/>
                <w:lang w:eastAsia="en-AU"/>
              </w:rPr>
              <w:t>$m</w:t>
            </w:r>
          </w:p>
        </w:tc>
      </w:tr>
      <w:tr w:rsidR="009C3CC3" w:rsidRPr="00433DCB" w14:paraId="4F1F1730" w14:textId="77777777" w:rsidTr="005729FD">
        <w:trPr>
          <w:trHeight w:val="315"/>
        </w:trPr>
        <w:tc>
          <w:tcPr>
            <w:tcW w:w="2127" w:type="dxa"/>
            <w:tcBorders>
              <w:top w:val="single" w:sz="4" w:space="0" w:color="ADD6EA"/>
              <w:left w:val="nil"/>
              <w:bottom w:val="nil"/>
              <w:right w:val="nil"/>
            </w:tcBorders>
            <w:shd w:val="clear" w:color="auto" w:fill="auto"/>
            <w:vAlign w:val="bottom"/>
            <w:hideMark/>
          </w:tcPr>
          <w:p w14:paraId="59097A7B" w14:textId="77777777" w:rsidR="009C3CC3" w:rsidRDefault="009C3CC3" w:rsidP="00E548F5">
            <w:pPr>
              <w:keepNext/>
              <w:keepLines/>
              <w:spacing w:before="0"/>
            </w:pPr>
            <w:r w:rsidRPr="1CD2C273">
              <w:rPr>
                <w:rFonts w:eastAsia="Open Sans Light" w:cs="Open Sans Light"/>
                <w:color w:val="000000" w:themeColor="text1"/>
                <w:sz w:val="16"/>
                <w:szCs w:val="16"/>
              </w:rPr>
              <w:t>Child protection and family services</w:t>
            </w:r>
          </w:p>
        </w:tc>
        <w:tc>
          <w:tcPr>
            <w:tcW w:w="759" w:type="dxa"/>
            <w:tcBorders>
              <w:top w:val="single" w:sz="4" w:space="0" w:color="ADD6EA"/>
              <w:left w:val="nil"/>
              <w:bottom w:val="nil"/>
              <w:right w:val="nil"/>
            </w:tcBorders>
            <w:shd w:val="clear" w:color="auto" w:fill="auto"/>
            <w:noWrap/>
            <w:vAlign w:val="bottom"/>
            <w:hideMark/>
          </w:tcPr>
          <w:p w14:paraId="5BACA982" w14:textId="77777777" w:rsidR="009C3CC3" w:rsidRDefault="009C3CC3" w:rsidP="00E548F5">
            <w:pPr>
              <w:keepNext/>
              <w:keepLines/>
              <w:spacing w:before="0"/>
              <w:jc w:val="right"/>
            </w:pPr>
            <w:r w:rsidRPr="1CD2C273">
              <w:rPr>
                <w:rFonts w:eastAsia="Open Sans Light" w:cs="Open Sans Light"/>
                <w:color w:val="000000" w:themeColor="text1"/>
                <w:sz w:val="16"/>
                <w:szCs w:val="16"/>
              </w:rPr>
              <w:t>64</w:t>
            </w:r>
          </w:p>
        </w:tc>
        <w:tc>
          <w:tcPr>
            <w:tcW w:w="759" w:type="dxa"/>
            <w:tcBorders>
              <w:top w:val="single" w:sz="4" w:space="0" w:color="ADD6EA"/>
              <w:left w:val="nil"/>
              <w:bottom w:val="nil"/>
              <w:right w:val="nil"/>
            </w:tcBorders>
            <w:shd w:val="clear" w:color="auto" w:fill="auto"/>
            <w:noWrap/>
            <w:vAlign w:val="bottom"/>
            <w:hideMark/>
          </w:tcPr>
          <w:p w14:paraId="09EFBE7D" w14:textId="77777777" w:rsidR="009C3CC3" w:rsidRDefault="009C3CC3" w:rsidP="00E548F5">
            <w:pPr>
              <w:keepNext/>
              <w:keepLines/>
              <w:spacing w:before="0"/>
              <w:jc w:val="right"/>
            </w:pPr>
            <w:r w:rsidRPr="1CD2C273">
              <w:rPr>
                <w:rFonts w:eastAsia="Open Sans Light" w:cs="Open Sans Light"/>
                <w:color w:val="000000" w:themeColor="text1"/>
                <w:sz w:val="16"/>
                <w:szCs w:val="16"/>
              </w:rPr>
              <w:t>-697</w:t>
            </w:r>
          </w:p>
        </w:tc>
        <w:tc>
          <w:tcPr>
            <w:tcW w:w="759" w:type="dxa"/>
            <w:tcBorders>
              <w:top w:val="single" w:sz="4" w:space="0" w:color="ADD6EA"/>
              <w:left w:val="nil"/>
              <w:bottom w:val="nil"/>
              <w:right w:val="nil"/>
            </w:tcBorders>
            <w:shd w:val="clear" w:color="auto" w:fill="auto"/>
            <w:noWrap/>
            <w:vAlign w:val="bottom"/>
            <w:hideMark/>
          </w:tcPr>
          <w:p w14:paraId="4D6B8838" w14:textId="77777777" w:rsidR="009C3CC3" w:rsidRDefault="009C3CC3" w:rsidP="00E548F5">
            <w:pPr>
              <w:keepNext/>
              <w:keepLines/>
              <w:spacing w:before="0"/>
              <w:jc w:val="right"/>
            </w:pPr>
            <w:r w:rsidRPr="1CD2C273">
              <w:rPr>
                <w:rFonts w:eastAsia="Open Sans Light" w:cs="Open Sans Light"/>
                <w:color w:val="000000" w:themeColor="text1"/>
                <w:sz w:val="16"/>
                <w:szCs w:val="16"/>
              </w:rPr>
              <w:t>348</w:t>
            </w:r>
          </w:p>
        </w:tc>
        <w:tc>
          <w:tcPr>
            <w:tcW w:w="759" w:type="dxa"/>
            <w:tcBorders>
              <w:top w:val="single" w:sz="4" w:space="0" w:color="ADD6EA"/>
              <w:left w:val="nil"/>
              <w:bottom w:val="nil"/>
              <w:right w:val="nil"/>
            </w:tcBorders>
            <w:shd w:val="clear" w:color="auto" w:fill="auto"/>
            <w:noWrap/>
            <w:vAlign w:val="bottom"/>
            <w:hideMark/>
          </w:tcPr>
          <w:p w14:paraId="315598C6" w14:textId="77777777" w:rsidR="009C3CC3" w:rsidRDefault="009C3CC3" w:rsidP="00E548F5">
            <w:pPr>
              <w:keepNext/>
              <w:keepLines/>
              <w:spacing w:before="0"/>
              <w:jc w:val="right"/>
            </w:pPr>
            <w:r w:rsidRPr="1CD2C273">
              <w:rPr>
                <w:rFonts w:eastAsia="Open Sans Light" w:cs="Open Sans Light"/>
                <w:color w:val="000000" w:themeColor="text1"/>
                <w:sz w:val="16"/>
                <w:szCs w:val="16"/>
              </w:rPr>
              <w:t>49</w:t>
            </w:r>
          </w:p>
        </w:tc>
        <w:tc>
          <w:tcPr>
            <w:tcW w:w="759" w:type="dxa"/>
            <w:tcBorders>
              <w:top w:val="single" w:sz="4" w:space="0" w:color="ADD6EA"/>
              <w:left w:val="nil"/>
              <w:bottom w:val="nil"/>
              <w:right w:val="nil"/>
            </w:tcBorders>
            <w:shd w:val="clear" w:color="auto" w:fill="auto"/>
            <w:noWrap/>
            <w:vAlign w:val="bottom"/>
            <w:hideMark/>
          </w:tcPr>
          <w:p w14:paraId="3BD2A1E5" w14:textId="77777777" w:rsidR="009C3CC3" w:rsidRDefault="009C3CC3" w:rsidP="00E548F5">
            <w:pPr>
              <w:keepNext/>
              <w:keepLines/>
              <w:spacing w:before="0"/>
              <w:jc w:val="right"/>
            </w:pPr>
            <w:r w:rsidRPr="1CD2C273">
              <w:rPr>
                <w:rFonts w:eastAsia="Open Sans Light" w:cs="Open Sans Light"/>
                <w:color w:val="000000" w:themeColor="text1"/>
                <w:sz w:val="16"/>
                <w:szCs w:val="16"/>
              </w:rPr>
              <w:t>-44</w:t>
            </w:r>
          </w:p>
        </w:tc>
        <w:tc>
          <w:tcPr>
            <w:tcW w:w="759" w:type="dxa"/>
            <w:tcBorders>
              <w:top w:val="single" w:sz="4" w:space="0" w:color="ADD6EA"/>
              <w:left w:val="nil"/>
              <w:bottom w:val="nil"/>
              <w:right w:val="nil"/>
            </w:tcBorders>
            <w:shd w:val="clear" w:color="auto" w:fill="auto"/>
            <w:noWrap/>
            <w:vAlign w:val="bottom"/>
            <w:hideMark/>
          </w:tcPr>
          <w:p w14:paraId="1A99B05A" w14:textId="77777777" w:rsidR="009C3CC3" w:rsidRDefault="009C3CC3" w:rsidP="00E548F5">
            <w:pPr>
              <w:keepNext/>
              <w:keepLines/>
              <w:spacing w:before="0"/>
              <w:jc w:val="right"/>
            </w:pPr>
            <w:r w:rsidRPr="1CD2C273">
              <w:rPr>
                <w:rFonts w:eastAsia="Open Sans Light" w:cs="Open Sans Light"/>
                <w:color w:val="000000" w:themeColor="text1"/>
                <w:sz w:val="16"/>
                <w:szCs w:val="16"/>
              </w:rPr>
              <w:t>55</w:t>
            </w:r>
          </w:p>
        </w:tc>
        <w:tc>
          <w:tcPr>
            <w:tcW w:w="759" w:type="dxa"/>
            <w:tcBorders>
              <w:top w:val="single" w:sz="4" w:space="0" w:color="ADD6EA"/>
              <w:left w:val="nil"/>
              <w:bottom w:val="nil"/>
              <w:right w:val="nil"/>
            </w:tcBorders>
            <w:shd w:val="clear" w:color="auto" w:fill="auto"/>
            <w:noWrap/>
            <w:vAlign w:val="bottom"/>
            <w:hideMark/>
          </w:tcPr>
          <w:p w14:paraId="150F1E3A" w14:textId="77777777" w:rsidR="009C3CC3" w:rsidRDefault="009C3CC3" w:rsidP="00E548F5">
            <w:pPr>
              <w:keepNext/>
              <w:keepLines/>
              <w:spacing w:before="0"/>
              <w:jc w:val="right"/>
            </w:pPr>
            <w:r w:rsidRPr="1CD2C273">
              <w:rPr>
                <w:rFonts w:eastAsia="Open Sans Light" w:cs="Open Sans Light"/>
                <w:color w:val="000000" w:themeColor="text1"/>
                <w:sz w:val="16"/>
                <w:szCs w:val="16"/>
              </w:rPr>
              <w:t>-59</w:t>
            </w:r>
          </w:p>
        </w:tc>
        <w:tc>
          <w:tcPr>
            <w:tcW w:w="759" w:type="dxa"/>
            <w:tcBorders>
              <w:top w:val="single" w:sz="4" w:space="0" w:color="ADD6EA"/>
              <w:left w:val="nil"/>
              <w:bottom w:val="nil"/>
              <w:right w:val="nil"/>
            </w:tcBorders>
            <w:shd w:val="clear" w:color="auto" w:fill="auto"/>
            <w:noWrap/>
            <w:vAlign w:val="bottom"/>
            <w:hideMark/>
          </w:tcPr>
          <w:p w14:paraId="00074D06" w14:textId="77777777" w:rsidR="009C3CC3" w:rsidRDefault="009C3CC3" w:rsidP="00E548F5">
            <w:pPr>
              <w:keepNext/>
              <w:keepLines/>
              <w:spacing w:before="0"/>
              <w:jc w:val="right"/>
            </w:pPr>
            <w:r w:rsidRPr="1CD2C273">
              <w:rPr>
                <w:rFonts w:eastAsia="Open Sans Light" w:cs="Open Sans Light"/>
                <w:color w:val="000000" w:themeColor="text1"/>
                <w:sz w:val="16"/>
                <w:szCs w:val="16"/>
              </w:rPr>
              <w:t>284</w:t>
            </w:r>
          </w:p>
        </w:tc>
        <w:tc>
          <w:tcPr>
            <w:tcW w:w="760" w:type="dxa"/>
            <w:tcBorders>
              <w:top w:val="single" w:sz="4" w:space="0" w:color="ADD6EA"/>
              <w:left w:val="nil"/>
              <w:bottom w:val="nil"/>
              <w:right w:val="nil"/>
            </w:tcBorders>
            <w:shd w:val="clear" w:color="auto" w:fill="auto"/>
            <w:noWrap/>
            <w:vAlign w:val="bottom"/>
            <w:hideMark/>
          </w:tcPr>
          <w:p w14:paraId="33228A44" w14:textId="77777777" w:rsidR="009C3CC3" w:rsidRDefault="009C3CC3" w:rsidP="00E548F5">
            <w:pPr>
              <w:keepNext/>
              <w:keepLines/>
              <w:spacing w:before="0"/>
              <w:jc w:val="right"/>
            </w:pPr>
            <w:r w:rsidRPr="1CD2C273">
              <w:rPr>
                <w:rFonts w:eastAsia="Open Sans Light" w:cs="Open Sans Light"/>
                <w:color w:val="000000" w:themeColor="text1"/>
                <w:sz w:val="16"/>
                <w:szCs w:val="16"/>
              </w:rPr>
              <w:t>800</w:t>
            </w:r>
          </w:p>
        </w:tc>
      </w:tr>
      <w:tr w:rsidR="009C3CC3" w:rsidRPr="00433DCB" w14:paraId="304503AA" w14:textId="77777777" w:rsidTr="005729FD">
        <w:trPr>
          <w:trHeight w:val="315"/>
        </w:trPr>
        <w:tc>
          <w:tcPr>
            <w:tcW w:w="2127" w:type="dxa"/>
            <w:tcBorders>
              <w:top w:val="single" w:sz="4" w:space="0" w:color="ADD6EA"/>
              <w:left w:val="nil"/>
              <w:bottom w:val="nil"/>
              <w:right w:val="nil"/>
            </w:tcBorders>
            <w:shd w:val="clear" w:color="auto" w:fill="auto"/>
            <w:vAlign w:val="bottom"/>
            <w:hideMark/>
          </w:tcPr>
          <w:p w14:paraId="76C974A9" w14:textId="77777777" w:rsidR="009C3CC3" w:rsidRDefault="009C3CC3" w:rsidP="00E548F5">
            <w:pPr>
              <w:keepNext/>
              <w:keepLines/>
              <w:spacing w:before="0"/>
            </w:pPr>
            <w:r w:rsidRPr="1CD2C273">
              <w:rPr>
                <w:rFonts w:eastAsia="Open Sans Light" w:cs="Open Sans Light"/>
                <w:color w:val="000000" w:themeColor="text1"/>
                <w:sz w:val="16"/>
                <w:szCs w:val="16"/>
              </w:rPr>
              <w:t>NDIS</w:t>
            </w:r>
          </w:p>
        </w:tc>
        <w:tc>
          <w:tcPr>
            <w:tcW w:w="759" w:type="dxa"/>
            <w:tcBorders>
              <w:top w:val="single" w:sz="4" w:space="0" w:color="ADD6EA"/>
              <w:left w:val="nil"/>
              <w:bottom w:val="nil"/>
              <w:right w:val="nil"/>
            </w:tcBorders>
            <w:shd w:val="clear" w:color="auto" w:fill="auto"/>
            <w:noWrap/>
            <w:vAlign w:val="bottom"/>
            <w:hideMark/>
          </w:tcPr>
          <w:p w14:paraId="298D6AA3" w14:textId="77777777" w:rsidR="009C3CC3" w:rsidRDefault="009C3CC3" w:rsidP="00E548F5">
            <w:pPr>
              <w:keepNext/>
              <w:keepLines/>
              <w:spacing w:before="0"/>
              <w:jc w:val="right"/>
            </w:pPr>
            <w:r w:rsidRPr="1CD2C273">
              <w:rPr>
                <w:rFonts w:eastAsia="Open Sans Light" w:cs="Open Sans Light"/>
                <w:color w:val="000000" w:themeColor="text1"/>
                <w:sz w:val="16"/>
                <w:szCs w:val="16"/>
              </w:rPr>
              <w:t>-13</w:t>
            </w:r>
          </w:p>
        </w:tc>
        <w:tc>
          <w:tcPr>
            <w:tcW w:w="759" w:type="dxa"/>
            <w:tcBorders>
              <w:top w:val="single" w:sz="4" w:space="0" w:color="ADD6EA"/>
              <w:left w:val="nil"/>
              <w:bottom w:val="nil"/>
              <w:right w:val="nil"/>
            </w:tcBorders>
            <w:shd w:val="clear" w:color="auto" w:fill="auto"/>
            <w:noWrap/>
            <w:vAlign w:val="bottom"/>
            <w:hideMark/>
          </w:tcPr>
          <w:p w14:paraId="3140B0C7" w14:textId="77777777" w:rsidR="009C3CC3" w:rsidRDefault="009C3CC3" w:rsidP="00E548F5">
            <w:pPr>
              <w:keepNext/>
              <w:keepLines/>
              <w:spacing w:before="0"/>
              <w:jc w:val="right"/>
            </w:pPr>
            <w:r w:rsidRPr="1CD2C273">
              <w:rPr>
                <w:rFonts w:eastAsia="Open Sans Light" w:cs="Open Sans Light"/>
                <w:color w:val="000000" w:themeColor="text1"/>
                <w:sz w:val="16"/>
                <w:szCs w:val="16"/>
              </w:rPr>
              <w:t>-18</w:t>
            </w:r>
          </w:p>
        </w:tc>
        <w:tc>
          <w:tcPr>
            <w:tcW w:w="759" w:type="dxa"/>
            <w:tcBorders>
              <w:top w:val="single" w:sz="4" w:space="0" w:color="ADD6EA"/>
              <w:left w:val="nil"/>
              <w:bottom w:val="nil"/>
              <w:right w:val="nil"/>
            </w:tcBorders>
            <w:shd w:val="clear" w:color="auto" w:fill="auto"/>
            <w:noWrap/>
            <w:vAlign w:val="bottom"/>
            <w:hideMark/>
          </w:tcPr>
          <w:p w14:paraId="19CA99A9" w14:textId="77777777" w:rsidR="009C3CC3" w:rsidRDefault="009C3CC3" w:rsidP="00E548F5">
            <w:pPr>
              <w:keepNext/>
              <w:keepLines/>
              <w:spacing w:before="0"/>
              <w:jc w:val="right"/>
            </w:pPr>
            <w:r w:rsidRPr="1CD2C273">
              <w:rPr>
                <w:rFonts w:eastAsia="Open Sans Light" w:cs="Open Sans Light"/>
                <w:color w:val="000000" w:themeColor="text1"/>
                <w:sz w:val="16"/>
                <w:szCs w:val="16"/>
              </w:rPr>
              <w:t>19</w:t>
            </w:r>
          </w:p>
        </w:tc>
        <w:tc>
          <w:tcPr>
            <w:tcW w:w="759" w:type="dxa"/>
            <w:tcBorders>
              <w:top w:val="single" w:sz="4" w:space="0" w:color="ADD6EA"/>
              <w:left w:val="nil"/>
              <w:bottom w:val="nil"/>
              <w:right w:val="nil"/>
            </w:tcBorders>
            <w:shd w:val="clear" w:color="auto" w:fill="auto"/>
            <w:noWrap/>
            <w:vAlign w:val="bottom"/>
            <w:hideMark/>
          </w:tcPr>
          <w:p w14:paraId="0C75BA4B" w14:textId="77777777" w:rsidR="009C3CC3" w:rsidRDefault="009C3CC3" w:rsidP="00E548F5">
            <w:pPr>
              <w:keepNext/>
              <w:keepLines/>
              <w:spacing w:before="0"/>
              <w:jc w:val="right"/>
            </w:pPr>
            <w:r w:rsidRPr="1CD2C273">
              <w:rPr>
                <w:rFonts w:eastAsia="Open Sans Light" w:cs="Open Sans Light"/>
                <w:color w:val="000000" w:themeColor="text1"/>
                <w:sz w:val="16"/>
                <w:szCs w:val="16"/>
              </w:rPr>
              <w:t>9</w:t>
            </w:r>
          </w:p>
        </w:tc>
        <w:tc>
          <w:tcPr>
            <w:tcW w:w="759" w:type="dxa"/>
            <w:tcBorders>
              <w:top w:val="single" w:sz="4" w:space="0" w:color="ADD6EA"/>
              <w:left w:val="nil"/>
              <w:bottom w:val="nil"/>
              <w:right w:val="nil"/>
            </w:tcBorders>
            <w:shd w:val="clear" w:color="auto" w:fill="auto"/>
            <w:noWrap/>
            <w:vAlign w:val="bottom"/>
            <w:hideMark/>
          </w:tcPr>
          <w:p w14:paraId="1B78972E" w14:textId="77777777" w:rsidR="009C3CC3" w:rsidRDefault="009C3CC3" w:rsidP="00E548F5">
            <w:pPr>
              <w:keepNext/>
              <w:keepLines/>
              <w:spacing w:before="0"/>
              <w:jc w:val="right"/>
            </w:pPr>
            <w:r w:rsidRPr="1CD2C273">
              <w:rPr>
                <w:rFonts w:eastAsia="Open Sans Light" w:cs="Open Sans Light"/>
                <w:color w:val="000000" w:themeColor="text1"/>
                <w:sz w:val="16"/>
                <w:szCs w:val="16"/>
              </w:rPr>
              <w:t>1</w:t>
            </w:r>
          </w:p>
        </w:tc>
        <w:tc>
          <w:tcPr>
            <w:tcW w:w="759" w:type="dxa"/>
            <w:tcBorders>
              <w:top w:val="single" w:sz="4" w:space="0" w:color="ADD6EA"/>
              <w:left w:val="nil"/>
              <w:bottom w:val="nil"/>
              <w:right w:val="nil"/>
            </w:tcBorders>
            <w:shd w:val="clear" w:color="auto" w:fill="auto"/>
            <w:noWrap/>
            <w:vAlign w:val="bottom"/>
            <w:hideMark/>
          </w:tcPr>
          <w:p w14:paraId="7C4C8192" w14:textId="77777777" w:rsidR="009C3CC3" w:rsidRDefault="009C3CC3" w:rsidP="00E548F5">
            <w:pPr>
              <w:keepNext/>
              <w:keepLines/>
              <w:spacing w:before="0"/>
              <w:jc w:val="right"/>
            </w:pPr>
            <w:r w:rsidRPr="1CD2C273">
              <w:rPr>
                <w:rFonts w:eastAsia="Open Sans Light" w:cs="Open Sans Light"/>
                <w:color w:val="000000" w:themeColor="text1"/>
                <w:sz w:val="16"/>
                <w:szCs w:val="16"/>
              </w:rPr>
              <w:t>1</w:t>
            </w:r>
          </w:p>
        </w:tc>
        <w:tc>
          <w:tcPr>
            <w:tcW w:w="759" w:type="dxa"/>
            <w:tcBorders>
              <w:top w:val="single" w:sz="4" w:space="0" w:color="ADD6EA"/>
              <w:left w:val="nil"/>
              <w:bottom w:val="nil"/>
              <w:right w:val="nil"/>
            </w:tcBorders>
            <w:shd w:val="clear" w:color="auto" w:fill="auto"/>
            <w:noWrap/>
            <w:vAlign w:val="bottom"/>
            <w:hideMark/>
          </w:tcPr>
          <w:p w14:paraId="1E13B148" w14:textId="77777777" w:rsidR="009C3CC3" w:rsidRDefault="009C3CC3" w:rsidP="00E548F5">
            <w:pPr>
              <w:keepNext/>
              <w:keepLines/>
              <w:spacing w:before="0"/>
              <w:jc w:val="right"/>
            </w:pPr>
            <w:r w:rsidRPr="1CD2C273">
              <w:rPr>
                <w:rFonts w:eastAsia="Open Sans Light" w:cs="Open Sans Light"/>
                <w:color w:val="000000" w:themeColor="text1"/>
                <w:sz w:val="16"/>
                <w:szCs w:val="16"/>
              </w:rPr>
              <w:t>0</w:t>
            </w:r>
          </w:p>
        </w:tc>
        <w:tc>
          <w:tcPr>
            <w:tcW w:w="759" w:type="dxa"/>
            <w:tcBorders>
              <w:top w:val="single" w:sz="4" w:space="0" w:color="ADD6EA"/>
              <w:left w:val="nil"/>
              <w:bottom w:val="nil"/>
              <w:right w:val="nil"/>
            </w:tcBorders>
            <w:shd w:val="clear" w:color="auto" w:fill="auto"/>
            <w:noWrap/>
            <w:vAlign w:val="bottom"/>
            <w:hideMark/>
          </w:tcPr>
          <w:p w14:paraId="7484D8B7" w14:textId="77777777" w:rsidR="009C3CC3" w:rsidRDefault="009C3CC3" w:rsidP="00E548F5">
            <w:pPr>
              <w:keepNext/>
              <w:keepLines/>
              <w:spacing w:before="0"/>
              <w:jc w:val="right"/>
            </w:pPr>
            <w:r w:rsidRPr="1CD2C273">
              <w:rPr>
                <w:rFonts w:eastAsia="Open Sans Light" w:cs="Open Sans Light"/>
                <w:color w:val="000000" w:themeColor="text1"/>
                <w:sz w:val="16"/>
                <w:szCs w:val="16"/>
              </w:rPr>
              <w:t>0</w:t>
            </w:r>
          </w:p>
        </w:tc>
        <w:tc>
          <w:tcPr>
            <w:tcW w:w="760" w:type="dxa"/>
            <w:tcBorders>
              <w:top w:val="single" w:sz="4" w:space="0" w:color="ADD6EA"/>
              <w:left w:val="nil"/>
              <w:bottom w:val="nil"/>
              <w:right w:val="nil"/>
            </w:tcBorders>
            <w:shd w:val="clear" w:color="auto" w:fill="auto"/>
            <w:noWrap/>
            <w:vAlign w:val="bottom"/>
            <w:hideMark/>
          </w:tcPr>
          <w:p w14:paraId="277AE236" w14:textId="77777777" w:rsidR="009C3CC3" w:rsidRDefault="009C3CC3" w:rsidP="00E548F5">
            <w:pPr>
              <w:keepNext/>
              <w:keepLines/>
              <w:spacing w:before="0"/>
              <w:jc w:val="right"/>
            </w:pPr>
            <w:r w:rsidRPr="1CD2C273">
              <w:rPr>
                <w:rFonts w:eastAsia="Open Sans Light" w:cs="Open Sans Light"/>
                <w:color w:val="000000" w:themeColor="text1"/>
                <w:sz w:val="16"/>
                <w:szCs w:val="16"/>
              </w:rPr>
              <w:t>31</w:t>
            </w:r>
          </w:p>
        </w:tc>
      </w:tr>
      <w:tr w:rsidR="009C3CC3" w14:paraId="23EED144" w14:textId="77777777" w:rsidTr="005729FD">
        <w:trPr>
          <w:trHeight w:val="315"/>
        </w:trPr>
        <w:tc>
          <w:tcPr>
            <w:tcW w:w="2127" w:type="dxa"/>
            <w:tcBorders>
              <w:top w:val="single" w:sz="4" w:space="0" w:color="ADD6EA"/>
              <w:left w:val="nil"/>
              <w:bottom w:val="nil"/>
              <w:right w:val="nil"/>
            </w:tcBorders>
            <w:shd w:val="clear" w:color="auto" w:fill="auto"/>
            <w:vAlign w:val="bottom"/>
            <w:hideMark/>
          </w:tcPr>
          <w:p w14:paraId="62AA66A0" w14:textId="278E929C" w:rsidR="009C3CC3" w:rsidRDefault="009C3CC3" w:rsidP="00E548F5">
            <w:pPr>
              <w:keepNext/>
              <w:keepLines/>
              <w:spacing w:before="0"/>
            </w:pPr>
            <w:r w:rsidRPr="56F1BA88">
              <w:rPr>
                <w:rFonts w:eastAsia="Open Sans Light" w:cs="Open Sans Light"/>
                <w:color w:val="000000" w:themeColor="text1"/>
                <w:sz w:val="16"/>
                <w:szCs w:val="16"/>
              </w:rPr>
              <w:t xml:space="preserve">Non-NDIS disability, aged </w:t>
            </w:r>
            <w:r w:rsidR="1227A3BB" w:rsidRPr="56F1BA88">
              <w:rPr>
                <w:rFonts w:eastAsia="Open Sans Light" w:cs="Open Sans Light"/>
                <w:color w:val="000000" w:themeColor="text1"/>
                <w:sz w:val="16"/>
                <w:szCs w:val="16"/>
              </w:rPr>
              <w:t>care,</w:t>
            </w:r>
            <w:r w:rsidRPr="56F1BA88">
              <w:rPr>
                <w:rFonts w:eastAsia="Open Sans Light" w:cs="Open Sans Light"/>
                <w:color w:val="000000" w:themeColor="text1"/>
                <w:sz w:val="16"/>
                <w:szCs w:val="16"/>
              </w:rPr>
              <w:t xml:space="preserve"> and </w:t>
            </w:r>
            <w:r w:rsidR="002661EE">
              <w:rPr>
                <w:rFonts w:eastAsia="Open Sans Light" w:cs="Open Sans Light"/>
                <w:color w:val="000000" w:themeColor="text1"/>
                <w:sz w:val="16"/>
                <w:szCs w:val="16"/>
              </w:rPr>
              <w:t>N</w:t>
            </w:r>
            <w:r w:rsidRPr="56F1BA88">
              <w:rPr>
                <w:rFonts w:eastAsia="Open Sans Light" w:cs="Open Sans Light"/>
                <w:color w:val="000000" w:themeColor="text1"/>
                <w:sz w:val="16"/>
                <w:szCs w:val="16"/>
              </w:rPr>
              <w:t xml:space="preserve">ational </w:t>
            </w:r>
            <w:r w:rsidR="002661EE">
              <w:rPr>
                <w:rFonts w:eastAsia="Open Sans Light" w:cs="Open Sans Light"/>
                <w:color w:val="000000" w:themeColor="text1"/>
                <w:sz w:val="16"/>
                <w:szCs w:val="16"/>
              </w:rPr>
              <w:t>R</w:t>
            </w:r>
            <w:r w:rsidRPr="56F1BA88">
              <w:rPr>
                <w:rFonts w:eastAsia="Open Sans Light" w:cs="Open Sans Light"/>
                <w:color w:val="000000" w:themeColor="text1"/>
                <w:sz w:val="16"/>
                <w:szCs w:val="16"/>
              </w:rPr>
              <w:t>edress</w:t>
            </w:r>
            <w:r w:rsidR="002661EE">
              <w:rPr>
                <w:rFonts w:eastAsia="Open Sans Light" w:cs="Open Sans Light"/>
                <w:color w:val="000000" w:themeColor="text1"/>
                <w:sz w:val="16"/>
                <w:szCs w:val="16"/>
              </w:rPr>
              <w:t xml:space="preserve"> Scheme</w:t>
            </w:r>
          </w:p>
        </w:tc>
        <w:tc>
          <w:tcPr>
            <w:tcW w:w="759" w:type="dxa"/>
            <w:tcBorders>
              <w:top w:val="single" w:sz="4" w:space="0" w:color="ADD6EA"/>
              <w:left w:val="nil"/>
              <w:bottom w:val="nil"/>
              <w:right w:val="nil"/>
            </w:tcBorders>
            <w:shd w:val="clear" w:color="auto" w:fill="auto"/>
            <w:noWrap/>
            <w:vAlign w:val="bottom"/>
            <w:hideMark/>
          </w:tcPr>
          <w:p w14:paraId="3E2FE81C" w14:textId="77777777" w:rsidR="009C3CC3" w:rsidRDefault="009C3CC3" w:rsidP="00E548F5">
            <w:pPr>
              <w:keepNext/>
              <w:keepLines/>
              <w:spacing w:before="0"/>
              <w:jc w:val="right"/>
            </w:pPr>
            <w:r w:rsidRPr="1CD2C273">
              <w:rPr>
                <w:rFonts w:eastAsia="Open Sans Light" w:cs="Open Sans Light"/>
                <w:color w:val="000000" w:themeColor="text1"/>
                <w:sz w:val="16"/>
                <w:szCs w:val="16"/>
              </w:rPr>
              <w:t>0</w:t>
            </w:r>
          </w:p>
        </w:tc>
        <w:tc>
          <w:tcPr>
            <w:tcW w:w="759" w:type="dxa"/>
            <w:tcBorders>
              <w:top w:val="single" w:sz="4" w:space="0" w:color="ADD6EA"/>
              <w:left w:val="nil"/>
              <w:bottom w:val="nil"/>
              <w:right w:val="nil"/>
            </w:tcBorders>
            <w:shd w:val="clear" w:color="auto" w:fill="auto"/>
            <w:noWrap/>
            <w:vAlign w:val="bottom"/>
            <w:hideMark/>
          </w:tcPr>
          <w:p w14:paraId="4EE847CC" w14:textId="77777777" w:rsidR="009C3CC3" w:rsidRDefault="009C3CC3" w:rsidP="00E548F5">
            <w:pPr>
              <w:keepNext/>
              <w:keepLines/>
              <w:spacing w:before="0"/>
              <w:jc w:val="right"/>
            </w:pPr>
            <w:r w:rsidRPr="1CD2C273">
              <w:rPr>
                <w:rFonts w:eastAsia="Open Sans Light" w:cs="Open Sans Light"/>
                <w:color w:val="000000" w:themeColor="text1"/>
                <w:sz w:val="16"/>
                <w:szCs w:val="16"/>
              </w:rPr>
              <w:t>0</w:t>
            </w:r>
          </w:p>
        </w:tc>
        <w:tc>
          <w:tcPr>
            <w:tcW w:w="759" w:type="dxa"/>
            <w:tcBorders>
              <w:top w:val="single" w:sz="4" w:space="0" w:color="ADD6EA"/>
              <w:left w:val="nil"/>
              <w:bottom w:val="nil"/>
              <w:right w:val="nil"/>
            </w:tcBorders>
            <w:shd w:val="clear" w:color="auto" w:fill="auto"/>
            <w:noWrap/>
            <w:vAlign w:val="bottom"/>
            <w:hideMark/>
          </w:tcPr>
          <w:p w14:paraId="40173DD8" w14:textId="77777777" w:rsidR="009C3CC3" w:rsidRDefault="009C3CC3" w:rsidP="00E548F5">
            <w:pPr>
              <w:keepNext/>
              <w:keepLines/>
              <w:spacing w:before="0"/>
              <w:jc w:val="right"/>
            </w:pPr>
            <w:r w:rsidRPr="1CD2C273">
              <w:rPr>
                <w:rFonts w:eastAsia="Open Sans Light" w:cs="Open Sans Light"/>
                <w:color w:val="000000" w:themeColor="text1"/>
                <w:sz w:val="16"/>
                <w:szCs w:val="16"/>
              </w:rPr>
              <w:t>0</w:t>
            </w:r>
          </w:p>
        </w:tc>
        <w:tc>
          <w:tcPr>
            <w:tcW w:w="759" w:type="dxa"/>
            <w:tcBorders>
              <w:top w:val="single" w:sz="4" w:space="0" w:color="ADD6EA"/>
              <w:left w:val="nil"/>
              <w:bottom w:val="nil"/>
              <w:right w:val="nil"/>
            </w:tcBorders>
            <w:shd w:val="clear" w:color="auto" w:fill="auto"/>
            <w:noWrap/>
            <w:vAlign w:val="bottom"/>
            <w:hideMark/>
          </w:tcPr>
          <w:p w14:paraId="56AC4E0D" w14:textId="77777777" w:rsidR="009C3CC3" w:rsidRDefault="009C3CC3" w:rsidP="00E548F5">
            <w:pPr>
              <w:keepNext/>
              <w:keepLines/>
              <w:spacing w:before="0"/>
              <w:jc w:val="right"/>
            </w:pPr>
            <w:r w:rsidRPr="1CD2C273">
              <w:rPr>
                <w:rFonts w:eastAsia="Open Sans Light" w:cs="Open Sans Light"/>
                <w:color w:val="000000" w:themeColor="text1"/>
                <w:sz w:val="16"/>
                <w:szCs w:val="16"/>
              </w:rPr>
              <w:t>0</w:t>
            </w:r>
          </w:p>
        </w:tc>
        <w:tc>
          <w:tcPr>
            <w:tcW w:w="759" w:type="dxa"/>
            <w:tcBorders>
              <w:top w:val="single" w:sz="4" w:space="0" w:color="ADD6EA"/>
              <w:left w:val="nil"/>
              <w:bottom w:val="nil"/>
              <w:right w:val="nil"/>
            </w:tcBorders>
            <w:shd w:val="clear" w:color="auto" w:fill="auto"/>
            <w:noWrap/>
            <w:vAlign w:val="bottom"/>
            <w:hideMark/>
          </w:tcPr>
          <w:p w14:paraId="2B3B269C" w14:textId="77777777" w:rsidR="009C3CC3" w:rsidRDefault="009C3CC3" w:rsidP="00E548F5">
            <w:pPr>
              <w:keepNext/>
              <w:keepLines/>
              <w:spacing w:before="0"/>
              <w:jc w:val="right"/>
            </w:pPr>
            <w:r w:rsidRPr="1CD2C273">
              <w:rPr>
                <w:rFonts w:eastAsia="Open Sans Light" w:cs="Open Sans Light"/>
                <w:color w:val="000000" w:themeColor="text1"/>
                <w:sz w:val="16"/>
                <w:szCs w:val="16"/>
              </w:rPr>
              <w:t>0</w:t>
            </w:r>
          </w:p>
        </w:tc>
        <w:tc>
          <w:tcPr>
            <w:tcW w:w="759" w:type="dxa"/>
            <w:tcBorders>
              <w:top w:val="single" w:sz="4" w:space="0" w:color="ADD6EA"/>
              <w:left w:val="nil"/>
              <w:bottom w:val="nil"/>
              <w:right w:val="nil"/>
            </w:tcBorders>
            <w:shd w:val="clear" w:color="auto" w:fill="auto"/>
            <w:noWrap/>
            <w:vAlign w:val="bottom"/>
            <w:hideMark/>
          </w:tcPr>
          <w:p w14:paraId="1744F901" w14:textId="77777777" w:rsidR="009C3CC3" w:rsidRDefault="009C3CC3" w:rsidP="00E548F5">
            <w:pPr>
              <w:keepNext/>
              <w:keepLines/>
              <w:spacing w:before="0"/>
              <w:jc w:val="right"/>
            </w:pPr>
            <w:r w:rsidRPr="1CD2C273">
              <w:rPr>
                <w:rFonts w:eastAsia="Open Sans Light" w:cs="Open Sans Light"/>
                <w:color w:val="000000" w:themeColor="text1"/>
                <w:sz w:val="16"/>
                <w:szCs w:val="16"/>
              </w:rPr>
              <w:t>0</w:t>
            </w:r>
          </w:p>
        </w:tc>
        <w:tc>
          <w:tcPr>
            <w:tcW w:w="759" w:type="dxa"/>
            <w:tcBorders>
              <w:top w:val="single" w:sz="4" w:space="0" w:color="ADD6EA"/>
              <w:left w:val="nil"/>
              <w:bottom w:val="nil"/>
              <w:right w:val="nil"/>
            </w:tcBorders>
            <w:shd w:val="clear" w:color="auto" w:fill="auto"/>
            <w:noWrap/>
            <w:vAlign w:val="bottom"/>
            <w:hideMark/>
          </w:tcPr>
          <w:p w14:paraId="4C115608" w14:textId="77777777" w:rsidR="009C3CC3" w:rsidRDefault="009C3CC3" w:rsidP="00E548F5">
            <w:pPr>
              <w:keepNext/>
              <w:keepLines/>
              <w:spacing w:before="0"/>
              <w:jc w:val="right"/>
            </w:pPr>
            <w:r w:rsidRPr="1CD2C273">
              <w:rPr>
                <w:rFonts w:eastAsia="Open Sans Light" w:cs="Open Sans Light"/>
                <w:color w:val="000000" w:themeColor="text1"/>
                <w:sz w:val="16"/>
                <w:szCs w:val="16"/>
              </w:rPr>
              <w:t>0</w:t>
            </w:r>
          </w:p>
        </w:tc>
        <w:tc>
          <w:tcPr>
            <w:tcW w:w="759" w:type="dxa"/>
            <w:tcBorders>
              <w:top w:val="single" w:sz="4" w:space="0" w:color="ADD6EA"/>
              <w:left w:val="nil"/>
              <w:bottom w:val="nil"/>
              <w:right w:val="nil"/>
            </w:tcBorders>
            <w:shd w:val="clear" w:color="auto" w:fill="auto"/>
            <w:noWrap/>
            <w:vAlign w:val="bottom"/>
            <w:hideMark/>
          </w:tcPr>
          <w:p w14:paraId="501E535D" w14:textId="77777777" w:rsidR="009C3CC3" w:rsidRDefault="009C3CC3" w:rsidP="00E548F5">
            <w:pPr>
              <w:keepNext/>
              <w:keepLines/>
              <w:spacing w:before="0"/>
              <w:jc w:val="right"/>
            </w:pPr>
            <w:r w:rsidRPr="1CD2C273">
              <w:rPr>
                <w:rFonts w:eastAsia="Open Sans Light" w:cs="Open Sans Light"/>
                <w:color w:val="000000" w:themeColor="text1"/>
                <w:sz w:val="16"/>
                <w:szCs w:val="16"/>
              </w:rPr>
              <w:t>0</w:t>
            </w:r>
          </w:p>
        </w:tc>
        <w:tc>
          <w:tcPr>
            <w:tcW w:w="760" w:type="dxa"/>
            <w:tcBorders>
              <w:top w:val="single" w:sz="4" w:space="0" w:color="ADD6EA"/>
              <w:left w:val="nil"/>
              <w:bottom w:val="nil"/>
              <w:right w:val="nil"/>
            </w:tcBorders>
            <w:shd w:val="clear" w:color="auto" w:fill="auto"/>
            <w:noWrap/>
            <w:vAlign w:val="bottom"/>
            <w:hideMark/>
          </w:tcPr>
          <w:p w14:paraId="3670E430" w14:textId="77777777" w:rsidR="009C3CC3" w:rsidRDefault="009C3CC3" w:rsidP="00E548F5">
            <w:pPr>
              <w:keepNext/>
              <w:keepLines/>
              <w:spacing w:before="0"/>
              <w:jc w:val="right"/>
            </w:pPr>
            <w:r w:rsidRPr="1CD2C273">
              <w:rPr>
                <w:rFonts w:eastAsia="Open Sans Light" w:cs="Open Sans Light"/>
                <w:color w:val="000000" w:themeColor="text1"/>
                <w:sz w:val="16"/>
                <w:szCs w:val="16"/>
              </w:rPr>
              <w:t>0</w:t>
            </w:r>
          </w:p>
        </w:tc>
      </w:tr>
      <w:tr w:rsidR="009C3CC3" w14:paraId="037CF182" w14:textId="77777777" w:rsidTr="005729FD">
        <w:trPr>
          <w:trHeight w:val="315"/>
        </w:trPr>
        <w:tc>
          <w:tcPr>
            <w:tcW w:w="2127" w:type="dxa"/>
            <w:tcBorders>
              <w:top w:val="single" w:sz="4" w:space="0" w:color="ADD6EA"/>
              <w:left w:val="nil"/>
              <w:bottom w:val="nil"/>
              <w:right w:val="nil"/>
            </w:tcBorders>
            <w:shd w:val="clear" w:color="auto" w:fill="auto"/>
            <w:vAlign w:val="bottom"/>
            <w:hideMark/>
          </w:tcPr>
          <w:p w14:paraId="1BDEF0A7" w14:textId="77777777" w:rsidR="009C3CC3" w:rsidRDefault="009C3CC3" w:rsidP="00E548F5">
            <w:pPr>
              <w:keepNext/>
              <w:keepLines/>
              <w:spacing w:before="0"/>
            </w:pPr>
            <w:r w:rsidRPr="1CD2C273">
              <w:rPr>
                <w:rFonts w:eastAsia="Open Sans Light" w:cs="Open Sans Light"/>
                <w:color w:val="000000" w:themeColor="text1"/>
                <w:sz w:val="16"/>
                <w:szCs w:val="16"/>
              </w:rPr>
              <w:t>Concessions</w:t>
            </w:r>
          </w:p>
        </w:tc>
        <w:tc>
          <w:tcPr>
            <w:tcW w:w="759" w:type="dxa"/>
            <w:tcBorders>
              <w:top w:val="single" w:sz="4" w:space="0" w:color="ADD6EA"/>
              <w:left w:val="nil"/>
              <w:bottom w:val="nil"/>
              <w:right w:val="nil"/>
            </w:tcBorders>
            <w:shd w:val="clear" w:color="auto" w:fill="auto"/>
            <w:noWrap/>
            <w:vAlign w:val="bottom"/>
            <w:hideMark/>
          </w:tcPr>
          <w:p w14:paraId="52C2ED11" w14:textId="77777777" w:rsidR="009C3CC3" w:rsidRDefault="009C3CC3" w:rsidP="00E548F5">
            <w:pPr>
              <w:keepNext/>
              <w:keepLines/>
              <w:spacing w:before="0"/>
              <w:jc w:val="right"/>
            </w:pPr>
            <w:r w:rsidRPr="1CD2C273">
              <w:rPr>
                <w:rFonts w:eastAsia="Open Sans Light" w:cs="Open Sans Light"/>
                <w:color w:val="000000" w:themeColor="text1"/>
                <w:sz w:val="16"/>
                <w:szCs w:val="16"/>
              </w:rPr>
              <w:t>-18</w:t>
            </w:r>
          </w:p>
        </w:tc>
        <w:tc>
          <w:tcPr>
            <w:tcW w:w="759" w:type="dxa"/>
            <w:tcBorders>
              <w:top w:val="single" w:sz="4" w:space="0" w:color="ADD6EA"/>
              <w:left w:val="nil"/>
              <w:bottom w:val="nil"/>
              <w:right w:val="nil"/>
            </w:tcBorders>
            <w:shd w:val="clear" w:color="auto" w:fill="auto"/>
            <w:noWrap/>
            <w:vAlign w:val="bottom"/>
            <w:hideMark/>
          </w:tcPr>
          <w:p w14:paraId="1B0D7A12" w14:textId="77777777" w:rsidR="009C3CC3" w:rsidRDefault="009C3CC3" w:rsidP="00E548F5">
            <w:pPr>
              <w:keepNext/>
              <w:keepLines/>
              <w:spacing w:before="0"/>
              <w:jc w:val="right"/>
            </w:pPr>
            <w:r w:rsidRPr="1CD2C273">
              <w:rPr>
                <w:rFonts w:eastAsia="Open Sans Light" w:cs="Open Sans Light"/>
                <w:color w:val="000000" w:themeColor="text1"/>
                <w:sz w:val="16"/>
                <w:szCs w:val="16"/>
              </w:rPr>
              <w:t>-24</w:t>
            </w:r>
          </w:p>
        </w:tc>
        <w:tc>
          <w:tcPr>
            <w:tcW w:w="759" w:type="dxa"/>
            <w:tcBorders>
              <w:top w:val="single" w:sz="4" w:space="0" w:color="ADD6EA"/>
              <w:left w:val="nil"/>
              <w:bottom w:val="nil"/>
              <w:right w:val="nil"/>
            </w:tcBorders>
            <w:shd w:val="clear" w:color="auto" w:fill="auto"/>
            <w:noWrap/>
            <w:vAlign w:val="bottom"/>
            <w:hideMark/>
          </w:tcPr>
          <w:p w14:paraId="6F10D6A8" w14:textId="77777777" w:rsidR="009C3CC3" w:rsidRDefault="009C3CC3" w:rsidP="00E548F5">
            <w:pPr>
              <w:keepNext/>
              <w:keepLines/>
              <w:spacing w:before="0"/>
              <w:jc w:val="right"/>
            </w:pPr>
            <w:r w:rsidRPr="1CD2C273">
              <w:rPr>
                <w:rFonts w:eastAsia="Open Sans Light" w:cs="Open Sans Light"/>
                <w:color w:val="000000" w:themeColor="text1"/>
                <w:sz w:val="16"/>
                <w:szCs w:val="16"/>
              </w:rPr>
              <w:t>40</w:t>
            </w:r>
          </w:p>
        </w:tc>
        <w:tc>
          <w:tcPr>
            <w:tcW w:w="759" w:type="dxa"/>
            <w:tcBorders>
              <w:top w:val="single" w:sz="4" w:space="0" w:color="ADD6EA"/>
              <w:left w:val="nil"/>
              <w:bottom w:val="nil"/>
              <w:right w:val="nil"/>
            </w:tcBorders>
            <w:shd w:val="clear" w:color="auto" w:fill="auto"/>
            <w:noWrap/>
            <w:vAlign w:val="bottom"/>
            <w:hideMark/>
          </w:tcPr>
          <w:p w14:paraId="7407EE3A" w14:textId="77777777" w:rsidR="009C3CC3" w:rsidRDefault="009C3CC3" w:rsidP="00E548F5">
            <w:pPr>
              <w:keepNext/>
              <w:keepLines/>
              <w:spacing w:before="0"/>
              <w:jc w:val="right"/>
            </w:pPr>
            <w:r w:rsidRPr="1CD2C273">
              <w:rPr>
                <w:rFonts w:eastAsia="Open Sans Light" w:cs="Open Sans Light"/>
                <w:color w:val="000000" w:themeColor="text1"/>
                <w:sz w:val="16"/>
                <w:szCs w:val="16"/>
              </w:rPr>
              <w:t>-33</w:t>
            </w:r>
          </w:p>
        </w:tc>
        <w:tc>
          <w:tcPr>
            <w:tcW w:w="759" w:type="dxa"/>
            <w:tcBorders>
              <w:top w:val="single" w:sz="4" w:space="0" w:color="ADD6EA"/>
              <w:left w:val="nil"/>
              <w:bottom w:val="nil"/>
              <w:right w:val="nil"/>
            </w:tcBorders>
            <w:shd w:val="clear" w:color="auto" w:fill="auto"/>
            <w:noWrap/>
            <w:vAlign w:val="bottom"/>
            <w:hideMark/>
          </w:tcPr>
          <w:p w14:paraId="6F4B295E" w14:textId="77777777" w:rsidR="009C3CC3" w:rsidRDefault="009C3CC3" w:rsidP="00E548F5">
            <w:pPr>
              <w:keepNext/>
              <w:keepLines/>
              <w:spacing w:before="0"/>
              <w:jc w:val="right"/>
            </w:pPr>
            <w:r w:rsidRPr="1CD2C273">
              <w:rPr>
                <w:rFonts w:eastAsia="Open Sans Light" w:cs="Open Sans Light"/>
                <w:color w:val="000000" w:themeColor="text1"/>
                <w:sz w:val="16"/>
                <w:szCs w:val="16"/>
              </w:rPr>
              <w:t>40</w:t>
            </w:r>
          </w:p>
        </w:tc>
        <w:tc>
          <w:tcPr>
            <w:tcW w:w="759" w:type="dxa"/>
            <w:tcBorders>
              <w:top w:val="single" w:sz="4" w:space="0" w:color="ADD6EA"/>
              <w:left w:val="nil"/>
              <w:bottom w:val="nil"/>
              <w:right w:val="nil"/>
            </w:tcBorders>
            <w:shd w:val="clear" w:color="auto" w:fill="auto"/>
            <w:noWrap/>
            <w:vAlign w:val="bottom"/>
            <w:hideMark/>
          </w:tcPr>
          <w:p w14:paraId="317EF68E" w14:textId="77777777" w:rsidR="009C3CC3" w:rsidRDefault="009C3CC3" w:rsidP="00E548F5">
            <w:pPr>
              <w:keepNext/>
              <w:keepLines/>
              <w:spacing w:before="0"/>
              <w:jc w:val="right"/>
            </w:pPr>
            <w:r w:rsidRPr="1CD2C273">
              <w:rPr>
                <w:rFonts w:eastAsia="Open Sans Light" w:cs="Open Sans Light"/>
                <w:color w:val="000000" w:themeColor="text1"/>
                <w:sz w:val="16"/>
                <w:szCs w:val="16"/>
              </w:rPr>
              <w:t>19</w:t>
            </w:r>
          </w:p>
        </w:tc>
        <w:tc>
          <w:tcPr>
            <w:tcW w:w="759" w:type="dxa"/>
            <w:tcBorders>
              <w:top w:val="single" w:sz="4" w:space="0" w:color="ADD6EA"/>
              <w:left w:val="nil"/>
              <w:bottom w:val="nil"/>
              <w:right w:val="nil"/>
            </w:tcBorders>
            <w:shd w:val="clear" w:color="auto" w:fill="auto"/>
            <w:noWrap/>
            <w:vAlign w:val="bottom"/>
            <w:hideMark/>
          </w:tcPr>
          <w:p w14:paraId="6EC585B7" w14:textId="77777777" w:rsidR="009C3CC3" w:rsidRDefault="009C3CC3" w:rsidP="00E548F5">
            <w:pPr>
              <w:keepNext/>
              <w:keepLines/>
              <w:spacing w:before="0"/>
              <w:jc w:val="right"/>
            </w:pPr>
            <w:r w:rsidRPr="1CD2C273">
              <w:rPr>
                <w:rFonts w:eastAsia="Open Sans Light" w:cs="Open Sans Light"/>
                <w:color w:val="000000" w:themeColor="text1"/>
                <w:sz w:val="16"/>
                <w:szCs w:val="16"/>
              </w:rPr>
              <w:t>-23</w:t>
            </w:r>
          </w:p>
        </w:tc>
        <w:tc>
          <w:tcPr>
            <w:tcW w:w="759" w:type="dxa"/>
            <w:tcBorders>
              <w:top w:val="single" w:sz="4" w:space="0" w:color="ADD6EA"/>
              <w:left w:val="nil"/>
              <w:bottom w:val="nil"/>
              <w:right w:val="nil"/>
            </w:tcBorders>
            <w:shd w:val="clear" w:color="auto" w:fill="auto"/>
            <w:noWrap/>
            <w:vAlign w:val="bottom"/>
            <w:hideMark/>
          </w:tcPr>
          <w:p w14:paraId="2AA7BF68" w14:textId="77777777" w:rsidR="009C3CC3" w:rsidRDefault="009C3CC3" w:rsidP="00E548F5">
            <w:pPr>
              <w:keepNext/>
              <w:keepLines/>
              <w:spacing w:before="0"/>
              <w:jc w:val="right"/>
            </w:pPr>
            <w:r w:rsidRPr="1CD2C273">
              <w:rPr>
                <w:rFonts w:eastAsia="Open Sans Light" w:cs="Open Sans Light"/>
                <w:color w:val="000000" w:themeColor="text1"/>
                <w:sz w:val="16"/>
                <w:szCs w:val="16"/>
              </w:rPr>
              <w:t>-1</w:t>
            </w:r>
          </w:p>
        </w:tc>
        <w:tc>
          <w:tcPr>
            <w:tcW w:w="760" w:type="dxa"/>
            <w:tcBorders>
              <w:top w:val="single" w:sz="4" w:space="0" w:color="ADD6EA"/>
              <w:left w:val="nil"/>
              <w:bottom w:val="nil"/>
              <w:right w:val="nil"/>
            </w:tcBorders>
            <w:shd w:val="clear" w:color="auto" w:fill="auto"/>
            <w:noWrap/>
            <w:vAlign w:val="bottom"/>
            <w:hideMark/>
          </w:tcPr>
          <w:p w14:paraId="0066D16D" w14:textId="77777777" w:rsidR="009C3CC3" w:rsidRDefault="009C3CC3" w:rsidP="00E548F5">
            <w:pPr>
              <w:keepNext/>
              <w:keepLines/>
              <w:spacing w:before="0"/>
              <w:jc w:val="right"/>
            </w:pPr>
            <w:r w:rsidRPr="1CD2C273">
              <w:rPr>
                <w:rFonts w:eastAsia="Open Sans Light" w:cs="Open Sans Light"/>
                <w:color w:val="000000" w:themeColor="text1"/>
                <w:sz w:val="16"/>
                <w:szCs w:val="16"/>
              </w:rPr>
              <w:t>99</w:t>
            </w:r>
          </w:p>
        </w:tc>
      </w:tr>
      <w:tr w:rsidR="009C3CC3" w:rsidRPr="00433DCB" w14:paraId="44727C87" w14:textId="77777777" w:rsidTr="005729FD">
        <w:trPr>
          <w:trHeight w:val="315"/>
        </w:trPr>
        <w:tc>
          <w:tcPr>
            <w:tcW w:w="2127" w:type="dxa"/>
            <w:tcBorders>
              <w:top w:val="single" w:sz="4" w:space="0" w:color="ADD6EA"/>
              <w:left w:val="nil"/>
              <w:bottom w:val="nil"/>
              <w:right w:val="nil"/>
            </w:tcBorders>
            <w:shd w:val="clear" w:color="auto" w:fill="auto"/>
            <w:vAlign w:val="bottom"/>
            <w:hideMark/>
          </w:tcPr>
          <w:p w14:paraId="6B49B076" w14:textId="77777777" w:rsidR="009C3CC3" w:rsidRDefault="009C3CC3" w:rsidP="00E548F5">
            <w:pPr>
              <w:keepNext/>
              <w:keepLines/>
              <w:spacing w:before="0"/>
            </w:pPr>
            <w:r w:rsidRPr="1CD2C273">
              <w:rPr>
                <w:rFonts w:eastAsia="Open Sans Light" w:cs="Open Sans Light"/>
                <w:color w:val="000000" w:themeColor="text1"/>
                <w:sz w:val="16"/>
                <w:szCs w:val="16"/>
              </w:rPr>
              <w:t>Other welfare</w:t>
            </w:r>
          </w:p>
        </w:tc>
        <w:tc>
          <w:tcPr>
            <w:tcW w:w="759" w:type="dxa"/>
            <w:tcBorders>
              <w:top w:val="single" w:sz="4" w:space="0" w:color="ADD6EA"/>
              <w:left w:val="nil"/>
              <w:bottom w:val="nil"/>
              <w:right w:val="nil"/>
            </w:tcBorders>
            <w:shd w:val="clear" w:color="auto" w:fill="auto"/>
            <w:noWrap/>
            <w:vAlign w:val="bottom"/>
            <w:hideMark/>
          </w:tcPr>
          <w:p w14:paraId="05039BD6" w14:textId="77777777" w:rsidR="009C3CC3" w:rsidRDefault="009C3CC3" w:rsidP="00E548F5">
            <w:pPr>
              <w:keepNext/>
              <w:keepLines/>
              <w:spacing w:before="0"/>
              <w:jc w:val="right"/>
            </w:pPr>
            <w:r w:rsidRPr="1CD2C273">
              <w:rPr>
                <w:rFonts w:eastAsia="Open Sans Light" w:cs="Open Sans Light"/>
                <w:color w:val="000000" w:themeColor="text1"/>
                <w:sz w:val="16"/>
                <w:szCs w:val="16"/>
              </w:rPr>
              <w:t>0</w:t>
            </w:r>
          </w:p>
        </w:tc>
        <w:tc>
          <w:tcPr>
            <w:tcW w:w="759" w:type="dxa"/>
            <w:tcBorders>
              <w:top w:val="single" w:sz="4" w:space="0" w:color="ADD6EA"/>
              <w:left w:val="nil"/>
              <w:bottom w:val="nil"/>
              <w:right w:val="nil"/>
            </w:tcBorders>
            <w:shd w:val="clear" w:color="auto" w:fill="auto"/>
            <w:noWrap/>
            <w:vAlign w:val="bottom"/>
            <w:hideMark/>
          </w:tcPr>
          <w:p w14:paraId="767E22E7" w14:textId="77777777" w:rsidR="009C3CC3" w:rsidRDefault="009C3CC3" w:rsidP="00E548F5">
            <w:pPr>
              <w:keepNext/>
              <w:keepLines/>
              <w:spacing w:before="0"/>
              <w:jc w:val="right"/>
            </w:pPr>
            <w:r w:rsidRPr="1CD2C273">
              <w:rPr>
                <w:rFonts w:eastAsia="Open Sans Light" w:cs="Open Sans Light"/>
                <w:color w:val="000000" w:themeColor="text1"/>
                <w:sz w:val="16"/>
                <w:szCs w:val="16"/>
              </w:rPr>
              <w:t>-5</w:t>
            </w:r>
          </w:p>
        </w:tc>
        <w:tc>
          <w:tcPr>
            <w:tcW w:w="759" w:type="dxa"/>
            <w:tcBorders>
              <w:top w:val="single" w:sz="4" w:space="0" w:color="ADD6EA"/>
              <w:left w:val="nil"/>
              <w:bottom w:val="nil"/>
              <w:right w:val="nil"/>
            </w:tcBorders>
            <w:shd w:val="clear" w:color="auto" w:fill="auto"/>
            <w:noWrap/>
            <w:vAlign w:val="bottom"/>
            <w:hideMark/>
          </w:tcPr>
          <w:p w14:paraId="600DE0AB" w14:textId="77777777" w:rsidR="009C3CC3" w:rsidRDefault="009C3CC3" w:rsidP="00E548F5">
            <w:pPr>
              <w:keepNext/>
              <w:keepLines/>
              <w:spacing w:before="0"/>
              <w:jc w:val="right"/>
            </w:pPr>
            <w:r w:rsidRPr="1CD2C273">
              <w:rPr>
                <w:rFonts w:eastAsia="Open Sans Light" w:cs="Open Sans Light"/>
                <w:color w:val="000000" w:themeColor="text1"/>
                <w:sz w:val="16"/>
                <w:szCs w:val="16"/>
              </w:rPr>
              <w:t>-1</w:t>
            </w:r>
          </w:p>
        </w:tc>
        <w:tc>
          <w:tcPr>
            <w:tcW w:w="759" w:type="dxa"/>
            <w:tcBorders>
              <w:top w:val="single" w:sz="4" w:space="0" w:color="ADD6EA"/>
              <w:left w:val="nil"/>
              <w:bottom w:val="nil"/>
              <w:right w:val="nil"/>
            </w:tcBorders>
            <w:shd w:val="clear" w:color="auto" w:fill="auto"/>
            <w:noWrap/>
            <w:vAlign w:val="bottom"/>
            <w:hideMark/>
          </w:tcPr>
          <w:p w14:paraId="0F70D791" w14:textId="77777777" w:rsidR="009C3CC3" w:rsidRDefault="009C3CC3" w:rsidP="00E548F5">
            <w:pPr>
              <w:keepNext/>
              <w:keepLines/>
              <w:spacing w:before="0"/>
              <w:jc w:val="right"/>
            </w:pPr>
            <w:r w:rsidRPr="1CD2C273">
              <w:rPr>
                <w:rFonts w:eastAsia="Open Sans Light" w:cs="Open Sans Light"/>
                <w:color w:val="000000" w:themeColor="text1"/>
                <w:sz w:val="16"/>
                <w:szCs w:val="16"/>
              </w:rPr>
              <w:t>5</w:t>
            </w:r>
          </w:p>
        </w:tc>
        <w:tc>
          <w:tcPr>
            <w:tcW w:w="759" w:type="dxa"/>
            <w:tcBorders>
              <w:top w:val="single" w:sz="4" w:space="0" w:color="ADD6EA"/>
              <w:left w:val="nil"/>
              <w:bottom w:val="nil"/>
              <w:right w:val="nil"/>
            </w:tcBorders>
            <w:shd w:val="clear" w:color="auto" w:fill="auto"/>
            <w:noWrap/>
            <w:vAlign w:val="bottom"/>
            <w:hideMark/>
          </w:tcPr>
          <w:p w14:paraId="770A882D" w14:textId="77777777" w:rsidR="009C3CC3" w:rsidRDefault="009C3CC3" w:rsidP="00E548F5">
            <w:pPr>
              <w:keepNext/>
              <w:keepLines/>
              <w:spacing w:before="0"/>
              <w:jc w:val="right"/>
            </w:pPr>
            <w:r w:rsidRPr="1CD2C273">
              <w:rPr>
                <w:rFonts w:eastAsia="Open Sans Light" w:cs="Open Sans Light"/>
                <w:color w:val="000000" w:themeColor="text1"/>
                <w:sz w:val="16"/>
                <w:szCs w:val="16"/>
              </w:rPr>
              <w:t>-1</w:t>
            </w:r>
          </w:p>
        </w:tc>
        <w:tc>
          <w:tcPr>
            <w:tcW w:w="759" w:type="dxa"/>
            <w:tcBorders>
              <w:top w:val="single" w:sz="4" w:space="0" w:color="ADD6EA"/>
              <w:left w:val="nil"/>
              <w:bottom w:val="nil"/>
              <w:right w:val="nil"/>
            </w:tcBorders>
            <w:shd w:val="clear" w:color="auto" w:fill="auto"/>
            <w:noWrap/>
            <w:vAlign w:val="bottom"/>
            <w:hideMark/>
          </w:tcPr>
          <w:p w14:paraId="6A171085" w14:textId="77777777" w:rsidR="009C3CC3" w:rsidRDefault="009C3CC3" w:rsidP="00E548F5">
            <w:pPr>
              <w:keepNext/>
              <w:keepLines/>
              <w:spacing w:before="0"/>
              <w:jc w:val="right"/>
            </w:pPr>
            <w:r w:rsidRPr="1CD2C273">
              <w:rPr>
                <w:rFonts w:eastAsia="Open Sans Light" w:cs="Open Sans Light"/>
                <w:color w:val="000000" w:themeColor="text1"/>
                <w:sz w:val="16"/>
                <w:szCs w:val="16"/>
              </w:rPr>
              <w:t>0</w:t>
            </w:r>
          </w:p>
        </w:tc>
        <w:tc>
          <w:tcPr>
            <w:tcW w:w="759" w:type="dxa"/>
            <w:tcBorders>
              <w:top w:val="single" w:sz="4" w:space="0" w:color="ADD6EA"/>
              <w:left w:val="nil"/>
              <w:bottom w:val="nil"/>
              <w:right w:val="nil"/>
            </w:tcBorders>
            <w:shd w:val="clear" w:color="auto" w:fill="auto"/>
            <w:noWrap/>
            <w:vAlign w:val="bottom"/>
            <w:hideMark/>
          </w:tcPr>
          <w:p w14:paraId="11E1A6FF" w14:textId="77777777" w:rsidR="009C3CC3" w:rsidRDefault="009C3CC3" w:rsidP="00E548F5">
            <w:pPr>
              <w:keepNext/>
              <w:keepLines/>
              <w:spacing w:before="0"/>
              <w:jc w:val="right"/>
            </w:pPr>
            <w:r w:rsidRPr="1CD2C273">
              <w:rPr>
                <w:rFonts w:eastAsia="Open Sans Light" w:cs="Open Sans Light"/>
                <w:color w:val="000000" w:themeColor="text1"/>
                <w:sz w:val="16"/>
                <w:szCs w:val="16"/>
              </w:rPr>
              <w:t>1</w:t>
            </w:r>
          </w:p>
        </w:tc>
        <w:tc>
          <w:tcPr>
            <w:tcW w:w="759" w:type="dxa"/>
            <w:tcBorders>
              <w:top w:val="single" w:sz="4" w:space="0" w:color="ADD6EA"/>
              <w:left w:val="nil"/>
              <w:bottom w:val="nil"/>
              <w:right w:val="nil"/>
            </w:tcBorders>
            <w:shd w:val="clear" w:color="auto" w:fill="auto"/>
            <w:noWrap/>
            <w:vAlign w:val="bottom"/>
            <w:hideMark/>
          </w:tcPr>
          <w:p w14:paraId="18D02E99" w14:textId="77777777" w:rsidR="009C3CC3" w:rsidRDefault="009C3CC3" w:rsidP="00E548F5">
            <w:pPr>
              <w:keepNext/>
              <w:keepLines/>
              <w:spacing w:before="0"/>
              <w:jc w:val="right"/>
            </w:pPr>
            <w:r w:rsidRPr="1CD2C273">
              <w:rPr>
                <w:rFonts w:eastAsia="Open Sans Light" w:cs="Open Sans Light"/>
                <w:color w:val="000000" w:themeColor="text1"/>
                <w:sz w:val="16"/>
                <w:szCs w:val="16"/>
              </w:rPr>
              <w:t>2</w:t>
            </w:r>
          </w:p>
        </w:tc>
        <w:tc>
          <w:tcPr>
            <w:tcW w:w="760" w:type="dxa"/>
            <w:tcBorders>
              <w:top w:val="single" w:sz="4" w:space="0" w:color="ADD6EA"/>
              <w:left w:val="nil"/>
              <w:bottom w:val="nil"/>
              <w:right w:val="nil"/>
            </w:tcBorders>
            <w:shd w:val="clear" w:color="auto" w:fill="auto"/>
            <w:noWrap/>
            <w:vAlign w:val="bottom"/>
            <w:hideMark/>
          </w:tcPr>
          <w:p w14:paraId="059872A3" w14:textId="77777777" w:rsidR="009C3CC3" w:rsidRDefault="009C3CC3" w:rsidP="00E548F5">
            <w:pPr>
              <w:keepNext/>
              <w:keepLines/>
              <w:spacing w:before="0"/>
              <w:jc w:val="right"/>
            </w:pPr>
            <w:r w:rsidRPr="1CD2C273">
              <w:rPr>
                <w:rFonts w:eastAsia="Open Sans Light" w:cs="Open Sans Light"/>
                <w:color w:val="000000" w:themeColor="text1"/>
                <w:sz w:val="16"/>
                <w:szCs w:val="16"/>
              </w:rPr>
              <w:t>8</w:t>
            </w:r>
          </w:p>
        </w:tc>
      </w:tr>
      <w:tr w:rsidR="009C3CC3" w:rsidRPr="00433DCB" w14:paraId="698CEBE0" w14:textId="77777777" w:rsidTr="002A29D9">
        <w:trPr>
          <w:trHeight w:val="300"/>
        </w:trPr>
        <w:tc>
          <w:tcPr>
            <w:tcW w:w="2127" w:type="dxa"/>
            <w:tcBorders>
              <w:top w:val="single" w:sz="4" w:space="0" w:color="ADD6EA"/>
              <w:left w:val="nil"/>
              <w:bottom w:val="nil"/>
              <w:right w:val="nil"/>
            </w:tcBorders>
            <w:shd w:val="clear" w:color="auto" w:fill="D6E7F0"/>
            <w:vAlign w:val="bottom"/>
            <w:hideMark/>
          </w:tcPr>
          <w:p w14:paraId="7720326A" w14:textId="77777777" w:rsidR="009C3CC3" w:rsidRDefault="009C3CC3" w:rsidP="00E548F5">
            <w:pPr>
              <w:keepNext/>
              <w:keepLines/>
              <w:spacing w:before="0"/>
            </w:pPr>
            <w:r w:rsidRPr="1CD2C273">
              <w:rPr>
                <w:rFonts w:ascii="Open Sans Semibold" w:eastAsia="Open Sans Semibold" w:hAnsi="Open Sans Semibold" w:cs="Open Sans Semibold"/>
                <w:color w:val="000000" w:themeColor="text1"/>
                <w:sz w:val="16"/>
                <w:szCs w:val="16"/>
              </w:rPr>
              <w:t>Total ($m)</w:t>
            </w:r>
          </w:p>
        </w:tc>
        <w:tc>
          <w:tcPr>
            <w:tcW w:w="759" w:type="dxa"/>
            <w:tcBorders>
              <w:top w:val="single" w:sz="4" w:space="0" w:color="ADD6EA"/>
              <w:left w:val="nil"/>
              <w:bottom w:val="nil"/>
              <w:right w:val="nil"/>
            </w:tcBorders>
            <w:shd w:val="clear" w:color="auto" w:fill="D6E7F0"/>
            <w:noWrap/>
            <w:vAlign w:val="bottom"/>
            <w:hideMark/>
          </w:tcPr>
          <w:p w14:paraId="293AF183"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33</w:t>
            </w:r>
          </w:p>
        </w:tc>
        <w:tc>
          <w:tcPr>
            <w:tcW w:w="759" w:type="dxa"/>
            <w:tcBorders>
              <w:top w:val="single" w:sz="4" w:space="0" w:color="ADD6EA"/>
              <w:left w:val="nil"/>
              <w:bottom w:val="nil"/>
              <w:right w:val="nil"/>
            </w:tcBorders>
            <w:shd w:val="clear" w:color="auto" w:fill="D6E7F0"/>
            <w:noWrap/>
            <w:vAlign w:val="bottom"/>
            <w:hideMark/>
          </w:tcPr>
          <w:p w14:paraId="555002BC"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-743</w:t>
            </w:r>
          </w:p>
        </w:tc>
        <w:tc>
          <w:tcPr>
            <w:tcW w:w="759" w:type="dxa"/>
            <w:tcBorders>
              <w:top w:val="single" w:sz="4" w:space="0" w:color="ADD6EA"/>
              <w:left w:val="nil"/>
              <w:bottom w:val="nil"/>
              <w:right w:val="nil"/>
            </w:tcBorders>
            <w:shd w:val="clear" w:color="auto" w:fill="D6E7F0"/>
            <w:noWrap/>
            <w:vAlign w:val="bottom"/>
            <w:hideMark/>
          </w:tcPr>
          <w:p w14:paraId="7985BF75"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406</w:t>
            </w:r>
          </w:p>
        </w:tc>
        <w:tc>
          <w:tcPr>
            <w:tcW w:w="759" w:type="dxa"/>
            <w:tcBorders>
              <w:top w:val="single" w:sz="4" w:space="0" w:color="ADD6EA"/>
              <w:left w:val="nil"/>
              <w:bottom w:val="nil"/>
              <w:right w:val="nil"/>
            </w:tcBorders>
            <w:shd w:val="clear" w:color="auto" w:fill="D6E7F0"/>
            <w:noWrap/>
            <w:vAlign w:val="bottom"/>
            <w:hideMark/>
          </w:tcPr>
          <w:p w14:paraId="1B0EF18E"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29</w:t>
            </w:r>
          </w:p>
        </w:tc>
        <w:tc>
          <w:tcPr>
            <w:tcW w:w="759" w:type="dxa"/>
            <w:tcBorders>
              <w:top w:val="single" w:sz="4" w:space="0" w:color="ADD6EA"/>
              <w:left w:val="nil"/>
              <w:bottom w:val="nil"/>
              <w:right w:val="nil"/>
            </w:tcBorders>
            <w:shd w:val="clear" w:color="auto" w:fill="D6E7F0"/>
            <w:noWrap/>
            <w:vAlign w:val="bottom"/>
            <w:hideMark/>
          </w:tcPr>
          <w:p w14:paraId="2755866A"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-4</w:t>
            </w:r>
          </w:p>
        </w:tc>
        <w:tc>
          <w:tcPr>
            <w:tcW w:w="759" w:type="dxa"/>
            <w:tcBorders>
              <w:top w:val="single" w:sz="4" w:space="0" w:color="ADD6EA"/>
              <w:left w:val="nil"/>
              <w:bottom w:val="nil"/>
              <w:right w:val="nil"/>
            </w:tcBorders>
            <w:shd w:val="clear" w:color="auto" w:fill="D6E7F0"/>
            <w:noWrap/>
            <w:vAlign w:val="bottom"/>
            <w:hideMark/>
          </w:tcPr>
          <w:p w14:paraId="17126255"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75</w:t>
            </w:r>
          </w:p>
        </w:tc>
        <w:tc>
          <w:tcPr>
            <w:tcW w:w="759" w:type="dxa"/>
            <w:tcBorders>
              <w:top w:val="single" w:sz="4" w:space="0" w:color="ADD6EA"/>
              <w:left w:val="nil"/>
              <w:bottom w:val="nil"/>
              <w:right w:val="nil"/>
            </w:tcBorders>
            <w:shd w:val="clear" w:color="auto" w:fill="D6E7F0"/>
            <w:noWrap/>
            <w:vAlign w:val="bottom"/>
            <w:hideMark/>
          </w:tcPr>
          <w:p w14:paraId="375317D8"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-81</w:t>
            </w:r>
          </w:p>
        </w:tc>
        <w:tc>
          <w:tcPr>
            <w:tcW w:w="759" w:type="dxa"/>
            <w:tcBorders>
              <w:top w:val="single" w:sz="4" w:space="0" w:color="ADD6EA"/>
              <w:left w:val="nil"/>
              <w:bottom w:val="nil"/>
              <w:right w:val="nil"/>
            </w:tcBorders>
            <w:shd w:val="clear" w:color="auto" w:fill="D6E7F0"/>
            <w:noWrap/>
            <w:vAlign w:val="bottom"/>
            <w:hideMark/>
          </w:tcPr>
          <w:p w14:paraId="09C67F75"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285</w:t>
            </w:r>
          </w:p>
        </w:tc>
        <w:tc>
          <w:tcPr>
            <w:tcW w:w="760" w:type="dxa"/>
            <w:tcBorders>
              <w:top w:val="single" w:sz="4" w:space="0" w:color="ADD6EA"/>
              <w:left w:val="nil"/>
              <w:bottom w:val="nil"/>
              <w:right w:val="nil"/>
            </w:tcBorders>
            <w:shd w:val="clear" w:color="auto" w:fill="D6E7F0"/>
            <w:noWrap/>
            <w:vAlign w:val="bottom"/>
            <w:hideMark/>
          </w:tcPr>
          <w:p w14:paraId="1F1451A5"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938</w:t>
            </w:r>
          </w:p>
        </w:tc>
      </w:tr>
      <w:tr w:rsidR="009C3CC3" w:rsidRPr="00433DCB" w14:paraId="6D74E8BD" w14:textId="77777777" w:rsidTr="002A29D9">
        <w:trPr>
          <w:trHeight w:val="300"/>
        </w:trPr>
        <w:tc>
          <w:tcPr>
            <w:tcW w:w="2127" w:type="dxa"/>
            <w:tcBorders>
              <w:top w:val="single" w:sz="4" w:space="0" w:color="ADD6EA"/>
              <w:left w:val="nil"/>
              <w:bottom w:val="nil"/>
              <w:right w:val="nil"/>
            </w:tcBorders>
            <w:shd w:val="clear" w:color="auto" w:fill="B6D5E4"/>
            <w:vAlign w:val="bottom"/>
            <w:hideMark/>
          </w:tcPr>
          <w:p w14:paraId="5E41CE69" w14:textId="77777777" w:rsidR="009C3CC3" w:rsidRDefault="009C3CC3" w:rsidP="00E548F5">
            <w:pPr>
              <w:keepNext/>
              <w:keepLines/>
              <w:spacing w:before="0"/>
            </w:pPr>
            <w:r w:rsidRPr="1CD2C273">
              <w:rPr>
                <w:rFonts w:ascii="Open Sans Semibold" w:eastAsia="Open Sans Semibold" w:hAnsi="Open Sans Semibold" w:cs="Open Sans Semibold"/>
                <w:color w:val="000000" w:themeColor="text1"/>
                <w:sz w:val="16"/>
                <w:szCs w:val="16"/>
              </w:rPr>
              <w:t>Total ($pc)</w:t>
            </w:r>
          </w:p>
        </w:tc>
        <w:tc>
          <w:tcPr>
            <w:tcW w:w="759" w:type="dxa"/>
            <w:tcBorders>
              <w:top w:val="single" w:sz="4" w:space="0" w:color="ADD6EA"/>
              <w:left w:val="nil"/>
              <w:bottom w:val="nil"/>
              <w:right w:val="nil"/>
            </w:tcBorders>
            <w:shd w:val="clear" w:color="auto" w:fill="B6D5E4"/>
            <w:noWrap/>
            <w:vAlign w:val="bottom"/>
            <w:hideMark/>
          </w:tcPr>
          <w:p w14:paraId="1D986A6A"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4</w:t>
            </w:r>
          </w:p>
        </w:tc>
        <w:tc>
          <w:tcPr>
            <w:tcW w:w="759" w:type="dxa"/>
            <w:tcBorders>
              <w:top w:val="single" w:sz="4" w:space="0" w:color="ADD6EA"/>
              <w:left w:val="nil"/>
              <w:bottom w:val="nil"/>
              <w:right w:val="nil"/>
            </w:tcBorders>
            <w:shd w:val="clear" w:color="auto" w:fill="B6D5E4"/>
            <w:noWrap/>
            <w:vAlign w:val="bottom"/>
            <w:hideMark/>
          </w:tcPr>
          <w:p w14:paraId="7B3716EE"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-110</w:t>
            </w:r>
          </w:p>
        </w:tc>
        <w:tc>
          <w:tcPr>
            <w:tcW w:w="759" w:type="dxa"/>
            <w:tcBorders>
              <w:top w:val="single" w:sz="4" w:space="0" w:color="ADD6EA"/>
              <w:left w:val="nil"/>
              <w:bottom w:val="nil"/>
              <w:right w:val="nil"/>
            </w:tcBorders>
            <w:shd w:val="clear" w:color="auto" w:fill="B6D5E4"/>
            <w:noWrap/>
            <w:vAlign w:val="bottom"/>
            <w:hideMark/>
          </w:tcPr>
          <w:p w14:paraId="0B77B208"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75</w:t>
            </w:r>
          </w:p>
        </w:tc>
        <w:tc>
          <w:tcPr>
            <w:tcW w:w="759" w:type="dxa"/>
            <w:tcBorders>
              <w:top w:val="single" w:sz="4" w:space="0" w:color="ADD6EA"/>
              <w:left w:val="nil"/>
              <w:bottom w:val="nil"/>
              <w:right w:val="nil"/>
            </w:tcBorders>
            <w:shd w:val="clear" w:color="auto" w:fill="B6D5E4"/>
            <w:noWrap/>
            <w:vAlign w:val="bottom"/>
            <w:hideMark/>
          </w:tcPr>
          <w:p w14:paraId="09F5A344"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10</w:t>
            </w:r>
          </w:p>
        </w:tc>
        <w:tc>
          <w:tcPr>
            <w:tcW w:w="759" w:type="dxa"/>
            <w:tcBorders>
              <w:top w:val="single" w:sz="4" w:space="0" w:color="ADD6EA"/>
              <w:left w:val="nil"/>
              <w:bottom w:val="nil"/>
              <w:right w:val="nil"/>
            </w:tcBorders>
            <w:shd w:val="clear" w:color="auto" w:fill="B6D5E4"/>
            <w:noWrap/>
            <w:vAlign w:val="bottom"/>
            <w:hideMark/>
          </w:tcPr>
          <w:p w14:paraId="2F8530AF"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-2</w:t>
            </w:r>
          </w:p>
        </w:tc>
        <w:tc>
          <w:tcPr>
            <w:tcW w:w="759" w:type="dxa"/>
            <w:tcBorders>
              <w:top w:val="single" w:sz="4" w:space="0" w:color="ADD6EA"/>
              <w:left w:val="nil"/>
              <w:bottom w:val="nil"/>
              <w:right w:val="nil"/>
            </w:tcBorders>
            <w:shd w:val="clear" w:color="auto" w:fill="B6D5E4"/>
            <w:noWrap/>
            <w:vAlign w:val="bottom"/>
            <w:hideMark/>
          </w:tcPr>
          <w:p w14:paraId="23A98045"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128</w:t>
            </w:r>
          </w:p>
        </w:tc>
        <w:tc>
          <w:tcPr>
            <w:tcW w:w="759" w:type="dxa"/>
            <w:tcBorders>
              <w:top w:val="single" w:sz="4" w:space="0" w:color="ADD6EA"/>
              <w:left w:val="nil"/>
              <w:bottom w:val="nil"/>
              <w:right w:val="nil"/>
            </w:tcBorders>
            <w:shd w:val="clear" w:color="auto" w:fill="B6D5E4"/>
            <w:noWrap/>
            <w:vAlign w:val="bottom"/>
            <w:hideMark/>
          </w:tcPr>
          <w:p w14:paraId="38AA909D"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-171</w:t>
            </w:r>
          </w:p>
        </w:tc>
        <w:tc>
          <w:tcPr>
            <w:tcW w:w="759" w:type="dxa"/>
            <w:tcBorders>
              <w:top w:val="single" w:sz="4" w:space="0" w:color="ADD6EA"/>
              <w:left w:val="nil"/>
              <w:bottom w:val="nil"/>
              <w:right w:val="nil"/>
            </w:tcBorders>
            <w:shd w:val="clear" w:color="auto" w:fill="B6D5E4"/>
            <w:noWrap/>
            <w:vAlign w:val="bottom"/>
            <w:hideMark/>
          </w:tcPr>
          <w:p w14:paraId="027A9DB2" w14:textId="338FAE0D"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1,096</w:t>
            </w:r>
          </w:p>
        </w:tc>
        <w:tc>
          <w:tcPr>
            <w:tcW w:w="760" w:type="dxa"/>
            <w:tcBorders>
              <w:top w:val="single" w:sz="4" w:space="0" w:color="ADD6EA"/>
              <w:left w:val="nil"/>
              <w:bottom w:val="nil"/>
              <w:right w:val="nil"/>
            </w:tcBorders>
            <w:shd w:val="clear" w:color="auto" w:fill="B6D5E4"/>
            <w:noWrap/>
            <w:vAlign w:val="bottom"/>
            <w:hideMark/>
          </w:tcPr>
          <w:p w14:paraId="35007428" w14:textId="77777777" w:rsidR="009C3CC3" w:rsidRDefault="009C3CC3" w:rsidP="00E548F5">
            <w:pPr>
              <w:keepNext/>
              <w:keepLines/>
              <w:spacing w:before="0"/>
              <w:jc w:val="right"/>
            </w:pPr>
            <w:r w:rsidRPr="1CD2C273">
              <w:rPr>
                <w:rFonts w:ascii="Open Sans Semibold" w:eastAsia="Open Sans Semibold" w:hAnsi="Open Sans Semibold" w:cs="Open Sans Semibold"/>
                <w:color w:val="000000" w:themeColor="text1"/>
                <w:sz w:val="16"/>
                <w:szCs w:val="16"/>
              </w:rPr>
              <w:t>35</w:t>
            </w:r>
          </w:p>
        </w:tc>
      </w:tr>
    </w:tbl>
    <w:p w14:paraId="39119312" w14:textId="77777777" w:rsidR="009C3CC3" w:rsidRPr="006C117C" w:rsidRDefault="009C3CC3" w:rsidP="00652B54">
      <w:pPr>
        <w:pStyle w:val="CGC2025TableNote"/>
      </w:pPr>
      <w:r>
        <w:t>Source:</w:t>
      </w:r>
      <w:r>
        <w:tab/>
        <w:t>Commission calculation, 2023 Update.</w:t>
      </w:r>
    </w:p>
    <w:p w14:paraId="7243EF7B" w14:textId="5F290FA4" w:rsidR="009C3CC3" w:rsidRPr="003D1529" w:rsidRDefault="009C3CC3" w:rsidP="009C3CC3">
      <w:pPr>
        <w:pStyle w:val="CGC2025ParaNumbers"/>
        <w:rPr>
          <w:rStyle w:val="Hyperlink"/>
          <w:color w:val="auto"/>
          <w:u w:val="none"/>
        </w:rPr>
      </w:pPr>
      <w:r>
        <w:t xml:space="preserve">Further detail on service provision arrangements, the range of services included within this category and the underlying conceptual cases for the assessment methods are explained in </w:t>
      </w:r>
      <w:r w:rsidR="00652B54" w:rsidRPr="00652B54">
        <w:t>v</w:t>
      </w:r>
      <w:r w:rsidRPr="00652B54">
        <w:t>o</w:t>
      </w:r>
      <w:r w:rsidR="00652B54" w:rsidRPr="00652B54">
        <w:t>l</w:t>
      </w:r>
      <w:r w:rsidR="00E60164">
        <w:t>ume</w:t>
      </w:r>
      <w:r>
        <w:t xml:space="preserve"> 2</w:t>
      </w:r>
      <w:r w:rsidR="00652B54" w:rsidRPr="00652B54">
        <w:t>,</w:t>
      </w:r>
      <w:r>
        <w:t xml:space="preserve"> </w:t>
      </w:r>
      <w:r w:rsidR="00E60164">
        <w:t>ch</w:t>
      </w:r>
      <w:r w:rsidRPr="00652B54">
        <w:t>apter 16</w:t>
      </w:r>
      <w:r w:rsidR="00E60164">
        <w:t>,</w:t>
      </w:r>
      <w:r>
        <w:t xml:space="preserve"> </w:t>
      </w:r>
      <w:hyperlink r:id="rId17">
        <w:r w:rsidRPr="003D1529">
          <w:rPr>
            <w:rStyle w:val="Hyperlink"/>
          </w:rPr>
          <w:t>Report on GST Revenue Sharing Relativities, 2020 Review.</w:t>
        </w:r>
      </w:hyperlink>
    </w:p>
    <w:p w14:paraId="707C827E" w14:textId="2EBDB019" w:rsidR="00344182" w:rsidRPr="00EE28A4" w:rsidRDefault="00D45001" w:rsidP="00BD4645">
      <w:pPr>
        <w:pStyle w:val="Heading2"/>
      </w:pPr>
      <w:bookmarkStart w:id="37" w:name="_Toc148970788"/>
      <w:bookmarkStart w:id="38" w:name="_Toc149220466"/>
      <w:r w:rsidRPr="00D45001">
        <w:t>What has changed since the 2020 Review?</w:t>
      </w:r>
      <w:bookmarkEnd w:id="19"/>
      <w:bookmarkEnd w:id="20"/>
      <w:bookmarkEnd w:id="21"/>
      <w:bookmarkEnd w:id="22"/>
      <w:bookmarkEnd w:id="23"/>
      <w:bookmarkEnd w:id="37"/>
      <w:bookmarkEnd w:id="38"/>
    </w:p>
    <w:p w14:paraId="237C0FA6" w14:textId="65F14108" w:rsidR="006949D7" w:rsidRDefault="0021125F" w:rsidP="006949D7">
      <w:pPr>
        <w:pStyle w:val="Heading3"/>
      </w:pPr>
      <w:bookmarkStart w:id="39" w:name="_Toc148970789"/>
      <w:bookmarkStart w:id="40" w:name="_Toc149220467"/>
      <w:r>
        <w:t>Increased demand for c</w:t>
      </w:r>
      <w:r w:rsidR="006949D7">
        <w:t>hild protection</w:t>
      </w:r>
      <w:r w:rsidR="0094343A">
        <w:t xml:space="preserve"> and </w:t>
      </w:r>
      <w:r w:rsidR="006949D7">
        <w:t>family services</w:t>
      </w:r>
      <w:bookmarkEnd w:id="39"/>
      <w:bookmarkEnd w:id="40"/>
    </w:p>
    <w:p w14:paraId="1A152BDD" w14:textId="07A9ECDB" w:rsidR="0021125F" w:rsidRPr="009E3F5E" w:rsidRDefault="0135A218" w:rsidP="007C2882">
      <w:pPr>
        <w:pStyle w:val="CGC2025ParaNumbers"/>
      </w:pPr>
      <w:r>
        <w:t xml:space="preserve">The </w:t>
      </w:r>
      <w:r w:rsidR="3DFFAED5">
        <w:t>Australian Institute of Health and Welfare said that d</w:t>
      </w:r>
      <w:r w:rsidR="3DFFAED5" w:rsidRPr="009E3F5E">
        <w:t>uring</w:t>
      </w:r>
      <w:r w:rsidR="2DDCFA3B" w:rsidRPr="009E3F5E">
        <w:t xml:space="preserve"> the COVID-19 pandemic </w:t>
      </w:r>
      <w:r w:rsidR="579A7C3B" w:rsidRPr="009E3F5E">
        <w:t>there</w:t>
      </w:r>
      <w:r w:rsidR="1A6A215A" w:rsidRPr="009E3F5E">
        <w:t xml:space="preserve"> </w:t>
      </w:r>
      <w:r w:rsidR="579A7C3B" w:rsidRPr="009E3F5E">
        <w:t>was</w:t>
      </w:r>
      <w:r w:rsidR="2DDCFA3B" w:rsidRPr="009E3F5E">
        <w:t xml:space="preserve"> an increase in </w:t>
      </w:r>
      <w:r w:rsidR="1A6A215A" w:rsidRPr="009E3F5E">
        <w:t>the</w:t>
      </w:r>
      <w:r w:rsidR="2DDCFA3B" w:rsidRPr="009E3F5E">
        <w:t xml:space="preserve"> prevalence </w:t>
      </w:r>
      <w:r w:rsidR="18BB959E" w:rsidRPr="009E3F5E">
        <w:t xml:space="preserve">of </w:t>
      </w:r>
      <w:r w:rsidR="27692536" w:rsidRPr="009E3F5E">
        <w:t xml:space="preserve">family and </w:t>
      </w:r>
      <w:r w:rsidR="18BB959E" w:rsidRPr="009E3F5E">
        <w:t>domestic violence</w:t>
      </w:r>
      <w:r w:rsidR="7AACE39C" w:rsidRPr="009E3F5E">
        <w:t>.</w:t>
      </w:r>
      <w:r w:rsidR="00C452CB" w:rsidRPr="009E3F5E">
        <w:rPr>
          <w:rStyle w:val="FootnoteReference"/>
        </w:rPr>
        <w:footnoteReference w:id="3"/>
      </w:r>
      <w:r w:rsidR="0BF37591" w:rsidRPr="009E3F5E">
        <w:t xml:space="preserve"> </w:t>
      </w:r>
      <w:r w:rsidR="7AACE39C" w:rsidRPr="009E3F5E">
        <w:t xml:space="preserve">This </w:t>
      </w:r>
      <w:r w:rsidR="42687237" w:rsidRPr="009E3F5E">
        <w:t>has</w:t>
      </w:r>
      <w:r w:rsidR="2DDCFA3B" w:rsidRPr="009E3F5E">
        <w:t xml:space="preserve"> led to increased </w:t>
      </w:r>
      <w:r w:rsidR="39C5B8D4" w:rsidRPr="009E3F5E">
        <w:t>demand for</w:t>
      </w:r>
      <w:r w:rsidR="0C521BD2">
        <w:t>,</w:t>
      </w:r>
      <w:r w:rsidR="39C5B8D4" w:rsidRPr="009E3F5E">
        <w:t xml:space="preserve"> and </w:t>
      </w:r>
      <w:r w:rsidR="4BF0D56C" w:rsidRPr="009E3F5E">
        <w:t>spending on</w:t>
      </w:r>
      <w:r w:rsidR="0C521BD2">
        <w:t>,</w:t>
      </w:r>
      <w:r w:rsidR="4BF0D56C" w:rsidRPr="009E3F5E">
        <w:t xml:space="preserve"> </w:t>
      </w:r>
      <w:r w:rsidR="15BC4DAA" w:rsidRPr="009E3F5E">
        <w:t xml:space="preserve">child protection and </w:t>
      </w:r>
      <w:r w:rsidR="2DDCFA3B" w:rsidRPr="009E3F5E">
        <w:t>family support services.</w:t>
      </w:r>
      <w:r w:rsidR="00C452CB" w:rsidRPr="009E3F5E">
        <w:rPr>
          <w:rStyle w:val="FootnoteReference"/>
        </w:rPr>
        <w:footnoteReference w:id="4"/>
      </w:r>
    </w:p>
    <w:p w14:paraId="4C0BC351" w14:textId="12E5C149" w:rsidR="004F77FD" w:rsidRDefault="0021125F" w:rsidP="004F77FD">
      <w:pPr>
        <w:pStyle w:val="Heading3"/>
      </w:pPr>
      <w:bookmarkStart w:id="41" w:name="_Toc148970790"/>
      <w:bookmarkStart w:id="42" w:name="_Toc149220468"/>
      <w:r>
        <w:t>Expansion of s</w:t>
      </w:r>
      <w:r w:rsidR="004F77FD">
        <w:t>tate government concession program</w:t>
      </w:r>
      <w:r>
        <w:t>s</w:t>
      </w:r>
      <w:bookmarkEnd w:id="41"/>
      <w:bookmarkEnd w:id="42"/>
    </w:p>
    <w:p w14:paraId="0CE7CD5D" w14:textId="7D823319" w:rsidR="0021125F" w:rsidRDefault="004F77FD" w:rsidP="004F77FD">
      <w:pPr>
        <w:pStyle w:val="CGC2025ParaNumbers"/>
      </w:pPr>
      <w:r>
        <w:t xml:space="preserve">To meet the rising cost of living and support </w:t>
      </w:r>
      <w:r w:rsidR="004011CF">
        <w:t>low- and middle-income</w:t>
      </w:r>
      <w:r w:rsidR="00A76E2C">
        <w:t xml:space="preserve"> households</w:t>
      </w:r>
      <w:r>
        <w:t>, the</w:t>
      </w:r>
      <w:r w:rsidR="005F6A74">
        <w:t xml:space="preserve"> </w:t>
      </w:r>
      <w:r w:rsidR="00E94FBB">
        <w:t>Commonwealth in</w:t>
      </w:r>
      <w:r>
        <w:t xml:space="preserve"> partnership with state governments announced a $3 billion expansion to electricity and gas concessions</w:t>
      </w:r>
      <w:r w:rsidR="0087789F" w:rsidRPr="0087789F">
        <w:t xml:space="preserve"> </w:t>
      </w:r>
      <w:r w:rsidR="0087789F">
        <w:t>in the 2023</w:t>
      </w:r>
      <w:r w:rsidR="0087789F">
        <w:noBreakHyphen/>
        <w:t>24 Budget</w:t>
      </w:r>
      <w:r>
        <w:t>. The package included expand</w:t>
      </w:r>
      <w:r w:rsidR="00633744">
        <w:t>ed</w:t>
      </w:r>
      <w:r>
        <w:t xml:space="preserve"> concession eligibility criteria.</w:t>
      </w:r>
    </w:p>
    <w:p w14:paraId="6BBE2504" w14:textId="1F7DB6B4" w:rsidR="00BF59CA" w:rsidRPr="00BF59CA" w:rsidRDefault="00552861" w:rsidP="00BF59CA">
      <w:pPr>
        <w:pStyle w:val="Heading3"/>
      </w:pPr>
      <w:bookmarkStart w:id="43" w:name="_Toc148970791"/>
      <w:bookmarkStart w:id="44" w:name="_Toc149220469"/>
      <w:r>
        <w:t>Ful</w:t>
      </w:r>
      <w:r w:rsidR="00B06C45">
        <w:t>l</w:t>
      </w:r>
      <w:r>
        <w:t xml:space="preserve"> implementation of the </w:t>
      </w:r>
      <w:r w:rsidR="009E451D">
        <w:t>NDIS</w:t>
      </w:r>
      <w:r w:rsidR="00F20C6B">
        <w:t>,</w:t>
      </w:r>
      <w:r w:rsidR="00B900D4">
        <w:t xml:space="preserve"> </w:t>
      </w:r>
      <w:r w:rsidR="00F20C6B">
        <w:t xml:space="preserve">and </w:t>
      </w:r>
      <w:r w:rsidR="00EF1140">
        <w:t>simplified data collection</w:t>
      </w:r>
      <w:bookmarkEnd w:id="43"/>
      <w:bookmarkEnd w:id="44"/>
    </w:p>
    <w:p w14:paraId="72E25CA6" w14:textId="0133B52E" w:rsidR="00AB0B9D" w:rsidRPr="00E56C8F" w:rsidRDefault="008A5045" w:rsidP="00C6544E">
      <w:pPr>
        <w:pStyle w:val="CGC2025ParaNumbers"/>
        <w:rPr>
          <w:rFonts w:eastAsia="Calibri" w:cs="Arial"/>
          <w:szCs w:val="20"/>
        </w:rPr>
      </w:pPr>
      <w:bookmarkStart w:id="45" w:name="_Hlk129012340"/>
      <w:r>
        <w:t>Following</w:t>
      </w:r>
      <w:r w:rsidR="006A0348">
        <w:t xml:space="preserve"> the expiration of the W</w:t>
      </w:r>
      <w:r w:rsidR="00E96E6C">
        <w:t xml:space="preserve">estern </w:t>
      </w:r>
      <w:r w:rsidR="006A0348">
        <w:t>A</w:t>
      </w:r>
      <w:r w:rsidR="00E96E6C">
        <w:t>ustralia</w:t>
      </w:r>
      <w:r w:rsidR="006A0348">
        <w:t xml:space="preserve"> transitional agreement on 1</w:t>
      </w:r>
      <w:r w:rsidR="00BE0AAC">
        <w:t> </w:t>
      </w:r>
      <w:r w:rsidR="006A0348">
        <w:t>July</w:t>
      </w:r>
      <w:r w:rsidR="00BE0AAC">
        <w:t> </w:t>
      </w:r>
      <w:r w:rsidR="006A0348">
        <w:t>2023, all states have fully transitioned to the NDIS.</w:t>
      </w:r>
    </w:p>
    <w:p w14:paraId="539BD1B8" w14:textId="104C291D" w:rsidR="008A5045" w:rsidRPr="003D4018" w:rsidRDefault="00414E47" w:rsidP="00C6544E">
      <w:pPr>
        <w:pStyle w:val="CGC2025ParaNumbers"/>
        <w:rPr>
          <w:rFonts w:eastAsia="Calibri" w:cs="Arial"/>
          <w:szCs w:val="20"/>
        </w:rPr>
      </w:pPr>
      <w:r>
        <w:lastRenderedPageBreak/>
        <w:t xml:space="preserve">In 2023, </w:t>
      </w:r>
      <w:r w:rsidR="007A29D7">
        <w:t>Western Australia</w:t>
      </w:r>
      <w:r w:rsidR="00DE4FA3">
        <w:t xml:space="preserve"> will negotiat</w:t>
      </w:r>
      <w:r w:rsidR="003A43EC">
        <w:t>e</w:t>
      </w:r>
      <w:r w:rsidR="00FE4B5E">
        <w:t xml:space="preserve"> a</w:t>
      </w:r>
      <w:r>
        <w:t xml:space="preserve"> comprehensive NDIS funding agreement with the Commonwealth.</w:t>
      </w:r>
      <w:r w:rsidR="00F24154" w:rsidRPr="00F24154">
        <w:t xml:space="preserve"> </w:t>
      </w:r>
      <w:r w:rsidR="00F24154">
        <w:t>The full implementation of the scheme and the expected harmonisation of</w:t>
      </w:r>
      <w:r w:rsidR="00C739A9">
        <w:t xml:space="preserve"> state</w:t>
      </w:r>
      <w:r w:rsidR="00F24154">
        <w:t xml:space="preserve"> funding </w:t>
      </w:r>
      <w:r w:rsidR="00C739A9">
        <w:t>contributions</w:t>
      </w:r>
      <w:r w:rsidR="00F24154">
        <w:t xml:space="preserve"> is expected to result in a simplification of data collection, after the agreement </w:t>
      </w:r>
      <w:r w:rsidR="00063998">
        <w:t>i</w:t>
      </w:r>
      <w:r w:rsidR="00972995">
        <w:t>s</w:t>
      </w:r>
      <w:r w:rsidR="00F24154">
        <w:t xml:space="preserve"> negotiated.</w:t>
      </w:r>
    </w:p>
    <w:p w14:paraId="36B8E618" w14:textId="798C28EC" w:rsidR="00F8519C" w:rsidRPr="009E3F5E" w:rsidRDefault="00F8519C" w:rsidP="00F8519C">
      <w:pPr>
        <w:pStyle w:val="CGC2025ParaNumbers"/>
        <w:rPr>
          <w:rFonts w:eastAsia="Calibri" w:cs="Arial"/>
          <w:szCs w:val="20"/>
        </w:rPr>
      </w:pPr>
      <w:r w:rsidRPr="009E3F5E">
        <w:t>Currently the Commonwealth</w:t>
      </w:r>
      <w:r w:rsidR="00931A22" w:rsidRPr="009E3F5E">
        <w:t>, in partnership with states</w:t>
      </w:r>
      <w:r w:rsidR="00B50125">
        <w:t>,</w:t>
      </w:r>
      <w:r w:rsidRPr="009E3F5E">
        <w:t xml:space="preserve"> is undertaking a review of the </w:t>
      </w:r>
      <w:r w:rsidR="00536312" w:rsidRPr="009E3F5E">
        <w:t xml:space="preserve">first 10 years of the </w:t>
      </w:r>
      <w:r w:rsidRPr="009E3F5E">
        <w:t xml:space="preserve">NDIS. The Commission will assess </w:t>
      </w:r>
      <w:r w:rsidR="00713D6A">
        <w:t>any</w:t>
      </w:r>
      <w:r w:rsidR="00713D6A" w:rsidRPr="009E3F5E">
        <w:t xml:space="preserve"> </w:t>
      </w:r>
      <w:r w:rsidRPr="009E3F5E">
        <w:t xml:space="preserve">impact of the review on the assessment when </w:t>
      </w:r>
      <w:r w:rsidR="008D474E">
        <w:t xml:space="preserve">it </w:t>
      </w:r>
      <w:r w:rsidRPr="009E3F5E">
        <w:t xml:space="preserve">has been completed </w:t>
      </w:r>
      <w:r w:rsidR="00F1799B" w:rsidRPr="009E3F5E">
        <w:t xml:space="preserve">in October 2023 </w:t>
      </w:r>
      <w:r w:rsidRPr="009E3F5E">
        <w:t>and the recommendations</w:t>
      </w:r>
      <w:r w:rsidR="00AC4A18">
        <w:t xml:space="preserve"> </w:t>
      </w:r>
      <w:r w:rsidR="00282086">
        <w:t xml:space="preserve">have been </w:t>
      </w:r>
      <w:r w:rsidR="00B054DE" w:rsidRPr="009E3F5E">
        <w:t>considered by governments</w:t>
      </w:r>
      <w:r w:rsidRPr="009E3F5E">
        <w:t>.</w:t>
      </w:r>
    </w:p>
    <w:p w14:paraId="18BC3434" w14:textId="23F2E725" w:rsidR="006949D7" w:rsidRPr="007C182C" w:rsidRDefault="00F673E6" w:rsidP="006949D7">
      <w:pPr>
        <w:pStyle w:val="Heading3"/>
        <w:rPr>
          <w:rFonts w:eastAsiaTheme="minorHAnsi" w:cstheme="minorBidi"/>
          <w:b w:val="0"/>
          <w:color w:val="auto"/>
          <w:sz w:val="20"/>
          <w:szCs w:val="24"/>
        </w:rPr>
      </w:pPr>
      <w:bookmarkStart w:id="46" w:name="_Toc148970792"/>
      <w:bookmarkStart w:id="47" w:name="_Toc149220470"/>
      <w:bookmarkStart w:id="48" w:name="_Toc121741487"/>
      <w:bookmarkStart w:id="49" w:name="_Toc127428353"/>
      <w:bookmarkStart w:id="50" w:name="_Toc132729106"/>
      <w:bookmarkStart w:id="51" w:name="_Toc133236151"/>
      <w:bookmarkStart w:id="52" w:name="_Toc133236177"/>
      <w:bookmarkEnd w:id="45"/>
      <w:r w:rsidRPr="007C182C">
        <w:t>Increase</w:t>
      </w:r>
      <w:r w:rsidR="00F21CCC" w:rsidRPr="007C182C">
        <w:t>d</w:t>
      </w:r>
      <w:r w:rsidRPr="007C182C">
        <w:t xml:space="preserve"> spending </w:t>
      </w:r>
      <w:r w:rsidR="00F21CCC" w:rsidRPr="007C182C">
        <w:t xml:space="preserve">and </w:t>
      </w:r>
      <w:r w:rsidR="0090349C" w:rsidRPr="007C182C">
        <w:t xml:space="preserve">new </w:t>
      </w:r>
      <w:r w:rsidR="00F21CCC" w:rsidRPr="007C182C">
        <w:t xml:space="preserve">data </w:t>
      </w:r>
      <w:r w:rsidRPr="007C182C">
        <w:t>on homelessness services</w:t>
      </w:r>
      <w:r w:rsidR="0090349C" w:rsidRPr="007C182C">
        <w:t xml:space="preserve"> use</w:t>
      </w:r>
      <w:bookmarkEnd w:id="46"/>
      <w:bookmarkEnd w:id="47"/>
    </w:p>
    <w:p w14:paraId="603094FE" w14:textId="28A4A0DD" w:rsidR="0055485B" w:rsidRPr="007C182C" w:rsidRDefault="0055485B" w:rsidP="0055485B">
      <w:pPr>
        <w:pStyle w:val="CGC2025ParaNumbers"/>
      </w:pPr>
      <w:r w:rsidRPr="007C182C">
        <w:t xml:space="preserve">State </w:t>
      </w:r>
      <w:r w:rsidR="00433365" w:rsidRPr="007C182C">
        <w:t>spending on</w:t>
      </w:r>
      <w:r w:rsidRPr="007C182C">
        <w:t xml:space="preserve"> homelessness services has increased. Between </w:t>
      </w:r>
      <w:r w:rsidR="00BD4EB9" w:rsidRPr="007C182C">
        <w:t>20</w:t>
      </w:r>
      <w:r w:rsidR="007C0499" w:rsidRPr="007C182C">
        <w:t>17–18</w:t>
      </w:r>
      <w:r w:rsidRPr="007C182C">
        <w:t xml:space="preserve"> and </w:t>
      </w:r>
      <w:r w:rsidR="007C0499" w:rsidRPr="007C182C">
        <w:t>2021</w:t>
      </w:r>
      <w:r w:rsidR="00A40C01" w:rsidRPr="007C182C">
        <w:noBreakHyphen/>
      </w:r>
      <w:r w:rsidR="007C0499" w:rsidRPr="007C182C">
        <w:t>22</w:t>
      </w:r>
      <w:r w:rsidRPr="007C182C">
        <w:t xml:space="preserve">, </w:t>
      </w:r>
      <w:r w:rsidR="00B467CE" w:rsidRPr="007C182C">
        <w:t>state</w:t>
      </w:r>
      <w:r w:rsidR="00106B6A" w:rsidRPr="007C182C">
        <w:t xml:space="preserve"> spending on</w:t>
      </w:r>
      <w:r w:rsidR="00B467CE" w:rsidRPr="007C182C">
        <w:t xml:space="preserve"> </w:t>
      </w:r>
      <w:r w:rsidR="00590A81" w:rsidRPr="007C182C">
        <w:t xml:space="preserve">homelessness services </w:t>
      </w:r>
      <w:r w:rsidR="00B467CE" w:rsidRPr="007C182C">
        <w:t xml:space="preserve">increased </w:t>
      </w:r>
      <w:r w:rsidR="007C0499" w:rsidRPr="007C182C">
        <w:t>37</w:t>
      </w:r>
      <w:r w:rsidR="00B467CE" w:rsidRPr="007C182C">
        <w:t xml:space="preserve">% in real terms to </w:t>
      </w:r>
      <w:r w:rsidR="00DA344D" w:rsidRPr="007C182C">
        <w:t>$1.3</w:t>
      </w:r>
      <w:r w:rsidR="00B467CE" w:rsidRPr="007C182C">
        <w:t> billion</w:t>
      </w:r>
      <w:r w:rsidR="00D3223F">
        <w:t>.</w:t>
      </w:r>
      <w:r w:rsidR="00A72A09" w:rsidRPr="007C182C">
        <w:rPr>
          <w:rStyle w:val="FootnoteReference"/>
        </w:rPr>
        <w:footnoteReference w:id="5"/>
      </w:r>
      <w:r w:rsidRPr="007C182C">
        <w:t xml:space="preserve"> </w:t>
      </w:r>
      <w:r w:rsidR="001D2831" w:rsidRPr="007C182C">
        <w:t>S</w:t>
      </w:r>
      <w:r w:rsidRPr="007C182C">
        <w:t xml:space="preserve">tate </w:t>
      </w:r>
      <w:r w:rsidR="006A50D8" w:rsidRPr="007C182C">
        <w:t>spending on</w:t>
      </w:r>
      <w:r w:rsidRPr="007C182C">
        <w:t xml:space="preserve"> </w:t>
      </w:r>
      <w:r w:rsidR="001D2831" w:rsidRPr="007C182C">
        <w:t xml:space="preserve">homelessness services </w:t>
      </w:r>
      <w:r w:rsidRPr="007C182C">
        <w:t>is likely to have increased further</w:t>
      </w:r>
      <w:r w:rsidR="001D2831" w:rsidRPr="007C182C">
        <w:t xml:space="preserve"> in 2022–23</w:t>
      </w:r>
      <w:r w:rsidRPr="007C182C">
        <w:t xml:space="preserve">, </w:t>
      </w:r>
      <w:r w:rsidR="00C85709" w:rsidRPr="007C182C">
        <w:t>as</w:t>
      </w:r>
      <w:r w:rsidRPr="007C182C">
        <w:t xml:space="preserve"> rising interest rates, rents and the cost of consumer staples</w:t>
      </w:r>
      <w:r w:rsidR="00B93CFF" w:rsidRPr="007C182C">
        <w:t xml:space="preserve"> </w:t>
      </w:r>
      <w:r w:rsidR="00DD2A4C" w:rsidRPr="007C182C">
        <w:t>increases demand for homelessness services</w:t>
      </w:r>
      <w:r w:rsidRPr="007C182C">
        <w:t>.</w:t>
      </w:r>
    </w:p>
    <w:p w14:paraId="175F576B" w14:textId="52FCD978" w:rsidR="006D0146" w:rsidRPr="007C182C" w:rsidRDefault="006D0146" w:rsidP="006D0146">
      <w:pPr>
        <w:pStyle w:val="CGC2025ParaNumbers"/>
      </w:pPr>
      <w:r w:rsidRPr="007C182C">
        <w:t>The availability of new data from the Australian Institute of Health and Welfare on the use of homelessness services by all population subgroups (including socio</w:t>
      </w:r>
      <w:r w:rsidR="006A50D8" w:rsidRPr="007C182C">
        <w:noBreakHyphen/>
      </w:r>
      <w:r w:rsidRPr="007C182C">
        <w:t xml:space="preserve">economic status, remoteness, </w:t>
      </w:r>
      <w:r w:rsidR="006A50D8" w:rsidRPr="007C182C">
        <w:t xml:space="preserve">Indigenous </w:t>
      </w:r>
      <w:r w:rsidRPr="007C182C">
        <w:t>status, and age) enables a broad socio</w:t>
      </w:r>
      <w:r w:rsidR="006A50D8" w:rsidRPr="007C182C">
        <w:noBreakHyphen/>
      </w:r>
      <w:r w:rsidRPr="007C182C">
        <w:t xml:space="preserve">demographic composition assessment </w:t>
      </w:r>
      <w:r w:rsidR="0094361F" w:rsidRPr="007C182C">
        <w:t>of state government spending on homelessness services</w:t>
      </w:r>
      <w:r w:rsidRPr="007C182C">
        <w:t>.</w:t>
      </w:r>
    </w:p>
    <w:p w14:paraId="04A2CC3C" w14:textId="77777777" w:rsidR="00BB7B9C" w:rsidRPr="00BB7B9C" w:rsidRDefault="00BB7B9C" w:rsidP="00BB7B9C">
      <w:pPr>
        <w:pStyle w:val="Heading2"/>
      </w:pPr>
      <w:bookmarkStart w:id="53" w:name="_Toc148970793"/>
      <w:bookmarkStart w:id="54" w:name="_Toc149220471"/>
      <w:r w:rsidRPr="00BB7B9C">
        <w:t>Implications for assessment</w:t>
      </w:r>
      <w:bookmarkEnd w:id="48"/>
      <w:bookmarkEnd w:id="49"/>
      <w:bookmarkEnd w:id="50"/>
      <w:bookmarkEnd w:id="51"/>
      <w:bookmarkEnd w:id="52"/>
      <w:bookmarkEnd w:id="53"/>
      <w:bookmarkEnd w:id="54"/>
    </w:p>
    <w:p w14:paraId="5AF62EF0" w14:textId="0F6F5E09" w:rsidR="009E4C7B" w:rsidRPr="009C3CC3" w:rsidRDefault="009E4C7B" w:rsidP="009E4C7B">
      <w:pPr>
        <w:pStyle w:val="CGC2025ParaNumbers"/>
      </w:pPr>
      <w:r>
        <w:t xml:space="preserve">The Commission has identified </w:t>
      </w:r>
      <w:r w:rsidR="00326C60">
        <w:t xml:space="preserve">the following </w:t>
      </w:r>
      <w:r w:rsidR="00D76872">
        <w:t>3</w:t>
      </w:r>
      <w:r>
        <w:t xml:space="preserve"> issues for consideration</w:t>
      </w:r>
      <w:r w:rsidR="000521E6">
        <w:t>:</w:t>
      </w:r>
    </w:p>
    <w:p w14:paraId="317395DD" w14:textId="10F3DA09" w:rsidR="009E4C7B" w:rsidRDefault="000521E6" w:rsidP="009E4C7B">
      <w:pPr>
        <w:pStyle w:val="CGC2025Bullet1"/>
      </w:pPr>
      <w:r>
        <w:t>f</w:t>
      </w:r>
      <w:r w:rsidR="009E4C7B" w:rsidRPr="00C522CC">
        <w:t xml:space="preserve">ull </w:t>
      </w:r>
      <w:r w:rsidR="009E4C7B">
        <w:t xml:space="preserve">implementation of the NDIS and </w:t>
      </w:r>
      <w:r w:rsidR="00C86C00">
        <w:t>simplified data collection</w:t>
      </w:r>
    </w:p>
    <w:p w14:paraId="3A490F9C" w14:textId="362164CA" w:rsidR="009E4C7B" w:rsidRDefault="000521E6" w:rsidP="009E4C7B">
      <w:pPr>
        <w:pStyle w:val="CGC2025Bullet1"/>
      </w:pPr>
      <w:r>
        <w:t>d</w:t>
      </w:r>
      <w:r w:rsidR="00C86C00">
        <w:t>evelopment of a homelessness services assessment</w:t>
      </w:r>
    </w:p>
    <w:p w14:paraId="0BF8FA9B" w14:textId="08228B60" w:rsidR="00D76872" w:rsidRDefault="000521E6" w:rsidP="009E4C7B">
      <w:pPr>
        <w:pStyle w:val="CGC2025Bullet1"/>
      </w:pPr>
      <w:r>
        <w:t>c</w:t>
      </w:r>
      <w:r w:rsidR="00D76872">
        <w:t xml:space="preserve">ombining other welfare and non-NDIS disability services aged care and </w:t>
      </w:r>
      <w:r w:rsidR="00724BC0">
        <w:t>N</w:t>
      </w:r>
      <w:r w:rsidR="00D76872">
        <w:t xml:space="preserve">ational </w:t>
      </w:r>
      <w:r w:rsidR="00724BC0">
        <w:t>R</w:t>
      </w:r>
      <w:r w:rsidR="00D76872">
        <w:t xml:space="preserve">edress </w:t>
      </w:r>
      <w:r w:rsidR="00724BC0">
        <w:t>S</w:t>
      </w:r>
      <w:r w:rsidR="00D76872">
        <w:t>cheme component assessments</w:t>
      </w:r>
      <w:r w:rsidR="00596D82">
        <w:t>.</w:t>
      </w:r>
    </w:p>
    <w:p w14:paraId="64271330" w14:textId="00CBC3C8" w:rsidR="00E53F10" w:rsidRPr="009E3F5E" w:rsidRDefault="00A657D9" w:rsidP="00E53F10">
      <w:pPr>
        <w:pStyle w:val="CGC2025ParaNumbers"/>
      </w:pPr>
      <w:r>
        <w:t xml:space="preserve">Although </w:t>
      </w:r>
      <w:r w:rsidR="00E53F10">
        <w:t>demand for child protection and family services</w:t>
      </w:r>
      <w:r w:rsidR="00811A42">
        <w:t xml:space="preserve"> has increased</w:t>
      </w:r>
      <w:r>
        <w:t xml:space="preserve">, this does not warrant a change in the assessment method </w:t>
      </w:r>
      <w:r w:rsidR="00811A42">
        <w:t>because</w:t>
      </w:r>
      <w:r w:rsidR="00613924">
        <w:t xml:space="preserve"> increased service use </w:t>
      </w:r>
      <w:r w:rsidR="00811A42">
        <w:t xml:space="preserve">is </w:t>
      </w:r>
      <w:r w:rsidR="00E53F10">
        <w:t>captured through the number of substantia</w:t>
      </w:r>
      <w:r w:rsidR="791F5810">
        <w:t xml:space="preserve">ted </w:t>
      </w:r>
      <w:r w:rsidR="08104F3A">
        <w:t xml:space="preserve">cases </w:t>
      </w:r>
      <w:r w:rsidR="00613924">
        <w:t>in the existing assessment</w:t>
      </w:r>
      <w:r w:rsidR="00E53F10">
        <w:t>.</w:t>
      </w:r>
    </w:p>
    <w:p w14:paraId="4167453D" w14:textId="69756F65" w:rsidR="00A42D5C" w:rsidRPr="00564DB0" w:rsidRDefault="00976438" w:rsidP="00E56C8F">
      <w:pPr>
        <w:pStyle w:val="CGC2025ParaNumbers"/>
      </w:pPr>
      <w:r>
        <w:t xml:space="preserve">Similarly, </w:t>
      </w:r>
      <w:r w:rsidR="00326C60">
        <w:t xml:space="preserve">while </w:t>
      </w:r>
      <w:r w:rsidR="00811A42">
        <w:t xml:space="preserve">state governments </w:t>
      </w:r>
      <w:r>
        <w:t xml:space="preserve">have </w:t>
      </w:r>
      <w:r w:rsidR="00811A42">
        <w:t>expand</w:t>
      </w:r>
      <w:r>
        <w:t>ed</w:t>
      </w:r>
      <w:r w:rsidR="00811A42">
        <w:t xml:space="preserve"> concession programs </w:t>
      </w:r>
      <w:r w:rsidR="00AA4068">
        <w:t>for</w:t>
      </w:r>
      <w:r w:rsidR="00811A42">
        <w:t xml:space="preserve"> </w:t>
      </w:r>
      <w:r w:rsidR="00D75C9B">
        <w:t>utilit</w:t>
      </w:r>
      <w:r w:rsidR="00402ECE">
        <w:t>y costs</w:t>
      </w:r>
      <w:r w:rsidR="00811A42">
        <w:t xml:space="preserve"> </w:t>
      </w:r>
      <w:r>
        <w:t>this does not warrant a change to the assessment method</w:t>
      </w:r>
      <w:r w:rsidR="00C675F0">
        <w:t xml:space="preserve"> which </w:t>
      </w:r>
      <w:r w:rsidR="006F7C2E">
        <w:t>covers concessions for low-income households</w:t>
      </w:r>
      <w:r>
        <w:t xml:space="preserve">. </w:t>
      </w:r>
      <w:r w:rsidR="00975D61">
        <w:t>T</w:t>
      </w:r>
      <w:r w:rsidR="00A3362B">
        <w:t xml:space="preserve">he </w:t>
      </w:r>
      <w:r w:rsidR="00A93EC6">
        <w:t xml:space="preserve">Commission considers that </w:t>
      </w:r>
      <w:r w:rsidR="00517843">
        <w:t xml:space="preserve">eligibility for </w:t>
      </w:r>
      <w:r w:rsidR="00691C65">
        <w:t xml:space="preserve">a </w:t>
      </w:r>
      <w:r w:rsidR="00A93EC6">
        <w:t xml:space="preserve">low-income </w:t>
      </w:r>
      <w:r w:rsidR="00ED2D2D">
        <w:t>health</w:t>
      </w:r>
      <w:r w:rsidR="00CD73DE">
        <w:t>care</w:t>
      </w:r>
      <w:r w:rsidR="00ED2D2D">
        <w:t xml:space="preserve"> card</w:t>
      </w:r>
      <w:r w:rsidR="00450511">
        <w:t>,</w:t>
      </w:r>
      <w:r w:rsidR="00ED2D2D">
        <w:t xml:space="preserve"> pensioner </w:t>
      </w:r>
      <w:r w:rsidR="00F76877">
        <w:t xml:space="preserve">concession card </w:t>
      </w:r>
      <w:r w:rsidR="00ED2D2D">
        <w:t xml:space="preserve">and veteran </w:t>
      </w:r>
      <w:r w:rsidR="00540705">
        <w:t xml:space="preserve">concession </w:t>
      </w:r>
      <w:r w:rsidR="001C1B51">
        <w:t>card</w:t>
      </w:r>
      <w:r w:rsidR="00ED2D2D">
        <w:t xml:space="preserve"> best reflects the</w:t>
      </w:r>
      <w:r w:rsidR="004351C5">
        <w:t xml:space="preserve"> driver</w:t>
      </w:r>
      <w:r w:rsidR="00713D6A">
        <w:t xml:space="preserve"> of</w:t>
      </w:r>
      <w:r w:rsidR="00ED2D2D">
        <w:t xml:space="preserve"> need for low-income concessions</w:t>
      </w:r>
      <w:r w:rsidR="00E53F10">
        <w:t xml:space="preserve">. </w:t>
      </w:r>
      <w:r w:rsidR="00CD5B49">
        <w:t xml:space="preserve">The current </w:t>
      </w:r>
      <w:r w:rsidR="00A34385">
        <w:t xml:space="preserve">assessment method will capture any increase in state spending on concessions for </w:t>
      </w:r>
      <w:r w:rsidR="00A34385">
        <w:lastRenderedPageBreak/>
        <w:t xml:space="preserve">these card holders. </w:t>
      </w:r>
      <w:r w:rsidR="0078396F">
        <w:t xml:space="preserve">State spending on concessions </w:t>
      </w:r>
      <w:r w:rsidR="00E53F10">
        <w:t>to middle</w:t>
      </w:r>
      <w:r w:rsidR="005D2B95">
        <w:t xml:space="preserve"> </w:t>
      </w:r>
      <w:r w:rsidR="00E53F10">
        <w:t>and high-income household</w:t>
      </w:r>
      <w:r w:rsidR="00FB626E">
        <w:t>s</w:t>
      </w:r>
      <w:r w:rsidR="00E53F10">
        <w:t xml:space="preserve"> </w:t>
      </w:r>
      <w:r w:rsidR="00B3503D">
        <w:t>will be</w:t>
      </w:r>
      <w:r w:rsidR="00E53F10">
        <w:t xml:space="preserve"> captured in other assessment</w:t>
      </w:r>
      <w:r w:rsidR="0078396F">
        <w:t xml:space="preserve"> categories</w:t>
      </w:r>
      <w:r w:rsidR="00E53F10">
        <w:t xml:space="preserve">, </w:t>
      </w:r>
      <w:r w:rsidR="00B86DB3">
        <w:t xml:space="preserve">including </w:t>
      </w:r>
      <w:r w:rsidR="00E53F10">
        <w:t xml:space="preserve">services to communities </w:t>
      </w:r>
      <w:r w:rsidR="00052BE8">
        <w:t xml:space="preserve">and </w:t>
      </w:r>
      <w:r w:rsidR="00E53F10">
        <w:t>other expenses</w:t>
      </w:r>
      <w:r w:rsidR="00B86DB3">
        <w:t>.</w:t>
      </w:r>
    </w:p>
    <w:p w14:paraId="2986E643" w14:textId="368C0836" w:rsidR="00810287" w:rsidRPr="00BB7B9C" w:rsidRDefault="002E1C3C" w:rsidP="00810287">
      <w:pPr>
        <w:pStyle w:val="Heading3"/>
      </w:pPr>
      <w:bookmarkStart w:id="55" w:name="_Toc148970794"/>
      <w:bookmarkStart w:id="56" w:name="_Toc149220472"/>
      <w:r>
        <w:t xml:space="preserve">The </w:t>
      </w:r>
      <w:r w:rsidR="00C81A44">
        <w:t>f</w:t>
      </w:r>
      <w:r w:rsidR="00BB4860">
        <w:t>ull implementation of the NDIS</w:t>
      </w:r>
      <w:r w:rsidR="00FC7D7D">
        <w:t xml:space="preserve"> </w:t>
      </w:r>
      <w:r w:rsidR="006A6BE2">
        <w:t xml:space="preserve">can simplify data </w:t>
      </w:r>
      <w:proofErr w:type="gramStart"/>
      <w:r w:rsidR="00FC7D7D">
        <w:t>collection</w:t>
      </w:r>
      <w:bookmarkEnd w:id="55"/>
      <w:bookmarkEnd w:id="56"/>
      <w:proofErr w:type="gramEnd"/>
    </w:p>
    <w:p w14:paraId="022866FF" w14:textId="7966F379" w:rsidR="00383570" w:rsidRPr="009E3F5E" w:rsidRDefault="00C6544E" w:rsidP="004001BC">
      <w:pPr>
        <w:pStyle w:val="CGC2025ParaNumbers"/>
        <w:rPr>
          <w:rFonts w:eastAsia="Calibri" w:cs="Arial"/>
          <w:szCs w:val="20"/>
        </w:rPr>
      </w:pPr>
      <w:r w:rsidRPr="009E3F5E">
        <w:t xml:space="preserve">The expiration of </w:t>
      </w:r>
      <w:r w:rsidR="00B640BD" w:rsidRPr="009E3F5E">
        <w:t>the W</w:t>
      </w:r>
      <w:r w:rsidR="003D4CBA" w:rsidRPr="009E3F5E">
        <w:t xml:space="preserve">estern Australian </w:t>
      </w:r>
      <w:r w:rsidR="00B640BD" w:rsidRPr="009E3F5E">
        <w:t>NDIS</w:t>
      </w:r>
      <w:r w:rsidRPr="009E3F5E">
        <w:t xml:space="preserve"> transitional </w:t>
      </w:r>
      <w:r w:rsidR="00546DE4" w:rsidRPr="009E3F5E">
        <w:t>agreement</w:t>
      </w:r>
      <w:r w:rsidR="00B640BD" w:rsidRPr="009E3F5E">
        <w:t xml:space="preserve"> </w:t>
      </w:r>
      <w:r w:rsidRPr="009E3F5E">
        <w:t xml:space="preserve">is expected to </w:t>
      </w:r>
      <w:r w:rsidR="00211DC0" w:rsidRPr="009E3F5E">
        <w:t xml:space="preserve">lead to </w:t>
      </w:r>
      <w:r w:rsidR="00CC4556" w:rsidRPr="009E3F5E">
        <w:t>the</w:t>
      </w:r>
      <w:r w:rsidR="00211DC0" w:rsidRPr="009E3F5E">
        <w:t xml:space="preserve"> harmonisation of </w:t>
      </w:r>
      <w:r w:rsidR="00CC4556" w:rsidRPr="009E3F5E">
        <w:t xml:space="preserve">NDIS </w:t>
      </w:r>
      <w:r w:rsidR="00211DC0" w:rsidRPr="009E3F5E">
        <w:t>funding agreements across Australia.</w:t>
      </w:r>
    </w:p>
    <w:p w14:paraId="29ECB223" w14:textId="017A20D1" w:rsidR="00C6544E" w:rsidRPr="009E3F5E" w:rsidRDefault="00A614F7" w:rsidP="56F1BA88">
      <w:pPr>
        <w:pStyle w:val="CGC2025ParaNumbers"/>
        <w:rPr>
          <w:rFonts w:eastAsia="Calibri" w:cs="Arial"/>
        </w:rPr>
      </w:pPr>
      <w:r w:rsidRPr="009E3F5E">
        <w:rPr>
          <w:rFonts w:eastAsia="Calibri" w:cs="Arial"/>
        </w:rPr>
        <w:t>The harmonisation of</w:t>
      </w:r>
      <w:r w:rsidR="00C41A00" w:rsidRPr="009E3F5E">
        <w:rPr>
          <w:rFonts w:eastAsia="Calibri" w:cs="Arial"/>
        </w:rPr>
        <w:t xml:space="preserve"> state NDIS</w:t>
      </w:r>
      <w:r w:rsidRPr="009E3F5E">
        <w:rPr>
          <w:rFonts w:eastAsia="Calibri" w:cs="Arial"/>
        </w:rPr>
        <w:t xml:space="preserve"> funding agreements</w:t>
      </w:r>
      <w:r w:rsidR="00A9212E">
        <w:rPr>
          <w:rFonts w:eastAsia="Calibri" w:cs="Arial"/>
        </w:rPr>
        <w:t>,</w:t>
      </w:r>
      <w:r w:rsidRPr="009E3F5E">
        <w:rPr>
          <w:rFonts w:eastAsia="Calibri" w:cs="Arial"/>
        </w:rPr>
        <w:t xml:space="preserve"> with contributions based on the </w:t>
      </w:r>
      <w:r w:rsidR="003D1016" w:rsidRPr="009E3F5E">
        <w:rPr>
          <w:rFonts w:eastAsia="Calibri" w:cs="Arial"/>
        </w:rPr>
        <w:t xml:space="preserve">national population distribution from the </w:t>
      </w:r>
      <w:r w:rsidR="006A50D8">
        <w:rPr>
          <w:rFonts w:eastAsia="Calibri" w:cs="Arial"/>
        </w:rPr>
        <w:t xml:space="preserve">ABS </w:t>
      </w:r>
      <w:r w:rsidR="003D1016" w:rsidRPr="009E3F5E">
        <w:rPr>
          <w:rFonts w:eastAsia="Calibri" w:cs="Arial"/>
        </w:rPr>
        <w:t xml:space="preserve">2021 </w:t>
      </w:r>
      <w:r w:rsidR="003C3B82">
        <w:rPr>
          <w:rFonts w:eastAsia="Calibri" w:cs="Arial"/>
        </w:rPr>
        <w:t>C</w:t>
      </w:r>
      <w:r w:rsidR="003C3B82" w:rsidRPr="009E3F5E">
        <w:rPr>
          <w:rFonts w:eastAsia="Calibri" w:cs="Arial"/>
        </w:rPr>
        <w:t>ensus</w:t>
      </w:r>
      <w:r w:rsidR="003D1016" w:rsidRPr="009E3F5E">
        <w:rPr>
          <w:rFonts w:eastAsia="Calibri" w:cs="Arial"/>
        </w:rPr>
        <w:t xml:space="preserve">, </w:t>
      </w:r>
      <w:r w:rsidR="00A01432" w:rsidRPr="009E3F5E">
        <w:rPr>
          <w:rFonts w:eastAsia="Calibri" w:cs="Arial"/>
        </w:rPr>
        <w:t xml:space="preserve">is expected to simplify the </w:t>
      </w:r>
      <w:r w:rsidR="00E86BE6">
        <w:rPr>
          <w:rFonts w:eastAsia="Calibri" w:cs="Arial"/>
        </w:rPr>
        <w:t>Commission</w:t>
      </w:r>
      <w:r w:rsidR="008E049C">
        <w:rPr>
          <w:rFonts w:eastAsia="Calibri" w:cs="Arial"/>
        </w:rPr>
        <w:t xml:space="preserve">’s </w:t>
      </w:r>
      <w:r w:rsidR="00A01432" w:rsidRPr="009E3F5E">
        <w:rPr>
          <w:rFonts w:eastAsia="Calibri" w:cs="Arial"/>
        </w:rPr>
        <w:t xml:space="preserve">data collection </w:t>
      </w:r>
      <w:r w:rsidR="00FB180E">
        <w:rPr>
          <w:rFonts w:eastAsia="Calibri" w:cs="Arial"/>
        </w:rPr>
        <w:t xml:space="preserve">process </w:t>
      </w:r>
      <w:r w:rsidR="00A01432" w:rsidRPr="009E3F5E">
        <w:rPr>
          <w:rFonts w:eastAsia="Calibri" w:cs="Arial"/>
        </w:rPr>
        <w:t>for state NDIS contributions.</w:t>
      </w:r>
    </w:p>
    <w:p w14:paraId="18537435" w14:textId="2491FFF6" w:rsidR="008327A7" w:rsidRPr="009E3F5E" w:rsidRDefault="00FC743E" w:rsidP="008327A7">
      <w:pPr>
        <w:pStyle w:val="CGC2025ParaNumbers"/>
      </w:pPr>
      <w:r>
        <w:t>From the 202</w:t>
      </w:r>
      <w:r w:rsidR="00A9289C">
        <w:t>5</w:t>
      </w:r>
      <w:r>
        <w:t xml:space="preserve"> </w:t>
      </w:r>
      <w:r w:rsidR="00CE21E6">
        <w:t>Review</w:t>
      </w:r>
      <w:r w:rsidR="009D4C24">
        <w:t>,</w:t>
      </w:r>
      <w:r>
        <w:t xml:space="preserve"> the Commission</w:t>
      </w:r>
      <w:r w:rsidR="00F27A1B">
        <w:t>’s preliminary view is</w:t>
      </w:r>
      <w:r w:rsidR="00AC0B5E">
        <w:t xml:space="preserve"> </w:t>
      </w:r>
      <w:r>
        <w:t xml:space="preserve">to source </w:t>
      </w:r>
      <w:r w:rsidR="00A01432">
        <w:t xml:space="preserve">NDIS funding contributions directly from the </w:t>
      </w:r>
      <w:r w:rsidR="00680738">
        <w:t xml:space="preserve">Commonwealth </w:t>
      </w:r>
      <w:r w:rsidR="00DF7DF8">
        <w:t>Budget papers</w:t>
      </w:r>
      <w:r w:rsidR="00A01432">
        <w:t xml:space="preserve"> and cease to collect contributions to the scheme from the states.</w:t>
      </w:r>
    </w:p>
    <w:p w14:paraId="140B8F2D" w14:textId="68B22686" w:rsidR="006D4AAA" w:rsidRPr="009E3F5E" w:rsidRDefault="008327A7" w:rsidP="00E53F10">
      <w:pPr>
        <w:pStyle w:val="CGC2025ParaNumbers"/>
      </w:pPr>
      <w:r w:rsidRPr="009E3F5E">
        <w:t>The Commission does not propose to change the NDIS assessment because it is currently assessed</w:t>
      </w:r>
      <w:r w:rsidR="00DB01D1">
        <w:t xml:space="preserve"> using the </w:t>
      </w:r>
      <w:r w:rsidR="006A50D8">
        <w:t xml:space="preserve">ABS </w:t>
      </w:r>
      <w:r w:rsidR="00DB01D1">
        <w:t>2021 Census population shares</w:t>
      </w:r>
      <w:r w:rsidRPr="009E3F5E">
        <w:t>, in line with each state</w:t>
      </w:r>
      <w:r w:rsidR="00A6635A">
        <w:t>’</w:t>
      </w:r>
      <w:r w:rsidRPr="009E3F5E">
        <w:t>s expected funding obligations.</w:t>
      </w:r>
    </w:p>
    <w:p w14:paraId="2303D6C2" w14:textId="30F9B60B" w:rsidR="000D5097" w:rsidRDefault="00810287" w:rsidP="00927356">
      <w:pPr>
        <w:pStyle w:val="Heading4"/>
        <w:spacing w:after="120"/>
        <w:rPr>
          <w:rFonts w:eastAsiaTheme="minorHAnsi" w:cs="Open Sans Light"/>
          <w:b w:val="0"/>
          <w:bCs w:val="0"/>
          <w:iCs w:val="0"/>
          <w:color w:val="auto"/>
          <w:sz w:val="20"/>
          <w:szCs w:val="20"/>
          <w:lang w:eastAsia="en-AU"/>
        </w:rPr>
      </w:pPr>
      <w:r>
        <w:t>Consultation question</w:t>
      </w:r>
      <w:r w:rsidR="00FC4B7E">
        <w:t>s</w:t>
      </w:r>
    </w:p>
    <w:p w14:paraId="68376FCA" w14:textId="1B556273" w:rsidR="006B652D" w:rsidRPr="006B652D" w:rsidRDefault="006B652D" w:rsidP="006B652D">
      <w:pPr>
        <w:rPr>
          <w:lang w:eastAsia="en-AU"/>
        </w:rPr>
      </w:pPr>
      <w:r w:rsidRPr="001C4DF3">
        <w:rPr>
          <w:noProof/>
        </w:rPr>
        <mc:AlternateContent>
          <mc:Choice Requires="wps">
            <w:drawing>
              <wp:inline distT="0" distB="0" distL="0" distR="0" wp14:anchorId="35AE8C8D" wp14:editId="0452CE99">
                <wp:extent cx="5648325" cy="863600"/>
                <wp:effectExtent l="0" t="0" r="9525" b="0"/>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863600"/>
                        </a:xfrm>
                        <a:prstGeom prst="rect">
                          <a:avLst/>
                        </a:prstGeom>
                        <a:solidFill>
                          <a:srgbClr val="EBF3F5"/>
                        </a:solidFill>
                        <a:ln w="25400" cap="flat" cmpd="sng" algn="ctr">
                          <a:noFill/>
                          <a:prstDash val="solid"/>
                        </a:ln>
                        <a:effectLst/>
                      </wps:spPr>
                      <wps:txbx>
                        <w:txbxContent>
                          <w:p w14:paraId="123765FF" w14:textId="77777777" w:rsidR="006B652D" w:rsidRPr="009E4C7B" w:rsidRDefault="006B652D" w:rsidP="006B652D">
                            <w:pPr>
                              <w:pStyle w:val="CGC2025QuestionNumbers"/>
                            </w:pPr>
                            <w:r>
                              <w:rPr>
                                <w:lang w:eastAsia="en-AU"/>
                              </w:rPr>
                              <w:t>Do states agree that the state NDIS contributions can be collected from the Commonwealth Budget papers rather than from the states?</w:t>
                            </w:r>
                          </w:p>
                          <w:p w14:paraId="7250A84C" w14:textId="77777777" w:rsidR="006B652D" w:rsidRDefault="006B652D" w:rsidP="006B652D">
                            <w:pPr>
                              <w:pStyle w:val="CGC2025QuestionNumbers"/>
                            </w:pPr>
                            <w:r>
                              <w:rPr>
                                <w:lang w:eastAsia="en-AU"/>
                              </w:rPr>
                              <w:t>Do states agree that the current NDIS assessment is fit for purpose?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AE8C8D" id="Rectangle 10" o:spid="_x0000_s1029" alt="&quot;&quot;" style="width:444.7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" fillcolor="#ebf3f5" stroked="f" strokeweight="2pt">
                <v:textbox>
                  <w:txbxContent>
                    <w:p w14:paraId="123765FF" w14:textId="77777777" w:rsidR="006B652D" w:rsidRPr="009E4C7B" w:rsidRDefault="006B652D" w:rsidP="006B652D">
                      <w:pPr>
                        <w:pStyle w:val="CGC2025QuestionNumbers"/>
                      </w:pPr>
                      <w:r>
                        <w:rPr>
                          <w:lang w:eastAsia="en-AU"/>
                        </w:rPr>
                        <w:t>Do states agree that the state NDIS contributions can be collected from the Commonwealth Budget papers rather than from the states?</w:t>
                      </w:r>
                    </w:p>
                    <w:p w14:paraId="7250A84C" w14:textId="77777777" w:rsidR="006B652D" w:rsidRDefault="006B652D" w:rsidP="006B652D">
                      <w:pPr>
                        <w:pStyle w:val="CGC2025QuestionNumbers"/>
                      </w:pPr>
                      <w:r>
                        <w:rPr>
                          <w:lang w:eastAsia="en-AU"/>
                        </w:rPr>
                        <w:t>Do states agree that the current NDIS assessment is fit for purpose?</w:t>
                      </w:r>
                    </w:p>
                  </w:txbxContent>
                </v:textbox>
                <w10:anchorlock/>
              </v:rect>
            </w:pict>
          </mc:Fallback>
        </mc:AlternateContent>
      </w:r>
    </w:p>
    <w:p w14:paraId="3106DFE0" w14:textId="5D569EAF" w:rsidR="006949D7" w:rsidRPr="007C182C" w:rsidRDefault="009659A8" w:rsidP="00B64372">
      <w:pPr>
        <w:pStyle w:val="Heading3"/>
      </w:pPr>
      <w:bookmarkStart w:id="57" w:name="_Toc148970795"/>
      <w:bookmarkStart w:id="58" w:name="_Hlk145405459"/>
      <w:bookmarkStart w:id="59" w:name="_Toc149220473"/>
      <w:bookmarkStart w:id="60" w:name="_Toc121741490"/>
      <w:bookmarkStart w:id="61" w:name="_Toc127428359"/>
      <w:bookmarkStart w:id="62" w:name="_Toc132729113"/>
      <w:bookmarkStart w:id="63" w:name="_Toc133236154"/>
      <w:bookmarkStart w:id="64" w:name="_Toc133236180"/>
      <w:r w:rsidRPr="007C182C">
        <w:t>D</w:t>
      </w:r>
      <w:r w:rsidR="004866E1" w:rsidRPr="007C182C">
        <w:t>evelop</w:t>
      </w:r>
      <w:r w:rsidRPr="007C182C">
        <w:t xml:space="preserve">ing </w:t>
      </w:r>
      <w:r w:rsidR="004866E1" w:rsidRPr="007C182C">
        <w:t>a h</w:t>
      </w:r>
      <w:r w:rsidR="006949D7" w:rsidRPr="007C182C">
        <w:t>omelessness services</w:t>
      </w:r>
      <w:r w:rsidR="006B7F97" w:rsidRPr="007C182C">
        <w:t xml:space="preserve"> assessment</w:t>
      </w:r>
      <w:bookmarkEnd w:id="57"/>
      <w:bookmarkEnd w:id="58"/>
      <w:bookmarkEnd w:id="59"/>
    </w:p>
    <w:p w14:paraId="6E205D2D" w14:textId="56A51BFC" w:rsidR="00522AEB" w:rsidRPr="00027661" w:rsidRDefault="00522AEB" w:rsidP="00522AEB">
      <w:pPr>
        <w:pStyle w:val="CGC2025ParaNumbers"/>
      </w:pPr>
      <w:r w:rsidRPr="00027661">
        <w:t xml:space="preserve">Homelessness services include a broad range of services targeted to prevent people becoming homeless as well as assisting those who are homeless. The Productivity Commission’s </w:t>
      </w:r>
      <w:r w:rsidRPr="00027661">
        <w:rPr>
          <w:i/>
          <w:iCs/>
        </w:rPr>
        <w:t>Report on Government Services</w:t>
      </w:r>
      <w:r w:rsidRPr="00027661">
        <w:t xml:space="preserve"> </w:t>
      </w:r>
      <w:r w:rsidR="00663672">
        <w:t>lists</w:t>
      </w:r>
      <w:r w:rsidRPr="00027661">
        <w:t xml:space="preserve"> homelessness services </w:t>
      </w:r>
      <w:r w:rsidR="00663672">
        <w:t>to include</w:t>
      </w:r>
      <w:r w:rsidRPr="00027661">
        <w:t>:</w:t>
      </w:r>
    </w:p>
    <w:p w14:paraId="6AA37B2F" w14:textId="79F10DE2" w:rsidR="00522AEB" w:rsidRPr="006E2BF5" w:rsidRDefault="00F94E7B" w:rsidP="00522AEB">
      <w:pPr>
        <w:pStyle w:val="CGC2025ParaNumbers"/>
        <w:numPr>
          <w:ilvl w:val="1"/>
          <w:numId w:val="0"/>
        </w:numPr>
        <w:ind w:left="567"/>
        <w:rPr>
          <w:rFonts w:cs="Open Sans"/>
          <w:color w:val="333333"/>
          <w:spacing w:val="6"/>
          <w:szCs w:val="20"/>
          <w:shd w:val="clear" w:color="auto" w:fill="FFFFFF"/>
        </w:rPr>
      </w:pPr>
      <w:r>
        <w:rPr>
          <w:szCs w:val="20"/>
        </w:rPr>
        <w:t>“</w:t>
      </w:r>
      <w:proofErr w:type="gramStart"/>
      <w:r w:rsidR="00522AEB" w:rsidRPr="006E2BF5">
        <w:rPr>
          <w:rFonts w:cs="Open Sans"/>
          <w:i/>
          <w:color w:val="333333"/>
          <w:spacing w:val="6"/>
          <w:szCs w:val="20"/>
          <w:shd w:val="clear" w:color="auto" w:fill="FFFFFF"/>
        </w:rPr>
        <w:t>supported</w:t>
      </w:r>
      <w:proofErr w:type="gramEnd"/>
      <w:r w:rsidR="00522AEB" w:rsidRPr="006E2BF5">
        <w:rPr>
          <w:rFonts w:cs="Open Sans"/>
          <w:i/>
          <w:color w:val="333333"/>
          <w:spacing w:val="6"/>
          <w:szCs w:val="20"/>
          <w:shd w:val="clear" w:color="auto" w:fill="FFFFFF"/>
        </w:rPr>
        <w:t xml:space="preserve"> accommodation, counselling, advocacy, links to housing, health, education and employment services, outreach support, brokerage and meals services, and financial and employment </w:t>
      </w:r>
      <w:r w:rsidR="00836D5D" w:rsidRPr="006E2BF5">
        <w:rPr>
          <w:rFonts w:cs="Open Sans"/>
          <w:i/>
          <w:color w:val="333333"/>
          <w:spacing w:val="6"/>
          <w:szCs w:val="20"/>
          <w:shd w:val="clear" w:color="auto" w:fill="FFFFFF"/>
        </w:rPr>
        <w:t>assistance</w:t>
      </w:r>
      <w:r w:rsidR="00B85195">
        <w:rPr>
          <w:rFonts w:cs="Open Sans"/>
          <w:i/>
          <w:color w:val="333333"/>
          <w:spacing w:val="6"/>
          <w:szCs w:val="20"/>
          <w:shd w:val="clear" w:color="auto" w:fill="FFFFFF"/>
        </w:rPr>
        <w:t>”</w:t>
      </w:r>
      <w:r w:rsidR="00522AEB" w:rsidRPr="00027661">
        <w:rPr>
          <w:rStyle w:val="FootnoteReference"/>
          <w:rFonts w:cs="Open Sans"/>
          <w:color w:val="333333"/>
          <w:spacing w:val="6"/>
          <w:shd w:val="clear" w:color="auto" w:fill="FFFFFF"/>
        </w:rPr>
        <w:footnoteReference w:id="6"/>
      </w:r>
    </w:p>
    <w:p w14:paraId="1F8CA6E2" w14:textId="2A990B65" w:rsidR="00961043" w:rsidRDefault="00961043" w:rsidP="00961043">
      <w:pPr>
        <w:pStyle w:val="CGC2025ParaNumbers"/>
      </w:pPr>
      <w:r w:rsidRPr="007C182C">
        <w:t>Currently</w:t>
      </w:r>
      <w:r w:rsidR="00EA3CA9" w:rsidRPr="007C182C">
        <w:t>,</w:t>
      </w:r>
      <w:r w:rsidRPr="007C182C">
        <w:t xml:space="preserve"> state spending on homelessness services is assessed in the </w:t>
      </w:r>
      <w:r w:rsidR="00A9211F" w:rsidRPr="007C182C">
        <w:t>‘</w:t>
      </w:r>
      <w:r w:rsidRPr="007C182C">
        <w:t>other welfare</w:t>
      </w:r>
      <w:r w:rsidR="00A9211F" w:rsidRPr="007C182C">
        <w:t>’</w:t>
      </w:r>
      <w:r w:rsidRPr="007C182C">
        <w:t xml:space="preserve"> component assessment. As a result, the use of homelessness services is assessed on an equal per capita basis with adjustments for regional and wage cost factors and cross</w:t>
      </w:r>
      <w:r w:rsidR="003C2765">
        <w:t>-</w:t>
      </w:r>
      <w:r w:rsidRPr="007C182C">
        <w:t>border expenses.</w:t>
      </w:r>
      <w:r w:rsidR="00850441" w:rsidRPr="007C182C">
        <w:t xml:space="preserve"> </w:t>
      </w:r>
    </w:p>
    <w:p w14:paraId="267A75B9" w14:textId="3BD62790" w:rsidR="002E221E" w:rsidRPr="002921DA" w:rsidRDefault="00CA3114" w:rsidP="00961043">
      <w:pPr>
        <w:pStyle w:val="CGC2025ParaNumbers"/>
      </w:pPr>
      <w:r w:rsidRPr="002921DA">
        <w:t xml:space="preserve">However, the use of homelessness </w:t>
      </w:r>
      <w:r w:rsidR="00E01CE6">
        <w:t xml:space="preserve">services </w:t>
      </w:r>
      <w:r w:rsidRPr="002921DA">
        <w:t>differs between states</w:t>
      </w:r>
      <w:r w:rsidR="00E26DCA" w:rsidRPr="002921DA">
        <w:t>,</w:t>
      </w:r>
      <w:r w:rsidR="00425366" w:rsidRPr="002921DA">
        <w:t xml:space="preserve"> with </w:t>
      </w:r>
      <w:r w:rsidR="009F5367" w:rsidRPr="002921DA">
        <w:t>h</w:t>
      </w:r>
      <w:r w:rsidR="00F37C7E" w:rsidRPr="002921DA">
        <w:t xml:space="preserve">omelessness services </w:t>
      </w:r>
      <w:r w:rsidR="00425366" w:rsidRPr="002921DA">
        <w:t>use in the Northern Territory near</w:t>
      </w:r>
      <w:r w:rsidR="00EE044B">
        <w:t>ly</w:t>
      </w:r>
      <w:r w:rsidR="009F5367" w:rsidRPr="002921DA">
        <w:t xml:space="preserve"> </w:t>
      </w:r>
      <w:r w:rsidR="004100E7" w:rsidRPr="002921DA">
        <w:t xml:space="preserve">4 </w:t>
      </w:r>
      <w:r w:rsidR="009F5367" w:rsidRPr="002921DA">
        <w:t xml:space="preserve">times the national </w:t>
      </w:r>
      <w:r w:rsidR="009F5367" w:rsidRPr="002921DA">
        <w:lastRenderedPageBreak/>
        <w:t>average</w:t>
      </w:r>
      <w:r w:rsidR="00425366" w:rsidRPr="002921DA">
        <w:t xml:space="preserve"> (</w:t>
      </w:r>
      <w:r w:rsidR="0024444E" w:rsidRPr="002921DA">
        <w:fldChar w:fldCharType="begin"/>
      </w:r>
      <w:r w:rsidR="0024444E" w:rsidRPr="002921DA">
        <w:instrText xml:space="preserve"> REF _Ref148352453 \h </w:instrText>
      </w:r>
      <w:r w:rsidR="00166A22" w:rsidRPr="002921DA">
        <w:instrText xml:space="preserve"> \* MERGEFORMAT </w:instrText>
      </w:r>
      <w:r w:rsidR="0024444E" w:rsidRPr="002921DA">
        <w:fldChar w:fldCharType="separate"/>
      </w:r>
      <w:r w:rsidR="00837FC6" w:rsidRPr="002921DA">
        <w:t xml:space="preserve">Figure </w:t>
      </w:r>
      <w:r w:rsidR="00837FC6" w:rsidRPr="002921DA">
        <w:rPr>
          <w:noProof/>
        </w:rPr>
        <w:t>1</w:t>
      </w:r>
      <w:r w:rsidR="0024444E" w:rsidRPr="002921DA">
        <w:fldChar w:fldCharType="end"/>
      </w:r>
      <w:r w:rsidR="00425366" w:rsidRPr="002921DA">
        <w:t>)</w:t>
      </w:r>
      <w:r w:rsidR="009F5367" w:rsidRPr="002921DA">
        <w:t>.</w:t>
      </w:r>
      <w:r w:rsidR="00166A22" w:rsidRPr="002921DA">
        <w:t xml:space="preserve"> This indicates that an equal per capita </w:t>
      </w:r>
      <w:r w:rsidR="696BD36E" w:rsidRPr="002921DA">
        <w:t xml:space="preserve">assessment </w:t>
      </w:r>
      <w:r w:rsidR="00166A22" w:rsidRPr="002921DA">
        <w:t>may be inappropriate.</w:t>
      </w:r>
    </w:p>
    <w:p w14:paraId="0C4D0CFA" w14:textId="5412089A" w:rsidR="00A1041F" w:rsidRPr="003A2FC6" w:rsidRDefault="00A1041F" w:rsidP="00A1041F">
      <w:pPr>
        <w:pStyle w:val="Caption"/>
        <w:rPr>
          <w:rFonts w:ascii="Work Sans" w:hAnsi="Work Sans"/>
        </w:rPr>
      </w:pPr>
      <w:bookmarkStart w:id="65" w:name="_Ref148352453"/>
      <w:bookmarkStart w:id="66" w:name="_Hlk148352480"/>
      <w:r w:rsidRPr="003A2FC6">
        <w:rPr>
          <w:rFonts w:ascii="Work Sans" w:hAnsi="Work Sans"/>
        </w:rPr>
        <w:t xml:space="preserve">Figure </w:t>
      </w:r>
      <w:r w:rsidRPr="003A2FC6">
        <w:rPr>
          <w:rFonts w:ascii="Work Sans" w:hAnsi="Work Sans"/>
        </w:rPr>
        <w:fldChar w:fldCharType="begin"/>
      </w:r>
      <w:r w:rsidRPr="003A2FC6">
        <w:rPr>
          <w:rFonts w:ascii="Work Sans" w:hAnsi="Work Sans"/>
        </w:rPr>
        <w:instrText xml:space="preserve"> SEQ Figure \* ARABIC </w:instrText>
      </w:r>
      <w:r w:rsidRPr="003A2FC6">
        <w:rPr>
          <w:rFonts w:ascii="Work Sans" w:hAnsi="Work Sans"/>
        </w:rPr>
        <w:fldChar w:fldCharType="separate"/>
      </w:r>
      <w:r w:rsidR="00837FC6" w:rsidRPr="003A2FC6">
        <w:rPr>
          <w:rFonts w:ascii="Work Sans" w:hAnsi="Work Sans"/>
          <w:noProof/>
        </w:rPr>
        <w:t>1</w:t>
      </w:r>
      <w:r w:rsidRPr="003A2FC6">
        <w:rPr>
          <w:rFonts w:ascii="Work Sans" w:hAnsi="Work Sans"/>
        </w:rPr>
        <w:fldChar w:fldCharType="end"/>
      </w:r>
      <w:bookmarkEnd w:id="65"/>
      <w:r w:rsidRPr="003A2FC6">
        <w:rPr>
          <w:rFonts w:ascii="Work Sans" w:hAnsi="Work Sans"/>
        </w:rPr>
        <w:tab/>
      </w:r>
      <w:r w:rsidR="005A66EF" w:rsidRPr="003A2FC6">
        <w:rPr>
          <w:rFonts w:ascii="Work Sans" w:hAnsi="Work Sans"/>
        </w:rPr>
        <w:t xml:space="preserve">Specialist Homelessness Services </w:t>
      </w:r>
      <w:r w:rsidRPr="003A2FC6">
        <w:rPr>
          <w:rFonts w:ascii="Work Sans" w:hAnsi="Work Sans"/>
        </w:rPr>
        <w:t>Clients per 10,000 people by state</w:t>
      </w:r>
      <w:r w:rsidR="0024444E" w:rsidRPr="003A2FC6">
        <w:rPr>
          <w:rFonts w:ascii="Work Sans" w:hAnsi="Work Sans"/>
        </w:rPr>
        <w:t>,</w:t>
      </w:r>
      <w:r w:rsidRPr="003A2FC6">
        <w:rPr>
          <w:rFonts w:ascii="Work Sans" w:hAnsi="Work Sans"/>
        </w:rPr>
        <w:t xml:space="preserve"> 2021–22</w:t>
      </w:r>
    </w:p>
    <w:p w14:paraId="1FB012B3" w14:textId="77777777" w:rsidR="00F1346A" w:rsidRDefault="00A1041F" w:rsidP="00166A22">
      <w:pPr>
        <w:pStyle w:val="ListParagraph"/>
        <w:tabs>
          <w:tab w:val="clear" w:pos="567"/>
        </w:tabs>
        <w:spacing w:before="0" w:line="240" w:lineRule="auto"/>
        <w:ind w:left="0"/>
        <w:textAlignment w:val="baseline"/>
        <w:rPr>
          <w:rStyle w:val="CGC2025TableNoteChar"/>
        </w:rPr>
      </w:pPr>
      <w:r w:rsidRPr="003A2FC6">
        <w:rPr>
          <w:noProof/>
        </w:rPr>
        <w:drawing>
          <wp:inline distT="0" distB="0" distL="0" distR="0" wp14:anchorId="6B57FE34" wp14:editId="12B17320">
            <wp:extent cx="5730875" cy="3395980"/>
            <wp:effectExtent l="0" t="0" r="3175" b="0"/>
            <wp:docPr id="714273114" name="Picture 714273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875" cy="3395980"/>
                    </a:xfrm>
                    <a:prstGeom prst="rect">
                      <a:avLst/>
                    </a:prstGeom>
                    <a:noFill/>
                  </pic:spPr>
                </pic:pic>
              </a:graphicData>
            </a:graphic>
          </wp:inline>
        </w:drawing>
      </w:r>
      <w:r w:rsidR="0024444E" w:rsidRPr="003A2FC6">
        <w:rPr>
          <w:rFonts w:eastAsia="Times New Roman" w:cs="Open Sans Light"/>
          <w:sz w:val="14"/>
          <w:szCs w:val="14"/>
          <w:shd w:val="clear" w:color="auto" w:fill="FFFF00"/>
          <w:lang w:eastAsia="en-AU"/>
        </w:rPr>
        <w:t xml:space="preserve"> </w:t>
      </w:r>
      <w:r w:rsidR="0024444E" w:rsidRPr="003A2FC6">
        <w:rPr>
          <w:rStyle w:val="CGC2025TableNoteChar"/>
        </w:rPr>
        <w:t>Source</w:t>
      </w:r>
      <w:r w:rsidR="00855133">
        <w:rPr>
          <w:rStyle w:val="CGC2025TableNoteChar"/>
        </w:rPr>
        <w:t>s</w:t>
      </w:r>
      <w:r w:rsidR="0024444E" w:rsidRPr="003A2FC6">
        <w:rPr>
          <w:rStyle w:val="CGC2025TableNoteChar"/>
        </w:rPr>
        <w:t xml:space="preserve">: </w:t>
      </w:r>
      <w:r w:rsidR="00833E00" w:rsidRPr="00833E00">
        <w:rPr>
          <w:rStyle w:val="CGC2025TableNoteChar"/>
        </w:rPr>
        <w:t xml:space="preserve">Australian Institute of Health and Welfare </w:t>
      </w:r>
      <w:r w:rsidR="00833E00">
        <w:rPr>
          <w:rStyle w:val="CGC2025TableNoteChar"/>
        </w:rPr>
        <w:t>(</w:t>
      </w:r>
      <w:r w:rsidR="0024444E" w:rsidRPr="003A2FC6">
        <w:rPr>
          <w:rStyle w:val="CGC2025TableNoteChar"/>
        </w:rPr>
        <w:t>AIHW</w:t>
      </w:r>
      <w:r w:rsidR="00833E00">
        <w:rPr>
          <w:rStyle w:val="CGC2025TableNoteChar"/>
        </w:rPr>
        <w:t>),</w:t>
      </w:r>
      <w:r w:rsidR="0024444E" w:rsidRPr="003A2FC6">
        <w:rPr>
          <w:rStyle w:val="CGC2025TableNoteChar"/>
        </w:rPr>
        <w:t xml:space="preserve"> </w:t>
      </w:r>
      <w:r w:rsidR="0024444E" w:rsidRPr="00D72389">
        <w:rPr>
          <w:rStyle w:val="CGC2025TableNoteChar"/>
          <w:i/>
          <w:iCs/>
        </w:rPr>
        <w:t xml:space="preserve">Specialist </w:t>
      </w:r>
      <w:r w:rsidR="0024444E" w:rsidRPr="00D72389">
        <w:rPr>
          <w:rStyle w:val="CGC2025TableNoteChar"/>
          <w:i/>
        </w:rPr>
        <w:t>Homelessness Services Collection</w:t>
      </w:r>
      <w:r w:rsidR="00313A7F" w:rsidRPr="00D72389">
        <w:rPr>
          <w:rStyle w:val="CGC2025TableNoteChar"/>
          <w:i/>
          <w:iCs/>
        </w:rPr>
        <w:t>,</w:t>
      </w:r>
      <w:r w:rsidR="0024444E" w:rsidRPr="00D72389">
        <w:rPr>
          <w:rStyle w:val="CGC2025TableNoteChar"/>
          <w:i/>
        </w:rPr>
        <w:t xml:space="preserve"> 2011–12 to 2021–22</w:t>
      </w:r>
      <w:r w:rsidR="00313A7F">
        <w:rPr>
          <w:rStyle w:val="CGC2025TableNoteChar"/>
        </w:rPr>
        <w:t xml:space="preserve"> </w:t>
      </w:r>
    </w:p>
    <w:p w14:paraId="3C504817" w14:textId="05E95A08" w:rsidR="001D1F9D" w:rsidRPr="003A2FC6" w:rsidRDefault="00902959" w:rsidP="00902959">
      <w:pPr>
        <w:pStyle w:val="ListParagraph"/>
        <w:tabs>
          <w:tab w:val="clear" w:pos="567"/>
        </w:tabs>
        <w:spacing w:before="0" w:line="240" w:lineRule="auto"/>
        <w:ind w:left="567"/>
        <w:textAlignment w:val="baseline"/>
        <w:rPr>
          <w:rStyle w:val="CGC2025TableNoteChar"/>
        </w:rPr>
      </w:pPr>
      <w:r>
        <w:rPr>
          <w:rFonts w:ascii="Work Sans" w:hAnsi="Work Sans"/>
          <w:sz w:val="14"/>
        </w:rPr>
        <w:t xml:space="preserve"> </w:t>
      </w:r>
      <w:hyperlink r:id="rId19" w:history="1">
        <w:r w:rsidRPr="00497D2C">
          <w:rPr>
            <w:rStyle w:val="Hyperlink"/>
            <w:rFonts w:ascii="Work Sans" w:hAnsi="Work Sans"/>
            <w:sz w:val="14"/>
          </w:rPr>
          <w:t>https://viz.aihw.gov.au/t/Public/views/HOU331_02_Chapter-CLIENTOUTCOMES/F_CLIENTS_2</w:t>
        </w:r>
      </w:hyperlink>
      <w:r w:rsidR="008626AC">
        <w:rPr>
          <w:rStyle w:val="CGC2025TableNoteChar"/>
        </w:rPr>
        <w:t xml:space="preserve"> </w:t>
      </w:r>
      <w:r w:rsidR="00313A7F">
        <w:rPr>
          <w:rStyle w:val="CGC2025TableNoteChar"/>
        </w:rPr>
        <w:t>,</w:t>
      </w:r>
      <w:r w:rsidR="0024444E" w:rsidRPr="003A2FC6">
        <w:rPr>
          <w:rStyle w:val="CGC2025TableNoteChar"/>
        </w:rPr>
        <w:t xml:space="preserve"> AIHW</w:t>
      </w:r>
      <w:r w:rsidR="008626AC">
        <w:rPr>
          <w:rStyle w:val="CGC2025TableNoteChar"/>
        </w:rPr>
        <w:t xml:space="preserve"> website</w:t>
      </w:r>
      <w:r w:rsidR="0024444E" w:rsidRPr="003A2FC6">
        <w:rPr>
          <w:rStyle w:val="CGC2025TableNoteChar"/>
        </w:rPr>
        <w:t xml:space="preserve">, </w:t>
      </w:r>
      <w:r w:rsidR="00BC4ABD">
        <w:rPr>
          <w:rStyle w:val="CGC2025TableNoteChar"/>
        </w:rPr>
        <w:t>2022.</w:t>
      </w:r>
      <w:r w:rsidR="0024444E" w:rsidRPr="003A2FC6">
        <w:rPr>
          <w:rStyle w:val="CGC2025TableNoteChar"/>
        </w:rPr>
        <w:t xml:space="preserve"> </w:t>
      </w:r>
      <w:r>
        <w:rPr>
          <w:rStyle w:val="CGC2025TableNoteChar"/>
        </w:rPr>
        <w:t xml:space="preserve"> </w:t>
      </w:r>
      <w:r w:rsidR="008D0228" w:rsidRPr="008D0228">
        <w:rPr>
          <w:rStyle w:val="CGC2025TableNoteChar"/>
        </w:rPr>
        <w:t>Australian</w:t>
      </w:r>
      <w:r>
        <w:rPr>
          <w:rStyle w:val="CGC2025TableNoteChar"/>
        </w:rPr>
        <w:t xml:space="preserve"> </w:t>
      </w:r>
      <w:r w:rsidR="008D0228" w:rsidRPr="008D0228">
        <w:rPr>
          <w:rStyle w:val="CGC2025TableNoteChar"/>
        </w:rPr>
        <w:t>Bureau of Statistics (</w:t>
      </w:r>
      <w:r w:rsidR="0024444E" w:rsidRPr="003A2FC6">
        <w:rPr>
          <w:rStyle w:val="CGC2025TableNoteChar"/>
        </w:rPr>
        <w:t>ABS</w:t>
      </w:r>
      <w:r w:rsidR="008D0228" w:rsidRPr="008D0228">
        <w:rPr>
          <w:rStyle w:val="CGC2025TableNoteChar"/>
        </w:rPr>
        <w:t>)</w:t>
      </w:r>
      <w:r w:rsidR="00BC4ABD">
        <w:rPr>
          <w:rStyle w:val="CGC2025TableNoteChar"/>
        </w:rPr>
        <w:t>,</w:t>
      </w:r>
      <w:r w:rsidR="0024444E" w:rsidRPr="003A2FC6">
        <w:rPr>
          <w:rStyle w:val="CGC2025TableNoteChar"/>
        </w:rPr>
        <w:t xml:space="preserve"> </w:t>
      </w:r>
      <w:r w:rsidR="0024444E" w:rsidRPr="00D72389">
        <w:rPr>
          <w:rStyle w:val="CGC2025TableNoteChar"/>
          <w:i/>
        </w:rPr>
        <w:t>Estimated residential population by state</w:t>
      </w:r>
      <w:r w:rsidR="008D0228">
        <w:rPr>
          <w:rStyle w:val="CGC2025TableNoteChar"/>
        </w:rPr>
        <w:t xml:space="preserve"> </w:t>
      </w:r>
      <w:r>
        <w:rPr>
          <w:rStyle w:val="CGC2025TableNoteChar"/>
        </w:rPr>
        <w:t xml:space="preserve"> </w:t>
      </w:r>
      <w:hyperlink r:id="rId20" w:history="1">
        <w:r w:rsidRPr="00497D2C">
          <w:rPr>
            <w:rStyle w:val="Hyperlink"/>
            <w:rFonts w:ascii="Work Sans" w:hAnsi="Work Sans"/>
            <w:sz w:val="14"/>
          </w:rPr>
          <w:t>https://www.abs.gov.au/statistics/people/population/national-state-and-territory-population/latest-release</w:t>
        </w:r>
      </w:hyperlink>
      <w:r w:rsidR="000F0E67">
        <w:rPr>
          <w:rStyle w:val="CGC2025TableNoteChar"/>
        </w:rPr>
        <w:t xml:space="preserve">, </w:t>
      </w:r>
      <w:r w:rsidR="001F23D4">
        <w:rPr>
          <w:rStyle w:val="CGC2025TableNoteChar"/>
        </w:rPr>
        <w:t xml:space="preserve">ABS, </w:t>
      </w:r>
      <w:r w:rsidR="0002351D">
        <w:rPr>
          <w:rStyle w:val="CGC2025TableNoteChar"/>
        </w:rPr>
        <w:t>202</w:t>
      </w:r>
      <w:r w:rsidR="000F0E67">
        <w:rPr>
          <w:rStyle w:val="CGC2025TableNoteChar"/>
        </w:rPr>
        <w:t>3</w:t>
      </w:r>
      <w:r w:rsidR="0024444E" w:rsidRPr="003A2FC6">
        <w:rPr>
          <w:rStyle w:val="CGC2025TableNoteChar"/>
        </w:rPr>
        <w:t>.</w:t>
      </w:r>
    </w:p>
    <w:bookmarkEnd w:id="66"/>
    <w:p w14:paraId="21EEEAFC" w14:textId="0C31B068" w:rsidR="00D57BF1" w:rsidRPr="007C182C" w:rsidRDefault="000603AA" w:rsidP="00F52C92">
      <w:pPr>
        <w:pStyle w:val="CGC2025ParaNumbers"/>
      </w:pPr>
      <w:r>
        <w:t xml:space="preserve">Prior to the 2020 Review, the Commission </w:t>
      </w:r>
      <w:r w:rsidR="000D657F">
        <w:t xml:space="preserve">assessed needs for </w:t>
      </w:r>
      <w:r w:rsidR="001C7A47">
        <w:t>homelessness</w:t>
      </w:r>
      <w:r w:rsidR="000D657F">
        <w:t xml:space="preserve"> spending </w:t>
      </w:r>
      <w:r w:rsidR="001C7A47">
        <w:t>primar</w:t>
      </w:r>
      <w:r w:rsidR="000C20E1">
        <w:t xml:space="preserve">ily using </w:t>
      </w:r>
      <w:r w:rsidR="009C4152">
        <w:t xml:space="preserve">low </w:t>
      </w:r>
      <w:r w:rsidR="000C20E1">
        <w:t>socio-economic status as a drive</w:t>
      </w:r>
      <w:r w:rsidR="003F6BB3">
        <w:t>r</w:t>
      </w:r>
      <w:r w:rsidR="000C20E1">
        <w:t xml:space="preserve">. </w:t>
      </w:r>
      <w:r w:rsidR="009C4152">
        <w:t>However, i</w:t>
      </w:r>
      <w:r w:rsidR="000C20E1">
        <w:t>n the 2020</w:t>
      </w:r>
      <w:r w:rsidR="00EE0D58">
        <w:t> </w:t>
      </w:r>
      <w:r w:rsidR="000C20E1">
        <w:t xml:space="preserve">Review, it discontinued </w:t>
      </w:r>
      <w:r w:rsidR="00DC1E69">
        <w:t>this</w:t>
      </w:r>
      <w:r w:rsidR="003F6BB3">
        <w:t>, recognising</w:t>
      </w:r>
      <w:r w:rsidR="000C20E1">
        <w:t xml:space="preserve"> </w:t>
      </w:r>
      <w:r w:rsidR="00BD58DC">
        <w:t>that</w:t>
      </w:r>
      <w:r w:rsidR="00D57BF1">
        <w:t>:</w:t>
      </w:r>
      <w:r w:rsidR="00BD58DC">
        <w:t xml:space="preserve"> </w:t>
      </w:r>
    </w:p>
    <w:p w14:paraId="22697ABD" w14:textId="3C28C7FD" w:rsidR="001C7A47" w:rsidRPr="007C182C" w:rsidRDefault="00A10A95" w:rsidP="00D57BF1">
      <w:pPr>
        <w:pStyle w:val="CGC2025ParaNumbers"/>
        <w:numPr>
          <w:ilvl w:val="0"/>
          <w:numId w:val="0"/>
        </w:numPr>
        <w:ind w:left="567"/>
      </w:pPr>
      <w:r>
        <w:t>“</w:t>
      </w:r>
      <w:proofErr w:type="gramStart"/>
      <w:r w:rsidR="00D51A34" w:rsidRPr="007C182C">
        <w:rPr>
          <w:i/>
          <w:iCs/>
        </w:rPr>
        <w:t>w</w:t>
      </w:r>
      <w:r w:rsidR="00E754D6" w:rsidRPr="007C182C">
        <w:rPr>
          <w:i/>
          <w:iCs/>
        </w:rPr>
        <w:t>hile</w:t>
      </w:r>
      <w:proofErr w:type="gramEnd"/>
      <w:r w:rsidR="00E754D6" w:rsidRPr="007C182C">
        <w:rPr>
          <w:i/>
          <w:iCs/>
        </w:rPr>
        <w:t xml:space="preserve"> elements partially related to the present low </w:t>
      </w:r>
      <w:r w:rsidR="00113BF7" w:rsidRPr="00113BF7">
        <w:rPr>
          <w:i/>
          <w:iCs/>
        </w:rPr>
        <w:t xml:space="preserve">socio-economic status </w:t>
      </w:r>
      <w:r w:rsidR="00E754D6" w:rsidRPr="007C182C">
        <w:rPr>
          <w:i/>
          <w:iCs/>
        </w:rPr>
        <w:t>measure are important, they are not decisive</w:t>
      </w:r>
      <w:r w:rsidR="00002680" w:rsidRPr="007C182C">
        <w:rPr>
          <w:i/>
          <w:iCs/>
        </w:rPr>
        <w:t xml:space="preserve">… </w:t>
      </w:r>
      <w:r w:rsidR="00F52C92" w:rsidRPr="007C182C">
        <w:rPr>
          <w:i/>
          <w:iCs/>
        </w:rPr>
        <w:t xml:space="preserve">Furthermore, there are no data on the </w:t>
      </w:r>
      <w:r w:rsidR="00DA3492">
        <w:rPr>
          <w:i/>
          <w:iCs/>
        </w:rPr>
        <w:br/>
      </w:r>
      <w:r w:rsidR="00F52C92" w:rsidRPr="007C182C">
        <w:rPr>
          <w:i/>
          <w:iCs/>
        </w:rPr>
        <w:t>socio-demographic characteristics of the users of other welfare services, which include a variety of services</w:t>
      </w:r>
      <w:r w:rsidR="00F52C92" w:rsidRPr="007C182C">
        <w:t>.</w:t>
      </w:r>
      <w:r>
        <w:t>”</w:t>
      </w:r>
      <w:r w:rsidR="009D745C" w:rsidRPr="007C182C">
        <w:rPr>
          <w:rStyle w:val="FootnoteReference"/>
        </w:rPr>
        <w:footnoteReference w:id="7"/>
      </w:r>
    </w:p>
    <w:p w14:paraId="5A9F8AA4" w14:textId="038D1665" w:rsidR="00A9173B" w:rsidRPr="007C182C" w:rsidRDefault="00A51E7D" w:rsidP="00CF28B4">
      <w:pPr>
        <w:pStyle w:val="CGC2025ParaNumbers"/>
      </w:pPr>
      <w:r w:rsidRPr="007C182C">
        <w:t xml:space="preserve">For the 2025 </w:t>
      </w:r>
      <w:r w:rsidR="00010734" w:rsidRPr="007C182C">
        <w:t>Review</w:t>
      </w:r>
      <w:r w:rsidRPr="007C182C">
        <w:t xml:space="preserve">, Australian Institute of Health and </w:t>
      </w:r>
      <w:r w:rsidR="00010734" w:rsidRPr="007C182C">
        <w:t>Welfare</w:t>
      </w:r>
      <w:r w:rsidRPr="007C182C">
        <w:t xml:space="preserve"> data </w:t>
      </w:r>
      <w:r w:rsidR="00184E50" w:rsidRPr="007C182C">
        <w:t xml:space="preserve">on </w:t>
      </w:r>
      <w:r w:rsidR="00010734" w:rsidRPr="007C182C">
        <w:t>client</w:t>
      </w:r>
      <w:r w:rsidR="00CF2F3B" w:rsidRPr="007C182C">
        <w:t>s</w:t>
      </w:r>
      <w:r w:rsidR="00DF1A8F" w:rsidRPr="007C182C">
        <w:t xml:space="preserve"> using ‘speci</w:t>
      </w:r>
      <w:r w:rsidR="00302EB5" w:rsidRPr="007C182C">
        <w:t>alist home</w:t>
      </w:r>
      <w:r w:rsidR="00F45731" w:rsidRPr="007C182C">
        <w:t>lessness services</w:t>
      </w:r>
      <w:r w:rsidR="00010734" w:rsidRPr="007C182C">
        <w:t xml:space="preserve">’ </w:t>
      </w:r>
      <w:r w:rsidR="002826C9" w:rsidRPr="007C182C">
        <w:t xml:space="preserve">provide the opportunity to develop </w:t>
      </w:r>
      <w:r w:rsidR="0046030F" w:rsidRPr="007C182C">
        <w:t xml:space="preserve">an assessment </w:t>
      </w:r>
      <w:r w:rsidR="00EC2EC6" w:rsidRPr="007C182C">
        <w:t xml:space="preserve">that </w:t>
      </w:r>
      <w:r w:rsidR="00715091" w:rsidRPr="007C182C">
        <w:t>considers</w:t>
      </w:r>
      <w:r w:rsidR="00EC2EC6" w:rsidRPr="007C182C">
        <w:t xml:space="preserve"> a broader range of drivers</w:t>
      </w:r>
      <w:r w:rsidR="00C655F2" w:rsidRPr="007C182C">
        <w:t>.</w:t>
      </w:r>
    </w:p>
    <w:p w14:paraId="6F739430" w14:textId="5CF7CD34" w:rsidR="00D04214" w:rsidRPr="007C182C" w:rsidRDefault="00D04214" w:rsidP="0078384B">
      <w:pPr>
        <w:pStyle w:val="Heading4"/>
      </w:pPr>
      <w:r w:rsidRPr="007C182C">
        <w:t>Drivers of spending on homel</w:t>
      </w:r>
      <w:r w:rsidR="0078384B" w:rsidRPr="007C182C">
        <w:t>essness services</w:t>
      </w:r>
    </w:p>
    <w:p w14:paraId="06463642" w14:textId="06D46562" w:rsidR="007C3477" w:rsidRPr="007C182C" w:rsidRDefault="00760E5F" w:rsidP="00760E5F">
      <w:pPr>
        <w:pStyle w:val="CGC2025ParaNumbers"/>
      </w:pPr>
      <w:bookmarkStart w:id="67" w:name="_Ref149138032"/>
      <w:r w:rsidRPr="007C182C">
        <w:t>The Commission proposes to develop a homelessness services assessment using the A</w:t>
      </w:r>
      <w:r w:rsidR="003E54A6" w:rsidRPr="007C182C">
        <w:t xml:space="preserve">ustralian </w:t>
      </w:r>
      <w:r w:rsidRPr="007C182C">
        <w:t>I</w:t>
      </w:r>
      <w:r w:rsidR="003E54A6" w:rsidRPr="007C182C">
        <w:t xml:space="preserve">nstitute of </w:t>
      </w:r>
      <w:r w:rsidRPr="007C182C">
        <w:t>H</w:t>
      </w:r>
      <w:r w:rsidR="003E54A6" w:rsidRPr="007C182C">
        <w:t xml:space="preserve">ealth and </w:t>
      </w:r>
      <w:r w:rsidRPr="007C182C">
        <w:t>W</w:t>
      </w:r>
      <w:r w:rsidR="003E54A6" w:rsidRPr="007C182C">
        <w:t>elfare</w:t>
      </w:r>
      <w:r w:rsidRPr="007C182C">
        <w:t xml:space="preserve"> data cross</w:t>
      </w:r>
      <w:r w:rsidR="323D5E4A" w:rsidRPr="007C182C">
        <w:t>-</w:t>
      </w:r>
      <w:r w:rsidRPr="007C182C">
        <w:t xml:space="preserve">classified by </w:t>
      </w:r>
      <w:r w:rsidR="00A73429" w:rsidRPr="007C182C">
        <w:t xml:space="preserve">the key </w:t>
      </w:r>
      <w:r w:rsidRPr="007C182C">
        <w:t>population groups</w:t>
      </w:r>
      <w:r w:rsidR="00A73429" w:rsidRPr="007C182C">
        <w:t xml:space="preserve"> using homelessness services</w:t>
      </w:r>
      <w:r w:rsidR="00DD40ED" w:rsidRPr="007C182C">
        <w:t xml:space="preserve"> (</w:t>
      </w:r>
      <w:r w:rsidR="009C4152" w:rsidRPr="007C182C">
        <w:fldChar w:fldCharType="begin"/>
      </w:r>
      <w:r w:rsidR="009C4152" w:rsidRPr="007C182C">
        <w:instrText xml:space="preserve"> REF _Ref147756417 \h </w:instrText>
      </w:r>
      <w:r w:rsidR="007C182C">
        <w:instrText xml:space="preserve"> \* MERGEFORMAT </w:instrText>
      </w:r>
      <w:r w:rsidR="009C4152" w:rsidRPr="007C182C">
        <w:fldChar w:fldCharType="separate"/>
      </w:r>
      <w:r w:rsidR="00837FC6" w:rsidRPr="007C182C">
        <w:t xml:space="preserve">Figure </w:t>
      </w:r>
      <w:r w:rsidR="00837FC6">
        <w:rPr>
          <w:noProof/>
        </w:rPr>
        <w:t>2</w:t>
      </w:r>
      <w:r w:rsidR="009C4152" w:rsidRPr="007C182C">
        <w:fldChar w:fldCharType="end"/>
      </w:r>
      <w:r w:rsidR="00DD40ED" w:rsidRPr="007C182C">
        <w:t>)</w:t>
      </w:r>
      <w:r w:rsidR="00C47498" w:rsidRPr="007C182C">
        <w:t xml:space="preserve">. </w:t>
      </w:r>
      <w:r w:rsidR="00651AA2" w:rsidRPr="007C182C">
        <w:t xml:space="preserve">The </w:t>
      </w:r>
      <w:r w:rsidR="006652DC" w:rsidRPr="007C182C">
        <w:t>drivers included are</w:t>
      </w:r>
      <w:r w:rsidR="00651AA2" w:rsidRPr="007C182C">
        <w:t xml:space="preserve"> </w:t>
      </w:r>
      <w:r w:rsidR="006652DC" w:rsidRPr="007C182C">
        <w:t>I</w:t>
      </w:r>
      <w:r w:rsidRPr="007C182C">
        <w:t xml:space="preserve">ndigenous </w:t>
      </w:r>
      <w:r w:rsidRPr="007C182C">
        <w:lastRenderedPageBreak/>
        <w:t>status</w:t>
      </w:r>
      <w:r w:rsidR="00324181" w:rsidRPr="007C182C">
        <w:t>,</w:t>
      </w:r>
      <w:r w:rsidRPr="007C182C">
        <w:t xml:space="preserve"> </w:t>
      </w:r>
      <w:proofErr w:type="gramStart"/>
      <w:r w:rsidRPr="007C182C">
        <w:t>age</w:t>
      </w:r>
      <w:proofErr w:type="gramEnd"/>
      <w:r w:rsidR="00C47498" w:rsidRPr="007C182C">
        <w:t xml:space="preserve"> </w:t>
      </w:r>
      <w:r w:rsidR="007C3477" w:rsidRPr="007C182C">
        <w:t>and</w:t>
      </w:r>
      <w:r w:rsidR="00C47498" w:rsidRPr="007C182C">
        <w:t xml:space="preserve"> </w:t>
      </w:r>
      <w:r w:rsidR="008331A3" w:rsidRPr="007C182C">
        <w:t>s</w:t>
      </w:r>
      <w:r w:rsidRPr="007C182C">
        <w:t>ocio</w:t>
      </w:r>
      <w:r w:rsidR="008E10DF" w:rsidRPr="007C182C">
        <w:noBreakHyphen/>
      </w:r>
      <w:r w:rsidRPr="007C182C">
        <w:t>economic status</w:t>
      </w:r>
      <w:r w:rsidR="003B7B7C" w:rsidRPr="007C182C">
        <w:t xml:space="preserve"> (income support recipients)</w:t>
      </w:r>
      <w:r w:rsidR="00AD082E" w:rsidRPr="007C182C">
        <w:t xml:space="preserve"> </w:t>
      </w:r>
      <w:r w:rsidR="00575231" w:rsidRPr="007C182C">
        <w:t xml:space="preserve">and </w:t>
      </w:r>
      <w:r w:rsidR="00C775C2" w:rsidRPr="007C182C">
        <w:t>reflect</w:t>
      </w:r>
      <w:r w:rsidR="00575231" w:rsidRPr="007C182C">
        <w:t>s</w:t>
      </w:r>
      <w:r w:rsidR="00C775C2" w:rsidRPr="007C182C">
        <w:t xml:space="preserve"> </w:t>
      </w:r>
      <w:r w:rsidR="00DD40ED" w:rsidRPr="007C182C">
        <w:t>the high</w:t>
      </w:r>
      <w:r w:rsidR="00651AA2" w:rsidRPr="007C182C">
        <w:t>er</w:t>
      </w:r>
      <w:r w:rsidR="00DD40ED" w:rsidRPr="007C182C">
        <w:t xml:space="preserve"> use of </w:t>
      </w:r>
      <w:r w:rsidR="008331A3" w:rsidRPr="007C182C">
        <w:t>services</w:t>
      </w:r>
      <w:r w:rsidR="00DD40ED" w:rsidRPr="007C182C">
        <w:t xml:space="preserve"> by </w:t>
      </w:r>
      <w:r w:rsidR="004B0840" w:rsidRPr="007C182C">
        <w:t xml:space="preserve">these </w:t>
      </w:r>
      <w:r w:rsidR="00484DBD" w:rsidRPr="007C182C">
        <w:t>population groups.</w:t>
      </w:r>
      <w:bookmarkEnd w:id="67"/>
      <w:r w:rsidR="006652DC" w:rsidRPr="007C182C">
        <w:t xml:space="preserve"> </w:t>
      </w:r>
    </w:p>
    <w:p w14:paraId="4C501BF4" w14:textId="402A0A2C" w:rsidR="00A73429" w:rsidRPr="007C182C" w:rsidRDefault="00760E5F" w:rsidP="00760E5F">
      <w:pPr>
        <w:pStyle w:val="CGC2025ParaNumbers"/>
      </w:pPr>
      <w:r w:rsidRPr="007C182C">
        <w:t xml:space="preserve">The assessment would consider the average use of homelessness services </w:t>
      </w:r>
      <w:r w:rsidR="001343B3" w:rsidRPr="007C182C">
        <w:t>by people with</w:t>
      </w:r>
      <w:r w:rsidRPr="007C182C">
        <w:t xml:space="preserve"> </w:t>
      </w:r>
      <w:r w:rsidR="008331A3" w:rsidRPr="007C182C">
        <w:t xml:space="preserve">these </w:t>
      </w:r>
      <w:r w:rsidRPr="007C182C">
        <w:t>socio</w:t>
      </w:r>
      <w:r w:rsidRPr="007C182C">
        <w:noBreakHyphen/>
        <w:t xml:space="preserve">demographic characteristics and </w:t>
      </w:r>
      <w:r w:rsidR="001343B3" w:rsidRPr="007C182C">
        <w:t>assess</w:t>
      </w:r>
      <w:r w:rsidR="00740AC7" w:rsidRPr="007C182C">
        <w:t xml:space="preserve"> the need for</w:t>
      </w:r>
      <w:r w:rsidR="001343B3" w:rsidRPr="007C182C">
        <w:t xml:space="preserve"> state spending</w:t>
      </w:r>
      <w:r w:rsidRPr="007C182C">
        <w:t xml:space="preserve"> using the characteristics of each state’s estimated resident population.</w:t>
      </w:r>
    </w:p>
    <w:p w14:paraId="28F10F7A" w14:textId="00DB08D9" w:rsidR="00760E5F" w:rsidRPr="007C182C" w:rsidRDefault="00760E5F" w:rsidP="00760E5F">
      <w:pPr>
        <w:pStyle w:val="Caption"/>
        <w:rPr>
          <w:rFonts w:ascii="Work Sans" w:hAnsi="Work Sans"/>
        </w:rPr>
      </w:pPr>
      <w:bookmarkStart w:id="68" w:name="_Ref147756417"/>
      <w:r w:rsidRPr="007C182C">
        <w:rPr>
          <w:rFonts w:ascii="Work Sans" w:hAnsi="Work Sans"/>
        </w:rPr>
        <w:t xml:space="preserve">Figure </w:t>
      </w:r>
      <w:r w:rsidR="00A1041F">
        <w:rPr>
          <w:rFonts w:ascii="Work Sans" w:hAnsi="Work Sans"/>
        </w:rPr>
        <w:fldChar w:fldCharType="begin"/>
      </w:r>
      <w:r w:rsidR="00A1041F">
        <w:rPr>
          <w:rFonts w:ascii="Work Sans" w:hAnsi="Work Sans"/>
        </w:rPr>
        <w:instrText xml:space="preserve"> SEQ Figure \* ARABIC </w:instrText>
      </w:r>
      <w:r w:rsidR="00A1041F">
        <w:rPr>
          <w:rFonts w:ascii="Work Sans" w:hAnsi="Work Sans"/>
        </w:rPr>
        <w:fldChar w:fldCharType="separate"/>
      </w:r>
      <w:r w:rsidR="00837FC6">
        <w:rPr>
          <w:rFonts w:ascii="Work Sans" w:hAnsi="Work Sans"/>
          <w:noProof/>
        </w:rPr>
        <w:t>2</w:t>
      </w:r>
      <w:r w:rsidR="00A1041F">
        <w:rPr>
          <w:rFonts w:ascii="Work Sans" w:hAnsi="Work Sans"/>
        </w:rPr>
        <w:fldChar w:fldCharType="end"/>
      </w:r>
      <w:bookmarkEnd w:id="68"/>
      <w:r w:rsidRPr="007C182C">
        <w:tab/>
      </w:r>
      <w:r w:rsidRPr="007C182C">
        <w:rPr>
          <w:rFonts w:ascii="Work Sans" w:hAnsi="Work Sans"/>
        </w:rPr>
        <w:t>Proportion of specialist homelessness services clients by socio-demographic characteristics</w:t>
      </w:r>
    </w:p>
    <w:p w14:paraId="42EB8952" w14:textId="4A76E6FA" w:rsidR="00760E5F" w:rsidRPr="007C182C" w:rsidRDefault="00E32AF5" w:rsidP="00760E5F">
      <w:pPr>
        <w:pStyle w:val="CGC2025ParaNumbers"/>
        <w:numPr>
          <w:ilvl w:val="0"/>
          <w:numId w:val="0"/>
        </w:numPr>
      </w:pPr>
      <w:r>
        <w:rPr>
          <w:noProof/>
        </w:rPr>
        <w:drawing>
          <wp:inline distT="0" distB="0" distL="0" distR="0" wp14:anchorId="2E92D602" wp14:editId="3A5E307C">
            <wp:extent cx="5663565" cy="2639695"/>
            <wp:effectExtent l="0" t="0" r="0" b="8255"/>
            <wp:docPr id="158747122" name="Picture 15874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3565" cy="2639695"/>
                    </a:xfrm>
                    <a:prstGeom prst="rect">
                      <a:avLst/>
                    </a:prstGeom>
                    <a:noFill/>
                  </pic:spPr>
                </pic:pic>
              </a:graphicData>
            </a:graphic>
          </wp:inline>
        </w:drawing>
      </w:r>
    </w:p>
    <w:p w14:paraId="60FFEC00" w14:textId="1EABF65E" w:rsidR="00760E5F" w:rsidRPr="00EE3856" w:rsidRDefault="00760E5F" w:rsidP="00BA4716">
      <w:pPr>
        <w:pStyle w:val="CGC2025TableNote"/>
        <w:ind w:left="709" w:hanging="596"/>
      </w:pPr>
      <w:r w:rsidRPr="00EE3856">
        <w:t xml:space="preserve">Source: </w:t>
      </w:r>
      <w:r w:rsidR="00E0472D">
        <w:t xml:space="preserve">Commission </w:t>
      </w:r>
      <w:r w:rsidR="0004101E">
        <w:t xml:space="preserve">calculations using </w:t>
      </w:r>
      <w:r w:rsidR="000B3802" w:rsidRPr="00833E00">
        <w:rPr>
          <w:rStyle w:val="CGC2025TableNoteChar"/>
        </w:rPr>
        <w:t xml:space="preserve">Australian Institute of Health and Welfare </w:t>
      </w:r>
      <w:r w:rsidR="000B3802">
        <w:rPr>
          <w:rStyle w:val="CGC2025TableNoteChar"/>
        </w:rPr>
        <w:t>(</w:t>
      </w:r>
      <w:r w:rsidR="000B3802" w:rsidRPr="003A2FC6">
        <w:rPr>
          <w:rStyle w:val="CGC2025TableNoteChar"/>
        </w:rPr>
        <w:t>AIHW</w:t>
      </w:r>
      <w:r w:rsidR="000B3802">
        <w:rPr>
          <w:rStyle w:val="CGC2025TableNoteChar"/>
        </w:rPr>
        <w:t>),</w:t>
      </w:r>
      <w:r w:rsidR="000B3802" w:rsidRPr="003A2FC6">
        <w:rPr>
          <w:rStyle w:val="CGC2025TableNoteChar"/>
        </w:rPr>
        <w:t xml:space="preserve"> </w:t>
      </w:r>
      <w:r w:rsidR="000B3802" w:rsidRPr="00391BBC">
        <w:rPr>
          <w:rStyle w:val="CGC2025TableNoteChar"/>
          <w:i/>
          <w:iCs/>
        </w:rPr>
        <w:t>Specialist Homelessness Services Collection, 2011–12 to 2021–22</w:t>
      </w:r>
      <w:r w:rsidR="000B3802">
        <w:rPr>
          <w:rStyle w:val="CGC2025TableNoteChar"/>
        </w:rPr>
        <w:t>,</w:t>
      </w:r>
      <w:r w:rsidR="000B3802" w:rsidRPr="003A2FC6">
        <w:rPr>
          <w:rStyle w:val="CGC2025TableNoteChar"/>
        </w:rPr>
        <w:t xml:space="preserve"> AIHW,</w:t>
      </w:r>
      <w:r w:rsidR="000B3802">
        <w:rPr>
          <w:rStyle w:val="CGC2025TableNoteChar"/>
        </w:rPr>
        <w:t xml:space="preserve"> 2022.</w:t>
      </w:r>
    </w:p>
    <w:p w14:paraId="776EBEE6" w14:textId="49385CE5" w:rsidR="00310A2F" w:rsidRPr="00027661" w:rsidRDefault="00EB5975" w:rsidP="003F0F70">
      <w:pPr>
        <w:pStyle w:val="CGC2025ParaNumbers"/>
      </w:pPr>
      <w:r w:rsidRPr="00027661">
        <w:t xml:space="preserve">The Commission’s </w:t>
      </w:r>
      <w:r w:rsidR="00217353" w:rsidRPr="00027661">
        <w:t>assessment</w:t>
      </w:r>
      <w:r w:rsidRPr="00027661">
        <w:t xml:space="preserve"> would also recognise </w:t>
      </w:r>
      <w:r w:rsidR="008D797A" w:rsidRPr="00027661">
        <w:t>remoteness</w:t>
      </w:r>
      <w:r w:rsidR="00E140F4" w:rsidRPr="00027661">
        <w:t xml:space="preserve"> as a </w:t>
      </w:r>
      <w:r w:rsidR="00604307" w:rsidRPr="00027661">
        <w:t>driver</w:t>
      </w:r>
      <w:r w:rsidR="00495A2F" w:rsidRPr="00027661">
        <w:t xml:space="preserve"> of need for state spending.</w:t>
      </w:r>
      <w:r w:rsidRPr="00027661">
        <w:t xml:space="preserve"> </w:t>
      </w:r>
      <w:r w:rsidR="00495A2F" w:rsidRPr="00027661">
        <w:t>People living in remote or very remote areas (</w:t>
      </w:r>
      <w:r w:rsidR="001A05F7" w:rsidRPr="00027661">
        <w:t xml:space="preserve">aggregated to </w:t>
      </w:r>
      <w:r w:rsidR="00495A2F" w:rsidRPr="00027661">
        <w:t>remote</w:t>
      </w:r>
      <w:r w:rsidR="001A05F7" w:rsidRPr="00027661">
        <w:t xml:space="preserve"> in </w:t>
      </w:r>
      <w:r w:rsidR="001A05F7" w:rsidRPr="00027661">
        <w:fldChar w:fldCharType="begin"/>
      </w:r>
      <w:r w:rsidR="001A05F7" w:rsidRPr="00027661">
        <w:instrText xml:space="preserve"> REF _Ref147389116 \h </w:instrText>
      </w:r>
      <w:r w:rsidR="007C182C" w:rsidRPr="00027661">
        <w:instrText xml:space="preserve"> \* MERGEFORMAT </w:instrText>
      </w:r>
      <w:r w:rsidR="001A05F7" w:rsidRPr="00027661">
        <w:fldChar w:fldCharType="separate"/>
      </w:r>
      <w:r w:rsidR="00837FC6" w:rsidRPr="007C182C">
        <w:t xml:space="preserve">Figure </w:t>
      </w:r>
      <w:r w:rsidR="00837FC6">
        <w:rPr>
          <w:noProof/>
        </w:rPr>
        <w:t>3</w:t>
      </w:r>
      <w:r w:rsidR="001A05F7" w:rsidRPr="00027661">
        <w:fldChar w:fldCharType="end"/>
      </w:r>
      <w:r w:rsidR="00495A2F" w:rsidRPr="00027661">
        <w:t xml:space="preserve">) </w:t>
      </w:r>
      <w:r w:rsidR="00C620B2" w:rsidRPr="00027661">
        <w:t>is correlated with increased use rates of homelessness services</w:t>
      </w:r>
      <w:r w:rsidR="00EC406D" w:rsidRPr="00027661">
        <w:t>. People in remote areas</w:t>
      </w:r>
      <w:r w:rsidR="00C620B2" w:rsidRPr="00027661">
        <w:t xml:space="preserve"> </w:t>
      </w:r>
      <w:r w:rsidR="00495A2F" w:rsidRPr="00027661">
        <w:t xml:space="preserve">are </w:t>
      </w:r>
      <w:r w:rsidR="003E5337">
        <w:t>4</w:t>
      </w:r>
      <w:r w:rsidR="003E5337" w:rsidRPr="00027661">
        <w:t xml:space="preserve"> </w:t>
      </w:r>
      <w:r w:rsidR="00495A2F" w:rsidRPr="00027661">
        <w:t xml:space="preserve">times as likely to access homelessness services when compared with </w:t>
      </w:r>
      <w:r w:rsidR="00C620B2" w:rsidRPr="00027661">
        <w:t>population groups in major cities</w:t>
      </w:r>
      <w:r w:rsidR="007C53A5" w:rsidRPr="00027661">
        <w:t>, d</w:t>
      </w:r>
      <w:r w:rsidR="00044414" w:rsidRPr="00027661">
        <w:t xml:space="preserve">espite </w:t>
      </w:r>
      <w:r w:rsidR="00EC406D" w:rsidRPr="00027661">
        <w:t xml:space="preserve">more limited </w:t>
      </w:r>
      <w:r w:rsidR="00535CE9" w:rsidRPr="00027661">
        <w:t>access to</w:t>
      </w:r>
      <w:r w:rsidR="003A6881" w:rsidRPr="00027661">
        <w:t xml:space="preserve"> </w:t>
      </w:r>
      <w:r w:rsidR="00EC406D" w:rsidRPr="00027661">
        <w:t xml:space="preserve">homelessness </w:t>
      </w:r>
      <w:r w:rsidR="003A6881" w:rsidRPr="00027661">
        <w:t xml:space="preserve">services </w:t>
      </w:r>
      <w:r w:rsidR="00F209AA" w:rsidRPr="00027661">
        <w:t>(</w:t>
      </w:r>
      <w:r w:rsidR="00F209AA" w:rsidRPr="00027661">
        <w:fldChar w:fldCharType="begin"/>
      </w:r>
      <w:r w:rsidR="00F209AA" w:rsidRPr="00027661">
        <w:instrText xml:space="preserve"> REF _Ref147389116 \h </w:instrText>
      </w:r>
      <w:r w:rsidR="007C182C" w:rsidRPr="00027661">
        <w:instrText xml:space="preserve"> \* MERGEFORMAT </w:instrText>
      </w:r>
      <w:r w:rsidR="00F209AA" w:rsidRPr="00027661">
        <w:fldChar w:fldCharType="separate"/>
      </w:r>
      <w:r w:rsidR="00837FC6" w:rsidRPr="007C182C">
        <w:t xml:space="preserve">Figure </w:t>
      </w:r>
      <w:r w:rsidR="00837FC6">
        <w:rPr>
          <w:noProof/>
        </w:rPr>
        <w:t>3</w:t>
      </w:r>
      <w:r w:rsidR="00F209AA" w:rsidRPr="00027661">
        <w:fldChar w:fldCharType="end"/>
      </w:r>
      <w:r w:rsidR="00F209AA" w:rsidRPr="00027661">
        <w:t>)</w:t>
      </w:r>
      <w:r w:rsidR="003A6881" w:rsidRPr="00027661">
        <w:t>.</w:t>
      </w:r>
      <w:r w:rsidR="00535CE9" w:rsidRPr="00027661">
        <w:rPr>
          <w:rStyle w:val="FootnoteReference"/>
        </w:rPr>
        <w:footnoteReference w:id="8"/>
      </w:r>
    </w:p>
    <w:p w14:paraId="644E502C" w14:textId="73D95865" w:rsidR="00F67054" w:rsidRPr="007C182C" w:rsidRDefault="00F67054" w:rsidP="00F67054">
      <w:pPr>
        <w:pStyle w:val="Caption"/>
        <w:ind w:left="0" w:firstLine="0"/>
        <w:rPr>
          <w:rFonts w:ascii="Work Sans" w:hAnsi="Work Sans"/>
        </w:rPr>
      </w:pPr>
      <w:bookmarkStart w:id="69" w:name="_Ref147389116"/>
      <w:r w:rsidRPr="007C182C">
        <w:rPr>
          <w:rFonts w:ascii="Work Sans" w:hAnsi="Work Sans"/>
        </w:rPr>
        <w:lastRenderedPageBreak/>
        <w:t xml:space="preserve">Figure </w:t>
      </w:r>
      <w:r w:rsidR="00A1041F">
        <w:rPr>
          <w:rFonts w:ascii="Work Sans" w:hAnsi="Work Sans"/>
        </w:rPr>
        <w:fldChar w:fldCharType="begin"/>
      </w:r>
      <w:r w:rsidR="00A1041F">
        <w:rPr>
          <w:rFonts w:ascii="Work Sans" w:hAnsi="Work Sans"/>
        </w:rPr>
        <w:instrText xml:space="preserve"> SEQ Figure \* ARABIC </w:instrText>
      </w:r>
      <w:r w:rsidR="00A1041F">
        <w:rPr>
          <w:rFonts w:ascii="Work Sans" w:hAnsi="Work Sans"/>
        </w:rPr>
        <w:fldChar w:fldCharType="separate"/>
      </w:r>
      <w:r w:rsidR="00837FC6">
        <w:rPr>
          <w:rFonts w:ascii="Work Sans" w:hAnsi="Work Sans"/>
          <w:noProof/>
        </w:rPr>
        <w:t>3</w:t>
      </w:r>
      <w:r w:rsidR="00A1041F">
        <w:rPr>
          <w:rFonts w:ascii="Work Sans" w:hAnsi="Work Sans"/>
        </w:rPr>
        <w:fldChar w:fldCharType="end"/>
      </w:r>
      <w:bookmarkEnd w:id="69"/>
      <w:r w:rsidRPr="007C182C">
        <w:rPr>
          <w:rFonts w:ascii="Work Sans" w:hAnsi="Work Sans"/>
        </w:rPr>
        <w:tab/>
        <w:t xml:space="preserve">Use of </w:t>
      </w:r>
      <w:r w:rsidR="00294590">
        <w:rPr>
          <w:rFonts w:ascii="Work Sans" w:hAnsi="Work Sans"/>
        </w:rPr>
        <w:t>s</w:t>
      </w:r>
      <w:r w:rsidRPr="007C182C">
        <w:rPr>
          <w:rFonts w:ascii="Work Sans" w:hAnsi="Work Sans"/>
        </w:rPr>
        <w:t>pecialist homelessness services by remoteness of residence</w:t>
      </w:r>
    </w:p>
    <w:p w14:paraId="2B66A617" w14:textId="2F2DFE22" w:rsidR="00F67054" w:rsidRPr="007C182C" w:rsidRDefault="00E32AF5" w:rsidP="009303C8">
      <w:pPr>
        <w:pStyle w:val="CGC2025ParaNumbers"/>
        <w:numPr>
          <w:ilvl w:val="0"/>
          <w:numId w:val="0"/>
        </w:numPr>
      </w:pPr>
      <w:r>
        <w:rPr>
          <w:noProof/>
        </w:rPr>
        <w:drawing>
          <wp:inline distT="0" distB="0" distL="0" distR="0" wp14:anchorId="6AB79EE1" wp14:editId="0753A6AD">
            <wp:extent cx="5663565" cy="2639695"/>
            <wp:effectExtent l="0" t="0" r="0" b="8255"/>
            <wp:docPr id="266632163" name="Picture 26663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3565" cy="2639695"/>
                    </a:xfrm>
                    <a:prstGeom prst="rect">
                      <a:avLst/>
                    </a:prstGeom>
                    <a:noFill/>
                  </pic:spPr>
                </pic:pic>
              </a:graphicData>
            </a:graphic>
          </wp:inline>
        </w:drawing>
      </w:r>
    </w:p>
    <w:p w14:paraId="1BFE8EBC" w14:textId="4B8045FD" w:rsidR="00F67054" w:rsidRPr="007C182C" w:rsidRDefault="00F67054" w:rsidP="009303C8">
      <w:pPr>
        <w:pStyle w:val="CGC2025TableNote"/>
        <w:ind w:left="0" w:firstLine="0"/>
      </w:pPr>
      <w:r w:rsidRPr="007C182C">
        <w:t>Note: Remote</w:t>
      </w:r>
      <w:r w:rsidR="00CD6F1E" w:rsidRPr="007C182C">
        <w:t xml:space="preserve"> area classification</w:t>
      </w:r>
      <w:r w:rsidRPr="007C182C">
        <w:t xml:space="preserve"> includes areas classified as </w:t>
      </w:r>
      <w:r w:rsidR="00CD6F1E" w:rsidRPr="007C182C">
        <w:t>either r</w:t>
      </w:r>
      <w:r w:rsidRPr="007C182C">
        <w:t xml:space="preserve">emote </w:t>
      </w:r>
      <w:r w:rsidR="003B5E96">
        <w:t>or</w:t>
      </w:r>
      <w:r w:rsidR="003B5E96" w:rsidRPr="007C182C">
        <w:t xml:space="preserve"> </w:t>
      </w:r>
      <w:r w:rsidR="00CD6F1E" w:rsidRPr="007C182C">
        <w:t>v</w:t>
      </w:r>
      <w:r w:rsidRPr="007C182C">
        <w:t xml:space="preserve">ery </w:t>
      </w:r>
      <w:r w:rsidR="00CD6F1E" w:rsidRPr="007C182C">
        <w:t>r</w:t>
      </w:r>
      <w:r w:rsidRPr="007C182C">
        <w:t xml:space="preserve">emote in </w:t>
      </w:r>
      <w:r w:rsidR="00291371" w:rsidRPr="007C182C">
        <w:t>ABS remoteness areas.</w:t>
      </w:r>
    </w:p>
    <w:p w14:paraId="0FB675A0" w14:textId="7CAEA434" w:rsidR="00F67054" w:rsidRPr="007C182C" w:rsidRDefault="00F67054" w:rsidP="00BA4716">
      <w:pPr>
        <w:pStyle w:val="CGC2025TableNote"/>
        <w:ind w:left="567" w:hanging="567"/>
      </w:pPr>
      <w:r w:rsidRPr="007C182C">
        <w:t xml:space="preserve">Source: Commission calculation using </w:t>
      </w:r>
      <w:r w:rsidR="003B5E96" w:rsidRPr="00833E00">
        <w:rPr>
          <w:rStyle w:val="CGC2025TableNoteChar"/>
        </w:rPr>
        <w:t xml:space="preserve">Australian Institute of Health and Welfare </w:t>
      </w:r>
      <w:r w:rsidR="003B5E96">
        <w:rPr>
          <w:rStyle w:val="CGC2025TableNoteChar"/>
        </w:rPr>
        <w:t>(</w:t>
      </w:r>
      <w:r w:rsidR="003B5E96" w:rsidRPr="003A2FC6">
        <w:rPr>
          <w:rStyle w:val="CGC2025TableNoteChar"/>
        </w:rPr>
        <w:t>AIHW</w:t>
      </w:r>
      <w:r w:rsidR="003B5E96">
        <w:rPr>
          <w:rStyle w:val="CGC2025TableNoteChar"/>
        </w:rPr>
        <w:t>),</w:t>
      </w:r>
      <w:r w:rsidR="003B5E96" w:rsidRPr="003A2FC6">
        <w:rPr>
          <w:rStyle w:val="CGC2025TableNoteChar"/>
        </w:rPr>
        <w:t xml:space="preserve"> </w:t>
      </w:r>
      <w:r w:rsidR="003B5E96" w:rsidRPr="00391BBC">
        <w:rPr>
          <w:rStyle w:val="CGC2025TableNoteChar"/>
          <w:i/>
          <w:iCs/>
        </w:rPr>
        <w:t>Specialist Homelessness Services Collection, 2011–12 to 2021–22</w:t>
      </w:r>
      <w:r w:rsidR="003B5E96">
        <w:rPr>
          <w:rStyle w:val="CGC2025TableNoteChar"/>
        </w:rPr>
        <w:t>,</w:t>
      </w:r>
      <w:r w:rsidR="003B5E96" w:rsidRPr="003A2FC6">
        <w:rPr>
          <w:rStyle w:val="CGC2025TableNoteChar"/>
        </w:rPr>
        <w:t xml:space="preserve"> AIHW,</w:t>
      </w:r>
      <w:r w:rsidR="003B5E96">
        <w:rPr>
          <w:rStyle w:val="CGC2025TableNoteChar"/>
        </w:rPr>
        <w:t xml:space="preserve"> 2022.</w:t>
      </w:r>
    </w:p>
    <w:p w14:paraId="6AD429E3" w14:textId="382D51C4" w:rsidR="00474A86" w:rsidRPr="00027661" w:rsidRDefault="00786A6F" w:rsidP="00AC57F8">
      <w:pPr>
        <w:pStyle w:val="CGC2025ParaNumbers"/>
      </w:pPr>
      <w:r>
        <w:t>Given the A</w:t>
      </w:r>
      <w:r w:rsidR="00041F9B">
        <w:t xml:space="preserve">ustralian </w:t>
      </w:r>
      <w:r>
        <w:t>I</w:t>
      </w:r>
      <w:r w:rsidR="00FF448C">
        <w:t xml:space="preserve">nstitute of </w:t>
      </w:r>
      <w:r>
        <w:t>H</w:t>
      </w:r>
      <w:r w:rsidR="00FF448C">
        <w:t xml:space="preserve">ealth and </w:t>
      </w:r>
      <w:r>
        <w:t>W</w:t>
      </w:r>
      <w:r w:rsidR="00FF448C">
        <w:t>elfare</w:t>
      </w:r>
      <w:r>
        <w:t xml:space="preserve"> data</w:t>
      </w:r>
      <w:r w:rsidR="00EE43AF">
        <w:t xml:space="preserve"> </w:t>
      </w:r>
      <w:r w:rsidR="00AB5E5E">
        <w:t>(</w:t>
      </w:r>
      <w:r>
        <w:fldChar w:fldCharType="begin"/>
      </w:r>
      <w:r>
        <w:instrText xml:space="preserve"> REF _Ref147756417 \h  \* MERGEFORMAT </w:instrText>
      </w:r>
      <w:r>
        <w:fldChar w:fldCharType="separate"/>
      </w:r>
      <w:r w:rsidR="00837FC6">
        <w:t xml:space="preserve">Figure </w:t>
      </w:r>
      <w:r w:rsidR="00837FC6" w:rsidRPr="7C937E31">
        <w:rPr>
          <w:noProof/>
        </w:rPr>
        <w:t>2</w:t>
      </w:r>
      <w:r>
        <w:fldChar w:fldCharType="end"/>
      </w:r>
      <w:r w:rsidR="00AB5E5E">
        <w:t>)</w:t>
      </w:r>
      <w:r>
        <w:t>, t</w:t>
      </w:r>
      <w:r w:rsidR="00AC57F8">
        <w:t xml:space="preserve">he Commission is also considering </w:t>
      </w:r>
      <w:r>
        <w:t>whether</w:t>
      </w:r>
      <w:r w:rsidR="00AC57F8">
        <w:t xml:space="preserve"> mental health</w:t>
      </w:r>
      <w:r>
        <w:t xml:space="preserve"> can be included</w:t>
      </w:r>
      <w:r w:rsidR="00AC57F8">
        <w:t xml:space="preserve"> as a driver of </w:t>
      </w:r>
      <w:r w:rsidR="009856EC">
        <w:t xml:space="preserve">need for </w:t>
      </w:r>
      <w:r w:rsidR="00AC57F8">
        <w:t>specialist homelessness services</w:t>
      </w:r>
      <w:r w:rsidR="00AC57F8" w:rsidRPr="00EE3856">
        <w:t xml:space="preserve">. </w:t>
      </w:r>
      <w:r w:rsidR="00563B93" w:rsidRPr="00EE3856">
        <w:t xml:space="preserve">A key issue is whether </w:t>
      </w:r>
      <w:r w:rsidR="00AB5E5E" w:rsidRPr="00EE3856">
        <w:t xml:space="preserve">2021 </w:t>
      </w:r>
      <w:r w:rsidR="00C4775E" w:rsidRPr="00EE3856">
        <w:t xml:space="preserve">ABS </w:t>
      </w:r>
      <w:r w:rsidR="00563B93" w:rsidRPr="00EE3856">
        <w:t xml:space="preserve">census data </w:t>
      </w:r>
      <w:r w:rsidR="009856EC" w:rsidRPr="00EE3856">
        <w:t>relating to</w:t>
      </w:r>
      <w:r w:rsidR="00563B93" w:rsidRPr="00EE3856">
        <w:t xml:space="preserve"> people with a mental health </w:t>
      </w:r>
      <w:r w:rsidR="000B0774" w:rsidRPr="00EE3856">
        <w:t>condition</w:t>
      </w:r>
      <w:r w:rsidR="00563B93" w:rsidRPr="00EE3856">
        <w:t xml:space="preserve"> </w:t>
      </w:r>
      <w:r w:rsidR="00A13F8D">
        <w:t>are</w:t>
      </w:r>
      <w:r w:rsidR="00A13F8D" w:rsidRPr="00EE3856">
        <w:t xml:space="preserve"> </w:t>
      </w:r>
      <w:r w:rsidR="000B0774" w:rsidRPr="00EE3856">
        <w:t>sufficiently</w:t>
      </w:r>
      <w:r w:rsidR="00563B93" w:rsidRPr="00EE3856">
        <w:t xml:space="preserve"> </w:t>
      </w:r>
      <w:r w:rsidR="000B0774" w:rsidRPr="00EE3856">
        <w:t>reliable</w:t>
      </w:r>
      <w:r w:rsidR="00563B93" w:rsidRPr="00EE3856">
        <w:t xml:space="preserve"> and </w:t>
      </w:r>
      <w:r w:rsidR="00DA3492">
        <w:br/>
      </w:r>
      <w:r w:rsidR="00563B93" w:rsidRPr="00EE3856">
        <w:t xml:space="preserve">fit-for-purpose to be used in </w:t>
      </w:r>
      <w:r w:rsidR="000B0774" w:rsidRPr="00EE3856">
        <w:t xml:space="preserve">the assessment. </w:t>
      </w:r>
      <w:r w:rsidR="00735DF2" w:rsidRPr="00EE3856">
        <w:t>Further, if there are limitations with these data, consideration will be given to whether</w:t>
      </w:r>
      <w:r w:rsidR="009856EC" w:rsidRPr="00EE3856">
        <w:t xml:space="preserve"> </w:t>
      </w:r>
      <w:r w:rsidR="00A90E77" w:rsidRPr="00EE3856">
        <w:t>adjustments</w:t>
      </w:r>
      <w:r w:rsidR="00A90E77">
        <w:t xml:space="preserve"> </w:t>
      </w:r>
      <w:r w:rsidR="007C182C">
        <w:t xml:space="preserve">could be made </w:t>
      </w:r>
      <w:r w:rsidR="00A90E77">
        <w:t xml:space="preserve">to make the census data suitable for use </w:t>
      </w:r>
      <w:r w:rsidR="00DA3492">
        <w:t xml:space="preserve">in combination with </w:t>
      </w:r>
      <w:r w:rsidR="009856EC">
        <w:t xml:space="preserve">other relevant data sources, such as </w:t>
      </w:r>
      <w:r w:rsidR="000A393B">
        <w:t xml:space="preserve">the </w:t>
      </w:r>
      <w:r w:rsidR="006F125C">
        <w:t>ABS’s N</w:t>
      </w:r>
      <w:r w:rsidR="000A393B">
        <w:t xml:space="preserve">ational </w:t>
      </w:r>
      <w:r w:rsidR="006F125C">
        <w:t>S</w:t>
      </w:r>
      <w:r w:rsidR="000A393B">
        <w:t xml:space="preserve">urvey of </w:t>
      </w:r>
      <w:r w:rsidR="006F125C">
        <w:t>M</w:t>
      </w:r>
      <w:r w:rsidR="000A393B">
        <w:t xml:space="preserve">ental </w:t>
      </w:r>
      <w:r w:rsidR="006F125C">
        <w:t>H</w:t>
      </w:r>
      <w:r w:rsidR="000A393B">
        <w:t xml:space="preserve">ealth and </w:t>
      </w:r>
      <w:r w:rsidR="006F125C">
        <w:t>W</w:t>
      </w:r>
      <w:r w:rsidR="000A393B">
        <w:t xml:space="preserve">ellbeing, </w:t>
      </w:r>
      <w:r w:rsidR="006F125C">
        <w:t>N</w:t>
      </w:r>
      <w:r w:rsidR="000A393B">
        <w:t xml:space="preserve">ational </w:t>
      </w:r>
      <w:r w:rsidR="006F125C">
        <w:t>H</w:t>
      </w:r>
      <w:r w:rsidR="000A393B">
        <w:t xml:space="preserve">ealth </w:t>
      </w:r>
      <w:r w:rsidR="006F125C">
        <w:t>S</w:t>
      </w:r>
      <w:r w:rsidR="000A393B">
        <w:t>urvey</w:t>
      </w:r>
      <w:r w:rsidR="0062526C">
        <w:t>,</w:t>
      </w:r>
      <w:r w:rsidR="000A393B">
        <w:t xml:space="preserve"> and Aboriginal and </w:t>
      </w:r>
      <w:r w:rsidR="006F125C">
        <w:t>T</w:t>
      </w:r>
      <w:r w:rsidR="000A393B">
        <w:t xml:space="preserve">orres </w:t>
      </w:r>
      <w:r w:rsidR="00284C20">
        <w:t>S</w:t>
      </w:r>
      <w:r w:rsidR="000A393B">
        <w:t xml:space="preserve">trait </w:t>
      </w:r>
      <w:r w:rsidR="00284C20">
        <w:t>I</w:t>
      </w:r>
      <w:r w:rsidR="000A393B">
        <w:t>slander</w:t>
      </w:r>
      <w:r w:rsidR="006F125C">
        <w:t xml:space="preserve"> </w:t>
      </w:r>
      <w:r w:rsidR="00284C20">
        <w:t>H</w:t>
      </w:r>
      <w:r w:rsidR="006F125C">
        <w:t xml:space="preserve">ealth </w:t>
      </w:r>
      <w:r w:rsidR="00284C20">
        <w:t>S</w:t>
      </w:r>
      <w:r w:rsidR="006F125C">
        <w:t>urvey</w:t>
      </w:r>
      <w:r w:rsidR="00A90E77">
        <w:t>.</w:t>
      </w:r>
    </w:p>
    <w:p w14:paraId="360ED2B7" w14:textId="7488FED5" w:rsidR="005379D3" w:rsidRPr="007C182C" w:rsidRDefault="005379D3" w:rsidP="005379D3">
      <w:pPr>
        <w:pStyle w:val="CGC2025ParaNumbers"/>
      </w:pPr>
      <w:r w:rsidRPr="00027661">
        <w:t>The Commission’s preliminary view</w:t>
      </w:r>
      <w:r w:rsidRPr="007C182C">
        <w:t xml:space="preserve"> is not to assess the need for homelessness spending using gender, because there is no material difference in the sex ratio between states</w:t>
      </w:r>
      <w:r w:rsidR="006D5F54" w:rsidRPr="007C182C">
        <w:t>.</w:t>
      </w:r>
    </w:p>
    <w:p w14:paraId="7B593E6A" w14:textId="1A8BFFC7" w:rsidR="003403E2" w:rsidRPr="007C182C" w:rsidRDefault="003403E2" w:rsidP="003403E2">
      <w:pPr>
        <w:pStyle w:val="CGC2025ParaNumbers"/>
      </w:pPr>
      <w:r w:rsidRPr="007C182C">
        <w:t>The Commission</w:t>
      </w:r>
      <w:r w:rsidR="006D5F54" w:rsidRPr="007C182C">
        <w:t xml:space="preserve"> also</w:t>
      </w:r>
      <w:r w:rsidRPr="007C182C">
        <w:t xml:space="preserve"> does not </w:t>
      </w:r>
      <w:r w:rsidR="007F58C9" w:rsidRPr="007C182C">
        <w:t xml:space="preserve">propose </w:t>
      </w:r>
      <w:r w:rsidRPr="007C182C">
        <w:t xml:space="preserve">to </w:t>
      </w:r>
      <w:r w:rsidR="007F58C9" w:rsidRPr="007C182C">
        <w:t>include domestic violence as a driver.</w:t>
      </w:r>
      <w:r w:rsidR="004B75DB" w:rsidRPr="007C182C">
        <w:t xml:space="preserve"> </w:t>
      </w:r>
      <w:r w:rsidRPr="007C182C">
        <w:t xml:space="preserve">This is because of the lack of suitable national domestic violence data </w:t>
      </w:r>
      <w:r w:rsidR="00595728">
        <w:t>that would</w:t>
      </w:r>
      <w:r w:rsidR="00595728" w:rsidRPr="007C182C">
        <w:t xml:space="preserve"> </w:t>
      </w:r>
      <w:r w:rsidRPr="007C182C">
        <w:t>enable cross</w:t>
      </w:r>
      <w:r w:rsidR="003C2765">
        <w:t>-</w:t>
      </w:r>
      <w:r w:rsidRPr="007C182C">
        <w:t xml:space="preserve">classification with </w:t>
      </w:r>
      <w:r w:rsidR="007F58C9" w:rsidRPr="007C182C">
        <w:t xml:space="preserve">other </w:t>
      </w:r>
      <w:r w:rsidRPr="007C182C">
        <w:t>population characteristics.</w:t>
      </w:r>
    </w:p>
    <w:p w14:paraId="50FFA7B5" w14:textId="20B98B04" w:rsidR="00FE23DA" w:rsidRPr="007C182C" w:rsidRDefault="007F58C9">
      <w:pPr>
        <w:pStyle w:val="CGC2025ParaNumbers"/>
      </w:pPr>
      <w:r w:rsidRPr="007C182C">
        <w:t>I</w:t>
      </w:r>
      <w:r w:rsidR="00FB4BD2" w:rsidRPr="007C182C">
        <w:t>n</w:t>
      </w:r>
      <w:r w:rsidRPr="007C182C">
        <w:t xml:space="preserve"> summary, </w:t>
      </w:r>
      <w:r w:rsidR="00FB4BD2" w:rsidRPr="007C182C">
        <w:t>t</w:t>
      </w:r>
      <w:r w:rsidR="00FE23DA" w:rsidRPr="007C182C">
        <w:t>he Commission</w:t>
      </w:r>
      <w:r w:rsidR="00FB4BD2" w:rsidRPr="007C182C">
        <w:t>’</w:t>
      </w:r>
      <w:r w:rsidR="00FE23DA" w:rsidRPr="007C182C">
        <w:t>s preliminary position is to assess homelessness services use using</w:t>
      </w:r>
      <w:r w:rsidR="006D5F54" w:rsidRPr="007C182C">
        <w:t>,</w:t>
      </w:r>
      <w:r w:rsidR="008D5493" w:rsidRPr="007C182C">
        <w:t xml:space="preserve"> </w:t>
      </w:r>
      <w:r w:rsidR="00FE23DA" w:rsidRPr="007C182C">
        <w:t>age</w:t>
      </w:r>
      <w:r w:rsidR="00591E61" w:rsidRPr="007C182C">
        <w:t>,</w:t>
      </w:r>
      <w:r w:rsidR="008D5493" w:rsidRPr="007C182C">
        <w:t xml:space="preserve"> </w:t>
      </w:r>
      <w:r w:rsidR="009152F2" w:rsidRPr="007C182C">
        <w:t xml:space="preserve">Indigenous </w:t>
      </w:r>
      <w:r w:rsidR="00FE23DA" w:rsidRPr="007C182C">
        <w:t>status</w:t>
      </w:r>
      <w:r w:rsidR="008D5493" w:rsidRPr="007C182C">
        <w:t xml:space="preserve">, </w:t>
      </w:r>
      <w:r w:rsidR="00FE23DA" w:rsidRPr="007C182C">
        <w:t xml:space="preserve">socio-economic </w:t>
      </w:r>
      <w:proofErr w:type="gramStart"/>
      <w:r w:rsidR="00FE23DA" w:rsidRPr="007C182C">
        <w:t>status</w:t>
      </w:r>
      <w:proofErr w:type="gramEnd"/>
      <w:r w:rsidR="008D5493" w:rsidRPr="007C182C">
        <w:t xml:space="preserve"> and </w:t>
      </w:r>
      <w:r w:rsidR="00FE23DA" w:rsidRPr="007C182C">
        <w:t>remoteness.</w:t>
      </w:r>
      <w:r w:rsidR="005D0081" w:rsidRPr="007C182C">
        <w:t xml:space="preserve"> Further work will be undertaken on whether mental health can be included as a driver</w:t>
      </w:r>
      <w:r w:rsidR="00772869" w:rsidRPr="007C182C">
        <w:t xml:space="preserve"> of state homelessness services spending</w:t>
      </w:r>
      <w:r w:rsidR="00336ED8" w:rsidRPr="007C182C">
        <w:t xml:space="preserve">. </w:t>
      </w:r>
      <w:r w:rsidR="004B75DB" w:rsidRPr="007C182C">
        <w:t xml:space="preserve">The timing of this work is dependent on receiving relevant data from </w:t>
      </w:r>
      <w:r w:rsidR="001259E0" w:rsidRPr="007C182C">
        <w:t xml:space="preserve">the </w:t>
      </w:r>
      <w:r w:rsidR="004B75DB" w:rsidRPr="007C182C">
        <w:t>A</w:t>
      </w:r>
      <w:r w:rsidR="001259E0" w:rsidRPr="007C182C">
        <w:t xml:space="preserve">ustralian </w:t>
      </w:r>
      <w:r w:rsidR="004B75DB" w:rsidRPr="007C182C">
        <w:t>I</w:t>
      </w:r>
      <w:r w:rsidR="001259E0" w:rsidRPr="007C182C">
        <w:t xml:space="preserve">nstitute of </w:t>
      </w:r>
      <w:r w:rsidR="004B75DB" w:rsidRPr="007C182C">
        <w:t>H</w:t>
      </w:r>
      <w:r w:rsidR="001259E0" w:rsidRPr="007C182C">
        <w:t xml:space="preserve">ealth and </w:t>
      </w:r>
      <w:r w:rsidR="004B75DB" w:rsidRPr="007C182C">
        <w:t>W</w:t>
      </w:r>
      <w:r w:rsidR="001259E0" w:rsidRPr="007C182C">
        <w:t>elfare</w:t>
      </w:r>
      <w:r w:rsidR="004B75DB" w:rsidRPr="007C182C">
        <w:t xml:space="preserve">. </w:t>
      </w:r>
      <w:r w:rsidR="00336ED8" w:rsidRPr="007C182C">
        <w:t xml:space="preserve">States will be consulted separately as this work progresses and </w:t>
      </w:r>
      <w:r w:rsidR="00C53573" w:rsidRPr="007C182C">
        <w:t xml:space="preserve">will be </w:t>
      </w:r>
      <w:r w:rsidR="004B75DB" w:rsidRPr="007C182C">
        <w:t>informed as information becomes available.</w:t>
      </w:r>
    </w:p>
    <w:p w14:paraId="437DF1F0" w14:textId="06AD821A" w:rsidR="00E23CFD" w:rsidRPr="007C182C" w:rsidRDefault="00E23CFD" w:rsidP="00E23CFD">
      <w:pPr>
        <w:pStyle w:val="CGC2025ParaNumbers"/>
      </w:pPr>
      <w:r>
        <w:t xml:space="preserve">The Commission </w:t>
      </w:r>
      <w:r w:rsidR="0034412F">
        <w:t xml:space="preserve">also proposes to </w:t>
      </w:r>
      <w:r>
        <w:t xml:space="preserve">maintain the current regional cost and wage cost factors for homelessness spending and maintain the cross-border adjustment for </w:t>
      </w:r>
      <w:r>
        <w:lastRenderedPageBreak/>
        <w:t>homelessness services provided by the ACT </w:t>
      </w:r>
      <w:r w:rsidR="00D3269F">
        <w:t>G</w:t>
      </w:r>
      <w:r>
        <w:t>overnment to residents of New</w:t>
      </w:r>
      <w:r w:rsidR="00DA3492">
        <w:t> </w:t>
      </w:r>
      <w:r>
        <w:t>South</w:t>
      </w:r>
      <w:r w:rsidR="00DA3492">
        <w:t> </w:t>
      </w:r>
      <w:r>
        <w:t>Wales</w:t>
      </w:r>
      <w:r w:rsidR="00772869">
        <w:t xml:space="preserve"> consistent with the previous assessment</w:t>
      </w:r>
      <w:r>
        <w:t>.</w:t>
      </w:r>
    </w:p>
    <w:p w14:paraId="48A1B02F" w14:textId="1FE67466" w:rsidR="005405A4" w:rsidRPr="007C182C" w:rsidRDefault="005405A4" w:rsidP="005405A4">
      <w:pPr>
        <w:pStyle w:val="Heading4"/>
      </w:pPr>
      <w:r w:rsidRPr="007C182C">
        <w:t xml:space="preserve">Homelessness services </w:t>
      </w:r>
      <w:r w:rsidR="00B542FF" w:rsidRPr="007C182C">
        <w:t xml:space="preserve">spending </w:t>
      </w:r>
      <w:r w:rsidRPr="007C182C">
        <w:t>data</w:t>
      </w:r>
    </w:p>
    <w:p w14:paraId="1E696B6B" w14:textId="5A4D07EB" w:rsidR="005405A4" w:rsidRPr="007C182C" w:rsidRDefault="005405A4">
      <w:pPr>
        <w:pStyle w:val="CGC2025ParaNumbers"/>
      </w:pPr>
      <w:r>
        <w:t>Currently the ABS Government Financial Statistics do not separately identify state government spending on homelessness services. This reflects the complexity of homelessness services delivery with state spending on homelessness services potentially classified across many different spending categories including</w:t>
      </w:r>
      <w:r w:rsidR="00A304A6">
        <w:t xml:space="preserve"> </w:t>
      </w:r>
      <w:r>
        <w:t>welfare</w:t>
      </w:r>
      <w:r w:rsidR="00A304A6">
        <w:t xml:space="preserve">, </w:t>
      </w:r>
      <w:r>
        <w:t>health</w:t>
      </w:r>
      <w:r w:rsidR="00A304A6">
        <w:t xml:space="preserve">, </w:t>
      </w:r>
      <w:r>
        <w:t xml:space="preserve">post-secondary </w:t>
      </w:r>
      <w:proofErr w:type="gramStart"/>
      <w:r>
        <w:t>education</w:t>
      </w:r>
      <w:proofErr w:type="gramEnd"/>
      <w:r w:rsidR="00A304A6">
        <w:t xml:space="preserve"> and </w:t>
      </w:r>
      <w:r>
        <w:t>housing.</w:t>
      </w:r>
    </w:p>
    <w:p w14:paraId="4D4AA5D6" w14:textId="583599A9" w:rsidR="005405A4" w:rsidRPr="007C182C" w:rsidRDefault="00CB2A70" w:rsidP="005405A4">
      <w:pPr>
        <w:pStyle w:val="CGC2025ParaNumbers"/>
      </w:pPr>
      <w:bookmarkStart w:id="70" w:name="_Ref149138066"/>
      <w:r w:rsidRPr="007C182C">
        <w:t xml:space="preserve">To be able to adopt </w:t>
      </w:r>
      <w:r w:rsidR="005405A4" w:rsidRPr="007C182C">
        <w:t xml:space="preserve">a homelessness services assessment </w:t>
      </w:r>
      <w:r w:rsidRPr="007C182C">
        <w:t>in</w:t>
      </w:r>
      <w:r w:rsidR="005405A4" w:rsidRPr="007C182C">
        <w:t xml:space="preserve"> the 2025</w:t>
      </w:r>
      <w:r w:rsidR="00410BAA" w:rsidRPr="007C182C">
        <w:t> </w:t>
      </w:r>
      <w:r w:rsidR="005405A4" w:rsidRPr="007C182C">
        <w:t xml:space="preserve">Review, the Commission </w:t>
      </w:r>
      <w:r w:rsidR="00AB5424" w:rsidRPr="007C182C">
        <w:t xml:space="preserve">will need to be able to </w:t>
      </w:r>
      <w:r w:rsidRPr="007C182C">
        <w:t>reliably</w:t>
      </w:r>
      <w:r w:rsidR="00AB5424" w:rsidRPr="007C182C">
        <w:t xml:space="preserve"> identify</w:t>
      </w:r>
      <w:r w:rsidR="005405A4" w:rsidRPr="007C182C">
        <w:t xml:space="preserve"> state spending on homelessness services.</w:t>
      </w:r>
      <w:r w:rsidR="007D731C" w:rsidRPr="007C182C">
        <w:t xml:space="preserve"> </w:t>
      </w:r>
      <w:r w:rsidR="003325F1" w:rsidRPr="007C182C">
        <w:t>In the first instance, t</w:t>
      </w:r>
      <w:r w:rsidR="005405A4" w:rsidRPr="007C182C">
        <w:t xml:space="preserve">he Commission </w:t>
      </w:r>
      <w:r w:rsidR="007D731C" w:rsidRPr="007C182C">
        <w:t>will</w:t>
      </w:r>
      <w:r w:rsidR="005405A4" w:rsidRPr="007C182C">
        <w:t xml:space="preserve"> use the </w:t>
      </w:r>
      <w:r w:rsidR="005405A4" w:rsidRPr="007C182C">
        <w:rPr>
          <w:i/>
          <w:iCs/>
        </w:rPr>
        <w:t>Report on Government Services</w:t>
      </w:r>
      <w:r w:rsidR="005405A4" w:rsidRPr="007C182C">
        <w:t xml:space="preserve"> data to test the materiality of a homelessness spending assessment.</w:t>
      </w:r>
      <w:r w:rsidR="00C00B72" w:rsidRPr="007C182C">
        <w:t xml:space="preserve"> </w:t>
      </w:r>
      <w:r w:rsidR="00BE0D4A" w:rsidRPr="007C182C">
        <w:t xml:space="preserve">If the assessment is to proceed, the Commission would </w:t>
      </w:r>
      <w:r w:rsidR="00C667CD" w:rsidRPr="007C182C">
        <w:t xml:space="preserve">propose </w:t>
      </w:r>
      <w:r w:rsidR="00BE0D4A" w:rsidRPr="007C182C">
        <w:t>seek</w:t>
      </w:r>
      <w:r w:rsidR="00C667CD" w:rsidRPr="007C182C">
        <w:t>ing</w:t>
      </w:r>
      <w:r w:rsidR="00BE0D4A" w:rsidRPr="007C182C">
        <w:t xml:space="preserve"> relevant spending data directly from the states.</w:t>
      </w:r>
      <w:r w:rsidR="00F47F69" w:rsidRPr="007C182C">
        <w:t xml:space="preserve"> To avoid double counting, the Commission would also ask states where the spending was included in </w:t>
      </w:r>
      <w:r w:rsidR="00564B74">
        <w:t xml:space="preserve">Government Financial Statistics </w:t>
      </w:r>
      <w:r w:rsidR="00F47F69" w:rsidRPr="007C182C">
        <w:t>classifications.</w:t>
      </w:r>
      <w:bookmarkEnd w:id="70"/>
    </w:p>
    <w:p w14:paraId="4D584E21" w14:textId="771B40A6" w:rsidR="006949D7" w:rsidRDefault="006949D7" w:rsidP="006949D7">
      <w:pPr>
        <w:pStyle w:val="Heading4"/>
      </w:pPr>
      <w:r>
        <w:t>Consultation question</w:t>
      </w:r>
      <w:r w:rsidR="00F21CF1">
        <w:t>s</w:t>
      </w:r>
    </w:p>
    <w:p w14:paraId="19EE07CA" w14:textId="42EFCC54" w:rsidR="00D60BE9" w:rsidRDefault="00095DE7" w:rsidP="00D60BE9">
      <w:pPr>
        <w:pStyle w:val="Bulletpoint"/>
      </w:pPr>
      <w:r w:rsidRPr="001C4DF3">
        <w:rPr>
          <w:noProof/>
        </w:rPr>
        <mc:AlternateContent>
          <mc:Choice Requires="wps">
            <w:drawing>
              <wp:inline distT="0" distB="0" distL="0" distR="0" wp14:anchorId="7F9A2997" wp14:editId="6BB9B64D">
                <wp:extent cx="5648325" cy="1571625"/>
                <wp:effectExtent l="0" t="0" r="9525" b="9525"/>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1571625"/>
                        </a:xfrm>
                        <a:prstGeom prst="rect">
                          <a:avLst/>
                        </a:prstGeom>
                        <a:solidFill>
                          <a:srgbClr val="EBF3F5"/>
                        </a:solidFill>
                        <a:ln w="25400" cap="flat" cmpd="sng" algn="ctr">
                          <a:noFill/>
                          <a:prstDash val="solid"/>
                        </a:ln>
                        <a:effectLst/>
                      </wps:spPr>
                      <wps:txbx>
                        <w:txbxContent>
                          <w:p w14:paraId="37E24C51" w14:textId="6E3A06B0" w:rsidR="0033185B" w:rsidRDefault="00095DE7" w:rsidP="0062360C">
                            <w:pPr>
                              <w:pStyle w:val="CGC2025QuestionNumbers"/>
                            </w:pPr>
                            <w:r>
                              <w:rPr>
                                <w:rFonts w:eastAsia="Times New Roman" w:cs="Times New Roman"/>
                                <w:lang w:eastAsia="en-AU"/>
                              </w:rPr>
                              <w:t>Do states support the development of a homelessness services assessment</w:t>
                            </w:r>
                            <w:r w:rsidR="0033185B">
                              <w:rPr>
                                <w:lang w:eastAsia="en-AU"/>
                              </w:rPr>
                              <w:t>?</w:t>
                            </w:r>
                          </w:p>
                          <w:p w14:paraId="6952D679" w14:textId="4E5F27E7" w:rsidR="004E107C" w:rsidRPr="00BF1224" w:rsidRDefault="00D0085B" w:rsidP="004E107C">
                            <w:pPr>
                              <w:pStyle w:val="CGC2025QuestionNumbers"/>
                            </w:pPr>
                            <w:r>
                              <w:t>Will</w:t>
                            </w:r>
                            <w:r w:rsidR="004E107C" w:rsidRPr="00E64AAF">
                              <w:t xml:space="preserve"> states </w:t>
                            </w:r>
                            <w:r w:rsidR="00F47F69">
                              <w:t>be able to identify spending</w:t>
                            </w:r>
                            <w:r w:rsidR="004204AF">
                              <w:t xml:space="preserve"> on homelessness services </w:t>
                            </w:r>
                            <w:r w:rsidR="00F47F69">
                              <w:t>and</w:t>
                            </w:r>
                            <w:r w:rsidR="004E107C" w:rsidRPr="00E64AAF">
                              <w:t xml:space="preserve"> </w:t>
                            </w:r>
                            <w:r w:rsidR="00C924A4">
                              <w:t xml:space="preserve">identify </w:t>
                            </w:r>
                            <w:r w:rsidR="00C17657">
                              <w:t xml:space="preserve">where </w:t>
                            </w:r>
                            <w:r w:rsidR="00612480">
                              <w:t>that spending is</w:t>
                            </w:r>
                            <w:r w:rsidR="004204AF">
                              <w:t xml:space="preserve"> </w:t>
                            </w:r>
                            <w:r w:rsidR="00430048">
                              <w:t xml:space="preserve">reported </w:t>
                            </w:r>
                            <w:r w:rsidR="00B46F85">
                              <w:t>i</w:t>
                            </w:r>
                            <w:r w:rsidR="004E107C" w:rsidRPr="00E64AAF">
                              <w:t xml:space="preserve">n </w:t>
                            </w:r>
                            <w:r w:rsidR="004E107C">
                              <w:t>the Government Finance Statistics classification</w:t>
                            </w:r>
                            <w:r w:rsidR="00C924A4">
                              <w:t>s</w:t>
                            </w:r>
                            <w:r w:rsidR="004E107C">
                              <w:t>?</w:t>
                            </w:r>
                          </w:p>
                          <w:p w14:paraId="1A66DE83" w14:textId="5936E109" w:rsidR="0093513C" w:rsidRPr="00BF1224" w:rsidRDefault="0047277E" w:rsidP="00C62C49">
                            <w:pPr>
                              <w:pStyle w:val="CGC2025QuestionNumbers"/>
                            </w:pPr>
                            <w:r>
                              <w:t xml:space="preserve">Do states </w:t>
                            </w:r>
                            <w:r w:rsidR="00A95A4B">
                              <w:t>support</w:t>
                            </w:r>
                            <w:r>
                              <w:t xml:space="preserve"> the </w:t>
                            </w:r>
                            <w:r w:rsidR="000B5629">
                              <w:t>proposed</w:t>
                            </w:r>
                            <w:r>
                              <w:t xml:space="preserve"> </w:t>
                            </w:r>
                            <w:r w:rsidR="00947C23">
                              <w:t xml:space="preserve">drivers </w:t>
                            </w:r>
                            <w:r w:rsidR="00A26996">
                              <w:t>to assess homelessness spending</w:t>
                            </w:r>
                            <w:r w:rsidR="00612480">
                              <w:t xml:space="preserve">, noting further work is to be undertaken on mental health conditions as a </w:t>
                            </w:r>
                            <w:r w:rsidR="000B5629">
                              <w:t xml:space="preserve">potential </w:t>
                            </w:r>
                            <w:r w:rsidR="00612480">
                              <w:t>driver</w:t>
                            </w:r>
                            <w:r w:rsidR="00947C2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9A2997" id="Rectangle 4" o:spid="_x0000_s1030" alt="&quot;&quot;" style="width:444.75pt;height:12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" fillcolor="#ebf3f5" stroked="f" strokeweight="2pt">
                <v:textbox>
                  <w:txbxContent>
                    <w:p w14:paraId="37E24C51" w14:textId="6E3A06B0" w:rsidR="0033185B" w:rsidRDefault="00095DE7" w:rsidP="0062360C">
                      <w:pPr>
                        <w:pStyle w:val="CGC2025QuestionNumbers"/>
                      </w:pPr>
                      <w:r>
                        <w:rPr>
                          <w:rFonts w:eastAsia="Times New Roman" w:cs="Times New Roman"/>
                          <w:lang w:eastAsia="en-AU"/>
                        </w:rPr>
                        <w:t>Do states support the development of a homelessness services assessment</w:t>
                      </w:r>
                      <w:r w:rsidR="0033185B">
                        <w:rPr>
                          <w:lang w:eastAsia="en-AU"/>
                        </w:rPr>
                        <w:t>?</w:t>
                      </w:r>
                    </w:p>
                    <w:p w14:paraId="6952D679" w14:textId="4E5F27E7" w:rsidR="004E107C" w:rsidRPr="00BF1224" w:rsidRDefault="00D0085B" w:rsidP="004E107C">
                      <w:pPr>
                        <w:pStyle w:val="CGC2025QuestionNumbers"/>
                      </w:pPr>
                      <w:r>
                        <w:t>Will</w:t>
                      </w:r>
                      <w:r w:rsidR="004E107C" w:rsidRPr="00E64AAF">
                        <w:t xml:space="preserve"> states </w:t>
                      </w:r>
                      <w:r w:rsidR="00F47F69">
                        <w:t>be able to identify spending</w:t>
                      </w:r>
                      <w:r w:rsidR="004204AF">
                        <w:t xml:space="preserve"> on homelessness services </w:t>
                      </w:r>
                      <w:r w:rsidR="00F47F69">
                        <w:t>and</w:t>
                      </w:r>
                      <w:r w:rsidR="004E107C" w:rsidRPr="00E64AAF">
                        <w:t xml:space="preserve"> </w:t>
                      </w:r>
                      <w:r w:rsidR="00C924A4">
                        <w:t xml:space="preserve">identify </w:t>
                      </w:r>
                      <w:r w:rsidR="00C17657">
                        <w:t xml:space="preserve">where </w:t>
                      </w:r>
                      <w:r w:rsidR="00612480">
                        <w:t>that spending is</w:t>
                      </w:r>
                      <w:r w:rsidR="004204AF">
                        <w:t xml:space="preserve"> </w:t>
                      </w:r>
                      <w:r w:rsidR="00430048">
                        <w:t xml:space="preserve">reported </w:t>
                      </w:r>
                      <w:r w:rsidR="00B46F85">
                        <w:t>i</w:t>
                      </w:r>
                      <w:r w:rsidR="004E107C" w:rsidRPr="00E64AAF">
                        <w:t xml:space="preserve">n </w:t>
                      </w:r>
                      <w:r w:rsidR="004E107C">
                        <w:t>the Government Finance Statistics classification</w:t>
                      </w:r>
                      <w:r w:rsidR="00C924A4">
                        <w:t>s</w:t>
                      </w:r>
                      <w:r w:rsidR="004E107C">
                        <w:t>?</w:t>
                      </w:r>
                    </w:p>
                    <w:p w14:paraId="1A66DE83" w14:textId="5936E109" w:rsidR="0093513C" w:rsidRPr="00BF1224" w:rsidRDefault="0047277E" w:rsidP="00C62C49">
                      <w:pPr>
                        <w:pStyle w:val="CGC2025QuestionNumbers"/>
                      </w:pPr>
                      <w:r>
                        <w:t xml:space="preserve">Do states </w:t>
                      </w:r>
                      <w:r w:rsidR="00A95A4B">
                        <w:t>support</w:t>
                      </w:r>
                      <w:r>
                        <w:t xml:space="preserve"> the </w:t>
                      </w:r>
                      <w:r w:rsidR="000B5629">
                        <w:t>proposed</w:t>
                      </w:r>
                      <w:r>
                        <w:t xml:space="preserve"> </w:t>
                      </w:r>
                      <w:r w:rsidR="00947C23">
                        <w:t xml:space="preserve">drivers </w:t>
                      </w:r>
                      <w:r w:rsidR="00A26996">
                        <w:t>to assess homelessness spending</w:t>
                      </w:r>
                      <w:r w:rsidR="00612480">
                        <w:t xml:space="preserve">, noting further work is to be undertaken on mental health conditions as a </w:t>
                      </w:r>
                      <w:r w:rsidR="000B5629">
                        <w:t xml:space="preserve">potential </w:t>
                      </w:r>
                      <w:r w:rsidR="00612480">
                        <w:t>driver</w:t>
                      </w:r>
                      <w:r w:rsidR="00947C23">
                        <w:t>?</w:t>
                      </w:r>
                    </w:p>
                  </w:txbxContent>
                </v:textbox>
                <w10:anchorlock/>
              </v:rect>
            </w:pict>
          </mc:Fallback>
        </mc:AlternateContent>
      </w:r>
    </w:p>
    <w:p w14:paraId="3DED2938" w14:textId="23D0931C" w:rsidR="008A1046" w:rsidRPr="00BB7B9C" w:rsidRDefault="00E41722" w:rsidP="00B77A73">
      <w:pPr>
        <w:pStyle w:val="Heading3"/>
        <w:keepNext/>
        <w:keepLines/>
      </w:pPr>
      <w:bookmarkStart w:id="71" w:name="_Toc148970796"/>
      <w:bookmarkStart w:id="72" w:name="_Toc149220474"/>
      <w:r>
        <w:t>Simp</w:t>
      </w:r>
      <w:r w:rsidR="00D45750">
        <w:t>lifying the assessment by c</w:t>
      </w:r>
      <w:r w:rsidR="00C86C00">
        <w:t>ombining</w:t>
      </w:r>
      <w:r w:rsidR="008A1046">
        <w:t xml:space="preserve"> other wel</w:t>
      </w:r>
      <w:r w:rsidR="00863216">
        <w:t>fare</w:t>
      </w:r>
      <w:r w:rsidR="0035256D">
        <w:t xml:space="preserve"> and non-NDIS </w:t>
      </w:r>
      <w:r w:rsidR="00BF4844">
        <w:t xml:space="preserve">disability services, </w:t>
      </w:r>
      <w:r w:rsidR="0035256D">
        <w:t xml:space="preserve">aged </w:t>
      </w:r>
      <w:r w:rsidR="5C4E5BCB">
        <w:t>care,</w:t>
      </w:r>
      <w:r w:rsidR="0035256D">
        <w:t xml:space="preserve"> and</w:t>
      </w:r>
      <w:r w:rsidR="0035256D" w:rsidDel="005917E2">
        <w:t xml:space="preserve"> </w:t>
      </w:r>
      <w:r w:rsidR="005917E2">
        <w:t xml:space="preserve">the </w:t>
      </w:r>
      <w:r w:rsidR="00751634">
        <w:t>N</w:t>
      </w:r>
      <w:r w:rsidR="0035256D">
        <w:t xml:space="preserve">ational </w:t>
      </w:r>
      <w:r w:rsidR="00751634">
        <w:t>R</w:t>
      </w:r>
      <w:r w:rsidR="0035256D">
        <w:t xml:space="preserve">edress </w:t>
      </w:r>
      <w:r w:rsidR="00751634">
        <w:t>S</w:t>
      </w:r>
      <w:r w:rsidR="0035256D">
        <w:t>cheme</w:t>
      </w:r>
      <w:bookmarkEnd w:id="71"/>
      <w:bookmarkEnd w:id="72"/>
    </w:p>
    <w:p w14:paraId="0C453DB4" w14:textId="6E8A12AD" w:rsidR="006F1F97" w:rsidRDefault="003B2361" w:rsidP="00B77A73">
      <w:pPr>
        <w:pStyle w:val="CGC2025ParaNumbers"/>
        <w:keepNext/>
        <w:keepLines/>
      </w:pPr>
      <w:r>
        <w:t xml:space="preserve">Currently, other welfare and non-NDIS disability services, aged care and the </w:t>
      </w:r>
      <w:r w:rsidR="00751634">
        <w:t>N</w:t>
      </w:r>
      <w:r>
        <w:t xml:space="preserve">ational </w:t>
      </w:r>
      <w:r w:rsidR="00751634">
        <w:t>R</w:t>
      </w:r>
      <w:r>
        <w:t xml:space="preserve">edress </w:t>
      </w:r>
      <w:r w:rsidR="00751634">
        <w:t>S</w:t>
      </w:r>
      <w:r>
        <w:t xml:space="preserve">cheme </w:t>
      </w:r>
      <w:r w:rsidR="00AC447A">
        <w:t xml:space="preserve">component assessments </w:t>
      </w:r>
      <w:r>
        <w:t xml:space="preserve">are assessed as </w:t>
      </w:r>
      <w:r w:rsidR="00AC447A">
        <w:t>e</w:t>
      </w:r>
      <w:r>
        <w:t>qual per capita.</w:t>
      </w:r>
      <w:r w:rsidR="00AC447A">
        <w:t xml:space="preserve"> </w:t>
      </w:r>
      <w:r w:rsidR="00694433">
        <w:t xml:space="preserve">The other welfare component </w:t>
      </w:r>
      <w:r w:rsidR="00FF737C">
        <w:t>also includes</w:t>
      </w:r>
      <w:r w:rsidR="00694433">
        <w:t xml:space="preserve"> wage and regional cost factors and a cross</w:t>
      </w:r>
      <w:r w:rsidR="00B53918">
        <w:t>-</w:t>
      </w:r>
      <w:r w:rsidR="00694433">
        <w:t xml:space="preserve">border adjustment to account for homeless services </w:t>
      </w:r>
      <w:r w:rsidR="00A06069">
        <w:t xml:space="preserve">provided by the ACT </w:t>
      </w:r>
      <w:r w:rsidR="00FB626E">
        <w:t>G</w:t>
      </w:r>
      <w:r w:rsidR="00A06069">
        <w:t>overnment.</w:t>
      </w:r>
    </w:p>
    <w:p w14:paraId="24F9BBC8" w14:textId="3FFDD525" w:rsidR="00A06069" w:rsidRDefault="00A06069" w:rsidP="008A1046">
      <w:pPr>
        <w:pStyle w:val="CGC2025ParaNumbers"/>
      </w:pPr>
      <w:r>
        <w:t>In the 2020 Review, Western Australia proposed that other welfare, and non-NDIS disability services, aged care and</w:t>
      </w:r>
      <w:r w:rsidR="003D2A77">
        <w:t xml:space="preserve"> the</w:t>
      </w:r>
      <w:r>
        <w:t xml:space="preserve"> </w:t>
      </w:r>
      <w:r w:rsidR="00755D01">
        <w:t>N</w:t>
      </w:r>
      <w:r>
        <w:t xml:space="preserve">ational </w:t>
      </w:r>
      <w:r w:rsidR="00755D01">
        <w:t>R</w:t>
      </w:r>
      <w:r>
        <w:t xml:space="preserve">edress </w:t>
      </w:r>
      <w:r w:rsidR="00755D01">
        <w:t>S</w:t>
      </w:r>
      <w:r>
        <w:t xml:space="preserve">cheme be assessed together. </w:t>
      </w:r>
      <w:r w:rsidR="00FD37BC">
        <w:t>However,</w:t>
      </w:r>
      <w:r>
        <w:t xml:space="preserve"> the Commission decided to continue the separate assessments because other welfare included </w:t>
      </w:r>
      <w:r w:rsidR="00151E35">
        <w:t xml:space="preserve">allowances for </w:t>
      </w:r>
      <w:r>
        <w:t>regional and wage costs.</w:t>
      </w:r>
    </w:p>
    <w:p w14:paraId="631D1655" w14:textId="4ACAAE97" w:rsidR="003B2361" w:rsidRDefault="00592679" w:rsidP="008A1046">
      <w:pPr>
        <w:pStyle w:val="CGC2025ParaNumbers"/>
      </w:pPr>
      <w:r>
        <w:lastRenderedPageBreak/>
        <w:t>O</w:t>
      </w:r>
      <w:r w:rsidR="00AC447A">
        <w:t xml:space="preserve">ther welfare includes wage and regional cost factors </w:t>
      </w:r>
      <w:r w:rsidR="00BF4844">
        <w:t>because welfare services are delivered where people live</w:t>
      </w:r>
      <w:r w:rsidR="00286B65">
        <w:t>.</w:t>
      </w:r>
      <w:r w:rsidR="00FD37BC">
        <w:t xml:space="preserve"> </w:t>
      </w:r>
      <w:r w:rsidR="00B928C4">
        <w:t xml:space="preserve">The Commission </w:t>
      </w:r>
      <w:r w:rsidR="00156436">
        <w:t xml:space="preserve">is interested in state views on whether </w:t>
      </w:r>
      <w:r w:rsidR="00F64FB9">
        <w:t>these factors are also relevant for</w:t>
      </w:r>
      <w:r w:rsidR="00D871D2">
        <w:t xml:space="preserve"> non-NDIS disability services </w:t>
      </w:r>
      <w:r w:rsidR="001A0DEB">
        <w:t>and</w:t>
      </w:r>
      <w:r w:rsidR="00D871D2">
        <w:t xml:space="preserve"> aged care</w:t>
      </w:r>
      <w:r w:rsidR="001A0DEB">
        <w:t xml:space="preserve"> services which are also delivered </w:t>
      </w:r>
      <w:r w:rsidR="000F2B94">
        <w:t>at the place or community of residence</w:t>
      </w:r>
      <w:r w:rsidR="001A0DEB">
        <w:t>.</w:t>
      </w:r>
    </w:p>
    <w:p w14:paraId="6C23E485" w14:textId="491A31D4" w:rsidR="00935A11" w:rsidRDefault="00C65C4B" w:rsidP="00935A11">
      <w:pPr>
        <w:pStyle w:val="CGC2025ParaNumbers"/>
      </w:pPr>
      <w:r>
        <w:t>T</w:t>
      </w:r>
      <w:r w:rsidR="00935A11">
        <w:t xml:space="preserve">he </w:t>
      </w:r>
      <w:r w:rsidR="00755D01">
        <w:t>N</w:t>
      </w:r>
      <w:r w:rsidR="00935A11">
        <w:t xml:space="preserve">ational </w:t>
      </w:r>
      <w:r w:rsidR="00755D01">
        <w:t>R</w:t>
      </w:r>
      <w:r w:rsidR="00935A11">
        <w:t xml:space="preserve">edress </w:t>
      </w:r>
      <w:r w:rsidR="00755D01">
        <w:t>S</w:t>
      </w:r>
      <w:r w:rsidR="00935A11">
        <w:t xml:space="preserve">cheme is not </w:t>
      </w:r>
      <w:r w:rsidR="00FF7521">
        <w:t xml:space="preserve">expected to be </w:t>
      </w:r>
      <w:r w:rsidR="00935A11">
        <w:t>affected by regional or wage cost gradients</w:t>
      </w:r>
      <w:r w:rsidR="00FF7521">
        <w:t xml:space="preserve"> because it</w:t>
      </w:r>
      <w:r w:rsidR="00A34EE7">
        <w:t xml:space="preserve"> is </w:t>
      </w:r>
      <w:r w:rsidR="000A6057">
        <w:t xml:space="preserve">a </w:t>
      </w:r>
      <w:r w:rsidR="00A34EE7">
        <w:t xml:space="preserve">direct payment to affected </w:t>
      </w:r>
      <w:r w:rsidR="00D71AF3">
        <w:t>people</w:t>
      </w:r>
      <w:r>
        <w:t>. However</w:t>
      </w:r>
      <w:r w:rsidR="00606974">
        <w:t>,</w:t>
      </w:r>
      <w:r w:rsidR="00935A11">
        <w:t xml:space="preserve"> </w:t>
      </w:r>
      <w:r w:rsidR="003A6B46">
        <w:t>payments under the scheme are small</w:t>
      </w:r>
      <w:r w:rsidR="000A6057">
        <w:t>,</w:t>
      </w:r>
      <w:r w:rsidR="00BF183C">
        <w:t xml:space="preserve"> amounting to </w:t>
      </w:r>
      <w:r w:rsidR="00176DAD">
        <w:t>$</w:t>
      </w:r>
      <w:r w:rsidR="00BF183C">
        <w:t>128 million in 20</w:t>
      </w:r>
      <w:r w:rsidR="00176DAD">
        <w:t>21–22</w:t>
      </w:r>
      <w:r w:rsidR="00606974">
        <w:t>.</w:t>
      </w:r>
      <w:r>
        <w:t xml:space="preserve"> </w:t>
      </w:r>
      <w:r w:rsidR="00606974">
        <w:t>A</w:t>
      </w:r>
      <w:r>
        <w:t>s a result</w:t>
      </w:r>
      <w:r w:rsidR="00606974">
        <w:t>,</w:t>
      </w:r>
      <w:r>
        <w:t xml:space="preserve"> the impact of </w:t>
      </w:r>
      <w:r w:rsidR="00730338">
        <w:t xml:space="preserve">adding regional cost or wage factors </w:t>
      </w:r>
      <w:r w:rsidR="00CC2BA3">
        <w:t xml:space="preserve">to the assessment </w:t>
      </w:r>
      <w:r w:rsidR="00730338">
        <w:t xml:space="preserve">is </w:t>
      </w:r>
      <w:r w:rsidR="00B51437">
        <w:t xml:space="preserve">not </w:t>
      </w:r>
      <w:r w:rsidR="00730338">
        <w:t>material</w:t>
      </w:r>
      <w:r w:rsidR="00D854DA">
        <w:t xml:space="preserve"> (</w:t>
      </w:r>
      <w:r>
        <w:fldChar w:fldCharType="begin"/>
      </w:r>
      <w:r>
        <w:instrText xml:space="preserve"> REF _Ref143869839 \h </w:instrText>
      </w:r>
      <w:r>
        <w:fldChar w:fldCharType="separate"/>
      </w:r>
      <w:r w:rsidR="00837FC6" w:rsidRPr="00E56C8F">
        <w:t xml:space="preserve">Table </w:t>
      </w:r>
      <w:r w:rsidR="00837FC6">
        <w:rPr>
          <w:noProof/>
        </w:rPr>
        <w:t>5</w:t>
      </w:r>
      <w:r>
        <w:fldChar w:fldCharType="end"/>
      </w:r>
      <w:r w:rsidR="00D854DA">
        <w:t>)</w:t>
      </w:r>
      <w:r w:rsidR="00730338">
        <w:t>.</w:t>
      </w:r>
    </w:p>
    <w:p w14:paraId="19C003AE" w14:textId="5DC5A8AE" w:rsidR="008B6C51" w:rsidRPr="00E56C8F" w:rsidRDefault="008B6C51" w:rsidP="00E56C8F">
      <w:pPr>
        <w:pStyle w:val="Caption"/>
        <w:rPr>
          <w:rFonts w:ascii="Work Sans" w:hAnsi="Work Sans"/>
        </w:rPr>
      </w:pPr>
      <w:bookmarkStart w:id="73" w:name="_Ref143869839"/>
      <w:r w:rsidRPr="00E56C8F">
        <w:rPr>
          <w:rFonts w:ascii="Work Sans" w:hAnsi="Work Sans"/>
        </w:rPr>
        <w:t xml:space="preserve">Table </w:t>
      </w:r>
      <w:r w:rsidRPr="00E56C8F">
        <w:rPr>
          <w:rFonts w:ascii="Work Sans" w:hAnsi="Work Sans"/>
        </w:rPr>
        <w:fldChar w:fldCharType="begin"/>
      </w:r>
      <w:r w:rsidRPr="00E56C8F">
        <w:rPr>
          <w:rFonts w:ascii="Work Sans" w:hAnsi="Work Sans"/>
        </w:rPr>
        <w:instrText xml:space="preserve"> SEQ Table \* ARABIC </w:instrText>
      </w:r>
      <w:r w:rsidRPr="00E56C8F">
        <w:rPr>
          <w:rFonts w:ascii="Work Sans" w:hAnsi="Work Sans"/>
        </w:rPr>
        <w:fldChar w:fldCharType="separate"/>
      </w:r>
      <w:r w:rsidR="00837FC6">
        <w:rPr>
          <w:rFonts w:ascii="Work Sans" w:hAnsi="Work Sans"/>
          <w:noProof/>
        </w:rPr>
        <w:t>5</w:t>
      </w:r>
      <w:r w:rsidRPr="00E56C8F">
        <w:rPr>
          <w:rFonts w:ascii="Work Sans" w:hAnsi="Work Sans"/>
        </w:rPr>
        <w:fldChar w:fldCharType="end"/>
      </w:r>
      <w:bookmarkEnd w:id="73"/>
      <w:r w:rsidR="00775BF6">
        <w:rPr>
          <w:rFonts w:ascii="Work Sans" w:hAnsi="Work Sans"/>
        </w:rPr>
        <w:tab/>
        <w:t>Materiality of</w:t>
      </w:r>
      <w:r w:rsidR="00023AE6">
        <w:rPr>
          <w:rFonts w:ascii="Work Sans" w:hAnsi="Work Sans"/>
        </w:rPr>
        <w:t xml:space="preserve"> assessing</w:t>
      </w:r>
      <w:r w:rsidR="00775BF6">
        <w:rPr>
          <w:rFonts w:ascii="Work Sans" w:hAnsi="Work Sans"/>
        </w:rPr>
        <w:t xml:space="preserve"> </w:t>
      </w:r>
      <w:r w:rsidR="00755D01">
        <w:rPr>
          <w:rFonts w:ascii="Work Sans" w:hAnsi="Work Sans"/>
        </w:rPr>
        <w:t>N</w:t>
      </w:r>
      <w:r w:rsidR="00775BF6">
        <w:rPr>
          <w:rFonts w:ascii="Work Sans" w:hAnsi="Work Sans"/>
        </w:rPr>
        <w:t xml:space="preserve">ational </w:t>
      </w:r>
      <w:r w:rsidR="00755D01">
        <w:rPr>
          <w:rFonts w:ascii="Work Sans" w:hAnsi="Work Sans"/>
        </w:rPr>
        <w:t>R</w:t>
      </w:r>
      <w:r w:rsidR="00775BF6">
        <w:rPr>
          <w:rFonts w:ascii="Work Sans" w:hAnsi="Work Sans"/>
        </w:rPr>
        <w:t xml:space="preserve">edress </w:t>
      </w:r>
      <w:r w:rsidR="00755D01">
        <w:rPr>
          <w:rFonts w:ascii="Work Sans" w:hAnsi="Work Sans"/>
        </w:rPr>
        <w:t>S</w:t>
      </w:r>
      <w:r w:rsidR="00775BF6">
        <w:rPr>
          <w:rFonts w:ascii="Work Sans" w:hAnsi="Work Sans"/>
        </w:rPr>
        <w:t xml:space="preserve">cheme spending using regional and wage cost </w:t>
      </w:r>
      <w:proofErr w:type="gramStart"/>
      <w:r w:rsidR="00775BF6">
        <w:rPr>
          <w:rFonts w:ascii="Work Sans" w:hAnsi="Work Sans"/>
        </w:rPr>
        <w:t>factors</w:t>
      </w:r>
      <w:proofErr w:type="gramEnd"/>
    </w:p>
    <w:tbl>
      <w:tblPr>
        <w:tblW w:w="8940" w:type="dxa"/>
        <w:tblInd w:w="-28" w:type="dxa"/>
        <w:tblCellMar>
          <w:left w:w="28" w:type="dxa"/>
          <w:right w:w="28" w:type="dxa"/>
        </w:tblCellMar>
        <w:tblLook w:val="04A0" w:firstRow="1" w:lastRow="0" w:firstColumn="1" w:lastColumn="0" w:noHBand="0" w:noVBand="1"/>
      </w:tblPr>
      <w:tblGrid>
        <w:gridCol w:w="2160"/>
        <w:gridCol w:w="960"/>
        <w:gridCol w:w="820"/>
        <w:gridCol w:w="880"/>
        <w:gridCol w:w="820"/>
        <w:gridCol w:w="780"/>
        <w:gridCol w:w="820"/>
        <w:gridCol w:w="880"/>
        <w:gridCol w:w="820"/>
      </w:tblGrid>
      <w:tr w:rsidR="0033316C" w:rsidRPr="005B7690" w14:paraId="04F92619" w14:textId="77777777" w:rsidTr="6FC220B8">
        <w:trPr>
          <w:trHeight w:val="375"/>
        </w:trPr>
        <w:tc>
          <w:tcPr>
            <w:tcW w:w="2160" w:type="dxa"/>
            <w:tcBorders>
              <w:top w:val="single" w:sz="4" w:space="0" w:color="ADD6EA"/>
              <w:left w:val="nil"/>
              <w:bottom w:val="single" w:sz="4" w:space="0" w:color="ADD6EA"/>
              <w:right w:val="nil"/>
            </w:tcBorders>
            <w:shd w:val="clear" w:color="auto" w:fill="006991"/>
            <w:vAlign w:val="center"/>
            <w:hideMark/>
          </w:tcPr>
          <w:p w14:paraId="0B19257B" w14:textId="77777777" w:rsidR="008B6C51" w:rsidRPr="005B7690" w:rsidRDefault="008B6C51" w:rsidP="00C62C4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 </w:t>
            </w:r>
          </w:p>
        </w:tc>
        <w:tc>
          <w:tcPr>
            <w:tcW w:w="960" w:type="dxa"/>
            <w:tcBorders>
              <w:top w:val="single" w:sz="4" w:space="0" w:color="ADD6EA"/>
              <w:left w:val="nil"/>
              <w:bottom w:val="single" w:sz="4" w:space="0" w:color="ADD6EA"/>
              <w:right w:val="nil"/>
            </w:tcBorders>
            <w:shd w:val="clear" w:color="auto" w:fill="006991"/>
            <w:vAlign w:val="center"/>
            <w:hideMark/>
          </w:tcPr>
          <w:p w14:paraId="5EBF93E8" w14:textId="77777777" w:rsidR="008B6C51" w:rsidRPr="005B7690" w:rsidRDefault="008B6C51" w:rsidP="00C62C4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NSW</w:t>
            </w:r>
          </w:p>
        </w:tc>
        <w:tc>
          <w:tcPr>
            <w:tcW w:w="820" w:type="dxa"/>
            <w:tcBorders>
              <w:top w:val="single" w:sz="4" w:space="0" w:color="ADD6EA"/>
              <w:left w:val="nil"/>
              <w:bottom w:val="single" w:sz="4" w:space="0" w:color="ADD6EA"/>
              <w:right w:val="nil"/>
            </w:tcBorders>
            <w:shd w:val="clear" w:color="auto" w:fill="006991"/>
            <w:vAlign w:val="center"/>
            <w:hideMark/>
          </w:tcPr>
          <w:p w14:paraId="769A1C45" w14:textId="77777777" w:rsidR="008B6C51" w:rsidRPr="005B7690" w:rsidRDefault="008B6C51" w:rsidP="00C62C4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Vic</w:t>
            </w:r>
          </w:p>
        </w:tc>
        <w:tc>
          <w:tcPr>
            <w:tcW w:w="880" w:type="dxa"/>
            <w:tcBorders>
              <w:top w:val="single" w:sz="4" w:space="0" w:color="ADD6EA"/>
              <w:left w:val="nil"/>
              <w:bottom w:val="single" w:sz="4" w:space="0" w:color="ADD6EA"/>
              <w:right w:val="nil"/>
            </w:tcBorders>
            <w:shd w:val="clear" w:color="auto" w:fill="006991"/>
            <w:vAlign w:val="center"/>
            <w:hideMark/>
          </w:tcPr>
          <w:p w14:paraId="113B7FFA" w14:textId="77777777" w:rsidR="008B6C51" w:rsidRPr="005B7690" w:rsidRDefault="008B6C51" w:rsidP="00C62C4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Qld</w:t>
            </w:r>
          </w:p>
        </w:tc>
        <w:tc>
          <w:tcPr>
            <w:tcW w:w="820" w:type="dxa"/>
            <w:tcBorders>
              <w:top w:val="single" w:sz="4" w:space="0" w:color="ADD6EA"/>
              <w:left w:val="nil"/>
              <w:bottom w:val="single" w:sz="4" w:space="0" w:color="ADD6EA"/>
              <w:right w:val="nil"/>
            </w:tcBorders>
            <w:shd w:val="clear" w:color="auto" w:fill="006991"/>
            <w:vAlign w:val="center"/>
            <w:hideMark/>
          </w:tcPr>
          <w:p w14:paraId="32A94581" w14:textId="77777777" w:rsidR="008B6C51" w:rsidRPr="005B7690" w:rsidRDefault="008B6C51" w:rsidP="00C62C4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WA</w:t>
            </w:r>
          </w:p>
        </w:tc>
        <w:tc>
          <w:tcPr>
            <w:tcW w:w="780" w:type="dxa"/>
            <w:tcBorders>
              <w:top w:val="single" w:sz="4" w:space="0" w:color="ADD6EA"/>
              <w:left w:val="nil"/>
              <w:bottom w:val="single" w:sz="4" w:space="0" w:color="ADD6EA"/>
              <w:right w:val="nil"/>
            </w:tcBorders>
            <w:shd w:val="clear" w:color="auto" w:fill="006991"/>
            <w:vAlign w:val="center"/>
            <w:hideMark/>
          </w:tcPr>
          <w:p w14:paraId="22DC3BBC" w14:textId="77777777" w:rsidR="008B6C51" w:rsidRPr="005B7690" w:rsidRDefault="008B6C51" w:rsidP="00C62C4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SA</w:t>
            </w:r>
          </w:p>
        </w:tc>
        <w:tc>
          <w:tcPr>
            <w:tcW w:w="820" w:type="dxa"/>
            <w:tcBorders>
              <w:top w:val="single" w:sz="4" w:space="0" w:color="ADD6EA"/>
              <w:left w:val="nil"/>
              <w:bottom w:val="single" w:sz="4" w:space="0" w:color="ADD6EA"/>
              <w:right w:val="nil"/>
            </w:tcBorders>
            <w:shd w:val="clear" w:color="auto" w:fill="006991"/>
            <w:vAlign w:val="center"/>
            <w:hideMark/>
          </w:tcPr>
          <w:p w14:paraId="75EC54EA" w14:textId="77777777" w:rsidR="008B6C51" w:rsidRPr="005B7690" w:rsidRDefault="008B6C51" w:rsidP="00C62C4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Tas</w:t>
            </w:r>
          </w:p>
        </w:tc>
        <w:tc>
          <w:tcPr>
            <w:tcW w:w="880" w:type="dxa"/>
            <w:tcBorders>
              <w:top w:val="single" w:sz="4" w:space="0" w:color="ADD6EA"/>
              <w:left w:val="nil"/>
              <w:bottom w:val="single" w:sz="4" w:space="0" w:color="ADD6EA"/>
              <w:right w:val="nil"/>
            </w:tcBorders>
            <w:shd w:val="clear" w:color="auto" w:fill="006991"/>
            <w:vAlign w:val="center"/>
            <w:hideMark/>
          </w:tcPr>
          <w:p w14:paraId="06828900" w14:textId="77777777" w:rsidR="008B6C51" w:rsidRPr="005B7690" w:rsidRDefault="008B6C51" w:rsidP="00C62C4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ACT</w:t>
            </w:r>
          </w:p>
        </w:tc>
        <w:tc>
          <w:tcPr>
            <w:tcW w:w="820" w:type="dxa"/>
            <w:tcBorders>
              <w:top w:val="single" w:sz="4" w:space="0" w:color="ADD6EA"/>
              <w:left w:val="nil"/>
              <w:bottom w:val="single" w:sz="4" w:space="0" w:color="ADD6EA"/>
              <w:right w:val="nil"/>
            </w:tcBorders>
            <w:shd w:val="clear" w:color="auto" w:fill="006991"/>
            <w:vAlign w:val="center"/>
            <w:hideMark/>
          </w:tcPr>
          <w:p w14:paraId="58CE7F5E" w14:textId="77777777" w:rsidR="008B6C51" w:rsidRPr="005B7690" w:rsidRDefault="008B6C51" w:rsidP="00C62C4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B7690">
              <w:rPr>
                <w:rFonts w:ascii="Open Sans Semibold" w:eastAsia="Times New Roman" w:hAnsi="Open Sans Semibold" w:cs="Open Sans Semibold"/>
                <w:color w:val="FFFFFF"/>
                <w:sz w:val="16"/>
                <w:szCs w:val="16"/>
                <w:lang w:eastAsia="en-AU"/>
              </w:rPr>
              <w:t>NT</w:t>
            </w:r>
          </w:p>
        </w:tc>
      </w:tr>
      <w:tr w:rsidR="0033316C" w:rsidRPr="005B7690" w14:paraId="7C00A4FF" w14:textId="77777777" w:rsidTr="00045224">
        <w:trPr>
          <w:trHeight w:val="315"/>
        </w:trPr>
        <w:tc>
          <w:tcPr>
            <w:tcW w:w="2160" w:type="dxa"/>
            <w:tcBorders>
              <w:top w:val="nil"/>
              <w:left w:val="nil"/>
              <w:bottom w:val="single" w:sz="4" w:space="0" w:color="ADD6EA"/>
              <w:right w:val="nil"/>
            </w:tcBorders>
            <w:shd w:val="clear" w:color="auto" w:fill="auto"/>
            <w:vAlign w:val="bottom"/>
            <w:hideMark/>
          </w:tcPr>
          <w:p w14:paraId="3BC9C00E" w14:textId="77777777" w:rsidR="008B6C51" w:rsidRPr="00045224" w:rsidRDefault="008B6C51" w:rsidP="00C62C49">
            <w:pPr>
              <w:tabs>
                <w:tab w:val="clear" w:pos="567"/>
              </w:tabs>
              <w:spacing w:before="0" w:line="240" w:lineRule="auto"/>
              <w:rPr>
                <w:rFonts w:eastAsia="Times New Roman" w:cs="Open Sans Light"/>
                <w:color w:val="000000"/>
                <w:sz w:val="16"/>
                <w:szCs w:val="16"/>
                <w:lang w:eastAsia="en-AU"/>
              </w:rPr>
            </w:pPr>
            <w:r w:rsidRPr="00045224">
              <w:rPr>
                <w:rFonts w:eastAsia="Times New Roman" w:cs="Open Sans Light"/>
                <w:color w:val="000000"/>
                <w:sz w:val="16"/>
                <w:szCs w:val="16"/>
                <w:lang w:eastAsia="en-AU"/>
              </w:rPr>
              <w:t>Total ($m)</w:t>
            </w:r>
          </w:p>
        </w:tc>
        <w:tc>
          <w:tcPr>
            <w:tcW w:w="960" w:type="dxa"/>
            <w:tcBorders>
              <w:top w:val="nil"/>
              <w:left w:val="nil"/>
              <w:bottom w:val="single" w:sz="4" w:space="0" w:color="ADD6EA"/>
              <w:right w:val="nil"/>
            </w:tcBorders>
            <w:shd w:val="clear" w:color="auto" w:fill="auto"/>
            <w:vAlign w:val="bottom"/>
            <w:hideMark/>
          </w:tcPr>
          <w:p w14:paraId="45D9A669" w14:textId="242D6D47" w:rsidR="008B6C51" w:rsidRPr="00045224" w:rsidRDefault="00D050B7" w:rsidP="00C62C49">
            <w:pPr>
              <w:tabs>
                <w:tab w:val="clear" w:pos="567"/>
              </w:tabs>
              <w:spacing w:before="0" w:line="240" w:lineRule="auto"/>
              <w:jc w:val="right"/>
              <w:rPr>
                <w:rFonts w:eastAsia="Times New Roman" w:cs="Open Sans Light"/>
                <w:color w:val="000000"/>
                <w:sz w:val="16"/>
                <w:szCs w:val="16"/>
                <w:lang w:eastAsia="en-AU"/>
              </w:rPr>
            </w:pPr>
            <w:r w:rsidRPr="00045224">
              <w:rPr>
                <w:rFonts w:eastAsia="Times New Roman" w:cs="Open Sans Light"/>
                <w:color w:val="000000"/>
                <w:sz w:val="16"/>
                <w:szCs w:val="16"/>
                <w:lang w:eastAsia="en-AU"/>
              </w:rPr>
              <w:t>0.04</w:t>
            </w:r>
          </w:p>
        </w:tc>
        <w:tc>
          <w:tcPr>
            <w:tcW w:w="820" w:type="dxa"/>
            <w:tcBorders>
              <w:top w:val="nil"/>
              <w:left w:val="nil"/>
              <w:bottom w:val="single" w:sz="4" w:space="0" w:color="ADD6EA"/>
              <w:right w:val="nil"/>
            </w:tcBorders>
            <w:shd w:val="clear" w:color="auto" w:fill="auto"/>
            <w:vAlign w:val="bottom"/>
            <w:hideMark/>
          </w:tcPr>
          <w:p w14:paraId="49D1F55E" w14:textId="744E8911" w:rsidR="008B6C51" w:rsidRPr="00045224" w:rsidRDefault="00D050B7" w:rsidP="00C62C49">
            <w:pPr>
              <w:tabs>
                <w:tab w:val="clear" w:pos="567"/>
              </w:tabs>
              <w:spacing w:before="0" w:line="240" w:lineRule="auto"/>
              <w:jc w:val="right"/>
              <w:rPr>
                <w:rFonts w:eastAsia="Times New Roman" w:cs="Open Sans Light"/>
                <w:color w:val="000000"/>
                <w:sz w:val="16"/>
                <w:szCs w:val="16"/>
                <w:lang w:eastAsia="en-AU"/>
              </w:rPr>
            </w:pPr>
            <w:r w:rsidRPr="00045224">
              <w:rPr>
                <w:rFonts w:eastAsia="Times New Roman" w:cs="Open Sans Light"/>
                <w:color w:val="000000"/>
                <w:sz w:val="16"/>
                <w:szCs w:val="16"/>
                <w:lang w:eastAsia="en-AU"/>
              </w:rPr>
              <w:t>-0.31</w:t>
            </w:r>
          </w:p>
        </w:tc>
        <w:tc>
          <w:tcPr>
            <w:tcW w:w="880" w:type="dxa"/>
            <w:tcBorders>
              <w:top w:val="nil"/>
              <w:left w:val="nil"/>
              <w:bottom w:val="single" w:sz="4" w:space="0" w:color="ADD6EA"/>
              <w:right w:val="nil"/>
            </w:tcBorders>
            <w:shd w:val="clear" w:color="auto" w:fill="auto"/>
            <w:vAlign w:val="bottom"/>
            <w:hideMark/>
          </w:tcPr>
          <w:p w14:paraId="16BEEE38" w14:textId="68418E30" w:rsidR="008B6C51" w:rsidRPr="00045224" w:rsidRDefault="00D050B7" w:rsidP="00C62C49">
            <w:pPr>
              <w:tabs>
                <w:tab w:val="clear" w:pos="567"/>
              </w:tabs>
              <w:spacing w:before="0" w:line="240" w:lineRule="auto"/>
              <w:jc w:val="right"/>
              <w:rPr>
                <w:rFonts w:eastAsia="Times New Roman" w:cs="Open Sans Light"/>
                <w:color w:val="000000"/>
                <w:sz w:val="16"/>
                <w:szCs w:val="16"/>
                <w:lang w:eastAsia="en-AU"/>
              </w:rPr>
            </w:pPr>
            <w:r w:rsidRPr="00045224">
              <w:rPr>
                <w:rFonts w:eastAsia="Times New Roman" w:cs="Open Sans Light"/>
                <w:color w:val="000000"/>
                <w:sz w:val="16"/>
                <w:szCs w:val="16"/>
                <w:lang w:eastAsia="en-AU"/>
              </w:rPr>
              <w:t>-0.14</w:t>
            </w:r>
          </w:p>
        </w:tc>
        <w:tc>
          <w:tcPr>
            <w:tcW w:w="820" w:type="dxa"/>
            <w:tcBorders>
              <w:top w:val="nil"/>
              <w:left w:val="nil"/>
              <w:bottom w:val="single" w:sz="4" w:space="0" w:color="ADD6EA"/>
              <w:right w:val="nil"/>
            </w:tcBorders>
            <w:shd w:val="clear" w:color="auto" w:fill="auto"/>
            <w:vAlign w:val="bottom"/>
            <w:hideMark/>
          </w:tcPr>
          <w:p w14:paraId="35C5905E" w14:textId="4F17537D" w:rsidR="008B6C51" w:rsidRPr="00045224" w:rsidRDefault="00D050B7" w:rsidP="00C62C49">
            <w:pPr>
              <w:tabs>
                <w:tab w:val="clear" w:pos="567"/>
              </w:tabs>
              <w:spacing w:before="0" w:line="240" w:lineRule="auto"/>
              <w:jc w:val="right"/>
              <w:rPr>
                <w:rFonts w:eastAsia="Times New Roman" w:cs="Open Sans Light"/>
                <w:color w:val="000000"/>
                <w:sz w:val="16"/>
                <w:szCs w:val="16"/>
                <w:lang w:eastAsia="en-AU"/>
              </w:rPr>
            </w:pPr>
            <w:r w:rsidRPr="00045224">
              <w:rPr>
                <w:rFonts w:eastAsia="Times New Roman" w:cs="Open Sans Light"/>
                <w:color w:val="000000"/>
                <w:sz w:val="16"/>
                <w:szCs w:val="16"/>
                <w:lang w:eastAsia="en-AU"/>
              </w:rPr>
              <w:t>0.36</w:t>
            </w:r>
          </w:p>
        </w:tc>
        <w:tc>
          <w:tcPr>
            <w:tcW w:w="780" w:type="dxa"/>
            <w:tcBorders>
              <w:top w:val="nil"/>
              <w:left w:val="nil"/>
              <w:bottom w:val="single" w:sz="4" w:space="0" w:color="ADD6EA"/>
              <w:right w:val="nil"/>
            </w:tcBorders>
            <w:shd w:val="clear" w:color="auto" w:fill="auto"/>
            <w:vAlign w:val="bottom"/>
            <w:hideMark/>
          </w:tcPr>
          <w:p w14:paraId="77403E90" w14:textId="3C021755" w:rsidR="008B6C51" w:rsidRPr="00045224" w:rsidRDefault="00D050B7" w:rsidP="00C62C49">
            <w:pPr>
              <w:tabs>
                <w:tab w:val="clear" w:pos="567"/>
              </w:tabs>
              <w:spacing w:before="0" w:line="240" w:lineRule="auto"/>
              <w:jc w:val="right"/>
              <w:rPr>
                <w:rFonts w:eastAsia="Times New Roman" w:cs="Open Sans Light"/>
                <w:color w:val="000000"/>
                <w:sz w:val="16"/>
                <w:szCs w:val="16"/>
                <w:lang w:eastAsia="en-AU"/>
              </w:rPr>
            </w:pPr>
            <w:r w:rsidRPr="00045224">
              <w:rPr>
                <w:rFonts w:eastAsia="Times New Roman" w:cs="Open Sans Light"/>
                <w:color w:val="000000"/>
                <w:sz w:val="16"/>
                <w:szCs w:val="16"/>
                <w:lang w:eastAsia="en-AU"/>
              </w:rPr>
              <w:t>-0.12</w:t>
            </w:r>
          </w:p>
        </w:tc>
        <w:tc>
          <w:tcPr>
            <w:tcW w:w="820" w:type="dxa"/>
            <w:tcBorders>
              <w:top w:val="nil"/>
              <w:left w:val="nil"/>
              <w:bottom w:val="single" w:sz="4" w:space="0" w:color="ADD6EA"/>
              <w:right w:val="nil"/>
            </w:tcBorders>
            <w:shd w:val="clear" w:color="auto" w:fill="auto"/>
            <w:vAlign w:val="bottom"/>
            <w:hideMark/>
          </w:tcPr>
          <w:p w14:paraId="76AD0109" w14:textId="61A52583" w:rsidR="008B6C51" w:rsidRPr="00045224" w:rsidRDefault="00D050B7" w:rsidP="00C62C49">
            <w:pPr>
              <w:tabs>
                <w:tab w:val="clear" w:pos="567"/>
              </w:tabs>
              <w:spacing w:before="0" w:line="240" w:lineRule="auto"/>
              <w:jc w:val="right"/>
              <w:rPr>
                <w:rFonts w:eastAsia="Times New Roman" w:cs="Open Sans Light"/>
                <w:color w:val="000000"/>
                <w:sz w:val="16"/>
                <w:szCs w:val="16"/>
                <w:lang w:eastAsia="en-AU"/>
              </w:rPr>
            </w:pPr>
            <w:r w:rsidRPr="00045224">
              <w:rPr>
                <w:rFonts w:eastAsia="Times New Roman" w:cs="Open Sans Light"/>
                <w:color w:val="000000"/>
                <w:sz w:val="16"/>
                <w:szCs w:val="16"/>
                <w:lang w:eastAsia="en-AU"/>
              </w:rPr>
              <w:t>-0.04</w:t>
            </w:r>
          </w:p>
        </w:tc>
        <w:tc>
          <w:tcPr>
            <w:tcW w:w="880" w:type="dxa"/>
            <w:tcBorders>
              <w:top w:val="nil"/>
              <w:left w:val="nil"/>
              <w:bottom w:val="single" w:sz="4" w:space="0" w:color="ADD6EA"/>
              <w:right w:val="nil"/>
            </w:tcBorders>
            <w:shd w:val="clear" w:color="auto" w:fill="auto"/>
            <w:vAlign w:val="bottom"/>
            <w:hideMark/>
          </w:tcPr>
          <w:p w14:paraId="660DB7AB" w14:textId="7EAF2962" w:rsidR="008B6C51" w:rsidRPr="00045224" w:rsidRDefault="00D050B7" w:rsidP="00C62C49">
            <w:pPr>
              <w:tabs>
                <w:tab w:val="clear" w:pos="567"/>
              </w:tabs>
              <w:spacing w:before="0" w:line="240" w:lineRule="auto"/>
              <w:jc w:val="right"/>
              <w:rPr>
                <w:rFonts w:eastAsia="Times New Roman" w:cs="Open Sans Light"/>
                <w:color w:val="000000"/>
                <w:sz w:val="16"/>
                <w:szCs w:val="16"/>
                <w:lang w:eastAsia="en-AU"/>
              </w:rPr>
            </w:pPr>
            <w:r w:rsidRPr="00045224">
              <w:rPr>
                <w:rFonts w:eastAsia="Times New Roman" w:cs="Open Sans Light"/>
                <w:color w:val="000000"/>
                <w:sz w:val="16"/>
                <w:szCs w:val="16"/>
                <w:lang w:eastAsia="en-AU"/>
              </w:rPr>
              <w:t>0.04</w:t>
            </w:r>
          </w:p>
        </w:tc>
        <w:tc>
          <w:tcPr>
            <w:tcW w:w="820" w:type="dxa"/>
            <w:tcBorders>
              <w:top w:val="nil"/>
              <w:left w:val="nil"/>
              <w:bottom w:val="single" w:sz="4" w:space="0" w:color="ADD6EA"/>
              <w:right w:val="nil"/>
            </w:tcBorders>
            <w:shd w:val="clear" w:color="auto" w:fill="auto"/>
            <w:vAlign w:val="bottom"/>
            <w:hideMark/>
          </w:tcPr>
          <w:p w14:paraId="374C0FA3" w14:textId="6B8A6BF0" w:rsidR="008B6C51" w:rsidRPr="00045224" w:rsidRDefault="00D050B7" w:rsidP="00C62C49">
            <w:pPr>
              <w:tabs>
                <w:tab w:val="clear" w:pos="567"/>
              </w:tabs>
              <w:spacing w:before="0" w:line="240" w:lineRule="auto"/>
              <w:jc w:val="right"/>
              <w:rPr>
                <w:rFonts w:eastAsia="Times New Roman" w:cs="Open Sans Light"/>
                <w:color w:val="000000"/>
                <w:sz w:val="16"/>
                <w:szCs w:val="16"/>
                <w:lang w:eastAsia="en-AU"/>
              </w:rPr>
            </w:pPr>
            <w:r w:rsidRPr="00045224">
              <w:rPr>
                <w:rFonts w:eastAsia="Times New Roman" w:cs="Open Sans Light"/>
                <w:color w:val="000000"/>
                <w:sz w:val="16"/>
                <w:szCs w:val="16"/>
                <w:lang w:eastAsia="en-AU"/>
              </w:rPr>
              <w:t>0.16</w:t>
            </w:r>
          </w:p>
        </w:tc>
      </w:tr>
      <w:tr w:rsidR="0033316C" w:rsidRPr="005B7690" w14:paraId="7E8B34DB" w14:textId="77777777" w:rsidTr="00045224">
        <w:trPr>
          <w:trHeight w:val="315"/>
        </w:trPr>
        <w:tc>
          <w:tcPr>
            <w:tcW w:w="2160" w:type="dxa"/>
            <w:tcBorders>
              <w:top w:val="nil"/>
              <w:left w:val="nil"/>
              <w:bottom w:val="single" w:sz="4" w:space="0" w:color="ADD6EA"/>
              <w:right w:val="nil"/>
            </w:tcBorders>
            <w:shd w:val="clear" w:color="auto" w:fill="auto"/>
            <w:vAlign w:val="bottom"/>
            <w:hideMark/>
          </w:tcPr>
          <w:p w14:paraId="5214BCDC" w14:textId="77777777" w:rsidR="008B6C51" w:rsidRPr="00045224" w:rsidRDefault="008B6C51" w:rsidP="00C62C49">
            <w:pPr>
              <w:tabs>
                <w:tab w:val="clear" w:pos="567"/>
              </w:tabs>
              <w:spacing w:before="0" w:line="240" w:lineRule="auto"/>
              <w:rPr>
                <w:rFonts w:eastAsia="Times New Roman" w:cs="Open Sans Light"/>
                <w:color w:val="000000"/>
                <w:sz w:val="16"/>
                <w:szCs w:val="16"/>
                <w:lang w:eastAsia="en-AU"/>
              </w:rPr>
            </w:pPr>
            <w:r w:rsidRPr="00045224">
              <w:rPr>
                <w:rFonts w:eastAsia="Times New Roman" w:cs="Open Sans Light"/>
                <w:color w:val="000000"/>
                <w:sz w:val="16"/>
                <w:szCs w:val="16"/>
                <w:lang w:eastAsia="en-AU"/>
              </w:rPr>
              <w:t>Total ($pc)</w:t>
            </w:r>
          </w:p>
        </w:tc>
        <w:tc>
          <w:tcPr>
            <w:tcW w:w="960" w:type="dxa"/>
            <w:tcBorders>
              <w:top w:val="nil"/>
              <w:left w:val="nil"/>
              <w:bottom w:val="single" w:sz="4" w:space="0" w:color="ADD6EA"/>
              <w:right w:val="nil"/>
            </w:tcBorders>
            <w:shd w:val="clear" w:color="auto" w:fill="auto"/>
            <w:vAlign w:val="bottom"/>
            <w:hideMark/>
          </w:tcPr>
          <w:p w14:paraId="009E2D33" w14:textId="475E7C7F" w:rsidR="008B6C51" w:rsidRPr="00045224" w:rsidRDefault="00F87691" w:rsidP="00C62C49">
            <w:pPr>
              <w:tabs>
                <w:tab w:val="clear" w:pos="567"/>
              </w:tabs>
              <w:spacing w:before="0" w:line="240" w:lineRule="auto"/>
              <w:jc w:val="right"/>
              <w:rPr>
                <w:rFonts w:eastAsia="Times New Roman" w:cs="Open Sans Light"/>
                <w:color w:val="000000"/>
                <w:sz w:val="16"/>
                <w:szCs w:val="16"/>
                <w:lang w:eastAsia="en-AU"/>
              </w:rPr>
            </w:pPr>
            <w:r w:rsidRPr="00045224">
              <w:rPr>
                <w:rFonts w:eastAsia="Times New Roman" w:cs="Open Sans Light"/>
                <w:color w:val="000000"/>
                <w:sz w:val="16"/>
                <w:szCs w:val="16"/>
                <w:lang w:eastAsia="en-AU"/>
              </w:rPr>
              <w:t>0.01</w:t>
            </w:r>
          </w:p>
        </w:tc>
        <w:tc>
          <w:tcPr>
            <w:tcW w:w="820" w:type="dxa"/>
            <w:tcBorders>
              <w:top w:val="nil"/>
              <w:left w:val="nil"/>
              <w:bottom w:val="single" w:sz="4" w:space="0" w:color="ADD6EA"/>
              <w:right w:val="nil"/>
            </w:tcBorders>
            <w:shd w:val="clear" w:color="auto" w:fill="auto"/>
            <w:vAlign w:val="bottom"/>
            <w:hideMark/>
          </w:tcPr>
          <w:p w14:paraId="4F38B8DF" w14:textId="2B93E220" w:rsidR="008B6C51" w:rsidRPr="00045224" w:rsidRDefault="00F87691" w:rsidP="00C62C49">
            <w:pPr>
              <w:tabs>
                <w:tab w:val="clear" w:pos="567"/>
              </w:tabs>
              <w:spacing w:before="0" w:line="240" w:lineRule="auto"/>
              <w:jc w:val="right"/>
              <w:rPr>
                <w:rFonts w:eastAsia="Times New Roman" w:cs="Open Sans Light"/>
                <w:color w:val="000000"/>
                <w:sz w:val="16"/>
                <w:szCs w:val="16"/>
                <w:lang w:eastAsia="en-AU"/>
              </w:rPr>
            </w:pPr>
            <w:r w:rsidRPr="00045224">
              <w:rPr>
                <w:rFonts w:eastAsia="Times New Roman" w:cs="Open Sans Light"/>
                <w:color w:val="000000"/>
                <w:sz w:val="16"/>
                <w:szCs w:val="16"/>
                <w:lang w:eastAsia="en-AU"/>
              </w:rPr>
              <w:t>-0.10</w:t>
            </w:r>
          </w:p>
        </w:tc>
        <w:tc>
          <w:tcPr>
            <w:tcW w:w="880" w:type="dxa"/>
            <w:tcBorders>
              <w:top w:val="nil"/>
              <w:left w:val="nil"/>
              <w:bottom w:val="single" w:sz="4" w:space="0" w:color="ADD6EA"/>
              <w:right w:val="nil"/>
            </w:tcBorders>
            <w:shd w:val="clear" w:color="auto" w:fill="auto"/>
            <w:vAlign w:val="bottom"/>
            <w:hideMark/>
          </w:tcPr>
          <w:p w14:paraId="4E191775" w14:textId="377C441B" w:rsidR="008B6C51" w:rsidRPr="00045224" w:rsidRDefault="00F87691" w:rsidP="00C62C49">
            <w:pPr>
              <w:tabs>
                <w:tab w:val="clear" w:pos="567"/>
              </w:tabs>
              <w:spacing w:before="0" w:line="240" w:lineRule="auto"/>
              <w:jc w:val="right"/>
              <w:rPr>
                <w:rFonts w:eastAsia="Times New Roman" w:cs="Open Sans Light"/>
                <w:color w:val="000000"/>
                <w:sz w:val="16"/>
                <w:szCs w:val="16"/>
                <w:lang w:eastAsia="en-AU"/>
              </w:rPr>
            </w:pPr>
            <w:r w:rsidRPr="00045224">
              <w:rPr>
                <w:rFonts w:eastAsia="Times New Roman" w:cs="Open Sans Light"/>
                <w:color w:val="000000"/>
                <w:sz w:val="16"/>
                <w:szCs w:val="16"/>
                <w:lang w:eastAsia="en-AU"/>
              </w:rPr>
              <w:t>-0.04</w:t>
            </w:r>
          </w:p>
        </w:tc>
        <w:tc>
          <w:tcPr>
            <w:tcW w:w="820" w:type="dxa"/>
            <w:tcBorders>
              <w:top w:val="nil"/>
              <w:left w:val="nil"/>
              <w:bottom w:val="single" w:sz="4" w:space="0" w:color="ADD6EA"/>
              <w:right w:val="nil"/>
            </w:tcBorders>
            <w:shd w:val="clear" w:color="auto" w:fill="auto"/>
            <w:vAlign w:val="bottom"/>
            <w:hideMark/>
          </w:tcPr>
          <w:p w14:paraId="33A5BDA5" w14:textId="41FD6B6D" w:rsidR="008B6C51" w:rsidRPr="00045224" w:rsidRDefault="00F87691" w:rsidP="00C62C49">
            <w:pPr>
              <w:tabs>
                <w:tab w:val="clear" w:pos="567"/>
              </w:tabs>
              <w:spacing w:before="0" w:line="240" w:lineRule="auto"/>
              <w:jc w:val="right"/>
              <w:rPr>
                <w:rFonts w:eastAsia="Times New Roman" w:cs="Open Sans Light"/>
                <w:color w:val="000000"/>
                <w:sz w:val="16"/>
                <w:szCs w:val="16"/>
                <w:lang w:eastAsia="en-AU"/>
              </w:rPr>
            </w:pPr>
            <w:r w:rsidRPr="00045224">
              <w:rPr>
                <w:rFonts w:eastAsia="Times New Roman" w:cs="Open Sans Light"/>
                <w:color w:val="000000"/>
                <w:sz w:val="16"/>
                <w:szCs w:val="16"/>
                <w:lang w:eastAsia="en-AU"/>
              </w:rPr>
              <w:t>0.11</w:t>
            </w:r>
          </w:p>
        </w:tc>
        <w:tc>
          <w:tcPr>
            <w:tcW w:w="780" w:type="dxa"/>
            <w:tcBorders>
              <w:top w:val="nil"/>
              <w:left w:val="nil"/>
              <w:bottom w:val="single" w:sz="4" w:space="0" w:color="ADD6EA"/>
              <w:right w:val="nil"/>
            </w:tcBorders>
            <w:shd w:val="clear" w:color="auto" w:fill="auto"/>
            <w:vAlign w:val="bottom"/>
            <w:hideMark/>
          </w:tcPr>
          <w:p w14:paraId="78692A1F" w14:textId="5B4C06B5" w:rsidR="008B6C51" w:rsidRPr="00045224" w:rsidRDefault="00F87691" w:rsidP="00C62C49">
            <w:pPr>
              <w:tabs>
                <w:tab w:val="clear" w:pos="567"/>
              </w:tabs>
              <w:spacing w:before="0" w:line="240" w:lineRule="auto"/>
              <w:jc w:val="right"/>
              <w:rPr>
                <w:rFonts w:eastAsia="Times New Roman" w:cs="Open Sans Light"/>
                <w:color w:val="000000"/>
                <w:sz w:val="16"/>
                <w:szCs w:val="16"/>
                <w:lang w:eastAsia="en-AU"/>
              </w:rPr>
            </w:pPr>
            <w:r w:rsidRPr="00045224">
              <w:rPr>
                <w:rFonts w:eastAsia="Times New Roman" w:cs="Open Sans Light"/>
                <w:color w:val="000000"/>
                <w:sz w:val="16"/>
                <w:szCs w:val="16"/>
                <w:lang w:eastAsia="en-AU"/>
              </w:rPr>
              <w:t>-0.04</w:t>
            </w:r>
          </w:p>
        </w:tc>
        <w:tc>
          <w:tcPr>
            <w:tcW w:w="820" w:type="dxa"/>
            <w:tcBorders>
              <w:top w:val="nil"/>
              <w:left w:val="nil"/>
              <w:bottom w:val="single" w:sz="4" w:space="0" w:color="ADD6EA"/>
              <w:right w:val="nil"/>
            </w:tcBorders>
            <w:shd w:val="clear" w:color="auto" w:fill="auto"/>
            <w:vAlign w:val="bottom"/>
            <w:hideMark/>
          </w:tcPr>
          <w:p w14:paraId="7581D687" w14:textId="0FC40524" w:rsidR="008B6C51" w:rsidRPr="00045224" w:rsidRDefault="00F87691" w:rsidP="00C62C49">
            <w:pPr>
              <w:tabs>
                <w:tab w:val="clear" w:pos="567"/>
              </w:tabs>
              <w:spacing w:before="0" w:line="240" w:lineRule="auto"/>
              <w:jc w:val="right"/>
              <w:rPr>
                <w:rFonts w:eastAsia="Times New Roman" w:cs="Open Sans Light"/>
                <w:color w:val="000000"/>
                <w:sz w:val="16"/>
                <w:szCs w:val="16"/>
                <w:lang w:eastAsia="en-AU"/>
              </w:rPr>
            </w:pPr>
            <w:r w:rsidRPr="00045224">
              <w:rPr>
                <w:rFonts w:eastAsia="Times New Roman" w:cs="Open Sans Light"/>
                <w:color w:val="000000"/>
                <w:sz w:val="16"/>
                <w:szCs w:val="16"/>
                <w:lang w:eastAsia="en-AU"/>
              </w:rPr>
              <w:t>-0.01</w:t>
            </w:r>
          </w:p>
        </w:tc>
        <w:tc>
          <w:tcPr>
            <w:tcW w:w="880" w:type="dxa"/>
            <w:tcBorders>
              <w:top w:val="nil"/>
              <w:left w:val="nil"/>
              <w:bottom w:val="single" w:sz="4" w:space="0" w:color="ADD6EA"/>
              <w:right w:val="nil"/>
            </w:tcBorders>
            <w:shd w:val="clear" w:color="auto" w:fill="auto"/>
            <w:vAlign w:val="bottom"/>
            <w:hideMark/>
          </w:tcPr>
          <w:p w14:paraId="110FEF35" w14:textId="504CAE9C" w:rsidR="008B6C51" w:rsidRPr="00045224" w:rsidRDefault="00F87691" w:rsidP="00C62C49">
            <w:pPr>
              <w:tabs>
                <w:tab w:val="clear" w:pos="567"/>
              </w:tabs>
              <w:spacing w:before="0" w:line="240" w:lineRule="auto"/>
              <w:jc w:val="right"/>
              <w:rPr>
                <w:rFonts w:eastAsia="Times New Roman" w:cs="Open Sans Light"/>
                <w:color w:val="000000"/>
                <w:sz w:val="16"/>
                <w:szCs w:val="16"/>
                <w:lang w:eastAsia="en-AU"/>
              </w:rPr>
            </w:pPr>
            <w:r w:rsidRPr="00045224">
              <w:rPr>
                <w:rFonts w:eastAsia="Times New Roman" w:cs="Open Sans Light"/>
                <w:color w:val="000000"/>
                <w:sz w:val="16"/>
                <w:szCs w:val="16"/>
                <w:lang w:eastAsia="en-AU"/>
              </w:rPr>
              <w:t>0.04</w:t>
            </w:r>
          </w:p>
        </w:tc>
        <w:tc>
          <w:tcPr>
            <w:tcW w:w="820" w:type="dxa"/>
            <w:tcBorders>
              <w:top w:val="nil"/>
              <w:left w:val="nil"/>
              <w:bottom w:val="single" w:sz="4" w:space="0" w:color="ADD6EA"/>
              <w:right w:val="nil"/>
            </w:tcBorders>
            <w:shd w:val="clear" w:color="auto" w:fill="auto"/>
            <w:vAlign w:val="bottom"/>
            <w:hideMark/>
          </w:tcPr>
          <w:p w14:paraId="2B5888F7" w14:textId="145DD3B7" w:rsidR="008B6C51" w:rsidRPr="00045224" w:rsidRDefault="00F87691" w:rsidP="00C62C49">
            <w:pPr>
              <w:tabs>
                <w:tab w:val="clear" w:pos="567"/>
              </w:tabs>
              <w:spacing w:before="0" w:line="240" w:lineRule="auto"/>
              <w:jc w:val="right"/>
              <w:rPr>
                <w:rFonts w:eastAsia="Times New Roman" w:cs="Open Sans Light"/>
                <w:color w:val="000000"/>
                <w:sz w:val="16"/>
                <w:szCs w:val="16"/>
                <w:lang w:eastAsia="en-AU"/>
              </w:rPr>
            </w:pPr>
            <w:r w:rsidRPr="00045224">
              <w:rPr>
                <w:rFonts w:eastAsia="Times New Roman" w:cs="Open Sans Light"/>
                <w:color w:val="000000"/>
                <w:sz w:val="16"/>
                <w:szCs w:val="16"/>
                <w:lang w:eastAsia="en-AU"/>
              </w:rPr>
              <w:t>0.05</w:t>
            </w:r>
          </w:p>
        </w:tc>
      </w:tr>
    </w:tbl>
    <w:p w14:paraId="6CB1DC72" w14:textId="40D76577" w:rsidR="00D854DA" w:rsidRDefault="007D00F9" w:rsidP="00130256">
      <w:pPr>
        <w:pStyle w:val="CGC2025TableNote"/>
      </w:pPr>
      <w:r>
        <w:t>Source: Commission calculation</w:t>
      </w:r>
      <w:r w:rsidR="006B464E">
        <w:t xml:space="preserve"> based on</w:t>
      </w:r>
      <w:r w:rsidR="00632BC2">
        <w:t xml:space="preserve"> the</w:t>
      </w:r>
      <w:r w:rsidR="006B464E">
        <w:t xml:space="preserve"> </w:t>
      </w:r>
      <w:r w:rsidR="00B5209E">
        <w:t xml:space="preserve">2023 </w:t>
      </w:r>
      <w:r w:rsidR="00B61E84">
        <w:t>U</w:t>
      </w:r>
      <w:r w:rsidR="00B5209E">
        <w:t>pdate.</w:t>
      </w:r>
    </w:p>
    <w:p w14:paraId="0DB0B7FE" w14:textId="04B9201E" w:rsidR="00BC2BC9" w:rsidRDefault="00730338">
      <w:pPr>
        <w:pStyle w:val="CGC2025ParaNumbers"/>
      </w:pPr>
      <w:r>
        <w:t xml:space="preserve">Subject to views from the states, </w:t>
      </w:r>
      <w:r w:rsidR="00754CF1">
        <w:t>the Commission</w:t>
      </w:r>
      <w:r w:rsidR="0013100D">
        <w:t>’s preliminary view</w:t>
      </w:r>
      <w:r w:rsidR="00767CFD">
        <w:t xml:space="preserve"> is</w:t>
      </w:r>
      <w:r w:rsidR="00754CF1">
        <w:t xml:space="preserve"> to combine the other welfare and the </w:t>
      </w:r>
      <w:r w:rsidR="0075268B">
        <w:t>non-NDIS</w:t>
      </w:r>
      <w:r w:rsidR="00754CF1">
        <w:t xml:space="preserve"> disability services, aged </w:t>
      </w:r>
      <w:r w:rsidR="142AEBB5">
        <w:t>care,</w:t>
      </w:r>
      <w:r w:rsidR="00754CF1">
        <w:t xml:space="preserve"> and </w:t>
      </w:r>
      <w:r w:rsidR="00755D01">
        <w:t>N</w:t>
      </w:r>
      <w:r w:rsidR="00754CF1">
        <w:t xml:space="preserve">ational </w:t>
      </w:r>
      <w:r w:rsidR="00755D01">
        <w:t>R</w:t>
      </w:r>
      <w:r w:rsidR="00754CF1">
        <w:t xml:space="preserve">edress </w:t>
      </w:r>
      <w:r w:rsidR="00755D01">
        <w:t>S</w:t>
      </w:r>
      <w:r w:rsidR="00754CF1">
        <w:t>cheme</w:t>
      </w:r>
      <w:r w:rsidR="00152BD1">
        <w:t xml:space="preserve"> component assessments.</w:t>
      </w:r>
      <w:r w:rsidR="0017113D">
        <w:t xml:space="preserve"> This will </w:t>
      </w:r>
      <w:r w:rsidR="0076536E">
        <w:t>simplify the assessment</w:t>
      </w:r>
      <w:r w:rsidR="00CC2BA3">
        <w:t xml:space="preserve">, reduce the reporting burden on states </w:t>
      </w:r>
      <w:r w:rsidR="006A4ECE">
        <w:t xml:space="preserve">and will not materially impact </w:t>
      </w:r>
      <w:r w:rsidR="00CC2BA3">
        <w:t>state shares of GST.</w:t>
      </w:r>
    </w:p>
    <w:p w14:paraId="374C4B02" w14:textId="0CDA1E70" w:rsidR="00C67E12" w:rsidRDefault="00C67E12">
      <w:pPr>
        <w:pStyle w:val="CGC2025ParaNumbers"/>
      </w:pPr>
      <w:r>
        <w:t>The Commission</w:t>
      </w:r>
      <w:r w:rsidR="00444457">
        <w:t xml:space="preserve">’s preliminary view is </w:t>
      </w:r>
      <w:r>
        <w:t>to assess the</w:t>
      </w:r>
      <w:r w:rsidR="001C4237">
        <w:t xml:space="preserve"> combined</w:t>
      </w:r>
      <w:r>
        <w:t xml:space="preserve"> expenses as equal</w:t>
      </w:r>
      <w:r w:rsidR="00DA3492">
        <w:t> </w:t>
      </w:r>
      <w:r>
        <w:t>per</w:t>
      </w:r>
      <w:r w:rsidR="00DA3492">
        <w:t> </w:t>
      </w:r>
      <w:r>
        <w:t xml:space="preserve">capita </w:t>
      </w:r>
      <w:r w:rsidR="00BC2BC9">
        <w:t>because of the lack of an identifiable driver of need</w:t>
      </w:r>
      <w:r w:rsidR="006F319E">
        <w:t xml:space="preserve">, </w:t>
      </w:r>
      <w:r>
        <w:t>with a regional and wage cost adjustment.</w:t>
      </w:r>
    </w:p>
    <w:p w14:paraId="33426780" w14:textId="600F9878" w:rsidR="00EA7237" w:rsidRDefault="00444457">
      <w:pPr>
        <w:pStyle w:val="CGC2025ParaNumbers"/>
      </w:pPr>
      <w:r>
        <w:t xml:space="preserve">Should the above </w:t>
      </w:r>
      <w:r w:rsidR="009B786C">
        <w:t>changes be implemented, t</w:t>
      </w:r>
      <w:r w:rsidR="00175967">
        <w:t xml:space="preserve">he Commission </w:t>
      </w:r>
      <w:r w:rsidR="009B786C">
        <w:t>would</w:t>
      </w:r>
      <w:r w:rsidR="00175967">
        <w:t xml:space="preserve"> </w:t>
      </w:r>
      <w:r w:rsidR="006B1B49">
        <w:t>stop</w:t>
      </w:r>
      <w:r w:rsidR="00175967">
        <w:t xml:space="preserve"> collecting state spending on the </w:t>
      </w:r>
      <w:r w:rsidR="007450BA">
        <w:t>N</w:t>
      </w:r>
      <w:r w:rsidR="00175967">
        <w:t xml:space="preserve">ational </w:t>
      </w:r>
      <w:r w:rsidR="005E42AF">
        <w:t>R</w:t>
      </w:r>
      <w:r w:rsidR="00175967">
        <w:t xml:space="preserve">edress </w:t>
      </w:r>
      <w:r w:rsidR="005E42AF">
        <w:t>S</w:t>
      </w:r>
      <w:r w:rsidR="00175967">
        <w:t>cheme</w:t>
      </w:r>
      <w:r w:rsidR="006B1B49">
        <w:t xml:space="preserve">. This is because the data request is used to separate state spending from other </w:t>
      </w:r>
      <w:r w:rsidR="00B32E0F">
        <w:t xml:space="preserve">welfare </w:t>
      </w:r>
      <w:r w:rsidR="00FD6B9C">
        <w:t xml:space="preserve">spending </w:t>
      </w:r>
      <w:r w:rsidR="00B32E0F">
        <w:t>prior to being assessed</w:t>
      </w:r>
      <w:r w:rsidR="00FD6B9C">
        <w:t xml:space="preserve"> and will be captured by the combined assessment.</w:t>
      </w:r>
    </w:p>
    <w:p w14:paraId="4EF61C4A" w14:textId="0F11F40A" w:rsidR="0035256D" w:rsidRDefault="0035256D" w:rsidP="0035256D">
      <w:pPr>
        <w:pStyle w:val="Heading4"/>
      </w:pPr>
      <w:r>
        <w:t>Consultation question</w:t>
      </w:r>
      <w:r w:rsidR="000E1436">
        <w:t>s</w:t>
      </w:r>
    </w:p>
    <w:p w14:paraId="2DC16AD7" w14:textId="534C1A32" w:rsidR="00BA1360" w:rsidRDefault="0035256D" w:rsidP="0035256D">
      <w:pPr>
        <w:pStyle w:val="Bulletpoint"/>
      </w:pPr>
      <w:r w:rsidRPr="001C4DF3">
        <w:rPr>
          <w:noProof/>
        </w:rPr>
        <mc:AlternateContent>
          <mc:Choice Requires="wps">
            <w:drawing>
              <wp:inline distT="0" distB="0" distL="0" distR="0" wp14:anchorId="18681F9A" wp14:editId="3B6B8C00">
                <wp:extent cx="5648325" cy="1343025"/>
                <wp:effectExtent l="0" t="0" r="9525" b="9525"/>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1343025"/>
                        </a:xfrm>
                        <a:prstGeom prst="rect">
                          <a:avLst/>
                        </a:prstGeom>
                        <a:solidFill>
                          <a:srgbClr val="EBF3F5"/>
                        </a:solidFill>
                        <a:ln w="25400" cap="flat" cmpd="sng" algn="ctr">
                          <a:noFill/>
                          <a:prstDash val="solid"/>
                        </a:ln>
                        <a:effectLst/>
                      </wps:spPr>
                      <wps:txbx>
                        <w:txbxContent>
                          <w:p w14:paraId="3DD6AE7A" w14:textId="0CC0729D" w:rsidR="00806347" w:rsidRPr="00806347" w:rsidRDefault="00806347" w:rsidP="00806347">
                            <w:pPr>
                              <w:pStyle w:val="CGC2025QuestionNumbers"/>
                              <w:rPr>
                                <w:lang w:eastAsia="en-AU"/>
                              </w:rPr>
                            </w:pPr>
                            <w:r w:rsidRPr="00806347">
                              <w:rPr>
                                <w:lang w:eastAsia="en-AU"/>
                              </w:rPr>
                              <w:t xml:space="preserve">Do states support combining the other welfare, non-NDIS aged care and </w:t>
                            </w:r>
                            <w:r w:rsidR="00755D01">
                              <w:rPr>
                                <w:lang w:eastAsia="en-AU"/>
                              </w:rPr>
                              <w:t>N</w:t>
                            </w:r>
                            <w:r w:rsidRPr="00806347">
                              <w:rPr>
                                <w:lang w:eastAsia="en-AU"/>
                              </w:rPr>
                              <w:t xml:space="preserve">ational </w:t>
                            </w:r>
                            <w:r w:rsidR="00755D01">
                              <w:rPr>
                                <w:lang w:eastAsia="en-AU"/>
                              </w:rPr>
                              <w:t>R</w:t>
                            </w:r>
                            <w:r w:rsidRPr="00806347">
                              <w:rPr>
                                <w:lang w:eastAsia="en-AU"/>
                              </w:rPr>
                              <w:t xml:space="preserve">edress </w:t>
                            </w:r>
                            <w:r w:rsidR="00755D01">
                              <w:rPr>
                                <w:lang w:eastAsia="en-AU"/>
                              </w:rPr>
                              <w:t>S</w:t>
                            </w:r>
                            <w:r w:rsidRPr="00806347">
                              <w:rPr>
                                <w:lang w:eastAsia="en-AU"/>
                              </w:rPr>
                              <w:t>cheme components and assessing spending using the 2020</w:t>
                            </w:r>
                            <w:r w:rsidR="00E46C40">
                              <w:rPr>
                                <w:lang w:eastAsia="en-AU"/>
                              </w:rPr>
                              <w:t> </w:t>
                            </w:r>
                            <w:r w:rsidRPr="00806347">
                              <w:rPr>
                                <w:lang w:eastAsia="en-AU"/>
                              </w:rPr>
                              <w:t>Review method for other welfare (equal per capita assessment method with regional and wage cost factors)?</w:t>
                            </w:r>
                          </w:p>
                          <w:p w14:paraId="5BEEA881" w14:textId="17EA9202" w:rsidR="00FD6B9C" w:rsidRDefault="00FD6B9C" w:rsidP="00606974">
                            <w:pPr>
                              <w:pStyle w:val="CGC2025QuestionNumbers"/>
                            </w:pPr>
                            <w:r>
                              <w:t xml:space="preserve">Do states support </w:t>
                            </w:r>
                            <w:r w:rsidR="00930B0E">
                              <w:t xml:space="preserve">the Commission </w:t>
                            </w:r>
                            <w:r w:rsidR="00D86A21">
                              <w:t xml:space="preserve">ceasing to collect state spending on the </w:t>
                            </w:r>
                            <w:r w:rsidR="00755D01">
                              <w:t>N</w:t>
                            </w:r>
                            <w:r w:rsidR="00D86A21">
                              <w:t xml:space="preserve">ational </w:t>
                            </w:r>
                            <w:r w:rsidR="00755D01">
                              <w:t>R</w:t>
                            </w:r>
                            <w:r w:rsidR="00D86A21">
                              <w:t xml:space="preserve">edress </w:t>
                            </w:r>
                            <w:r w:rsidR="00755D01">
                              <w:t>S</w:t>
                            </w:r>
                            <w:r w:rsidR="00D86A21">
                              <w:t>cheme?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681F9A" id="Rectangle 2" o:spid="_x0000_s1031" alt="&quot;&quot;" style="width:444.75pt;height:10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" fillcolor="#ebf3f5" stroked="f" strokeweight="2pt">
                <v:textbox>
                  <w:txbxContent>
                    <w:p w14:paraId="3DD6AE7A" w14:textId="0CC0729D" w:rsidR="00806347" w:rsidRPr="00806347" w:rsidRDefault="00806347" w:rsidP="00806347">
                      <w:pPr>
                        <w:pStyle w:val="CGC2025QuestionNumbers"/>
                        <w:rPr>
                          <w:lang w:eastAsia="en-AU"/>
                        </w:rPr>
                      </w:pPr>
                      <w:r w:rsidRPr="00806347">
                        <w:rPr>
                          <w:lang w:eastAsia="en-AU"/>
                        </w:rPr>
                        <w:t xml:space="preserve">Do states support combining the other welfare, non-NDIS aged care and </w:t>
                      </w:r>
                      <w:r w:rsidR="00755D01">
                        <w:rPr>
                          <w:lang w:eastAsia="en-AU"/>
                        </w:rPr>
                        <w:t>N</w:t>
                      </w:r>
                      <w:r w:rsidRPr="00806347">
                        <w:rPr>
                          <w:lang w:eastAsia="en-AU"/>
                        </w:rPr>
                        <w:t xml:space="preserve">ational </w:t>
                      </w:r>
                      <w:r w:rsidR="00755D01">
                        <w:rPr>
                          <w:lang w:eastAsia="en-AU"/>
                        </w:rPr>
                        <w:t>R</w:t>
                      </w:r>
                      <w:r w:rsidRPr="00806347">
                        <w:rPr>
                          <w:lang w:eastAsia="en-AU"/>
                        </w:rPr>
                        <w:t xml:space="preserve">edress </w:t>
                      </w:r>
                      <w:r w:rsidR="00755D01">
                        <w:rPr>
                          <w:lang w:eastAsia="en-AU"/>
                        </w:rPr>
                        <w:t>S</w:t>
                      </w:r>
                      <w:r w:rsidRPr="00806347">
                        <w:rPr>
                          <w:lang w:eastAsia="en-AU"/>
                        </w:rPr>
                        <w:t>cheme components and assessing spending using the 2020</w:t>
                      </w:r>
                      <w:r w:rsidR="00E46C40">
                        <w:rPr>
                          <w:lang w:eastAsia="en-AU"/>
                        </w:rPr>
                        <w:t> </w:t>
                      </w:r>
                      <w:r w:rsidRPr="00806347">
                        <w:rPr>
                          <w:lang w:eastAsia="en-AU"/>
                        </w:rPr>
                        <w:t>Review method for other welfare (equal per capita assessment method with regional and wage cost factors)?</w:t>
                      </w:r>
                    </w:p>
                    <w:p w14:paraId="5BEEA881" w14:textId="17EA9202" w:rsidR="00FD6B9C" w:rsidRDefault="00FD6B9C" w:rsidP="00606974">
                      <w:pPr>
                        <w:pStyle w:val="CGC2025QuestionNumbers"/>
                      </w:pPr>
                      <w:r>
                        <w:t xml:space="preserve">Do states support </w:t>
                      </w:r>
                      <w:r w:rsidR="00930B0E">
                        <w:t xml:space="preserve">the Commission </w:t>
                      </w:r>
                      <w:r w:rsidR="00D86A21">
                        <w:t xml:space="preserve">ceasing to collect state spending on the </w:t>
                      </w:r>
                      <w:r w:rsidR="00755D01">
                        <w:t>N</w:t>
                      </w:r>
                      <w:r w:rsidR="00D86A21">
                        <w:t xml:space="preserve">ational </w:t>
                      </w:r>
                      <w:r w:rsidR="00755D01">
                        <w:t>R</w:t>
                      </w:r>
                      <w:r w:rsidR="00D86A21">
                        <w:t xml:space="preserve">edress </w:t>
                      </w:r>
                      <w:r w:rsidR="00755D01">
                        <w:t>S</w:t>
                      </w:r>
                      <w:r w:rsidR="00D86A21">
                        <w:t>cheme?</w:t>
                      </w:r>
                    </w:p>
                  </w:txbxContent>
                </v:textbox>
                <w10:anchorlock/>
              </v:rect>
            </w:pict>
          </mc:Fallback>
        </mc:AlternateContent>
      </w:r>
    </w:p>
    <w:p w14:paraId="23187F36" w14:textId="77777777" w:rsidR="00673A3E" w:rsidRDefault="00673A3E">
      <w:pPr>
        <w:tabs>
          <w:tab w:val="clear" w:pos="567"/>
        </w:tabs>
        <w:spacing w:before="0" w:after="200" w:line="276" w:lineRule="auto"/>
        <w:rPr>
          <w:rFonts w:ascii="Work Sans" w:eastAsia="Times New Roman" w:hAnsi="Work Sans" w:cs="Open Sans"/>
          <w:b/>
          <w:bCs/>
          <w:color w:val="006991"/>
          <w:sz w:val="36"/>
          <w:szCs w:val="36"/>
        </w:rPr>
      </w:pPr>
      <w:bookmarkStart w:id="74" w:name="_Toc148970797"/>
      <w:r>
        <w:br w:type="page"/>
      </w:r>
    </w:p>
    <w:p w14:paraId="4CF301E0" w14:textId="06AC8289" w:rsidR="00F427F0" w:rsidRPr="00FE3C19" w:rsidRDefault="00F427F0" w:rsidP="00F427F0">
      <w:pPr>
        <w:pStyle w:val="Heading2"/>
      </w:pPr>
      <w:bookmarkStart w:id="75" w:name="_Toc149220475"/>
      <w:r w:rsidRPr="00FE3C19">
        <w:lastRenderedPageBreak/>
        <w:t>Proposed assessment</w:t>
      </w:r>
      <w:bookmarkEnd w:id="60"/>
      <w:bookmarkEnd w:id="61"/>
      <w:bookmarkEnd w:id="62"/>
      <w:bookmarkEnd w:id="63"/>
      <w:bookmarkEnd w:id="64"/>
      <w:bookmarkEnd w:id="74"/>
      <w:bookmarkEnd w:id="75"/>
    </w:p>
    <w:p w14:paraId="219BC0F3" w14:textId="77777777" w:rsidR="00F427F0" w:rsidRPr="00FE3C19" w:rsidRDefault="00F427F0" w:rsidP="001F4B1F">
      <w:pPr>
        <w:pStyle w:val="Heading3"/>
      </w:pPr>
      <w:bookmarkStart w:id="76" w:name="_Toc132729114"/>
      <w:bookmarkStart w:id="77" w:name="_Toc133236155"/>
      <w:bookmarkStart w:id="78" w:name="_Toc133236181"/>
      <w:bookmarkStart w:id="79" w:name="_Toc148970798"/>
      <w:bookmarkStart w:id="80" w:name="_Toc149220476"/>
      <w:r w:rsidRPr="00FE3C19">
        <w:t>Differences from the 2020 Review approach</w:t>
      </w:r>
      <w:bookmarkEnd w:id="76"/>
      <w:bookmarkEnd w:id="77"/>
      <w:bookmarkEnd w:id="78"/>
      <w:bookmarkEnd w:id="79"/>
      <w:bookmarkEnd w:id="80"/>
    </w:p>
    <w:p w14:paraId="6F45E432" w14:textId="665B07BF" w:rsidR="00F427F0" w:rsidRDefault="00F427F0" w:rsidP="004477FF">
      <w:pPr>
        <w:pStyle w:val="CGC2025ParaNumbers"/>
      </w:pPr>
      <w:r>
        <w:t xml:space="preserve">Subject to state </w:t>
      </w:r>
      <w:r w:rsidR="00797B40">
        <w:t>views</w:t>
      </w:r>
      <w:r>
        <w:t>, the Commission proposes</w:t>
      </w:r>
      <w:r w:rsidR="00510CCA">
        <w:t xml:space="preserve"> to </w:t>
      </w:r>
      <w:r w:rsidR="009F078B">
        <w:t xml:space="preserve">begin collecting state </w:t>
      </w:r>
      <w:r w:rsidR="00462B45">
        <w:t xml:space="preserve">spending on </w:t>
      </w:r>
      <w:r w:rsidR="00283F53">
        <w:t xml:space="preserve">the </w:t>
      </w:r>
      <w:r w:rsidR="009F078B">
        <w:t xml:space="preserve">NDIS from the </w:t>
      </w:r>
      <w:r w:rsidR="001E42AF">
        <w:t xml:space="preserve">Commonwealth Budget papers </w:t>
      </w:r>
      <w:r w:rsidR="003E61BE">
        <w:t xml:space="preserve">following </w:t>
      </w:r>
      <w:r w:rsidR="009F078B">
        <w:t>the expiration of the W</w:t>
      </w:r>
      <w:r w:rsidR="00E46C40">
        <w:t xml:space="preserve">estern </w:t>
      </w:r>
      <w:r w:rsidR="009F078B">
        <w:t>A</w:t>
      </w:r>
      <w:r w:rsidR="00E46C40">
        <w:t>ustralia</w:t>
      </w:r>
      <w:r w:rsidR="009F078B">
        <w:t xml:space="preserve"> transitional agreement.</w:t>
      </w:r>
    </w:p>
    <w:p w14:paraId="3A65B33D" w14:textId="36C44B73" w:rsidR="008F5369" w:rsidRDefault="008F5369" w:rsidP="004477FF">
      <w:pPr>
        <w:pStyle w:val="CGC2025ParaNumbers"/>
      </w:pPr>
      <w:r>
        <w:t xml:space="preserve">The </w:t>
      </w:r>
      <w:r w:rsidR="002427B5">
        <w:t>C</w:t>
      </w:r>
      <w:r>
        <w:t xml:space="preserve">ommission also proposes to </w:t>
      </w:r>
      <w:r w:rsidR="00EE3CDC">
        <w:t>implement</w:t>
      </w:r>
      <w:r>
        <w:t xml:space="preserve"> a new homelessness services assessment, using </w:t>
      </w:r>
      <w:r w:rsidR="00404507">
        <w:t xml:space="preserve">homelessness data from </w:t>
      </w:r>
      <w:r w:rsidR="00193F9D">
        <w:t xml:space="preserve">Australian Institute of Health and Welfare </w:t>
      </w:r>
      <w:r w:rsidR="00404507">
        <w:t xml:space="preserve">and </w:t>
      </w:r>
      <w:r w:rsidR="009301CD">
        <w:t xml:space="preserve">data from the states </w:t>
      </w:r>
      <w:r w:rsidR="00EE3CDC">
        <w:t xml:space="preserve">if </w:t>
      </w:r>
      <w:r w:rsidR="00936956">
        <w:t>it is</w:t>
      </w:r>
      <w:r w:rsidR="00EE3CDC">
        <w:t xml:space="preserve"> material</w:t>
      </w:r>
      <w:r w:rsidR="002427B5">
        <w:t>.</w:t>
      </w:r>
    </w:p>
    <w:p w14:paraId="62D9B445" w14:textId="03D2B92B" w:rsidR="00D03464" w:rsidRDefault="00D03464" w:rsidP="004477FF">
      <w:pPr>
        <w:pStyle w:val="CGC2025ParaNumbers"/>
      </w:pPr>
      <w:r>
        <w:t xml:space="preserve">The Commission proposes to simplify the other welfare and non-NDIS </w:t>
      </w:r>
      <w:r w:rsidR="00FE44B1">
        <w:t xml:space="preserve">disability services, aged </w:t>
      </w:r>
      <w:r w:rsidR="4FF7F9A3">
        <w:t>care,</w:t>
      </w:r>
      <w:r w:rsidR="00FE44B1">
        <w:t xml:space="preserve"> and </w:t>
      </w:r>
      <w:r w:rsidR="00755D01">
        <w:t>N</w:t>
      </w:r>
      <w:r w:rsidR="00FE44B1">
        <w:t xml:space="preserve">ational </w:t>
      </w:r>
      <w:r w:rsidR="00755D01">
        <w:t>R</w:t>
      </w:r>
      <w:r w:rsidR="00FE44B1">
        <w:t xml:space="preserve">edress </w:t>
      </w:r>
      <w:r w:rsidR="00755D01">
        <w:t>S</w:t>
      </w:r>
      <w:r w:rsidR="00FE44B1">
        <w:t>cheme assessments by assessing them jointly as equal per capita with regional and wage cost factors.</w:t>
      </w:r>
    </w:p>
    <w:p w14:paraId="7F3F59FF" w14:textId="77777777" w:rsidR="00F427F0" w:rsidRPr="00FE3C19" w:rsidRDefault="00F427F0" w:rsidP="001F4B1F">
      <w:pPr>
        <w:pStyle w:val="Heading3"/>
      </w:pPr>
      <w:bookmarkStart w:id="81" w:name="_Toc132729115"/>
      <w:bookmarkStart w:id="82" w:name="_Toc133236156"/>
      <w:bookmarkStart w:id="83" w:name="_Toc133236182"/>
      <w:bookmarkStart w:id="84" w:name="_Toc148970799"/>
      <w:bookmarkStart w:id="85" w:name="_Toc149220477"/>
      <w:r w:rsidRPr="00FE3C19">
        <w:t>Proposed assessment structure</w:t>
      </w:r>
      <w:bookmarkEnd w:id="81"/>
      <w:bookmarkEnd w:id="82"/>
      <w:bookmarkEnd w:id="83"/>
      <w:bookmarkEnd w:id="84"/>
      <w:bookmarkEnd w:id="85"/>
    </w:p>
    <w:p w14:paraId="71DFAF3E" w14:textId="3000A329" w:rsidR="00A06635" w:rsidRPr="00673A3E" w:rsidRDefault="00E51BAC" w:rsidP="00673A3E">
      <w:pPr>
        <w:pStyle w:val="CGC2025ParaNumbers"/>
      </w:pPr>
      <w:bookmarkStart w:id="86" w:name="_Toc132729116"/>
      <w:bookmarkStart w:id="87" w:name="_Toc133236157"/>
      <w:bookmarkStart w:id="88" w:name="_Toc133236183"/>
      <w:r>
        <w:t xml:space="preserve">Subject to state views, </w:t>
      </w:r>
      <w:r w:rsidR="00842A71">
        <w:fldChar w:fldCharType="begin"/>
      </w:r>
      <w:r w:rsidR="00842A71">
        <w:instrText xml:space="preserve"> REF _Ref149209989 \h </w:instrText>
      </w:r>
      <w:r w:rsidR="00842A71">
        <w:fldChar w:fldCharType="separate"/>
      </w:r>
      <w:r w:rsidR="00842A71" w:rsidRPr="00A87842">
        <w:t xml:space="preserve">Table </w:t>
      </w:r>
      <w:r w:rsidR="00842A71">
        <w:rPr>
          <w:noProof/>
        </w:rPr>
        <w:t>6</w:t>
      </w:r>
      <w:r w:rsidR="00842A71">
        <w:fldChar w:fldCharType="end"/>
      </w:r>
      <w:r w:rsidR="00842A71">
        <w:t xml:space="preserve"> </w:t>
      </w:r>
      <w:r>
        <w:t xml:space="preserve">shows the proposed structure of the </w:t>
      </w:r>
      <w:r w:rsidR="00F341E0">
        <w:t>w</w:t>
      </w:r>
      <w:r w:rsidR="007F50B9">
        <w:t xml:space="preserve">elfare </w:t>
      </w:r>
      <w:r>
        <w:t>assessment.</w:t>
      </w:r>
      <w:bookmarkStart w:id="89" w:name="_Ref142660728"/>
    </w:p>
    <w:p w14:paraId="4FB82700" w14:textId="19CAC4F1" w:rsidR="00A87842" w:rsidRPr="00A87842" w:rsidRDefault="00A87842" w:rsidP="00A87842">
      <w:pPr>
        <w:pStyle w:val="Caption"/>
        <w:rPr>
          <w:rFonts w:ascii="Work Sans" w:hAnsi="Work Sans"/>
        </w:rPr>
      </w:pPr>
      <w:bookmarkStart w:id="90" w:name="_Ref149209989"/>
      <w:r w:rsidRPr="00A87842">
        <w:rPr>
          <w:rFonts w:ascii="Work Sans" w:hAnsi="Work Sans"/>
        </w:rPr>
        <w:t xml:space="preserve">Table </w:t>
      </w:r>
      <w:r w:rsidRPr="00A87842">
        <w:rPr>
          <w:rFonts w:ascii="Work Sans" w:hAnsi="Work Sans"/>
        </w:rPr>
        <w:fldChar w:fldCharType="begin"/>
      </w:r>
      <w:r w:rsidRPr="00A87842">
        <w:rPr>
          <w:rFonts w:ascii="Work Sans" w:hAnsi="Work Sans"/>
        </w:rPr>
        <w:instrText xml:space="preserve"> SEQ Table \* ARABIC </w:instrText>
      </w:r>
      <w:r w:rsidRPr="00A87842">
        <w:rPr>
          <w:rFonts w:ascii="Work Sans" w:hAnsi="Work Sans"/>
        </w:rPr>
        <w:fldChar w:fldCharType="separate"/>
      </w:r>
      <w:r w:rsidR="00837FC6">
        <w:rPr>
          <w:rFonts w:ascii="Work Sans" w:hAnsi="Work Sans"/>
          <w:noProof/>
        </w:rPr>
        <w:t>6</w:t>
      </w:r>
      <w:r w:rsidRPr="00A87842">
        <w:rPr>
          <w:rFonts w:ascii="Work Sans" w:hAnsi="Work Sans"/>
        </w:rPr>
        <w:fldChar w:fldCharType="end"/>
      </w:r>
      <w:bookmarkEnd w:id="89"/>
      <w:bookmarkEnd w:id="90"/>
      <w:r>
        <w:rPr>
          <w:rFonts w:ascii="Work Sans" w:hAnsi="Work Sans"/>
        </w:rPr>
        <w:tab/>
      </w:r>
      <w:r w:rsidRPr="00F9677B">
        <w:rPr>
          <w:rFonts w:ascii="Work Sans" w:hAnsi="Work Sans"/>
        </w:rPr>
        <w:t xml:space="preserve">Proposed assessment structure for </w:t>
      </w:r>
      <w:r w:rsidR="00F341E0">
        <w:rPr>
          <w:rFonts w:ascii="Work Sans" w:hAnsi="Work Sans"/>
        </w:rPr>
        <w:t>w</w:t>
      </w:r>
      <w:r>
        <w:rPr>
          <w:rFonts w:ascii="Work Sans" w:hAnsi="Work Sans"/>
        </w:rPr>
        <w:t>elfare</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4"/>
        <w:gridCol w:w="255"/>
        <w:gridCol w:w="1803"/>
        <w:gridCol w:w="4253"/>
        <w:gridCol w:w="1371"/>
      </w:tblGrid>
      <w:tr w:rsidR="00A87842" w:rsidRPr="0053358F" w14:paraId="6E688971" w14:textId="5963EED2" w:rsidTr="00EE7107">
        <w:trPr>
          <w:trHeight w:val="375"/>
        </w:trPr>
        <w:tc>
          <w:tcPr>
            <w:tcW w:w="1344" w:type="dxa"/>
            <w:tcBorders>
              <w:top w:val="nil"/>
              <w:left w:val="nil"/>
              <w:bottom w:val="single" w:sz="6" w:space="0" w:color="ADD6EA"/>
              <w:right w:val="nil"/>
            </w:tcBorders>
            <w:shd w:val="clear" w:color="auto" w:fill="006991"/>
            <w:vAlign w:val="center"/>
            <w:hideMark/>
          </w:tcPr>
          <w:p w14:paraId="75591F49" w14:textId="77777777" w:rsidR="00A87842" w:rsidRPr="00433DCB" w:rsidRDefault="00A87842" w:rsidP="00A87842">
            <w:pPr>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Component </w:t>
            </w:r>
          </w:p>
        </w:tc>
        <w:tc>
          <w:tcPr>
            <w:tcW w:w="255" w:type="dxa"/>
            <w:tcBorders>
              <w:top w:val="nil"/>
              <w:left w:val="nil"/>
              <w:bottom w:val="single" w:sz="6" w:space="0" w:color="ADD6EA"/>
              <w:right w:val="nil"/>
            </w:tcBorders>
            <w:shd w:val="clear" w:color="auto" w:fill="006991"/>
            <w:vAlign w:val="center"/>
            <w:hideMark/>
          </w:tcPr>
          <w:p w14:paraId="110F09AE" w14:textId="77777777" w:rsidR="00A87842" w:rsidRPr="00433DCB" w:rsidRDefault="00A87842" w:rsidP="00A87842">
            <w:pPr>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FFFFFF"/>
                <w:sz w:val="16"/>
                <w:szCs w:val="16"/>
                <w:lang w:eastAsia="en-AU"/>
              </w:rPr>
              <w:t> </w:t>
            </w:r>
            <w:r w:rsidRPr="00433DCB">
              <w:rPr>
                <w:rFonts w:ascii="Open Sans Semibold" w:eastAsia="Times New Roman" w:hAnsi="Open Sans Semibold" w:cs="Segoe UI"/>
                <w:color w:val="FFFFFF"/>
                <w:sz w:val="16"/>
                <w:szCs w:val="16"/>
                <w:lang w:eastAsia="en-AU"/>
              </w:rPr>
              <w:t> </w:t>
            </w:r>
          </w:p>
        </w:tc>
        <w:tc>
          <w:tcPr>
            <w:tcW w:w="1803" w:type="dxa"/>
            <w:tcBorders>
              <w:top w:val="nil"/>
              <w:left w:val="nil"/>
              <w:bottom w:val="single" w:sz="6" w:space="0" w:color="ADD6EA"/>
              <w:right w:val="nil"/>
            </w:tcBorders>
            <w:shd w:val="clear" w:color="auto" w:fill="006991"/>
            <w:vAlign w:val="center"/>
            <w:hideMark/>
          </w:tcPr>
          <w:p w14:paraId="08F31714" w14:textId="77777777" w:rsidR="00A87842" w:rsidRPr="00433DCB" w:rsidRDefault="00A87842" w:rsidP="00A87842">
            <w:pPr>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Driver </w:t>
            </w:r>
            <w:r>
              <w:rPr>
                <w:rFonts w:ascii="Open Sans Semibold" w:eastAsia="Times New Roman" w:hAnsi="Open Sans Semibold" w:cs="Segoe UI"/>
                <w:color w:val="FFFFFF"/>
                <w:sz w:val="16"/>
                <w:szCs w:val="16"/>
                <w:lang w:eastAsia="en-AU"/>
              </w:rPr>
              <w:t>of need</w:t>
            </w:r>
          </w:p>
        </w:tc>
        <w:tc>
          <w:tcPr>
            <w:tcW w:w="4253" w:type="dxa"/>
            <w:tcBorders>
              <w:top w:val="nil"/>
              <w:left w:val="nil"/>
              <w:bottom w:val="single" w:sz="6" w:space="0" w:color="ADD6EA"/>
              <w:right w:val="nil"/>
            </w:tcBorders>
            <w:shd w:val="clear" w:color="auto" w:fill="006991"/>
            <w:vAlign w:val="center"/>
            <w:hideMark/>
          </w:tcPr>
          <w:p w14:paraId="70C91CF3" w14:textId="77777777" w:rsidR="00A87842" w:rsidRPr="00433DCB" w:rsidRDefault="00A87842" w:rsidP="00A87842">
            <w:pPr>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Influence measured by driver </w:t>
            </w:r>
          </w:p>
        </w:tc>
        <w:tc>
          <w:tcPr>
            <w:tcW w:w="1371" w:type="dxa"/>
            <w:tcBorders>
              <w:top w:val="nil"/>
              <w:left w:val="nil"/>
              <w:bottom w:val="single" w:sz="6" w:space="0" w:color="ADD6EA"/>
              <w:right w:val="nil"/>
            </w:tcBorders>
            <w:shd w:val="clear" w:color="auto" w:fill="006991"/>
          </w:tcPr>
          <w:p w14:paraId="69CDD95C" w14:textId="12F223C0" w:rsidR="00A87842" w:rsidRPr="00433DCB" w:rsidRDefault="00A87842" w:rsidP="00A87842">
            <w:pPr>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433DCB">
              <w:rPr>
                <w:rFonts w:ascii="Open Sans Semibold" w:eastAsia="Times New Roman" w:hAnsi="Open Sans Semibold" w:cs="Segoe UI"/>
                <w:color w:val="FFFFFF"/>
                <w:sz w:val="16"/>
                <w:szCs w:val="16"/>
                <w:lang w:eastAsia="en-AU"/>
              </w:rPr>
              <w:t>Change since 2020</w:t>
            </w:r>
            <w:r w:rsidR="00F341E0">
              <w:rPr>
                <w:rFonts w:ascii="Open Sans Semibold" w:eastAsia="Times New Roman" w:hAnsi="Open Sans Semibold" w:cs="Segoe UI"/>
                <w:color w:val="FFFFFF"/>
                <w:sz w:val="16"/>
                <w:szCs w:val="16"/>
                <w:lang w:eastAsia="en-AU"/>
              </w:rPr>
              <w:t> </w:t>
            </w:r>
            <w:r w:rsidRPr="00433DCB">
              <w:rPr>
                <w:rFonts w:ascii="Open Sans Semibold" w:eastAsia="Times New Roman" w:hAnsi="Open Sans Semibold" w:cs="Segoe UI"/>
                <w:color w:val="FFFFFF"/>
                <w:sz w:val="16"/>
                <w:szCs w:val="16"/>
                <w:lang w:eastAsia="en-AU"/>
              </w:rPr>
              <w:t>Review?</w:t>
            </w:r>
          </w:p>
        </w:tc>
      </w:tr>
      <w:tr w:rsidR="00D64E9F" w:rsidRPr="00433DCB" w14:paraId="20139602" w14:textId="5229236D" w:rsidTr="00EE7107">
        <w:trPr>
          <w:trHeight w:val="795"/>
        </w:trPr>
        <w:tc>
          <w:tcPr>
            <w:tcW w:w="1344" w:type="dxa"/>
            <w:tcBorders>
              <w:top w:val="nil"/>
              <w:left w:val="nil"/>
              <w:bottom w:val="nil"/>
              <w:right w:val="nil"/>
            </w:tcBorders>
            <w:shd w:val="clear" w:color="auto" w:fill="auto"/>
            <w:hideMark/>
          </w:tcPr>
          <w:p w14:paraId="5E47F4EF" w14:textId="77777777" w:rsidR="00D64E9F" w:rsidRPr="00433DCB" w:rsidRDefault="00D64E9F" w:rsidP="00D64E9F">
            <w:pPr>
              <w:tabs>
                <w:tab w:val="clear" w:pos="567"/>
              </w:tabs>
              <w:spacing w:before="0" w:line="240" w:lineRule="auto"/>
              <w:textAlignment w:val="baseline"/>
              <w:rPr>
                <w:rFonts w:eastAsia="Times New Roman" w:cs="Segoe UI"/>
                <w:sz w:val="18"/>
                <w:szCs w:val="18"/>
                <w:lang w:eastAsia="en-AU"/>
              </w:rPr>
            </w:pPr>
            <w:r>
              <w:rPr>
                <w:rFonts w:eastAsia="Times New Roman" w:cs="Segoe UI"/>
                <w:color w:val="000000"/>
                <w:sz w:val="16"/>
                <w:szCs w:val="16"/>
                <w:lang w:eastAsia="en-AU"/>
              </w:rPr>
              <w:t>Child protection and family services</w:t>
            </w:r>
          </w:p>
        </w:tc>
        <w:tc>
          <w:tcPr>
            <w:tcW w:w="255" w:type="dxa"/>
            <w:tcBorders>
              <w:top w:val="nil"/>
              <w:left w:val="nil"/>
              <w:bottom w:val="nil"/>
              <w:right w:val="nil"/>
            </w:tcBorders>
            <w:shd w:val="clear" w:color="auto" w:fill="auto"/>
            <w:vAlign w:val="bottom"/>
            <w:hideMark/>
          </w:tcPr>
          <w:p w14:paraId="6B196EBB" w14:textId="77777777" w:rsidR="00D64E9F" w:rsidRPr="00433DCB" w:rsidRDefault="00D64E9F" w:rsidP="00D64E9F">
            <w:pPr>
              <w:tabs>
                <w:tab w:val="clear" w:pos="567"/>
              </w:tabs>
              <w:spacing w:before="0" w:line="240" w:lineRule="auto"/>
              <w:jc w:val="right"/>
              <w:textAlignment w:val="baseline"/>
              <w:rPr>
                <w:rFonts w:eastAsia="Times New Roman" w:cs="Segoe UI"/>
                <w:sz w:val="18"/>
                <w:szCs w:val="18"/>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803" w:type="dxa"/>
            <w:tcBorders>
              <w:top w:val="nil"/>
              <w:left w:val="nil"/>
              <w:bottom w:val="nil"/>
              <w:right w:val="nil"/>
            </w:tcBorders>
            <w:shd w:val="clear" w:color="auto" w:fill="auto"/>
            <w:hideMark/>
          </w:tcPr>
          <w:p w14:paraId="49B9F77D" w14:textId="3E443705" w:rsidR="00D64E9F" w:rsidRPr="00433DCB" w:rsidRDefault="00D64E9F" w:rsidP="00D64E9F">
            <w:pPr>
              <w:tabs>
                <w:tab w:val="clear" w:pos="567"/>
              </w:tabs>
              <w:spacing w:before="0" w:line="240" w:lineRule="auto"/>
              <w:textAlignment w:val="baseline"/>
              <w:rPr>
                <w:rFonts w:eastAsia="Times New Roman" w:cs="Segoe UI"/>
                <w:sz w:val="18"/>
                <w:szCs w:val="18"/>
                <w:lang w:eastAsia="en-AU"/>
              </w:rPr>
            </w:pPr>
            <w:r w:rsidRPr="56F1BA88">
              <w:rPr>
                <w:rFonts w:eastAsia="Times New Roman" w:cs="Segoe UI"/>
                <w:color w:val="000000" w:themeColor="text1"/>
                <w:sz w:val="16"/>
                <w:szCs w:val="16"/>
                <w:lang w:eastAsia="en-AU"/>
              </w:rPr>
              <w:t>Socio-demographic composition</w:t>
            </w:r>
          </w:p>
        </w:tc>
        <w:tc>
          <w:tcPr>
            <w:tcW w:w="4253" w:type="dxa"/>
            <w:tcBorders>
              <w:top w:val="nil"/>
              <w:left w:val="nil"/>
              <w:bottom w:val="nil"/>
              <w:right w:val="nil"/>
            </w:tcBorders>
            <w:shd w:val="clear" w:color="auto" w:fill="auto"/>
            <w:hideMark/>
          </w:tcPr>
          <w:p w14:paraId="7E58647A" w14:textId="24A3A837" w:rsidR="00D64E9F" w:rsidRPr="00433DCB" w:rsidRDefault="00D64E9F" w:rsidP="00D64E9F">
            <w:pPr>
              <w:tabs>
                <w:tab w:val="clear" w:pos="567"/>
              </w:tabs>
              <w:spacing w:before="0" w:line="240" w:lineRule="auto"/>
              <w:textAlignment w:val="baseline"/>
              <w:rPr>
                <w:rFonts w:eastAsia="Times New Roman" w:cs="Segoe UI"/>
                <w:sz w:val="18"/>
                <w:szCs w:val="18"/>
                <w:lang w:eastAsia="en-AU"/>
              </w:rPr>
            </w:pPr>
            <w:r w:rsidRPr="1CD2C273">
              <w:rPr>
                <w:rFonts w:eastAsia="Open Sans Light" w:cs="Open Sans Light"/>
                <w:sz w:val="16"/>
                <w:szCs w:val="16"/>
              </w:rPr>
              <w:t xml:space="preserve">Recognises that </w:t>
            </w:r>
            <w:r>
              <w:rPr>
                <w:rFonts w:eastAsia="Open Sans Light" w:cs="Open Sans Light"/>
                <w:sz w:val="16"/>
                <w:szCs w:val="16"/>
              </w:rPr>
              <w:t>service use is influenced by the</w:t>
            </w:r>
            <w:r w:rsidR="00C866D5">
              <w:rPr>
                <w:rFonts w:eastAsia="Open Sans Light" w:cs="Open Sans Light"/>
                <w:sz w:val="16"/>
                <w:szCs w:val="16"/>
              </w:rPr>
              <w:br/>
            </w:r>
            <w:r>
              <w:rPr>
                <w:rFonts w:eastAsia="Open Sans Light" w:cs="Open Sans Light"/>
                <w:sz w:val="16"/>
                <w:szCs w:val="16"/>
              </w:rPr>
              <w:t xml:space="preserve"> socio</w:t>
            </w:r>
            <w:r w:rsidR="001974BA">
              <w:rPr>
                <w:rFonts w:eastAsia="Open Sans Light" w:cs="Open Sans Light"/>
                <w:sz w:val="16"/>
                <w:szCs w:val="16"/>
              </w:rPr>
              <w:t>-</w:t>
            </w:r>
            <w:r>
              <w:rPr>
                <w:rFonts w:eastAsia="Open Sans Light" w:cs="Open Sans Light"/>
                <w:sz w:val="16"/>
                <w:szCs w:val="16"/>
              </w:rPr>
              <w:t>demographic composition of the state population including those</w:t>
            </w:r>
            <w:r w:rsidRPr="1CD2C273">
              <w:rPr>
                <w:rFonts w:eastAsia="Open Sans Light" w:cs="Open Sans Light"/>
                <w:sz w:val="16"/>
                <w:szCs w:val="16"/>
              </w:rPr>
              <w:t xml:space="preserve"> aged 0-14</w:t>
            </w:r>
            <w:r>
              <w:rPr>
                <w:rFonts w:eastAsia="Open Sans Light" w:cs="Open Sans Light"/>
                <w:sz w:val="16"/>
                <w:szCs w:val="16"/>
              </w:rPr>
              <w:t>,</w:t>
            </w:r>
            <w:r w:rsidRPr="1CD2C273">
              <w:rPr>
                <w:rFonts w:eastAsia="Open Sans Light" w:cs="Open Sans Light"/>
                <w:sz w:val="16"/>
                <w:szCs w:val="16"/>
              </w:rPr>
              <w:t xml:space="preserve"> </w:t>
            </w:r>
            <w:r w:rsidR="00F12203">
              <w:rPr>
                <w:rFonts w:eastAsia="Open Sans Light" w:cs="Open Sans Light"/>
                <w:sz w:val="16"/>
                <w:szCs w:val="16"/>
              </w:rPr>
              <w:t>Indigenous</w:t>
            </w:r>
            <w:r>
              <w:rPr>
                <w:rFonts w:eastAsia="Open Sans Light" w:cs="Open Sans Light"/>
                <w:sz w:val="16"/>
                <w:szCs w:val="16"/>
              </w:rPr>
              <w:t xml:space="preserve"> status,</w:t>
            </w:r>
            <w:r w:rsidRPr="1CD2C273">
              <w:rPr>
                <w:rFonts w:eastAsia="Open Sans Light" w:cs="Open Sans Light"/>
                <w:sz w:val="16"/>
                <w:szCs w:val="16"/>
              </w:rPr>
              <w:t xml:space="preserve"> </w:t>
            </w:r>
            <w:r w:rsidR="00C866D5">
              <w:rPr>
                <w:rFonts w:eastAsia="Open Sans Light" w:cs="Open Sans Light"/>
                <w:sz w:val="16"/>
                <w:szCs w:val="16"/>
              </w:rPr>
              <w:br/>
            </w:r>
            <w:r w:rsidRPr="1CD2C273">
              <w:rPr>
                <w:rFonts w:eastAsia="Open Sans Light" w:cs="Open Sans Light"/>
                <w:sz w:val="16"/>
                <w:szCs w:val="16"/>
              </w:rPr>
              <w:t>socio-economic status (SES)</w:t>
            </w:r>
            <w:r>
              <w:rPr>
                <w:rFonts w:eastAsia="Open Sans Light" w:cs="Open Sans Light"/>
                <w:sz w:val="16"/>
                <w:szCs w:val="16"/>
              </w:rPr>
              <w:t>,</w:t>
            </w:r>
            <w:r w:rsidRPr="1CD2C273">
              <w:rPr>
                <w:rFonts w:eastAsia="Open Sans Light" w:cs="Open Sans Light"/>
                <w:sz w:val="16"/>
                <w:szCs w:val="16"/>
              </w:rPr>
              <w:t xml:space="preserve"> and </w:t>
            </w:r>
            <w:r w:rsidR="002A76C2">
              <w:rPr>
                <w:rFonts w:eastAsia="Open Sans Light" w:cs="Open Sans Light"/>
                <w:sz w:val="16"/>
                <w:szCs w:val="16"/>
              </w:rPr>
              <w:t>where people live</w:t>
            </w:r>
            <w:r w:rsidRPr="1CD2C273">
              <w:rPr>
                <w:rFonts w:eastAsia="Open Sans Light" w:cs="Open Sans Light"/>
                <w:sz w:val="16"/>
                <w:szCs w:val="16"/>
              </w:rPr>
              <w:t>.</w:t>
            </w:r>
          </w:p>
        </w:tc>
        <w:tc>
          <w:tcPr>
            <w:tcW w:w="1371" w:type="dxa"/>
            <w:tcBorders>
              <w:top w:val="nil"/>
              <w:left w:val="nil"/>
              <w:bottom w:val="nil"/>
              <w:right w:val="nil"/>
            </w:tcBorders>
          </w:tcPr>
          <w:p w14:paraId="0F40EEAF" w14:textId="25DCBE3D" w:rsidR="00D64E9F" w:rsidRPr="1CD2C273" w:rsidRDefault="00D64E9F" w:rsidP="00D64E9F">
            <w:pPr>
              <w:tabs>
                <w:tab w:val="clear" w:pos="567"/>
              </w:tabs>
              <w:spacing w:before="0" w:line="240" w:lineRule="auto"/>
              <w:textAlignment w:val="baseline"/>
              <w:rPr>
                <w:rFonts w:eastAsia="Open Sans Light" w:cs="Open Sans Light"/>
                <w:sz w:val="16"/>
                <w:szCs w:val="16"/>
              </w:rPr>
            </w:pPr>
            <w:r>
              <w:rPr>
                <w:rFonts w:eastAsia="Times New Roman" w:cs="Segoe UI"/>
                <w:color w:val="000000"/>
                <w:sz w:val="16"/>
                <w:szCs w:val="16"/>
                <w:lang w:eastAsia="en-AU"/>
              </w:rPr>
              <w:t>No</w:t>
            </w:r>
          </w:p>
        </w:tc>
      </w:tr>
      <w:tr w:rsidR="00A87842" w:rsidRPr="00433DCB" w14:paraId="70C42DA7" w14:textId="6F93B217" w:rsidTr="00EE7107">
        <w:trPr>
          <w:trHeight w:val="284"/>
        </w:trPr>
        <w:tc>
          <w:tcPr>
            <w:tcW w:w="1344" w:type="dxa"/>
            <w:tcBorders>
              <w:top w:val="nil"/>
              <w:left w:val="nil"/>
              <w:bottom w:val="nil"/>
              <w:right w:val="nil"/>
            </w:tcBorders>
            <w:shd w:val="clear" w:color="auto" w:fill="auto"/>
            <w:vAlign w:val="bottom"/>
            <w:hideMark/>
          </w:tcPr>
          <w:p w14:paraId="2A6E7D9B" w14:textId="77777777" w:rsidR="00A87842" w:rsidRPr="00433DCB" w:rsidRDefault="00A87842" w:rsidP="00A87842">
            <w:pPr>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 </w:t>
            </w:r>
          </w:p>
        </w:tc>
        <w:tc>
          <w:tcPr>
            <w:tcW w:w="255" w:type="dxa"/>
            <w:tcBorders>
              <w:top w:val="single" w:sz="6" w:space="0" w:color="ADD6EA"/>
              <w:left w:val="nil"/>
              <w:bottom w:val="nil"/>
              <w:right w:val="nil"/>
            </w:tcBorders>
            <w:shd w:val="clear" w:color="auto" w:fill="auto"/>
            <w:vAlign w:val="bottom"/>
            <w:hideMark/>
          </w:tcPr>
          <w:p w14:paraId="745AB893" w14:textId="77777777" w:rsidR="00A87842" w:rsidRPr="00433DCB" w:rsidRDefault="00A87842" w:rsidP="00A87842">
            <w:pPr>
              <w:tabs>
                <w:tab w:val="clear" w:pos="567"/>
              </w:tabs>
              <w:spacing w:before="0" w:line="240" w:lineRule="auto"/>
              <w:jc w:val="right"/>
              <w:textAlignment w:val="baseline"/>
              <w:rPr>
                <w:rFonts w:eastAsia="Times New Roman" w:cs="Segoe UI"/>
                <w:sz w:val="18"/>
                <w:szCs w:val="18"/>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803" w:type="dxa"/>
            <w:tcBorders>
              <w:top w:val="single" w:sz="6" w:space="0" w:color="ADD6EA"/>
              <w:left w:val="nil"/>
              <w:bottom w:val="nil"/>
              <w:right w:val="nil"/>
            </w:tcBorders>
            <w:shd w:val="clear" w:color="auto" w:fill="auto"/>
            <w:hideMark/>
          </w:tcPr>
          <w:p w14:paraId="5767D111" w14:textId="59FF87D7" w:rsidR="00A87842" w:rsidRPr="00433DCB" w:rsidRDefault="00A87842" w:rsidP="00A87842">
            <w:pPr>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Wage costs</w:t>
            </w:r>
          </w:p>
        </w:tc>
        <w:tc>
          <w:tcPr>
            <w:tcW w:w="4253" w:type="dxa"/>
            <w:tcBorders>
              <w:top w:val="single" w:sz="6" w:space="0" w:color="ADD6EA"/>
              <w:left w:val="nil"/>
              <w:bottom w:val="nil"/>
              <w:right w:val="nil"/>
            </w:tcBorders>
            <w:shd w:val="clear" w:color="auto" w:fill="auto"/>
            <w:hideMark/>
          </w:tcPr>
          <w:p w14:paraId="44CC6825" w14:textId="77777777" w:rsidR="00A87842" w:rsidRPr="00433DCB" w:rsidRDefault="00A87842" w:rsidP="00A87842">
            <w:pPr>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Recognises differences in wage costs between states. </w:t>
            </w:r>
          </w:p>
        </w:tc>
        <w:tc>
          <w:tcPr>
            <w:tcW w:w="1371" w:type="dxa"/>
            <w:tcBorders>
              <w:top w:val="single" w:sz="6" w:space="0" w:color="ADD6EA"/>
              <w:left w:val="nil"/>
              <w:bottom w:val="nil"/>
              <w:right w:val="nil"/>
            </w:tcBorders>
          </w:tcPr>
          <w:p w14:paraId="10240ABA" w14:textId="71E31F4D" w:rsidR="00A87842" w:rsidRPr="00433DCB" w:rsidRDefault="00BA4B7E" w:rsidP="00A87842">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No</w:t>
            </w:r>
          </w:p>
        </w:tc>
      </w:tr>
      <w:tr w:rsidR="00A87842" w:rsidRPr="00433DCB" w14:paraId="68368C6A" w14:textId="78625C06" w:rsidTr="00EE7107">
        <w:trPr>
          <w:trHeight w:val="540"/>
        </w:trPr>
        <w:tc>
          <w:tcPr>
            <w:tcW w:w="1344" w:type="dxa"/>
            <w:tcBorders>
              <w:top w:val="nil"/>
              <w:left w:val="nil"/>
              <w:bottom w:val="nil"/>
              <w:right w:val="nil"/>
            </w:tcBorders>
            <w:shd w:val="clear" w:color="auto" w:fill="auto"/>
            <w:vAlign w:val="bottom"/>
          </w:tcPr>
          <w:p w14:paraId="3118542F" w14:textId="77777777" w:rsidR="00A87842" w:rsidRPr="00433DCB" w:rsidRDefault="00A87842" w:rsidP="00A87842">
            <w:pPr>
              <w:tabs>
                <w:tab w:val="clear" w:pos="567"/>
              </w:tabs>
              <w:spacing w:before="0" w:line="240" w:lineRule="auto"/>
              <w:textAlignment w:val="baseline"/>
              <w:rPr>
                <w:rFonts w:eastAsia="Times New Roman" w:cs="Segoe UI"/>
                <w:color w:val="000000"/>
                <w:sz w:val="16"/>
                <w:szCs w:val="16"/>
                <w:lang w:eastAsia="en-AU"/>
              </w:rPr>
            </w:pPr>
          </w:p>
        </w:tc>
        <w:tc>
          <w:tcPr>
            <w:tcW w:w="255" w:type="dxa"/>
            <w:tcBorders>
              <w:top w:val="single" w:sz="6" w:space="0" w:color="ADD6EA"/>
              <w:left w:val="nil"/>
              <w:bottom w:val="nil"/>
              <w:right w:val="nil"/>
            </w:tcBorders>
            <w:shd w:val="clear" w:color="auto" w:fill="auto"/>
            <w:vAlign w:val="bottom"/>
          </w:tcPr>
          <w:p w14:paraId="103ACEE5" w14:textId="77777777" w:rsidR="00A87842" w:rsidRPr="00433DCB" w:rsidRDefault="00A87842" w:rsidP="00A87842">
            <w:pPr>
              <w:tabs>
                <w:tab w:val="clear" w:pos="567"/>
              </w:tabs>
              <w:spacing w:before="0" w:line="240" w:lineRule="auto"/>
              <w:jc w:val="right"/>
              <w:textAlignment w:val="baseline"/>
              <w:rPr>
                <w:rFonts w:ascii="Arial" w:eastAsia="Times New Roman" w:hAnsi="Arial" w:cs="Arial"/>
                <w:color w:val="000000"/>
                <w:sz w:val="16"/>
                <w:szCs w:val="16"/>
                <w:lang w:eastAsia="en-AU"/>
              </w:rPr>
            </w:pPr>
          </w:p>
        </w:tc>
        <w:tc>
          <w:tcPr>
            <w:tcW w:w="1803" w:type="dxa"/>
            <w:tcBorders>
              <w:top w:val="single" w:sz="6" w:space="0" w:color="ADD6EA"/>
              <w:left w:val="nil"/>
              <w:bottom w:val="nil"/>
              <w:right w:val="nil"/>
            </w:tcBorders>
            <w:shd w:val="clear" w:color="auto" w:fill="auto"/>
          </w:tcPr>
          <w:p w14:paraId="3B1FDD37" w14:textId="3B0B38D2" w:rsidR="00A87842" w:rsidRPr="00433DCB" w:rsidRDefault="00A87842" w:rsidP="00A87842">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Regional</w:t>
            </w:r>
            <w:r w:rsidRPr="00433DCB">
              <w:rPr>
                <w:rFonts w:eastAsia="Times New Roman" w:cs="Segoe UI"/>
                <w:color w:val="000000"/>
                <w:sz w:val="16"/>
                <w:szCs w:val="16"/>
                <w:lang w:eastAsia="en-AU"/>
              </w:rPr>
              <w:t xml:space="preserve"> costs</w:t>
            </w:r>
            <w:r>
              <w:rPr>
                <w:rFonts w:eastAsia="Times New Roman" w:cs="Segoe UI"/>
                <w:color w:val="000000"/>
                <w:sz w:val="16"/>
                <w:szCs w:val="16"/>
                <w:lang w:eastAsia="en-AU"/>
              </w:rPr>
              <w:t xml:space="preserve"> and service delivery scale</w:t>
            </w:r>
          </w:p>
        </w:tc>
        <w:tc>
          <w:tcPr>
            <w:tcW w:w="4253" w:type="dxa"/>
            <w:tcBorders>
              <w:top w:val="single" w:sz="6" w:space="0" w:color="ADD6EA"/>
              <w:left w:val="nil"/>
              <w:bottom w:val="nil"/>
              <w:right w:val="nil"/>
            </w:tcBorders>
            <w:shd w:val="clear" w:color="auto" w:fill="auto"/>
          </w:tcPr>
          <w:p w14:paraId="50765F65" w14:textId="76CCD035" w:rsidR="00A87842" w:rsidRPr="00433DCB" w:rsidRDefault="00A87842" w:rsidP="00A87842">
            <w:pPr>
              <w:tabs>
                <w:tab w:val="clear" w:pos="567"/>
              </w:tabs>
              <w:spacing w:before="0" w:line="240" w:lineRule="auto"/>
              <w:textAlignment w:val="baseline"/>
              <w:rPr>
                <w:rFonts w:eastAsia="Times New Roman" w:cs="Segoe UI"/>
                <w:color w:val="000000"/>
                <w:sz w:val="16"/>
                <w:szCs w:val="16"/>
                <w:lang w:eastAsia="en-AU"/>
              </w:rPr>
            </w:pPr>
            <w:r w:rsidRPr="00433DCB">
              <w:rPr>
                <w:rFonts w:eastAsia="Times New Roman" w:cs="Segoe UI"/>
                <w:color w:val="000000"/>
                <w:sz w:val="16"/>
                <w:szCs w:val="16"/>
                <w:lang w:eastAsia="en-AU"/>
              </w:rPr>
              <w:t>Recognises</w:t>
            </w:r>
            <w:r>
              <w:rPr>
                <w:rFonts w:eastAsia="Times New Roman" w:cs="Segoe UI"/>
                <w:color w:val="000000"/>
                <w:sz w:val="16"/>
                <w:szCs w:val="16"/>
                <w:lang w:eastAsia="en-AU"/>
              </w:rPr>
              <w:t xml:space="preserve"> the cost of providing services to different areas within a </w:t>
            </w:r>
            <w:r w:rsidR="00A61C5C">
              <w:rPr>
                <w:rFonts w:eastAsia="Times New Roman" w:cs="Segoe UI"/>
                <w:color w:val="000000"/>
                <w:sz w:val="16"/>
                <w:szCs w:val="16"/>
                <w:lang w:eastAsia="en-AU"/>
              </w:rPr>
              <w:t>s</w:t>
            </w:r>
            <w:r>
              <w:rPr>
                <w:rFonts w:eastAsia="Times New Roman" w:cs="Segoe UI"/>
                <w:color w:val="000000"/>
                <w:sz w:val="16"/>
                <w:szCs w:val="16"/>
                <w:lang w:eastAsia="en-AU"/>
              </w:rPr>
              <w:t xml:space="preserve">tate and </w:t>
            </w:r>
            <w:r w:rsidR="00A95811">
              <w:rPr>
                <w:rFonts w:eastAsia="Times New Roman" w:cs="Segoe UI"/>
                <w:color w:val="000000"/>
                <w:sz w:val="16"/>
                <w:szCs w:val="16"/>
                <w:lang w:eastAsia="en-AU"/>
              </w:rPr>
              <w:t xml:space="preserve">to </w:t>
            </w:r>
            <w:r>
              <w:rPr>
                <w:rFonts w:eastAsia="Times New Roman" w:cs="Segoe UI"/>
                <w:color w:val="000000"/>
                <w:sz w:val="16"/>
                <w:szCs w:val="16"/>
                <w:lang w:eastAsia="en-AU"/>
              </w:rPr>
              <w:t>small population centre</w:t>
            </w:r>
            <w:r w:rsidR="00A95811">
              <w:rPr>
                <w:rFonts w:eastAsia="Times New Roman" w:cs="Segoe UI"/>
                <w:color w:val="000000"/>
                <w:sz w:val="16"/>
                <w:szCs w:val="16"/>
                <w:lang w:eastAsia="en-AU"/>
              </w:rPr>
              <w:t>s</w:t>
            </w:r>
            <w:r w:rsidR="00A42FB4">
              <w:rPr>
                <w:rFonts w:eastAsia="Times New Roman" w:cs="Segoe UI"/>
                <w:color w:val="000000"/>
                <w:sz w:val="16"/>
                <w:szCs w:val="16"/>
                <w:lang w:eastAsia="en-AU"/>
              </w:rPr>
              <w:t>.</w:t>
            </w:r>
          </w:p>
        </w:tc>
        <w:tc>
          <w:tcPr>
            <w:tcW w:w="1371" w:type="dxa"/>
            <w:tcBorders>
              <w:top w:val="single" w:sz="6" w:space="0" w:color="ADD6EA"/>
              <w:left w:val="nil"/>
              <w:bottom w:val="nil"/>
              <w:right w:val="nil"/>
            </w:tcBorders>
          </w:tcPr>
          <w:p w14:paraId="70713ED3" w14:textId="4E9C6C87" w:rsidR="00A87842" w:rsidRPr="00433DCB" w:rsidRDefault="00BA4B7E" w:rsidP="00A87842">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No</w:t>
            </w:r>
          </w:p>
        </w:tc>
      </w:tr>
      <w:tr w:rsidR="00A87842" w:rsidRPr="00433DCB" w14:paraId="745D1717" w14:textId="0F48563F" w:rsidTr="00EE7107">
        <w:trPr>
          <w:trHeight w:val="315"/>
        </w:trPr>
        <w:tc>
          <w:tcPr>
            <w:tcW w:w="1344" w:type="dxa"/>
            <w:tcBorders>
              <w:top w:val="single" w:sz="6" w:space="0" w:color="ADD6EA"/>
              <w:left w:val="nil"/>
              <w:bottom w:val="single" w:sz="6" w:space="0" w:color="ADD6EA"/>
              <w:right w:val="nil"/>
            </w:tcBorders>
            <w:shd w:val="clear" w:color="auto" w:fill="auto"/>
            <w:hideMark/>
          </w:tcPr>
          <w:p w14:paraId="0FB5BFD6" w14:textId="77777777" w:rsidR="00A87842" w:rsidRPr="00433DCB" w:rsidRDefault="00A87842" w:rsidP="00A87842">
            <w:pPr>
              <w:tabs>
                <w:tab w:val="clear" w:pos="567"/>
              </w:tabs>
              <w:spacing w:before="0" w:line="240" w:lineRule="auto"/>
              <w:textAlignment w:val="baseline"/>
              <w:rPr>
                <w:rFonts w:eastAsia="Times New Roman" w:cs="Segoe UI"/>
                <w:sz w:val="18"/>
                <w:szCs w:val="18"/>
                <w:lang w:eastAsia="en-AU"/>
              </w:rPr>
            </w:pPr>
            <w:r>
              <w:rPr>
                <w:rFonts w:eastAsia="Times New Roman" w:cs="Segoe UI"/>
                <w:color w:val="000000"/>
                <w:sz w:val="16"/>
                <w:szCs w:val="16"/>
                <w:lang w:eastAsia="en-AU"/>
              </w:rPr>
              <w:t>National Disability Insurance Scheme</w:t>
            </w:r>
            <w:r w:rsidRPr="00433DCB">
              <w:rPr>
                <w:rFonts w:eastAsia="Times New Roman" w:cs="Segoe UI"/>
                <w:color w:val="000000"/>
                <w:sz w:val="16"/>
                <w:szCs w:val="16"/>
                <w:lang w:eastAsia="en-AU"/>
              </w:rPr>
              <w:t> </w:t>
            </w:r>
          </w:p>
        </w:tc>
        <w:tc>
          <w:tcPr>
            <w:tcW w:w="255" w:type="dxa"/>
            <w:tcBorders>
              <w:top w:val="single" w:sz="6" w:space="0" w:color="ADD6EA"/>
              <w:left w:val="nil"/>
              <w:bottom w:val="single" w:sz="6" w:space="0" w:color="ADD6EA"/>
              <w:right w:val="nil"/>
            </w:tcBorders>
            <w:shd w:val="clear" w:color="auto" w:fill="auto"/>
            <w:vAlign w:val="bottom"/>
            <w:hideMark/>
          </w:tcPr>
          <w:p w14:paraId="273DDC22" w14:textId="77777777" w:rsidR="00A87842" w:rsidRPr="00433DCB" w:rsidRDefault="00A87842" w:rsidP="00A87842">
            <w:pPr>
              <w:tabs>
                <w:tab w:val="clear" w:pos="567"/>
              </w:tabs>
              <w:spacing w:before="0" w:line="240" w:lineRule="auto"/>
              <w:jc w:val="right"/>
              <w:textAlignment w:val="baseline"/>
              <w:rPr>
                <w:rFonts w:eastAsia="Times New Roman" w:cs="Segoe UI"/>
                <w:sz w:val="18"/>
                <w:szCs w:val="18"/>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803" w:type="dxa"/>
            <w:tcBorders>
              <w:top w:val="single" w:sz="6" w:space="0" w:color="ADD6EA"/>
              <w:left w:val="nil"/>
              <w:bottom w:val="single" w:sz="6" w:space="0" w:color="ADD6EA"/>
              <w:right w:val="nil"/>
            </w:tcBorders>
            <w:shd w:val="clear" w:color="auto" w:fill="auto"/>
            <w:hideMark/>
          </w:tcPr>
          <w:p w14:paraId="0B32D833" w14:textId="4AB28925" w:rsidR="00A87842" w:rsidRPr="00433DCB" w:rsidRDefault="00A87842" w:rsidP="00A87842">
            <w:pPr>
              <w:tabs>
                <w:tab w:val="clear" w:pos="567"/>
              </w:tabs>
              <w:spacing w:before="0" w:line="240" w:lineRule="auto"/>
              <w:textAlignment w:val="baseline"/>
              <w:rPr>
                <w:rFonts w:eastAsia="Times New Roman" w:cs="Segoe UI"/>
                <w:sz w:val="18"/>
                <w:szCs w:val="18"/>
                <w:lang w:eastAsia="en-AU"/>
              </w:rPr>
            </w:pPr>
            <w:r>
              <w:rPr>
                <w:rFonts w:eastAsia="Times New Roman" w:cs="Segoe UI"/>
                <w:color w:val="000000"/>
                <w:sz w:val="16"/>
                <w:szCs w:val="16"/>
                <w:lang w:eastAsia="en-AU"/>
              </w:rPr>
              <w:t>Census population shares</w:t>
            </w:r>
          </w:p>
        </w:tc>
        <w:tc>
          <w:tcPr>
            <w:tcW w:w="4253" w:type="dxa"/>
            <w:tcBorders>
              <w:top w:val="single" w:sz="6" w:space="0" w:color="ADD6EA"/>
              <w:left w:val="nil"/>
              <w:bottom w:val="single" w:sz="6" w:space="0" w:color="ADD6EA"/>
              <w:right w:val="nil"/>
            </w:tcBorders>
            <w:shd w:val="clear" w:color="auto" w:fill="auto"/>
            <w:hideMark/>
          </w:tcPr>
          <w:p w14:paraId="389CD9D2" w14:textId="60E42E4C" w:rsidR="00A87842" w:rsidRPr="00433DCB" w:rsidRDefault="00A87842" w:rsidP="00A87842">
            <w:pPr>
              <w:tabs>
                <w:tab w:val="clear" w:pos="567"/>
              </w:tabs>
              <w:spacing w:before="0" w:line="240" w:lineRule="auto"/>
              <w:textAlignment w:val="baseline"/>
            </w:pPr>
            <w:r w:rsidRPr="1CD2C273">
              <w:rPr>
                <w:rFonts w:eastAsia="Open Sans Light" w:cs="Open Sans Light"/>
                <w:sz w:val="16"/>
                <w:szCs w:val="16"/>
              </w:rPr>
              <w:t>20</w:t>
            </w:r>
            <w:r w:rsidR="00F4118A">
              <w:rPr>
                <w:rFonts w:eastAsia="Open Sans Light" w:cs="Open Sans Light"/>
                <w:sz w:val="16"/>
                <w:szCs w:val="16"/>
              </w:rPr>
              <w:t>21</w:t>
            </w:r>
            <w:r w:rsidRPr="1CD2C273">
              <w:rPr>
                <w:rFonts w:eastAsia="Open Sans Light" w:cs="Open Sans Light"/>
                <w:sz w:val="16"/>
                <w:szCs w:val="16"/>
              </w:rPr>
              <w:t xml:space="preserve"> Census population shares.</w:t>
            </w:r>
          </w:p>
        </w:tc>
        <w:tc>
          <w:tcPr>
            <w:tcW w:w="1371" w:type="dxa"/>
            <w:tcBorders>
              <w:top w:val="single" w:sz="6" w:space="0" w:color="ADD6EA"/>
              <w:left w:val="nil"/>
              <w:bottom w:val="single" w:sz="6" w:space="0" w:color="ADD6EA"/>
              <w:right w:val="nil"/>
            </w:tcBorders>
          </w:tcPr>
          <w:p w14:paraId="652175B1" w14:textId="2BA7B829" w:rsidR="00A87842" w:rsidRPr="1CD2C273" w:rsidRDefault="00BA4B7E" w:rsidP="00A87842">
            <w:pPr>
              <w:tabs>
                <w:tab w:val="clear" w:pos="567"/>
              </w:tabs>
              <w:spacing w:before="0" w:line="240" w:lineRule="auto"/>
              <w:textAlignment w:val="baseline"/>
              <w:rPr>
                <w:rFonts w:eastAsia="Open Sans Light" w:cs="Open Sans Light"/>
                <w:sz w:val="16"/>
                <w:szCs w:val="16"/>
              </w:rPr>
            </w:pPr>
            <w:r>
              <w:rPr>
                <w:rFonts w:eastAsia="Times New Roman" w:cs="Segoe UI"/>
                <w:color w:val="000000"/>
                <w:sz w:val="16"/>
                <w:szCs w:val="16"/>
                <w:lang w:eastAsia="en-AU"/>
              </w:rPr>
              <w:t>No</w:t>
            </w:r>
          </w:p>
        </w:tc>
      </w:tr>
      <w:tr w:rsidR="00A87842" w:rsidRPr="00433DCB" w14:paraId="244C2574" w14:textId="2C543846" w:rsidTr="00EE7107">
        <w:trPr>
          <w:trHeight w:val="315"/>
        </w:trPr>
        <w:tc>
          <w:tcPr>
            <w:tcW w:w="1344" w:type="dxa"/>
            <w:tcBorders>
              <w:top w:val="single" w:sz="6" w:space="0" w:color="ADD6EA"/>
              <w:left w:val="nil"/>
              <w:bottom w:val="single" w:sz="6" w:space="0" w:color="ADD6EA"/>
              <w:right w:val="nil"/>
            </w:tcBorders>
            <w:shd w:val="clear" w:color="auto" w:fill="auto"/>
          </w:tcPr>
          <w:p w14:paraId="2D536E76" w14:textId="77777777" w:rsidR="00A87842" w:rsidRDefault="00A87842" w:rsidP="00A87842">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Concessions</w:t>
            </w:r>
            <w:r w:rsidRPr="00433DCB">
              <w:rPr>
                <w:rFonts w:eastAsia="Times New Roman" w:cs="Segoe UI"/>
                <w:color w:val="000000"/>
                <w:sz w:val="16"/>
                <w:szCs w:val="16"/>
                <w:lang w:eastAsia="en-AU"/>
              </w:rPr>
              <w:t> </w:t>
            </w:r>
          </w:p>
        </w:tc>
        <w:tc>
          <w:tcPr>
            <w:tcW w:w="255" w:type="dxa"/>
            <w:tcBorders>
              <w:top w:val="single" w:sz="6" w:space="0" w:color="ADD6EA"/>
              <w:left w:val="nil"/>
              <w:bottom w:val="single" w:sz="6" w:space="0" w:color="ADD6EA"/>
              <w:right w:val="nil"/>
            </w:tcBorders>
            <w:shd w:val="clear" w:color="auto" w:fill="auto"/>
            <w:vAlign w:val="bottom"/>
          </w:tcPr>
          <w:p w14:paraId="3BE7D14B" w14:textId="77777777" w:rsidR="00A87842" w:rsidRPr="00433DCB" w:rsidRDefault="00A87842" w:rsidP="00A87842">
            <w:pPr>
              <w:tabs>
                <w:tab w:val="clear" w:pos="567"/>
              </w:tabs>
              <w:spacing w:before="0" w:line="240" w:lineRule="auto"/>
              <w:jc w:val="right"/>
              <w:textAlignment w:val="baseline"/>
              <w:rPr>
                <w:rFonts w:ascii="Arial" w:eastAsia="Times New Roman" w:hAnsi="Arial" w:cs="Arial"/>
                <w:color w:val="000000"/>
                <w:sz w:val="16"/>
                <w:szCs w:val="16"/>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803" w:type="dxa"/>
            <w:tcBorders>
              <w:top w:val="single" w:sz="6" w:space="0" w:color="ADD6EA"/>
              <w:left w:val="nil"/>
              <w:bottom w:val="single" w:sz="6" w:space="0" w:color="ADD6EA"/>
              <w:right w:val="nil"/>
            </w:tcBorders>
            <w:shd w:val="clear" w:color="auto" w:fill="auto"/>
          </w:tcPr>
          <w:p w14:paraId="4754F001" w14:textId="522AB019" w:rsidR="00A87842" w:rsidRPr="00433DCB" w:rsidRDefault="16268BE6" w:rsidP="00A87842">
            <w:pPr>
              <w:tabs>
                <w:tab w:val="clear" w:pos="567"/>
              </w:tabs>
              <w:spacing w:before="0" w:line="240" w:lineRule="auto"/>
              <w:textAlignment w:val="baseline"/>
              <w:rPr>
                <w:rFonts w:eastAsia="Times New Roman" w:cs="Segoe UI"/>
                <w:color w:val="000000"/>
                <w:sz w:val="16"/>
                <w:szCs w:val="16"/>
                <w:lang w:eastAsia="en-AU"/>
              </w:rPr>
            </w:pPr>
            <w:r w:rsidRPr="0EFE89C2">
              <w:rPr>
                <w:rFonts w:eastAsia="Times New Roman" w:cs="Segoe UI"/>
                <w:color w:val="000000" w:themeColor="text1"/>
                <w:sz w:val="16"/>
                <w:szCs w:val="16"/>
                <w:lang w:eastAsia="en-AU"/>
              </w:rPr>
              <w:t>Socio-demographic composition</w:t>
            </w:r>
          </w:p>
        </w:tc>
        <w:tc>
          <w:tcPr>
            <w:tcW w:w="4253" w:type="dxa"/>
            <w:tcBorders>
              <w:top w:val="single" w:sz="6" w:space="0" w:color="ADD6EA"/>
              <w:left w:val="nil"/>
              <w:bottom w:val="single" w:sz="6" w:space="0" w:color="ADD6EA"/>
              <w:right w:val="nil"/>
            </w:tcBorders>
            <w:shd w:val="clear" w:color="auto" w:fill="auto"/>
          </w:tcPr>
          <w:p w14:paraId="20883453" w14:textId="68188A19" w:rsidR="00A87842" w:rsidRPr="00433DCB" w:rsidRDefault="00A87842" w:rsidP="00A87842">
            <w:pPr>
              <w:tabs>
                <w:tab w:val="clear" w:pos="567"/>
              </w:tabs>
              <w:spacing w:before="0" w:line="240" w:lineRule="auto"/>
              <w:textAlignment w:val="baseline"/>
              <w:rPr>
                <w:rFonts w:eastAsia="Times New Roman" w:cs="Segoe UI"/>
                <w:color w:val="000000"/>
                <w:sz w:val="16"/>
                <w:szCs w:val="16"/>
                <w:lang w:eastAsia="en-AU"/>
              </w:rPr>
            </w:pPr>
            <w:r w:rsidRPr="1CD2C273">
              <w:rPr>
                <w:rFonts w:eastAsia="Open Sans Light" w:cs="Open Sans Light"/>
                <w:sz w:val="16"/>
                <w:szCs w:val="16"/>
              </w:rPr>
              <w:t>Recognises that numbers of pensioner concession card plus health care card</w:t>
            </w:r>
            <w:r w:rsidR="00862B6A">
              <w:rPr>
                <w:rFonts w:eastAsia="Open Sans Light" w:cs="Open Sans Light"/>
                <w:sz w:val="16"/>
                <w:szCs w:val="16"/>
              </w:rPr>
              <w:t xml:space="preserve"> </w:t>
            </w:r>
            <w:r w:rsidRPr="1CD2C273">
              <w:rPr>
                <w:rFonts w:eastAsia="Open Sans Light" w:cs="Open Sans Light"/>
                <w:sz w:val="16"/>
                <w:szCs w:val="16"/>
              </w:rPr>
              <w:t>holders affect the use and cost of providing concessions.</w:t>
            </w:r>
          </w:p>
        </w:tc>
        <w:tc>
          <w:tcPr>
            <w:tcW w:w="1371" w:type="dxa"/>
            <w:tcBorders>
              <w:top w:val="single" w:sz="6" w:space="0" w:color="ADD6EA"/>
              <w:left w:val="nil"/>
              <w:bottom w:val="single" w:sz="6" w:space="0" w:color="ADD6EA"/>
              <w:right w:val="nil"/>
            </w:tcBorders>
          </w:tcPr>
          <w:p w14:paraId="35FF90B3" w14:textId="2E4E0EE1" w:rsidR="00A87842" w:rsidRPr="1CD2C273" w:rsidRDefault="00BA4B7E" w:rsidP="00A87842">
            <w:pPr>
              <w:tabs>
                <w:tab w:val="clear" w:pos="567"/>
              </w:tabs>
              <w:spacing w:before="0" w:line="240" w:lineRule="auto"/>
              <w:textAlignment w:val="baseline"/>
              <w:rPr>
                <w:rFonts w:eastAsia="Open Sans Light" w:cs="Open Sans Light"/>
                <w:sz w:val="16"/>
                <w:szCs w:val="16"/>
              </w:rPr>
            </w:pPr>
            <w:r>
              <w:rPr>
                <w:rFonts w:eastAsia="Times New Roman" w:cs="Segoe UI"/>
                <w:color w:val="000000"/>
                <w:sz w:val="16"/>
                <w:szCs w:val="16"/>
                <w:lang w:eastAsia="en-AU"/>
              </w:rPr>
              <w:t>No</w:t>
            </w:r>
          </w:p>
        </w:tc>
      </w:tr>
      <w:tr w:rsidR="00BB1A79" w:rsidRPr="00433DCB" w14:paraId="2FC267D7" w14:textId="77777777" w:rsidTr="00EE7107">
        <w:trPr>
          <w:trHeight w:val="315"/>
        </w:trPr>
        <w:tc>
          <w:tcPr>
            <w:tcW w:w="1344" w:type="dxa"/>
            <w:tcBorders>
              <w:top w:val="single" w:sz="6" w:space="0" w:color="ADD6EA"/>
              <w:left w:val="nil"/>
              <w:bottom w:val="nil"/>
              <w:right w:val="nil"/>
            </w:tcBorders>
            <w:shd w:val="clear" w:color="auto" w:fill="auto"/>
          </w:tcPr>
          <w:p w14:paraId="1021EB11" w14:textId="7DB19F88" w:rsidR="00BB1A79" w:rsidRDefault="00BB1A79" w:rsidP="00BB1A79">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Homelessness</w:t>
            </w:r>
            <w:r w:rsidR="00C939DA">
              <w:rPr>
                <w:rFonts w:eastAsia="Times New Roman" w:cs="Segoe UI"/>
                <w:color w:val="000000"/>
                <w:sz w:val="16"/>
                <w:szCs w:val="16"/>
                <w:lang w:eastAsia="en-AU"/>
              </w:rPr>
              <w:t xml:space="preserve"> services</w:t>
            </w:r>
          </w:p>
        </w:tc>
        <w:tc>
          <w:tcPr>
            <w:tcW w:w="255" w:type="dxa"/>
            <w:tcBorders>
              <w:top w:val="single" w:sz="6" w:space="0" w:color="ADD6EA"/>
              <w:left w:val="nil"/>
              <w:bottom w:val="single" w:sz="6" w:space="0" w:color="ADD6EA"/>
              <w:right w:val="nil"/>
            </w:tcBorders>
            <w:shd w:val="clear" w:color="auto" w:fill="auto"/>
            <w:vAlign w:val="bottom"/>
          </w:tcPr>
          <w:p w14:paraId="0043AC98" w14:textId="77777777" w:rsidR="00BB1A79" w:rsidRPr="00433DCB" w:rsidRDefault="00BB1A79" w:rsidP="00BB1A79">
            <w:pPr>
              <w:tabs>
                <w:tab w:val="clear" w:pos="567"/>
              </w:tabs>
              <w:spacing w:before="0" w:line="240" w:lineRule="auto"/>
              <w:jc w:val="right"/>
              <w:textAlignment w:val="baseline"/>
              <w:rPr>
                <w:rFonts w:ascii="Arial" w:eastAsia="Times New Roman" w:hAnsi="Arial" w:cs="Arial"/>
                <w:color w:val="000000"/>
                <w:sz w:val="16"/>
                <w:szCs w:val="16"/>
                <w:lang w:eastAsia="en-AU"/>
              </w:rPr>
            </w:pPr>
          </w:p>
        </w:tc>
        <w:tc>
          <w:tcPr>
            <w:tcW w:w="1803" w:type="dxa"/>
            <w:tcBorders>
              <w:top w:val="single" w:sz="6" w:space="0" w:color="ADD6EA"/>
              <w:left w:val="nil"/>
              <w:bottom w:val="single" w:sz="6" w:space="0" w:color="ADD6EA"/>
              <w:right w:val="nil"/>
            </w:tcBorders>
            <w:shd w:val="clear" w:color="auto" w:fill="auto"/>
          </w:tcPr>
          <w:p w14:paraId="3F40E649" w14:textId="13C6E781" w:rsidR="00BB1A79" w:rsidRDefault="092585BB" w:rsidP="00BB1A79">
            <w:pPr>
              <w:tabs>
                <w:tab w:val="clear" w:pos="567"/>
              </w:tabs>
              <w:spacing w:before="0" w:line="240" w:lineRule="auto"/>
              <w:textAlignment w:val="baseline"/>
              <w:rPr>
                <w:rFonts w:eastAsia="Times New Roman" w:cs="Segoe UI"/>
                <w:color w:val="000000"/>
                <w:sz w:val="16"/>
                <w:szCs w:val="16"/>
                <w:lang w:eastAsia="en-AU"/>
              </w:rPr>
            </w:pPr>
            <w:r w:rsidRPr="0EFE89C2">
              <w:rPr>
                <w:rFonts w:eastAsia="Times New Roman" w:cs="Segoe UI"/>
                <w:color w:val="000000" w:themeColor="text1"/>
                <w:sz w:val="16"/>
                <w:szCs w:val="16"/>
                <w:lang w:eastAsia="en-AU"/>
              </w:rPr>
              <w:t>Socio-demographic composition </w:t>
            </w:r>
          </w:p>
        </w:tc>
        <w:tc>
          <w:tcPr>
            <w:tcW w:w="4253" w:type="dxa"/>
            <w:tcBorders>
              <w:top w:val="single" w:sz="6" w:space="0" w:color="ADD6EA"/>
              <w:left w:val="nil"/>
              <w:bottom w:val="single" w:sz="6" w:space="0" w:color="ADD6EA"/>
              <w:right w:val="nil"/>
            </w:tcBorders>
            <w:shd w:val="clear" w:color="auto" w:fill="auto"/>
          </w:tcPr>
          <w:p w14:paraId="37CF58A9" w14:textId="1076D825" w:rsidR="00BB1A79" w:rsidRPr="00E56C8F" w:rsidRDefault="00BB1A79" w:rsidP="00BB1A79">
            <w:pPr>
              <w:tabs>
                <w:tab w:val="clear" w:pos="567"/>
              </w:tabs>
              <w:spacing w:before="0" w:line="240" w:lineRule="auto"/>
              <w:textAlignment w:val="baseline"/>
              <w:rPr>
                <w:rFonts w:eastAsia="Open Sans Light" w:cs="Open Sans Light"/>
                <w:sz w:val="16"/>
                <w:szCs w:val="16"/>
                <w:highlight w:val="yellow"/>
              </w:rPr>
            </w:pPr>
            <w:r w:rsidRPr="00FC5CE9">
              <w:rPr>
                <w:rFonts w:eastAsia="Open Sans Light" w:cs="Open Sans Light"/>
                <w:sz w:val="16"/>
                <w:szCs w:val="16"/>
              </w:rPr>
              <w:t xml:space="preserve">Recognises that </w:t>
            </w:r>
            <w:r w:rsidR="001B1E52" w:rsidRPr="00FC5CE9">
              <w:rPr>
                <w:rFonts w:eastAsia="Open Sans Light" w:cs="Open Sans Light"/>
                <w:sz w:val="16"/>
                <w:szCs w:val="16"/>
              </w:rPr>
              <w:t xml:space="preserve">that </w:t>
            </w:r>
            <w:r w:rsidR="00915F0B" w:rsidRPr="00FC5CE9">
              <w:rPr>
                <w:rFonts w:eastAsia="Open Sans Light" w:cs="Open Sans Light"/>
                <w:sz w:val="16"/>
                <w:szCs w:val="16"/>
              </w:rPr>
              <w:t>service use is influenced by</w:t>
            </w:r>
            <w:r w:rsidR="00F12203">
              <w:rPr>
                <w:rFonts w:eastAsia="Open Sans Light" w:cs="Open Sans Light"/>
                <w:sz w:val="16"/>
                <w:szCs w:val="16"/>
              </w:rPr>
              <w:t xml:space="preserve"> the </w:t>
            </w:r>
            <w:r w:rsidR="00F12203" w:rsidRPr="00FC5CE9">
              <w:rPr>
                <w:rFonts w:eastAsia="Open Sans Light" w:cs="Open Sans Light"/>
                <w:sz w:val="16"/>
                <w:szCs w:val="16"/>
              </w:rPr>
              <w:t>socio</w:t>
            </w:r>
            <w:r w:rsidR="001974BA">
              <w:rPr>
                <w:rFonts w:eastAsia="Open Sans Light" w:cs="Open Sans Light"/>
                <w:sz w:val="16"/>
                <w:szCs w:val="16"/>
              </w:rPr>
              <w:t>-</w:t>
            </w:r>
            <w:r w:rsidR="00F12203" w:rsidRPr="00FC5CE9">
              <w:rPr>
                <w:rFonts w:eastAsia="Open Sans Light" w:cs="Open Sans Light"/>
                <w:sz w:val="16"/>
                <w:szCs w:val="16"/>
              </w:rPr>
              <w:t>demographic</w:t>
            </w:r>
            <w:r w:rsidR="00F12203">
              <w:rPr>
                <w:rFonts w:eastAsia="Open Sans Light" w:cs="Open Sans Light"/>
                <w:sz w:val="16"/>
                <w:szCs w:val="16"/>
              </w:rPr>
              <w:t xml:space="preserve"> composition of the state population including </w:t>
            </w:r>
            <w:r w:rsidR="00F12203" w:rsidRPr="00FC5CE9">
              <w:rPr>
                <w:rFonts w:eastAsia="Open Sans Light" w:cs="Open Sans Light"/>
                <w:sz w:val="16"/>
                <w:szCs w:val="16"/>
              </w:rPr>
              <w:t>Indigenous status</w:t>
            </w:r>
            <w:r w:rsidR="001B1E52" w:rsidRPr="00FC5CE9">
              <w:rPr>
                <w:rFonts w:eastAsia="Open Sans Light" w:cs="Open Sans Light"/>
                <w:sz w:val="16"/>
                <w:szCs w:val="16"/>
              </w:rPr>
              <w:t xml:space="preserve">, </w:t>
            </w:r>
            <w:r w:rsidR="00A95811" w:rsidRPr="00FC5CE9">
              <w:rPr>
                <w:rFonts w:eastAsia="Open Sans Light" w:cs="Open Sans Light"/>
                <w:sz w:val="16"/>
                <w:szCs w:val="16"/>
              </w:rPr>
              <w:t>socio</w:t>
            </w:r>
            <w:r w:rsidR="001974BA">
              <w:rPr>
                <w:rFonts w:eastAsia="Open Sans Light" w:cs="Open Sans Light"/>
                <w:sz w:val="16"/>
                <w:szCs w:val="16"/>
              </w:rPr>
              <w:t>-</w:t>
            </w:r>
            <w:r w:rsidR="00A95811" w:rsidRPr="00FC5CE9">
              <w:rPr>
                <w:rFonts w:eastAsia="Open Sans Light" w:cs="Open Sans Light"/>
                <w:sz w:val="16"/>
                <w:szCs w:val="16"/>
              </w:rPr>
              <w:t>economic</w:t>
            </w:r>
            <w:r w:rsidR="001B1E52" w:rsidRPr="00FC5CE9">
              <w:rPr>
                <w:rFonts w:eastAsia="Open Sans Light" w:cs="Open Sans Light"/>
                <w:sz w:val="16"/>
                <w:szCs w:val="16"/>
              </w:rPr>
              <w:t xml:space="preserve"> status, </w:t>
            </w:r>
            <w:proofErr w:type="gramStart"/>
            <w:r w:rsidR="001B1E52" w:rsidRPr="00FC5CE9">
              <w:rPr>
                <w:rFonts w:eastAsia="Open Sans Light" w:cs="Open Sans Light"/>
                <w:sz w:val="16"/>
                <w:szCs w:val="16"/>
              </w:rPr>
              <w:t>age</w:t>
            </w:r>
            <w:proofErr w:type="gramEnd"/>
            <w:r w:rsidR="00F4118A" w:rsidRPr="00FC5CE9">
              <w:rPr>
                <w:rFonts w:eastAsia="Open Sans Light" w:cs="Open Sans Light"/>
                <w:sz w:val="16"/>
                <w:szCs w:val="16"/>
              </w:rPr>
              <w:t xml:space="preserve"> </w:t>
            </w:r>
            <w:r w:rsidR="001B1E52" w:rsidRPr="00FC5CE9">
              <w:rPr>
                <w:rFonts w:eastAsia="Open Sans Light" w:cs="Open Sans Light"/>
                <w:sz w:val="16"/>
                <w:szCs w:val="16"/>
              </w:rPr>
              <w:t xml:space="preserve">and </w:t>
            </w:r>
            <w:r w:rsidR="00F12203" w:rsidRPr="00FC5CE9">
              <w:rPr>
                <w:rFonts w:eastAsia="Open Sans Light" w:cs="Open Sans Light"/>
                <w:sz w:val="16"/>
                <w:szCs w:val="16"/>
              </w:rPr>
              <w:t>location</w:t>
            </w:r>
            <w:r w:rsidR="001B1E52" w:rsidRPr="00FC5CE9">
              <w:rPr>
                <w:rFonts w:eastAsia="Open Sans Light" w:cs="Open Sans Light"/>
                <w:sz w:val="16"/>
                <w:szCs w:val="16"/>
              </w:rPr>
              <w:t>.</w:t>
            </w:r>
            <w:r w:rsidR="001B1E52" w:rsidRPr="00FC5CE9">
              <w:rPr>
                <w:rFonts w:eastAsia="Times New Roman" w:cs="Segoe UI"/>
                <w:color w:val="000000" w:themeColor="text1"/>
                <w:sz w:val="16"/>
                <w:szCs w:val="16"/>
                <w:lang w:eastAsia="en-AU"/>
              </w:rPr>
              <w:t> </w:t>
            </w:r>
          </w:p>
        </w:tc>
        <w:tc>
          <w:tcPr>
            <w:tcW w:w="1371" w:type="dxa"/>
            <w:tcBorders>
              <w:top w:val="single" w:sz="6" w:space="0" w:color="ADD6EA"/>
              <w:left w:val="nil"/>
              <w:bottom w:val="single" w:sz="6" w:space="0" w:color="ADD6EA"/>
              <w:right w:val="nil"/>
            </w:tcBorders>
          </w:tcPr>
          <w:p w14:paraId="288920F7" w14:textId="4A0DD37B" w:rsidR="00BB1A79" w:rsidRDefault="00BB1A79" w:rsidP="00BB1A79">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Yes</w:t>
            </w:r>
          </w:p>
        </w:tc>
      </w:tr>
      <w:tr w:rsidR="00BB1A79" w:rsidRPr="00433DCB" w14:paraId="023EF578" w14:textId="77777777" w:rsidTr="00EE7107">
        <w:trPr>
          <w:trHeight w:val="315"/>
        </w:trPr>
        <w:tc>
          <w:tcPr>
            <w:tcW w:w="1344" w:type="dxa"/>
            <w:tcBorders>
              <w:top w:val="nil"/>
              <w:left w:val="nil"/>
              <w:bottom w:val="nil"/>
              <w:right w:val="nil"/>
            </w:tcBorders>
            <w:shd w:val="clear" w:color="auto" w:fill="auto"/>
          </w:tcPr>
          <w:p w14:paraId="055148F4" w14:textId="77777777" w:rsidR="00BB1A79" w:rsidRDefault="00BB1A79" w:rsidP="00BB1A79">
            <w:pPr>
              <w:tabs>
                <w:tab w:val="clear" w:pos="567"/>
              </w:tabs>
              <w:spacing w:before="0" w:line="240" w:lineRule="auto"/>
              <w:textAlignment w:val="baseline"/>
              <w:rPr>
                <w:rFonts w:eastAsia="Times New Roman" w:cs="Segoe UI"/>
                <w:color w:val="000000"/>
                <w:sz w:val="16"/>
                <w:szCs w:val="16"/>
                <w:lang w:eastAsia="en-AU"/>
              </w:rPr>
            </w:pPr>
          </w:p>
        </w:tc>
        <w:tc>
          <w:tcPr>
            <w:tcW w:w="255" w:type="dxa"/>
            <w:tcBorders>
              <w:top w:val="single" w:sz="6" w:space="0" w:color="ADD6EA"/>
              <w:left w:val="nil"/>
              <w:bottom w:val="single" w:sz="6" w:space="0" w:color="ADD6EA"/>
              <w:right w:val="nil"/>
            </w:tcBorders>
            <w:shd w:val="clear" w:color="auto" w:fill="auto"/>
            <w:vAlign w:val="bottom"/>
          </w:tcPr>
          <w:p w14:paraId="1A685916" w14:textId="77777777" w:rsidR="00BB1A79" w:rsidRPr="00433DCB" w:rsidRDefault="00BB1A79" w:rsidP="00BB1A79">
            <w:pPr>
              <w:tabs>
                <w:tab w:val="clear" w:pos="567"/>
              </w:tabs>
              <w:spacing w:before="0" w:line="240" w:lineRule="auto"/>
              <w:jc w:val="right"/>
              <w:textAlignment w:val="baseline"/>
              <w:rPr>
                <w:rFonts w:ascii="Arial" w:eastAsia="Times New Roman" w:hAnsi="Arial" w:cs="Arial"/>
                <w:color w:val="000000"/>
                <w:sz w:val="16"/>
                <w:szCs w:val="16"/>
                <w:lang w:eastAsia="en-AU"/>
              </w:rPr>
            </w:pPr>
          </w:p>
        </w:tc>
        <w:tc>
          <w:tcPr>
            <w:tcW w:w="1803" w:type="dxa"/>
            <w:tcBorders>
              <w:top w:val="single" w:sz="6" w:space="0" w:color="ADD6EA"/>
              <w:left w:val="nil"/>
              <w:bottom w:val="single" w:sz="6" w:space="0" w:color="ADD6EA"/>
              <w:right w:val="nil"/>
            </w:tcBorders>
            <w:shd w:val="clear" w:color="auto" w:fill="auto"/>
          </w:tcPr>
          <w:p w14:paraId="302E6D6C" w14:textId="27AF13E7" w:rsidR="00BB1A79" w:rsidRDefault="00BB1A79" w:rsidP="00BB1A79">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Wage costs</w:t>
            </w:r>
          </w:p>
        </w:tc>
        <w:tc>
          <w:tcPr>
            <w:tcW w:w="4253" w:type="dxa"/>
            <w:tcBorders>
              <w:top w:val="single" w:sz="6" w:space="0" w:color="ADD6EA"/>
              <w:left w:val="nil"/>
              <w:bottom w:val="single" w:sz="6" w:space="0" w:color="ADD6EA"/>
              <w:right w:val="nil"/>
            </w:tcBorders>
            <w:shd w:val="clear" w:color="auto" w:fill="auto"/>
          </w:tcPr>
          <w:p w14:paraId="00288634" w14:textId="35942C6A" w:rsidR="00BB1A79" w:rsidRPr="1CD2C273" w:rsidRDefault="00BB1A79" w:rsidP="00BB1A79">
            <w:pPr>
              <w:tabs>
                <w:tab w:val="clear" w:pos="567"/>
              </w:tabs>
              <w:spacing w:before="0" w:line="240" w:lineRule="auto"/>
              <w:textAlignment w:val="baseline"/>
              <w:rPr>
                <w:rFonts w:eastAsia="Open Sans Light" w:cs="Open Sans Light"/>
                <w:sz w:val="16"/>
                <w:szCs w:val="16"/>
              </w:rPr>
            </w:pPr>
            <w:r w:rsidRPr="00433DCB">
              <w:rPr>
                <w:rFonts w:eastAsia="Times New Roman" w:cs="Segoe UI"/>
                <w:color w:val="000000"/>
                <w:sz w:val="16"/>
                <w:szCs w:val="16"/>
                <w:lang w:eastAsia="en-AU"/>
              </w:rPr>
              <w:t>Recognises differences in wage costs between states.</w:t>
            </w:r>
          </w:p>
        </w:tc>
        <w:tc>
          <w:tcPr>
            <w:tcW w:w="1371" w:type="dxa"/>
            <w:tcBorders>
              <w:top w:val="single" w:sz="6" w:space="0" w:color="ADD6EA"/>
              <w:left w:val="nil"/>
              <w:bottom w:val="single" w:sz="6" w:space="0" w:color="ADD6EA"/>
              <w:right w:val="nil"/>
            </w:tcBorders>
          </w:tcPr>
          <w:p w14:paraId="2DB134AF" w14:textId="63A6F8A1" w:rsidR="00BB1A79" w:rsidRDefault="00BB1A79" w:rsidP="00BB1A79">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Yes</w:t>
            </w:r>
          </w:p>
        </w:tc>
      </w:tr>
      <w:tr w:rsidR="00BB1A79" w:rsidRPr="00433DCB" w14:paraId="20925CBC" w14:textId="77777777" w:rsidTr="00EE7107">
        <w:trPr>
          <w:trHeight w:val="315"/>
        </w:trPr>
        <w:tc>
          <w:tcPr>
            <w:tcW w:w="1344" w:type="dxa"/>
            <w:tcBorders>
              <w:top w:val="nil"/>
              <w:left w:val="nil"/>
              <w:bottom w:val="nil"/>
              <w:right w:val="nil"/>
            </w:tcBorders>
            <w:shd w:val="clear" w:color="auto" w:fill="auto"/>
          </w:tcPr>
          <w:p w14:paraId="1A647857" w14:textId="77777777" w:rsidR="00BB1A79" w:rsidRDefault="00BB1A79" w:rsidP="00BB1A79">
            <w:pPr>
              <w:tabs>
                <w:tab w:val="clear" w:pos="567"/>
              </w:tabs>
              <w:spacing w:before="0" w:line="240" w:lineRule="auto"/>
              <w:textAlignment w:val="baseline"/>
              <w:rPr>
                <w:rFonts w:eastAsia="Times New Roman" w:cs="Segoe UI"/>
                <w:color w:val="000000"/>
                <w:sz w:val="16"/>
                <w:szCs w:val="16"/>
                <w:lang w:eastAsia="en-AU"/>
              </w:rPr>
            </w:pPr>
          </w:p>
        </w:tc>
        <w:tc>
          <w:tcPr>
            <w:tcW w:w="255" w:type="dxa"/>
            <w:tcBorders>
              <w:top w:val="single" w:sz="6" w:space="0" w:color="ADD6EA"/>
              <w:left w:val="nil"/>
              <w:bottom w:val="single" w:sz="6" w:space="0" w:color="ADD6EA"/>
              <w:right w:val="nil"/>
            </w:tcBorders>
            <w:shd w:val="clear" w:color="auto" w:fill="auto"/>
            <w:vAlign w:val="bottom"/>
          </w:tcPr>
          <w:p w14:paraId="1B695B27" w14:textId="77777777" w:rsidR="00BB1A79" w:rsidRPr="00433DCB" w:rsidRDefault="00BB1A79" w:rsidP="00BB1A79">
            <w:pPr>
              <w:tabs>
                <w:tab w:val="clear" w:pos="567"/>
              </w:tabs>
              <w:spacing w:before="0" w:line="240" w:lineRule="auto"/>
              <w:jc w:val="right"/>
              <w:textAlignment w:val="baseline"/>
              <w:rPr>
                <w:rFonts w:ascii="Arial" w:eastAsia="Times New Roman" w:hAnsi="Arial" w:cs="Arial"/>
                <w:color w:val="000000"/>
                <w:sz w:val="16"/>
                <w:szCs w:val="16"/>
                <w:lang w:eastAsia="en-AU"/>
              </w:rPr>
            </w:pPr>
          </w:p>
        </w:tc>
        <w:tc>
          <w:tcPr>
            <w:tcW w:w="1803" w:type="dxa"/>
            <w:tcBorders>
              <w:top w:val="single" w:sz="6" w:space="0" w:color="ADD6EA"/>
              <w:left w:val="nil"/>
              <w:bottom w:val="single" w:sz="6" w:space="0" w:color="ADD6EA"/>
              <w:right w:val="nil"/>
            </w:tcBorders>
            <w:shd w:val="clear" w:color="auto" w:fill="auto"/>
          </w:tcPr>
          <w:p w14:paraId="33DAADD4" w14:textId="2031B5B9" w:rsidR="00BB1A79" w:rsidRDefault="00BB1A79" w:rsidP="00BB1A79">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Regional costs and service delivery scale</w:t>
            </w:r>
            <w:r w:rsidRPr="00433DCB">
              <w:rPr>
                <w:rFonts w:eastAsia="Times New Roman" w:cs="Segoe UI"/>
                <w:color w:val="000000"/>
                <w:sz w:val="16"/>
                <w:szCs w:val="16"/>
                <w:lang w:eastAsia="en-AU"/>
              </w:rPr>
              <w:t> </w:t>
            </w:r>
          </w:p>
        </w:tc>
        <w:tc>
          <w:tcPr>
            <w:tcW w:w="4253" w:type="dxa"/>
            <w:tcBorders>
              <w:top w:val="single" w:sz="6" w:space="0" w:color="ADD6EA"/>
              <w:left w:val="nil"/>
              <w:bottom w:val="single" w:sz="6" w:space="0" w:color="ADD6EA"/>
              <w:right w:val="nil"/>
            </w:tcBorders>
            <w:shd w:val="clear" w:color="auto" w:fill="auto"/>
          </w:tcPr>
          <w:p w14:paraId="674B5C81" w14:textId="036FF28F" w:rsidR="00BB1A79" w:rsidRPr="1CD2C273" w:rsidRDefault="00BB1A79" w:rsidP="00BB1A79">
            <w:pPr>
              <w:tabs>
                <w:tab w:val="clear" w:pos="567"/>
              </w:tabs>
              <w:spacing w:before="0" w:line="240" w:lineRule="auto"/>
              <w:textAlignment w:val="baseline"/>
              <w:rPr>
                <w:rFonts w:eastAsia="Open Sans Light" w:cs="Open Sans Light"/>
                <w:sz w:val="16"/>
                <w:szCs w:val="16"/>
              </w:rPr>
            </w:pPr>
            <w:r w:rsidRPr="00433DCB">
              <w:rPr>
                <w:rFonts w:eastAsia="Times New Roman" w:cs="Segoe UI"/>
                <w:color w:val="000000"/>
                <w:sz w:val="16"/>
                <w:szCs w:val="16"/>
                <w:lang w:eastAsia="en-AU"/>
              </w:rPr>
              <w:t>Recognises</w:t>
            </w:r>
            <w:r>
              <w:rPr>
                <w:rFonts w:eastAsia="Times New Roman" w:cs="Segoe UI"/>
                <w:color w:val="000000"/>
                <w:sz w:val="16"/>
                <w:szCs w:val="16"/>
                <w:lang w:eastAsia="en-AU"/>
              </w:rPr>
              <w:t xml:space="preserve"> the cost of providing services to different areas within a </w:t>
            </w:r>
            <w:r w:rsidR="00A61C5C">
              <w:rPr>
                <w:rFonts w:eastAsia="Times New Roman" w:cs="Segoe UI"/>
                <w:color w:val="000000"/>
                <w:sz w:val="16"/>
                <w:szCs w:val="16"/>
                <w:lang w:eastAsia="en-AU"/>
              </w:rPr>
              <w:t>s</w:t>
            </w:r>
            <w:r>
              <w:rPr>
                <w:rFonts w:eastAsia="Times New Roman" w:cs="Segoe UI"/>
                <w:color w:val="000000"/>
                <w:sz w:val="16"/>
                <w:szCs w:val="16"/>
                <w:lang w:eastAsia="en-AU"/>
              </w:rPr>
              <w:t xml:space="preserve">tate and </w:t>
            </w:r>
            <w:r w:rsidR="00A95811">
              <w:rPr>
                <w:rFonts w:eastAsia="Times New Roman" w:cs="Segoe UI"/>
                <w:color w:val="000000"/>
                <w:sz w:val="16"/>
                <w:szCs w:val="16"/>
                <w:lang w:eastAsia="en-AU"/>
              </w:rPr>
              <w:t xml:space="preserve">to </w:t>
            </w:r>
            <w:r>
              <w:rPr>
                <w:rFonts w:eastAsia="Times New Roman" w:cs="Segoe UI"/>
                <w:color w:val="000000"/>
                <w:sz w:val="16"/>
                <w:szCs w:val="16"/>
                <w:lang w:eastAsia="en-AU"/>
              </w:rPr>
              <w:t>small population centre</w:t>
            </w:r>
            <w:r w:rsidR="00A95811">
              <w:rPr>
                <w:rFonts w:eastAsia="Times New Roman" w:cs="Segoe UI"/>
                <w:color w:val="000000"/>
                <w:sz w:val="16"/>
                <w:szCs w:val="16"/>
                <w:lang w:eastAsia="en-AU"/>
              </w:rPr>
              <w:t>s</w:t>
            </w:r>
            <w:r w:rsidR="00A42FB4">
              <w:rPr>
                <w:rFonts w:eastAsia="Times New Roman" w:cs="Segoe UI"/>
                <w:color w:val="000000"/>
                <w:sz w:val="16"/>
                <w:szCs w:val="16"/>
                <w:lang w:eastAsia="en-AU"/>
              </w:rPr>
              <w:t>.</w:t>
            </w:r>
          </w:p>
        </w:tc>
        <w:tc>
          <w:tcPr>
            <w:tcW w:w="1371" w:type="dxa"/>
            <w:tcBorders>
              <w:top w:val="single" w:sz="6" w:space="0" w:color="ADD6EA"/>
              <w:left w:val="nil"/>
              <w:bottom w:val="single" w:sz="6" w:space="0" w:color="ADD6EA"/>
              <w:right w:val="nil"/>
            </w:tcBorders>
          </w:tcPr>
          <w:p w14:paraId="5128AD6F" w14:textId="179D316D" w:rsidR="00BB1A79" w:rsidRDefault="00BB1A79" w:rsidP="00BB1A79">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Yes</w:t>
            </w:r>
          </w:p>
        </w:tc>
      </w:tr>
      <w:tr w:rsidR="00177BDD" w:rsidRPr="00433DCB" w14:paraId="53E81863" w14:textId="77777777" w:rsidTr="00EE7107">
        <w:trPr>
          <w:trHeight w:val="315"/>
        </w:trPr>
        <w:tc>
          <w:tcPr>
            <w:tcW w:w="1344" w:type="dxa"/>
            <w:tcBorders>
              <w:top w:val="nil"/>
              <w:left w:val="nil"/>
              <w:bottom w:val="single" w:sz="4" w:space="0" w:color="B8CCE4" w:themeColor="accent1" w:themeTint="66"/>
              <w:right w:val="nil"/>
            </w:tcBorders>
            <w:shd w:val="clear" w:color="auto" w:fill="auto"/>
          </w:tcPr>
          <w:p w14:paraId="7DA49908" w14:textId="77777777" w:rsidR="00177BDD" w:rsidRDefault="00177BDD" w:rsidP="00177BDD">
            <w:pPr>
              <w:tabs>
                <w:tab w:val="clear" w:pos="567"/>
              </w:tabs>
              <w:spacing w:before="0" w:line="240" w:lineRule="auto"/>
              <w:textAlignment w:val="baseline"/>
              <w:rPr>
                <w:rFonts w:eastAsia="Times New Roman" w:cs="Segoe UI"/>
                <w:color w:val="000000"/>
                <w:sz w:val="16"/>
                <w:szCs w:val="16"/>
                <w:lang w:eastAsia="en-AU"/>
              </w:rPr>
            </w:pPr>
          </w:p>
        </w:tc>
        <w:tc>
          <w:tcPr>
            <w:tcW w:w="255" w:type="dxa"/>
            <w:tcBorders>
              <w:top w:val="single" w:sz="6" w:space="0" w:color="ADD6EA"/>
              <w:left w:val="nil"/>
              <w:bottom w:val="single" w:sz="6" w:space="0" w:color="ADD6EA"/>
              <w:right w:val="nil"/>
            </w:tcBorders>
            <w:shd w:val="clear" w:color="auto" w:fill="auto"/>
            <w:vAlign w:val="bottom"/>
          </w:tcPr>
          <w:p w14:paraId="2E8FBA06" w14:textId="77777777" w:rsidR="00177BDD" w:rsidRPr="00433DCB" w:rsidRDefault="00177BDD" w:rsidP="00177BDD">
            <w:pPr>
              <w:tabs>
                <w:tab w:val="clear" w:pos="567"/>
              </w:tabs>
              <w:spacing w:before="0" w:line="240" w:lineRule="auto"/>
              <w:jc w:val="right"/>
              <w:textAlignment w:val="baseline"/>
              <w:rPr>
                <w:rFonts w:ascii="Arial" w:eastAsia="Times New Roman" w:hAnsi="Arial" w:cs="Arial"/>
                <w:color w:val="000000"/>
                <w:sz w:val="16"/>
                <w:szCs w:val="16"/>
                <w:lang w:eastAsia="en-AU"/>
              </w:rPr>
            </w:pPr>
          </w:p>
        </w:tc>
        <w:tc>
          <w:tcPr>
            <w:tcW w:w="1803" w:type="dxa"/>
            <w:tcBorders>
              <w:top w:val="single" w:sz="6" w:space="0" w:color="ADD6EA"/>
              <w:left w:val="nil"/>
              <w:bottom w:val="single" w:sz="6" w:space="0" w:color="ADD6EA"/>
              <w:right w:val="nil"/>
            </w:tcBorders>
            <w:shd w:val="clear" w:color="auto" w:fill="auto"/>
          </w:tcPr>
          <w:p w14:paraId="5AE0443B" w14:textId="43E4E0D0" w:rsidR="00177BDD" w:rsidRDefault="00177BDD" w:rsidP="00177BDD">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Cross-border costs</w:t>
            </w:r>
          </w:p>
        </w:tc>
        <w:tc>
          <w:tcPr>
            <w:tcW w:w="4253" w:type="dxa"/>
            <w:tcBorders>
              <w:top w:val="single" w:sz="6" w:space="0" w:color="ADD6EA"/>
              <w:left w:val="nil"/>
              <w:bottom w:val="single" w:sz="6" w:space="0" w:color="ADD6EA"/>
              <w:right w:val="nil"/>
            </w:tcBorders>
            <w:shd w:val="clear" w:color="auto" w:fill="auto"/>
          </w:tcPr>
          <w:p w14:paraId="68A67348" w14:textId="3E916208" w:rsidR="00177BDD" w:rsidRPr="00433DCB" w:rsidRDefault="00177BDD" w:rsidP="00177BDD">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Recognises the cost to the ACT of providing homelessness services to New South Wales residents.</w:t>
            </w:r>
          </w:p>
        </w:tc>
        <w:tc>
          <w:tcPr>
            <w:tcW w:w="1371" w:type="dxa"/>
            <w:tcBorders>
              <w:top w:val="single" w:sz="6" w:space="0" w:color="ADD6EA"/>
              <w:left w:val="nil"/>
              <w:bottom w:val="single" w:sz="6" w:space="0" w:color="ADD6EA"/>
              <w:right w:val="nil"/>
            </w:tcBorders>
          </w:tcPr>
          <w:p w14:paraId="54A187EB" w14:textId="0B59802D" w:rsidR="00177BDD" w:rsidRDefault="00177BDD" w:rsidP="00177BDD">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Yes</w:t>
            </w:r>
          </w:p>
        </w:tc>
      </w:tr>
      <w:tr w:rsidR="00177BDD" w:rsidRPr="00B264AF" w14:paraId="1A5A5472" w14:textId="1558BD39" w:rsidTr="00EE7107">
        <w:trPr>
          <w:trHeight w:val="516"/>
        </w:trPr>
        <w:tc>
          <w:tcPr>
            <w:tcW w:w="1344" w:type="dxa"/>
            <w:vMerge w:val="restart"/>
            <w:tcBorders>
              <w:top w:val="single" w:sz="4" w:space="0" w:color="B8CCE4" w:themeColor="accent1" w:themeTint="66"/>
              <w:left w:val="nil"/>
              <w:bottom w:val="single" w:sz="4" w:space="0" w:color="B8CCE4" w:themeColor="accent1" w:themeTint="66"/>
              <w:right w:val="nil"/>
            </w:tcBorders>
            <w:shd w:val="clear" w:color="auto" w:fill="auto"/>
          </w:tcPr>
          <w:p w14:paraId="184589B1" w14:textId="114D714B" w:rsidR="00177BDD" w:rsidRDefault="56D29FBC" w:rsidP="00177BDD">
            <w:pPr>
              <w:tabs>
                <w:tab w:val="clear" w:pos="567"/>
              </w:tabs>
              <w:spacing w:before="0" w:line="240" w:lineRule="auto"/>
              <w:textAlignment w:val="baseline"/>
              <w:rPr>
                <w:rFonts w:eastAsia="Times New Roman" w:cs="Segoe UI"/>
                <w:color w:val="000000"/>
                <w:sz w:val="16"/>
                <w:szCs w:val="16"/>
                <w:lang w:eastAsia="en-AU"/>
              </w:rPr>
            </w:pPr>
            <w:r w:rsidRPr="00766DCF">
              <w:rPr>
                <w:rFonts w:eastAsia="Times New Roman" w:cs="Segoe UI"/>
                <w:color w:val="000000"/>
                <w:sz w:val="16"/>
                <w:szCs w:val="16"/>
                <w:lang w:eastAsia="en-AU"/>
              </w:rPr>
              <w:t xml:space="preserve">Other </w:t>
            </w:r>
            <w:r w:rsidR="243D64E1" w:rsidRPr="00766DCF">
              <w:rPr>
                <w:rFonts w:eastAsia="Times New Roman" w:cs="Segoe UI"/>
                <w:color w:val="000000"/>
                <w:sz w:val="16"/>
                <w:szCs w:val="16"/>
                <w:lang w:eastAsia="en-AU"/>
              </w:rPr>
              <w:t>w</w:t>
            </w:r>
            <w:r w:rsidRPr="00766DCF">
              <w:rPr>
                <w:rFonts w:eastAsia="Times New Roman" w:cs="Segoe UI"/>
                <w:color w:val="000000"/>
                <w:sz w:val="16"/>
                <w:szCs w:val="16"/>
                <w:lang w:eastAsia="en-AU"/>
              </w:rPr>
              <w:t xml:space="preserve">elfare </w:t>
            </w:r>
            <w:r w:rsidRPr="00B264AF">
              <w:rPr>
                <w:rFonts w:eastAsia="Times New Roman" w:cs="Segoe UI"/>
                <w:color w:val="000000"/>
                <w:sz w:val="16"/>
                <w:szCs w:val="16"/>
                <w:lang w:eastAsia="en-AU"/>
              </w:rPr>
              <w:t>including non</w:t>
            </w:r>
            <w:r w:rsidR="00A42FB4" w:rsidRPr="00B264AF">
              <w:rPr>
                <w:rFonts w:eastAsia="Times New Roman" w:cs="Segoe UI"/>
                <w:color w:val="000000"/>
                <w:sz w:val="16"/>
                <w:szCs w:val="16"/>
                <w:lang w:eastAsia="en-AU"/>
              </w:rPr>
              <w:noBreakHyphen/>
            </w:r>
            <w:r w:rsidRPr="00B264AF">
              <w:rPr>
                <w:rFonts w:eastAsia="Times New Roman" w:cs="Segoe UI"/>
                <w:color w:val="000000"/>
                <w:sz w:val="16"/>
                <w:szCs w:val="16"/>
                <w:lang w:eastAsia="en-AU"/>
              </w:rPr>
              <w:t xml:space="preserve">NDIS, aged </w:t>
            </w:r>
            <w:r w:rsidR="510D3B39" w:rsidRPr="00B264AF">
              <w:rPr>
                <w:rFonts w:eastAsia="Times New Roman" w:cs="Segoe UI"/>
                <w:color w:val="000000"/>
                <w:sz w:val="16"/>
                <w:szCs w:val="16"/>
                <w:lang w:eastAsia="en-AU"/>
              </w:rPr>
              <w:t>care,</w:t>
            </w:r>
            <w:r w:rsidRPr="00B264AF">
              <w:rPr>
                <w:rFonts w:eastAsia="Times New Roman" w:cs="Segoe UI"/>
                <w:color w:val="000000"/>
                <w:sz w:val="16"/>
                <w:szCs w:val="16"/>
                <w:lang w:eastAsia="en-AU"/>
              </w:rPr>
              <w:t xml:space="preserve"> and </w:t>
            </w:r>
            <w:r w:rsidR="009C3B35">
              <w:rPr>
                <w:rFonts w:eastAsia="Times New Roman" w:cs="Segoe UI"/>
                <w:color w:val="000000"/>
                <w:sz w:val="16"/>
                <w:szCs w:val="16"/>
                <w:lang w:eastAsia="en-AU"/>
              </w:rPr>
              <w:t>N</w:t>
            </w:r>
            <w:r w:rsidR="009C3B35" w:rsidRPr="00B264AF">
              <w:rPr>
                <w:rFonts w:eastAsia="Times New Roman" w:cs="Segoe UI"/>
                <w:color w:val="000000"/>
                <w:sz w:val="16"/>
                <w:szCs w:val="16"/>
                <w:lang w:eastAsia="en-AU"/>
              </w:rPr>
              <w:t xml:space="preserve">ational </w:t>
            </w:r>
            <w:r w:rsidR="009C3B35">
              <w:rPr>
                <w:rFonts w:eastAsia="Times New Roman" w:cs="Segoe UI"/>
                <w:color w:val="000000"/>
                <w:sz w:val="16"/>
                <w:szCs w:val="16"/>
                <w:lang w:eastAsia="en-AU"/>
              </w:rPr>
              <w:t>R</w:t>
            </w:r>
            <w:r w:rsidR="009C3B35" w:rsidRPr="00B264AF">
              <w:rPr>
                <w:rFonts w:eastAsia="Times New Roman" w:cs="Segoe UI"/>
                <w:color w:val="000000"/>
                <w:sz w:val="16"/>
                <w:szCs w:val="16"/>
                <w:lang w:eastAsia="en-AU"/>
              </w:rPr>
              <w:t xml:space="preserve">edress </w:t>
            </w:r>
            <w:r w:rsidR="009C3B35">
              <w:rPr>
                <w:rFonts w:eastAsia="Times New Roman" w:cs="Segoe UI"/>
                <w:color w:val="000000"/>
                <w:sz w:val="16"/>
                <w:szCs w:val="16"/>
                <w:lang w:eastAsia="en-AU"/>
              </w:rPr>
              <w:t>S</w:t>
            </w:r>
            <w:r w:rsidR="009C3B35" w:rsidRPr="00B264AF">
              <w:rPr>
                <w:rFonts w:eastAsia="Times New Roman" w:cs="Segoe UI"/>
                <w:color w:val="000000"/>
                <w:sz w:val="16"/>
                <w:szCs w:val="16"/>
                <w:lang w:eastAsia="en-AU"/>
              </w:rPr>
              <w:t>cheme</w:t>
            </w:r>
          </w:p>
        </w:tc>
        <w:tc>
          <w:tcPr>
            <w:tcW w:w="255" w:type="dxa"/>
            <w:tcBorders>
              <w:top w:val="single" w:sz="6" w:space="0" w:color="ADD6EA"/>
              <w:left w:val="nil"/>
              <w:bottom w:val="single" w:sz="6" w:space="0" w:color="ADD6EA"/>
              <w:right w:val="nil"/>
            </w:tcBorders>
            <w:shd w:val="clear" w:color="auto" w:fill="auto"/>
            <w:vAlign w:val="bottom"/>
          </w:tcPr>
          <w:p w14:paraId="67F6DA72" w14:textId="77777777" w:rsidR="00177BDD" w:rsidRPr="00B264AF" w:rsidRDefault="00177BDD" w:rsidP="00B264AF">
            <w:pPr>
              <w:tabs>
                <w:tab w:val="clear" w:pos="567"/>
              </w:tabs>
              <w:spacing w:before="0" w:line="240" w:lineRule="auto"/>
              <w:textAlignment w:val="baseline"/>
              <w:rPr>
                <w:rFonts w:eastAsia="Times New Roman" w:cs="Segoe UI"/>
                <w:color w:val="000000"/>
                <w:sz w:val="16"/>
                <w:szCs w:val="16"/>
                <w:lang w:eastAsia="en-AU"/>
              </w:rPr>
            </w:pPr>
            <w:r w:rsidRPr="00B264AF">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803" w:type="dxa"/>
            <w:tcBorders>
              <w:top w:val="single" w:sz="6" w:space="0" w:color="ADD6EA"/>
              <w:left w:val="nil"/>
              <w:bottom w:val="single" w:sz="6" w:space="0" w:color="ADD6EA"/>
              <w:right w:val="nil"/>
            </w:tcBorders>
            <w:shd w:val="clear" w:color="auto" w:fill="auto"/>
          </w:tcPr>
          <w:p w14:paraId="04272501" w14:textId="77777777" w:rsidR="00177BDD" w:rsidRPr="00433DCB" w:rsidRDefault="00177BDD" w:rsidP="00177BDD">
            <w:pPr>
              <w:tabs>
                <w:tab w:val="clear" w:pos="567"/>
              </w:tabs>
              <w:spacing w:before="0" w:line="240" w:lineRule="auto"/>
              <w:textAlignment w:val="baseline"/>
              <w:rPr>
                <w:rFonts w:eastAsia="Times New Roman" w:cs="Segoe UI"/>
                <w:color w:val="000000"/>
                <w:sz w:val="16"/>
                <w:szCs w:val="16"/>
                <w:lang w:eastAsia="en-AU"/>
              </w:rPr>
            </w:pPr>
            <w:r w:rsidRPr="00433DCB">
              <w:rPr>
                <w:rFonts w:eastAsia="Times New Roman" w:cs="Segoe UI"/>
                <w:color w:val="000000"/>
                <w:sz w:val="16"/>
                <w:szCs w:val="16"/>
                <w:lang w:eastAsia="en-AU"/>
              </w:rPr>
              <w:t>Equal per capita </w:t>
            </w:r>
          </w:p>
        </w:tc>
        <w:tc>
          <w:tcPr>
            <w:tcW w:w="4253" w:type="dxa"/>
            <w:tcBorders>
              <w:top w:val="single" w:sz="6" w:space="0" w:color="ADD6EA"/>
              <w:left w:val="nil"/>
              <w:bottom w:val="single" w:sz="6" w:space="0" w:color="ADD6EA"/>
              <w:right w:val="nil"/>
            </w:tcBorders>
            <w:shd w:val="clear" w:color="auto" w:fill="auto"/>
          </w:tcPr>
          <w:p w14:paraId="6CC345D1" w14:textId="6CE9F26C" w:rsidR="00177BDD" w:rsidRPr="00433DCB" w:rsidRDefault="00177BDD" w:rsidP="00177BDD">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This is an</w:t>
            </w:r>
            <w:r w:rsidRPr="00433DCB">
              <w:rPr>
                <w:rFonts w:eastAsia="Times New Roman" w:cs="Segoe UI"/>
                <w:color w:val="000000"/>
                <w:sz w:val="16"/>
                <w:szCs w:val="16"/>
                <w:lang w:eastAsia="en-AU"/>
              </w:rPr>
              <w:t xml:space="preserve"> equal per capita assessment</w:t>
            </w:r>
            <w:r w:rsidR="00A42FB4">
              <w:rPr>
                <w:rFonts w:eastAsia="Times New Roman" w:cs="Segoe UI"/>
                <w:color w:val="000000"/>
                <w:sz w:val="16"/>
                <w:szCs w:val="16"/>
                <w:lang w:eastAsia="en-AU"/>
              </w:rPr>
              <w:t>.</w:t>
            </w:r>
          </w:p>
        </w:tc>
        <w:tc>
          <w:tcPr>
            <w:tcW w:w="1371" w:type="dxa"/>
            <w:tcBorders>
              <w:top w:val="single" w:sz="6" w:space="0" w:color="ADD6EA"/>
              <w:left w:val="nil"/>
              <w:bottom w:val="single" w:sz="6" w:space="0" w:color="ADD6EA"/>
              <w:right w:val="nil"/>
            </w:tcBorders>
          </w:tcPr>
          <w:p w14:paraId="085FEA7C" w14:textId="468F0A5D" w:rsidR="00177BDD" w:rsidRDefault="00177BDD" w:rsidP="00177BDD">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Yes</w:t>
            </w:r>
          </w:p>
        </w:tc>
      </w:tr>
      <w:tr w:rsidR="00177BDD" w:rsidRPr="00433DCB" w14:paraId="762014FD" w14:textId="3D844071" w:rsidTr="00077B8E">
        <w:trPr>
          <w:trHeight w:val="315"/>
        </w:trPr>
        <w:tc>
          <w:tcPr>
            <w:tcW w:w="1344" w:type="dxa"/>
            <w:vMerge/>
            <w:tcBorders>
              <w:top w:val="nil"/>
              <w:left w:val="nil"/>
              <w:bottom w:val="single" w:sz="4" w:space="0" w:color="B8CCE4" w:themeColor="accent1" w:themeTint="66"/>
            </w:tcBorders>
          </w:tcPr>
          <w:p w14:paraId="16665416" w14:textId="77777777" w:rsidR="00177BDD" w:rsidRDefault="00177BDD" w:rsidP="00177BDD">
            <w:pPr>
              <w:tabs>
                <w:tab w:val="clear" w:pos="567"/>
              </w:tabs>
              <w:spacing w:before="0" w:line="240" w:lineRule="auto"/>
              <w:textAlignment w:val="baseline"/>
              <w:rPr>
                <w:rFonts w:eastAsia="Times New Roman" w:cs="Segoe UI"/>
                <w:color w:val="000000"/>
                <w:sz w:val="16"/>
                <w:szCs w:val="16"/>
                <w:lang w:eastAsia="en-AU"/>
              </w:rPr>
            </w:pPr>
          </w:p>
        </w:tc>
        <w:tc>
          <w:tcPr>
            <w:tcW w:w="255" w:type="dxa"/>
            <w:tcBorders>
              <w:top w:val="single" w:sz="6" w:space="0" w:color="ADD6EA"/>
              <w:left w:val="none" w:sz="4" w:space="0" w:color="000000" w:themeColor="text1"/>
              <w:bottom w:val="single" w:sz="6" w:space="0" w:color="ADD6EA"/>
              <w:right w:val="nil"/>
            </w:tcBorders>
            <w:shd w:val="clear" w:color="auto" w:fill="auto"/>
            <w:vAlign w:val="bottom"/>
          </w:tcPr>
          <w:p w14:paraId="1F6EF565" w14:textId="77777777" w:rsidR="00177BDD" w:rsidRPr="00433DCB" w:rsidRDefault="00177BDD" w:rsidP="00177BDD">
            <w:pPr>
              <w:tabs>
                <w:tab w:val="clear" w:pos="567"/>
              </w:tabs>
              <w:spacing w:before="0" w:line="240" w:lineRule="auto"/>
              <w:jc w:val="right"/>
              <w:textAlignment w:val="baseline"/>
              <w:rPr>
                <w:rFonts w:ascii="Arial" w:eastAsia="Times New Roman" w:hAnsi="Arial" w:cs="Arial"/>
                <w:color w:val="000000"/>
                <w:sz w:val="16"/>
                <w:szCs w:val="16"/>
                <w:lang w:eastAsia="en-AU"/>
              </w:rPr>
            </w:pPr>
          </w:p>
        </w:tc>
        <w:tc>
          <w:tcPr>
            <w:tcW w:w="1803" w:type="dxa"/>
            <w:tcBorders>
              <w:top w:val="single" w:sz="6" w:space="0" w:color="ADD6EA"/>
              <w:left w:val="nil"/>
              <w:bottom w:val="single" w:sz="6" w:space="0" w:color="ADD6EA"/>
              <w:right w:val="nil"/>
            </w:tcBorders>
            <w:shd w:val="clear" w:color="auto" w:fill="auto"/>
          </w:tcPr>
          <w:p w14:paraId="7EC8EF97" w14:textId="77777777" w:rsidR="00177BDD" w:rsidRPr="00433DCB" w:rsidRDefault="00177BDD" w:rsidP="00177BDD">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Wage costs</w:t>
            </w:r>
          </w:p>
        </w:tc>
        <w:tc>
          <w:tcPr>
            <w:tcW w:w="4253" w:type="dxa"/>
            <w:tcBorders>
              <w:top w:val="single" w:sz="6" w:space="0" w:color="ADD6EA"/>
              <w:left w:val="nil"/>
              <w:bottom w:val="single" w:sz="6" w:space="0" w:color="ADD6EA"/>
              <w:right w:val="nil"/>
            </w:tcBorders>
            <w:shd w:val="clear" w:color="auto" w:fill="auto"/>
          </w:tcPr>
          <w:p w14:paraId="7D9C7421" w14:textId="62FFF76D" w:rsidR="00177BDD" w:rsidRPr="00433DCB" w:rsidRDefault="00177BDD" w:rsidP="00177BDD">
            <w:pPr>
              <w:tabs>
                <w:tab w:val="clear" w:pos="567"/>
              </w:tabs>
              <w:spacing w:before="0" w:line="240" w:lineRule="auto"/>
              <w:textAlignment w:val="baseline"/>
              <w:rPr>
                <w:rFonts w:eastAsia="Times New Roman" w:cs="Segoe UI"/>
                <w:color w:val="000000"/>
                <w:sz w:val="16"/>
                <w:szCs w:val="16"/>
                <w:lang w:eastAsia="en-AU"/>
              </w:rPr>
            </w:pPr>
            <w:r w:rsidRPr="1CD2C273">
              <w:rPr>
                <w:rFonts w:eastAsia="Times New Roman" w:cs="Segoe UI"/>
                <w:color w:val="000000" w:themeColor="text1"/>
                <w:sz w:val="16"/>
                <w:szCs w:val="16"/>
                <w:lang w:eastAsia="en-AU"/>
              </w:rPr>
              <w:t>Recognises differences in wage costs between states.</w:t>
            </w:r>
          </w:p>
        </w:tc>
        <w:tc>
          <w:tcPr>
            <w:tcW w:w="1371" w:type="dxa"/>
            <w:tcBorders>
              <w:top w:val="single" w:sz="6" w:space="0" w:color="ADD6EA"/>
              <w:left w:val="nil"/>
              <w:bottom w:val="single" w:sz="6" w:space="0" w:color="ADD6EA"/>
              <w:right w:val="nil"/>
            </w:tcBorders>
          </w:tcPr>
          <w:p w14:paraId="15A8F94F" w14:textId="520848CA" w:rsidR="00177BDD" w:rsidRPr="1CD2C273" w:rsidRDefault="00177BDD" w:rsidP="00177BDD">
            <w:pPr>
              <w:tabs>
                <w:tab w:val="clear" w:pos="567"/>
              </w:tabs>
              <w:spacing w:before="0" w:line="240" w:lineRule="auto"/>
              <w:textAlignment w:val="baseline"/>
              <w:rPr>
                <w:rFonts w:eastAsia="Times New Roman" w:cs="Segoe UI"/>
                <w:color w:val="000000" w:themeColor="text1"/>
                <w:sz w:val="16"/>
                <w:szCs w:val="16"/>
                <w:lang w:eastAsia="en-AU"/>
              </w:rPr>
            </w:pPr>
            <w:r>
              <w:rPr>
                <w:rFonts w:eastAsia="Times New Roman" w:cs="Segoe UI"/>
                <w:color w:val="000000"/>
                <w:sz w:val="16"/>
                <w:szCs w:val="16"/>
                <w:lang w:eastAsia="en-AU"/>
              </w:rPr>
              <w:t>No</w:t>
            </w:r>
          </w:p>
        </w:tc>
      </w:tr>
      <w:tr w:rsidR="00C939DA" w:rsidRPr="00433DCB" w14:paraId="69631D73" w14:textId="43CFC41B" w:rsidTr="00EE7107">
        <w:trPr>
          <w:trHeight w:val="315"/>
        </w:trPr>
        <w:tc>
          <w:tcPr>
            <w:tcW w:w="1344" w:type="dxa"/>
            <w:vMerge/>
            <w:tcBorders>
              <w:top w:val="nil"/>
              <w:left w:val="nil"/>
              <w:bottom w:val="single" w:sz="4" w:space="0" w:color="B8CCE4" w:themeColor="accent1" w:themeTint="66"/>
            </w:tcBorders>
          </w:tcPr>
          <w:p w14:paraId="756B52B7" w14:textId="77777777" w:rsidR="00C939DA" w:rsidRDefault="00C939DA" w:rsidP="00C939DA">
            <w:pPr>
              <w:tabs>
                <w:tab w:val="clear" w:pos="567"/>
              </w:tabs>
              <w:spacing w:before="0" w:line="240" w:lineRule="auto"/>
              <w:textAlignment w:val="baseline"/>
              <w:rPr>
                <w:rFonts w:eastAsia="Times New Roman" w:cs="Segoe UI"/>
                <w:color w:val="000000"/>
                <w:sz w:val="16"/>
                <w:szCs w:val="16"/>
                <w:lang w:eastAsia="en-AU"/>
              </w:rPr>
            </w:pPr>
          </w:p>
        </w:tc>
        <w:tc>
          <w:tcPr>
            <w:tcW w:w="255" w:type="dxa"/>
            <w:tcBorders>
              <w:top w:val="single" w:sz="6" w:space="0" w:color="ADD6EA"/>
              <w:left w:val="nil"/>
              <w:bottom w:val="single" w:sz="6" w:space="0" w:color="ADD6EA"/>
              <w:right w:val="nil"/>
            </w:tcBorders>
            <w:shd w:val="clear" w:color="auto" w:fill="auto"/>
            <w:vAlign w:val="bottom"/>
          </w:tcPr>
          <w:p w14:paraId="1086CD89" w14:textId="77777777" w:rsidR="00C939DA" w:rsidRPr="00433DCB" w:rsidRDefault="00C939DA" w:rsidP="00C939DA">
            <w:pPr>
              <w:tabs>
                <w:tab w:val="clear" w:pos="567"/>
              </w:tabs>
              <w:spacing w:before="0" w:line="240" w:lineRule="auto"/>
              <w:jc w:val="right"/>
              <w:textAlignment w:val="baseline"/>
              <w:rPr>
                <w:rFonts w:ascii="Arial" w:eastAsia="Times New Roman" w:hAnsi="Arial" w:cs="Arial"/>
                <w:color w:val="000000"/>
                <w:sz w:val="16"/>
                <w:szCs w:val="16"/>
                <w:lang w:eastAsia="en-AU"/>
              </w:rPr>
            </w:pPr>
          </w:p>
        </w:tc>
        <w:tc>
          <w:tcPr>
            <w:tcW w:w="1803" w:type="dxa"/>
            <w:tcBorders>
              <w:top w:val="single" w:sz="6" w:space="0" w:color="ADD6EA"/>
              <w:left w:val="nil"/>
              <w:bottom w:val="single" w:sz="6" w:space="0" w:color="ADD6EA"/>
              <w:right w:val="nil"/>
            </w:tcBorders>
            <w:shd w:val="clear" w:color="auto" w:fill="auto"/>
          </w:tcPr>
          <w:p w14:paraId="1E87BDC3" w14:textId="5F826D03" w:rsidR="00C939DA" w:rsidRPr="00433DCB" w:rsidRDefault="00C939DA" w:rsidP="00C939DA">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Regional costs</w:t>
            </w:r>
          </w:p>
        </w:tc>
        <w:tc>
          <w:tcPr>
            <w:tcW w:w="4253" w:type="dxa"/>
            <w:tcBorders>
              <w:top w:val="single" w:sz="6" w:space="0" w:color="ADD6EA"/>
              <w:left w:val="nil"/>
              <w:bottom w:val="single" w:sz="6" w:space="0" w:color="ADD6EA"/>
              <w:right w:val="nil"/>
            </w:tcBorders>
            <w:shd w:val="clear" w:color="auto" w:fill="auto"/>
          </w:tcPr>
          <w:p w14:paraId="5887B622" w14:textId="74345DAD" w:rsidR="00C939DA" w:rsidRPr="00433DCB" w:rsidRDefault="00C939DA" w:rsidP="00C939DA">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 xml:space="preserve">Recognises the cost of providing services to different areas within a </w:t>
            </w:r>
            <w:r w:rsidR="00A61C5C">
              <w:rPr>
                <w:rFonts w:eastAsia="Times New Roman" w:cs="Segoe UI"/>
                <w:color w:val="000000"/>
                <w:sz w:val="16"/>
                <w:szCs w:val="16"/>
                <w:lang w:eastAsia="en-AU"/>
              </w:rPr>
              <w:t>s</w:t>
            </w:r>
            <w:r>
              <w:rPr>
                <w:rFonts w:eastAsia="Times New Roman" w:cs="Segoe UI"/>
                <w:color w:val="000000"/>
                <w:sz w:val="16"/>
                <w:szCs w:val="16"/>
                <w:lang w:eastAsia="en-AU"/>
              </w:rPr>
              <w:t>tate.</w:t>
            </w:r>
          </w:p>
        </w:tc>
        <w:tc>
          <w:tcPr>
            <w:tcW w:w="1371" w:type="dxa"/>
            <w:tcBorders>
              <w:top w:val="single" w:sz="6" w:space="0" w:color="ADD6EA"/>
              <w:left w:val="nil"/>
              <w:bottom w:val="single" w:sz="6" w:space="0" w:color="ADD6EA"/>
              <w:right w:val="nil"/>
            </w:tcBorders>
          </w:tcPr>
          <w:p w14:paraId="14A305DF" w14:textId="602959A3" w:rsidR="00C939DA" w:rsidRDefault="00C939DA" w:rsidP="00C939DA">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No</w:t>
            </w:r>
          </w:p>
        </w:tc>
      </w:tr>
    </w:tbl>
    <w:p w14:paraId="28100D61" w14:textId="542D9AC0" w:rsidR="00AB6FFE" w:rsidRPr="00AB6FFE" w:rsidRDefault="00AB6FFE" w:rsidP="00F971B0">
      <w:pPr>
        <w:pStyle w:val="Heading3"/>
      </w:pPr>
      <w:bookmarkStart w:id="91" w:name="_Toc148970800"/>
      <w:bookmarkStart w:id="92" w:name="_Toc149220478"/>
      <w:r w:rsidRPr="00AB6FFE">
        <w:lastRenderedPageBreak/>
        <w:t>New data requirements</w:t>
      </w:r>
      <w:bookmarkEnd w:id="86"/>
      <w:bookmarkEnd w:id="87"/>
      <w:bookmarkEnd w:id="88"/>
      <w:bookmarkEnd w:id="91"/>
      <w:bookmarkEnd w:id="92"/>
    </w:p>
    <w:p w14:paraId="0ADE04A1" w14:textId="5B1A8B92" w:rsidR="00AB6FFE" w:rsidRDefault="00AB6FFE" w:rsidP="004477FF">
      <w:pPr>
        <w:pStyle w:val="CGC2025ParaNumbers"/>
      </w:pPr>
      <w:bookmarkStart w:id="93" w:name="_Toc121741493"/>
      <w:bookmarkStart w:id="94" w:name="_Toc127428362"/>
      <w:r>
        <w:t xml:space="preserve">As </w:t>
      </w:r>
      <w:r w:rsidR="00243422">
        <w:t xml:space="preserve">referenced in paragraph </w:t>
      </w:r>
      <w:r w:rsidR="00060768">
        <w:fldChar w:fldCharType="begin"/>
      </w:r>
      <w:r w:rsidR="00060768">
        <w:instrText xml:space="preserve"> REF _Ref149138032 \r \h </w:instrText>
      </w:r>
      <w:r w:rsidR="00060768">
        <w:fldChar w:fldCharType="separate"/>
      </w:r>
      <w:r w:rsidR="00060768">
        <w:t>47</w:t>
      </w:r>
      <w:r w:rsidR="00060768">
        <w:fldChar w:fldCharType="end"/>
      </w:r>
      <w:r w:rsidR="00792A86">
        <w:t>,</w:t>
      </w:r>
      <w:r w:rsidR="00243422">
        <w:t xml:space="preserve"> the Commission proposes to </w:t>
      </w:r>
      <w:r w:rsidR="00A61C5C">
        <w:t>obtain</w:t>
      </w:r>
      <w:r w:rsidR="00243422">
        <w:t xml:space="preserve"> data on the use of </w:t>
      </w:r>
      <w:r w:rsidR="00F4778A">
        <w:t>homelessness</w:t>
      </w:r>
      <w:r w:rsidR="00243422">
        <w:t xml:space="preserve"> services from the Australian Institute of Health and Welfare</w:t>
      </w:r>
      <w:r w:rsidR="00F4778A">
        <w:t>. Th</w:t>
      </w:r>
      <w:r w:rsidR="00BE1BA4">
        <w:t>ese</w:t>
      </w:r>
      <w:r w:rsidR="00F4778A">
        <w:t xml:space="preserve"> data will be used</w:t>
      </w:r>
      <w:r w:rsidR="00243422">
        <w:t xml:space="preserve"> to assess the need for state spending on </w:t>
      </w:r>
      <w:r w:rsidR="00F4778A">
        <w:t>homelessness services.</w:t>
      </w:r>
    </w:p>
    <w:p w14:paraId="3F75EA57" w14:textId="283C6AA0" w:rsidR="00F4778A" w:rsidRPr="00F971B0" w:rsidRDefault="00965A32" w:rsidP="004477FF">
      <w:pPr>
        <w:pStyle w:val="CGC2025ParaNumbers"/>
      </w:pPr>
      <w:r>
        <w:t xml:space="preserve">As referenced in paragraph </w:t>
      </w:r>
      <w:r w:rsidR="00792A86">
        <w:fldChar w:fldCharType="begin"/>
      </w:r>
      <w:r w:rsidR="00792A86">
        <w:instrText xml:space="preserve"> REF _Ref149138066 \r \h </w:instrText>
      </w:r>
      <w:r w:rsidR="00792A86">
        <w:fldChar w:fldCharType="separate"/>
      </w:r>
      <w:r w:rsidR="00792A86">
        <w:t>56</w:t>
      </w:r>
      <w:r w:rsidR="00792A86">
        <w:fldChar w:fldCharType="end"/>
      </w:r>
      <w:r w:rsidR="00907959">
        <w:t>,</w:t>
      </w:r>
      <w:r>
        <w:t xml:space="preserve"> the Commission will also use </w:t>
      </w:r>
      <w:r w:rsidR="00E46C40">
        <w:t xml:space="preserve">data </w:t>
      </w:r>
      <w:r w:rsidR="00BE1BA4">
        <w:t>from the Productivity Commission</w:t>
      </w:r>
      <w:r w:rsidR="002A4D2A">
        <w:t>’</w:t>
      </w:r>
      <w:r w:rsidR="00BE1BA4">
        <w:t xml:space="preserve">s </w:t>
      </w:r>
      <w:r w:rsidR="00271F48" w:rsidRPr="0015287E">
        <w:rPr>
          <w:i/>
          <w:iCs/>
        </w:rPr>
        <w:t>Report on Government Services</w:t>
      </w:r>
      <w:r>
        <w:t xml:space="preserve"> on state homelessness services spending to </w:t>
      </w:r>
      <w:r w:rsidR="00936956">
        <w:t xml:space="preserve">test the materiality </w:t>
      </w:r>
      <w:r w:rsidR="0051108A">
        <w:t xml:space="preserve">of a differential </w:t>
      </w:r>
      <w:r>
        <w:t>homelessness services assessment.</w:t>
      </w:r>
      <w:r w:rsidR="0051108A">
        <w:t xml:space="preserve"> If a separate assessment </w:t>
      </w:r>
      <w:r w:rsidR="008453EF">
        <w:t>become</w:t>
      </w:r>
      <w:r w:rsidR="00D44782">
        <w:t xml:space="preserve">s </w:t>
      </w:r>
      <w:r w:rsidR="008453EF">
        <w:t>part of the 2025 Review method</w:t>
      </w:r>
      <w:r w:rsidR="00D44782">
        <w:t>,</w:t>
      </w:r>
      <w:r w:rsidR="008453EF">
        <w:t xml:space="preserve"> the Commission will collect </w:t>
      </w:r>
      <w:r w:rsidR="00822A84">
        <w:t xml:space="preserve">state spending </w:t>
      </w:r>
      <w:r w:rsidR="0081086E">
        <w:t xml:space="preserve">on homelessness services </w:t>
      </w:r>
      <w:r w:rsidR="008453EF">
        <w:t>annually from states.</w:t>
      </w:r>
    </w:p>
    <w:p w14:paraId="0264456C" w14:textId="77777777" w:rsidR="00AB6FFE" w:rsidRDefault="00AB6FFE" w:rsidP="00F971B0">
      <w:pPr>
        <w:pStyle w:val="Heading2"/>
      </w:pPr>
      <w:bookmarkStart w:id="95" w:name="_Toc132729117"/>
      <w:bookmarkStart w:id="96" w:name="_Toc133236158"/>
      <w:bookmarkStart w:id="97" w:name="_Toc133236184"/>
      <w:bookmarkStart w:id="98" w:name="_Toc148970801"/>
      <w:bookmarkStart w:id="99" w:name="_Toc149220479"/>
      <w:r w:rsidRPr="00AB6FFE">
        <w:t>Consultation</w:t>
      </w:r>
      <w:bookmarkEnd w:id="93"/>
      <w:bookmarkEnd w:id="94"/>
      <w:bookmarkEnd w:id="95"/>
      <w:bookmarkEnd w:id="96"/>
      <w:bookmarkEnd w:id="97"/>
      <w:bookmarkEnd w:id="98"/>
      <w:bookmarkEnd w:id="99"/>
    </w:p>
    <w:p w14:paraId="5BC7E4CC" w14:textId="77777777" w:rsidR="00AB6FFE" w:rsidRPr="00F971B0" w:rsidRDefault="00AB6FFE" w:rsidP="004477FF">
      <w:pPr>
        <w:pStyle w:val="CGC2025ParaNumbers"/>
      </w:pPr>
      <w:bookmarkStart w:id="100" w:name="_Hlk121314611"/>
      <w:r>
        <w:t>The Commission welcomes state views on the consultation question</w:t>
      </w:r>
      <w:r w:rsidR="00DD25EB">
        <w:t>s</w:t>
      </w:r>
      <w:r>
        <w:t xml:space="preserve"> identified in this paper (outlined below) and the proposed assessment. State </w:t>
      </w:r>
      <w:r w:rsidR="00A12DE8">
        <w:t>submissions</w:t>
      </w:r>
      <w:r>
        <w:t xml:space="preserve"> should </w:t>
      </w:r>
      <w:r w:rsidR="00A12DE8">
        <w:t xml:space="preserve">accord </w:t>
      </w:r>
      <w:r>
        <w:t>with the 2025 Review framework. States are welcome to raise other relevant issues with the Commission.</w:t>
      </w:r>
    </w:p>
    <w:bookmarkEnd w:id="100"/>
    <w:p w14:paraId="319D4E1A" w14:textId="70A03CFD" w:rsidR="00377F68" w:rsidRPr="00BA1360" w:rsidRDefault="00B17FBC" w:rsidP="00294D2F">
      <w:pPr>
        <w:rPr>
          <w:rFonts w:ascii="Work Sans" w:hAnsi="Work Sans"/>
          <w:szCs w:val="20"/>
        </w:rPr>
      </w:pPr>
      <w:r w:rsidRPr="001C4DF3">
        <w:rPr>
          <w:noProof/>
        </w:rPr>
        <mc:AlternateContent>
          <mc:Choice Requires="wps">
            <w:drawing>
              <wp:inline distT="0" distB="0" distL="0" distR="0" wp14:anchorId="34DD6F59" wp14:editId="3140145E">
                <wp:extent cx="5648325" cy="3243943"/>
                <wp:effectExtent l="0" t="0" r="9525" b="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3243943"/>
                        </a:xfrm>
                        <a:prstGeom prst="rect">
                          <a:avLst/>
                        </a:prstGeom>
                        <a:solidFill>
                          <a:srgbClr val="EBF3F5"/>
                        </a:solidFill>
                        <a:ln w="25400" cap="flat" cmpd="sng" algn="ctr">
                          <a:noFill/>
                          <a:prstDash val="solid"/>
                        </a:ln>
                        <a:effectLst/>
                      </wps:spPr>
                      <wps:txbx>
                        <w:txbxContent>
                          <w:p w14:paraId="7C105EBF" w14:textId="77777777" w:rsidR="00DF1794" w:rsidRPr="009E4C7B" w:rsidRDefault="00DF1794" w:rsidP="00DF1794">
                            <w:pPr>
                              <w:pStyle w:val="CGC2025Questionsnumbers2"/>
                            </w:pPr>
                            <w:r>
                              <w:rPr>
                                <w:lang w:eastAsia="en-AU"/>
                              </w:rPr>
                              <w:t>Do states agree that the state NDIS contributions can be collected from the Commonwealth Budget papers rather than from the states?</w:t>
                            </w:r>
                          </w:p>
                          <w:p w14:paraId="4EB26EA6" w14:textId="77777777" w:rsidR="00014269" w:rsidRDefault="00014269" w:rsidP="00014269">
                            <w:pPr>
                              <w:pStyle w:val="CGC2025Questionsnumbers2"/>
                            </w:pPr>
                            <w:r>
                              <w:rPr>
                                <w:lang w:eastAsia="en-AU"/>
                              </w:rPr>
                              <w:t>Do states agree that the current NDIS assessment is fit for purpose?</w:t>
                            </w:r>
                          </w:p>
                          <w:p w14:paraId="30163373" w14:textId="77777777" w:rsidR="000D055D" w:rsidRDefault="000D055D" w:rsidP="000D055D">
                            <w:pPr>
                              <w:pStyle w:val="CGC2025Questionsnumbers2"/>
                            </w:pPr>
                            <w:r>
                              <w:rPr>
                                <w:lang w:eastAsia="en-AU"/>
                              </w:rPr>
                              <w:t>Do states support the development of a homelessness services assessment?</w:t>
                            </w:r>
                          </w:p>
                          <w:p w14:paraId="45CEBA51" w14:textId="77777777" w:rsidR="00FA2D38" w:rsidRPr="00BF1224" w:rsidRDefault="00FA2D38" w:rsidP="00FA2D38">
                            <w:pPr>
                              <w:pStyle w:val="CGC2025Questionsnumbers2"/>
                            </w:pPr>
                            <w:r>
                              <w:t>Will</w:t>
                            </w:r>
                            <w:r w:rsidRPr="00E64AAF">
                              <w:t xml:space="preserve"> states </w:t>
                            </w:r>
                            <w:r>
                              <w:t>be able to identify spending on homelessness services and</w:t>
                            </w:r>
                            <w:r w:rsidRPr="00E64AAF">
                              <w:t xml:space="preserve"> </w:t>
                            </w:r>
                            <w:r>
                              <w:t>identify where that spending is reported i</w:t>
                            </w:r>
                            <w:r w:rsidRPr="00E64AAF">
                              <w:t xml:space="preserve">n </w:t>
                            </w:r>
                            <w:r>
                              <w:t>the Government Finance Statistics classifications?</w:t>
                            </w:r>
                          </w:p>
                          <w:p w14:paraId="14068D38" w14:textId="77777777" w:rsidR="00FA2D38" w:rsidRPr="00BF1224" w:rsidRDefault="00FA2D38" w:rsidP="00FA2D38">
                            <w:pPr>
                              <w:pStyle w:val="CGC2025Questionsnumbers2"/>
                            </w:pPr>
                            <w:r>
                              <w:t>Do states support the proposed drivers to assess homelessness spending, noting further work is to be undertaken on mental health conditions as a potential driver?</w:t>
                            </w:r>
                          </w:p>
                          <w:p w14:paraId="5FBD79F3" w14:textId="7323CC0F" w:rsidR="004F5A6F" w:rsidRPr="00806347" w:rsidRDefault="004F5A6F" w:rsidP="004F5A6F">
                            <w:pPr>
                              <w:pStyle w:val="CGC2025Questionsnumbers2"/>
                              <w:rPr>
                                <w:lang w:eastAsia="en-AU"/>
                              </w:rPr>
                            </w:pPr>
                            <w:r w:rsidRPr="00806347">
                              <w:rPr>
                                <w:lang w:eastAsia="en-AU"/>
                              </w:rPr>
                              <w:t xml:space="preserve">Do states support combining the other welfare, non-NDIS aged care and </w:t>
                            </w:r>
                            <w:r w:rsidR="009C3B35">
                              <w:rPr>
                                <w:lang w:eastAsia="en-AU"/>
                              </w:rPr>
                              <w:t>N</w:t>
                            </w:r>
                            <w:r w:rsidR="009C3B35" w:rsidRPr="00806347">
                              <w:rPr>
                                <w:lang w:eastAsia="en-AU"/>
                              </w:rPr>
                              <w:t xml:space="preserve">ational </w:t>
                            </w:r>
                            <w:r w:rsidR="009C3B35">
                              <w:rPr>
                                <w:lang w:eastAsia="en-AU"/>
                              </w:rPr>
                              <w:t>R</w:t>
                            </w:r>
                            <w:r w:rsidR="009C3B35" w:rsidRPr="00806347">
                              <w:rPr>
                                <w:lang w:eastAsia="en-AU"/>
                              </w:rPr>
                              <w:t>edress</w:t>
                            </w:r>
                            <w:r w:rsidRPr="00806347" w:rsidDel="009C3B35">
                              <w:rPr>
                                <w:lang w:eastAsia="en-AU"/>
                              </w:rPr>
                              <w:t xml:space="preserve"> </w:t>
                            </w:r>
                            <w:r w:rsidR="009C3B35">
                              <w:rPr>
                                <w:lang w:eastAsia="en-AU"/>
                              </w:rPr>
                              <w:t>S</w:t>
                            </w:r>
                            <w:r w:rsidR="009C3B35" w:rsidRPr="00806347">
                              <w:rPr>
                                <w:lang w:eastAsia="en-AU"/>
                              </w:rPr>
                              <w:t>cheme</w:t>
                            </w:r>
                            <w:r w:rsidRPr="00806347">
                              <w:rPr>
                                <w:lang w:eastAsia="en-AU"/>
                              </w:rPr>
                              <w:t xml:space="preserve"> components and assessing spending using the 2020 Review method for other welfare (equal per capita assessment method with regional and wage cost factors)?</w:t>
                            </w:r>
                          </w:p>
                          <w:p w14:paraId="2DB5BAE1" w14:textId="26A13741" w:rsidR="00B17FBC" w:rsidRPr="00F733EB" w:rsidRDefault="004F5A6F" w:rsidP="004F5A6F">
                            <w:pPr>
                              <w:pStyle w:val="CGC2025Questionsnumbers2"/>
                            </w:pPr>
                            <w:r>
                              <w:t xml:space="preserve">Do states support the Commission ceasing to collect state spending on the </w:t>
                            </w:r>
                            <w:r w:rsidR="00755D01">
                              <w:t>N</w:t>
                            </w:r>
                            <w:r>
                              <w:t xml:space="preserve">ational </w:t>
                            </w:r>
                            <w:r w:rsidR="00755D01">
                              <w:t>R</w:t>
                            </w:r>
                            <w:r>
                              <w:t xml:space="preserve">edress </w:t>
                            </w:r>
                            <w:r w:rsidR="00755D01">
                              <w:t>S</w:t>
                            </w:r>
                            <w:r>
                              <w:t>cheme?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DD6F59" id="Rectangle 1" o:spid="_x0000_s1032" alt="&quot;&quot;" style="width:444.75pt;height:25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" fillcolor="#ebf3f5" stroked="f" strokeweight="2pt">
                <v:textbox>
                  <w:txbxContent>
                    <w:p w14:paraId="7C105EBF" w14:textId="77777777" w:rsidR="00DF1794" w:rsidRPr="009E4C7B" w:rsidRDefault="00DF1794" w:rsidP="00DF1794">
                      <w:pPr>
                        <w:pStyle w:val="CGC2025Questionsnumbers2"/>
                      </w:pPr>
                      <w:r>
                        <w:rPr>
                          <w:lang w:eastAsia="en-AU"/>
                        </w:rPr>
                        <w:t>Do states agree that the state NDIS contributions can be collected from the Commonwealth Budget papers rather than from the states?</w:t>
                      </w:r>
                    </w:p>
                    <w:p w14:paraId="4EB26EA6" w14:textId="77777777" w:rsidR="00014269" w:rsidRDefault="00014269" w:rsidP="00014269">
                      <w:pPr>
                        <w:pStyle w:val="CGC2025Questionsnumbers2"/>
                      </w:pPr>
                      <w:r>
                        <w:rPr>
                          <w:lang w:eastAsia="en-AU"/>
                        </w:rPr>
                        <w:t>Do states agree that the current NDIS assessment is fit for purpose?</w:t>
                      </w:r>
                    </w:p>
                    <w:p w14:paraId="30163373" w14:textId="77777777" w:rsidR="000D055D" w:rsidRDefault="000D055D" w:rsidP="000D055D">
                      <w:pPr>
                        <w:pStyle w:val="CGC2025Questionsnumbers2"/>
                      </w:pPr>
                      <w:r>
                        <w:rPr>
                          <w:lang w:eastAsia="en-AU"/>
                        </w:rPr>
                        <w:t>Do states support the development of a homelessness services assessment?</w:t>
                      </w:r>
                    </w:p>
                    <w:p w14:paraId="45CEBA51" w14:textId="77777777" w:rsidR="00FA2D38" w:rsidRPr="00BF1224" w:rsidRDefault="00FA2D38" w:rsidP="00FA2D38">
                      <w:pPr>
                        <w:pStyle w:val="CGC2025Questionsnumbers2"/>
                      </w:pPr>
                      <w:r>
                        <w:t>Will</w:t>
                      </w:r>
                      <w:r w:rsidRPr="00E64AAF">
                        <w:t xml:space="preserve"> states </w:t>
                      </w:r>
                      <w:r>
                        <w:t>be able to identify spending on homelessness services and</w:t>
                      </w:r>
                      <w:r w:rsidRPr="00E64AAF">
                        <w:t xml:space="preserve"> </w:t>
                      </w:r>
                      <w:r>
                        <w:t>identify where that spending is reported i</w:t>
                      </w:r>
                      <w:r w:rsidRPr="00E64AAF">
                        <w:t xml:space="preserve">n </w:t>
                      </w:r>
                      <w:r>
                        <w:t>the Government Finance Statistics classifications?</w:t>
                      </w:r>
                    </w:p>
                    <w:p w14:paraId="14068D38" w14:textId="77777777" w:rsidR="00FA2D38" w:rsidRPr="00BF1224" w:rsidRDefault="00FA2D38" w:rsidP="00FA2D38">
                      <w:pPr>
                        <w:pStyle w:val="CGC2025Questionsnumbers2"/>
                      </w:pPr>
                      <w:r>
                        <w:t>Do states support the proposed drivers to assess homelessness spending, noting further work is to be undertaken on mental health conditions as a potential driver?</w:t>
                      </w:r>
                    </w:p>
                    <w:p w14:paraId="5FBD79F3" w14:textId="7323CC0F" w:rsidR="004F5A6F" w:rsidRPr="00806347" w:rsidRDefault="004F5A6F" w:rsidP="004F5A6F">
                      <w:pPr>
                        <w:pStyle w:val="CGC2025Questionsnumbers2"/>
                        <w:rPr>
                          <w:lang w:eastAsia="en-AU"/>
                        </w:rPr>
                      </w:pPr>
                      <w:r w:rsidRPr="00806347">
                        <w:rPr>
                          <w:lang w:eastAsia="en-AU"/>
                        </w:rPr>
                        <w:t xml:space="preserve">Do states support combining the other welfare, non-NDIS aged care and </w:t>
                      </w:r>
                      <w:r w:rsidR="009C3B35">
                        <w:rPr>
                          <w:lang w:eastAsia="en-AU"/>
                        </w:rPr>
                        <w:t>N</w:t>
                      </w:r>
                      <w:r w:rsidR="009C3B35" w:rsidRPr="00806347">
                        <w:rPr>
                          <w:lang w:eastAsia="en-AU"/>
                        </w:rPr>
                        <w:t xml:space="preserve">ational </w:t>
                      </w:r>
                      <w:r w:rsidR="009C3B35">
                        <w:rPr>
                          <w:lang w:eastAsia="en-AU"/>
                        </w:rPr>
                        <w:t>R</w:t>
                      </w:r>
                      <w:r w:rsidR="009C3B35" w:rsidRPr="00806347">
                        <w:rPr>
                          <w:lang w:eastAsia="en-AU"/>
                        </w:rPr>
                        <w:t>edress</w:t>
                      </w:r>
                      <w:r w:rsidRPr="00806347" w:rsidDel="009C3B35">
                        <w:rPr>
                          <w:lang w:eastAsia="en-AU"/>
                        </w:rPr>
                        <w:t xml:space="preserve"> </w:t>
                      </w:r>
                      <w:r w:rsidR="009C3B35">
                        <w:rPr>
                          <w:lang w:eastAsia="en-AU"/>
                        </w:rPr>
                        <w:t>S</w:t>
                      </w:r>
                      <w:r w:rsidR="009C3B35" w:rsidRPr="00806347">
                        <w:rPr>
                          <w:lang w:eastAsia="en-AU"/>
                        </w:rPr>
                        <w:t>cheme</w:t>
                      </w:r>
                      <w:r w:rsidRPr="00806347">
                        <w:rPr>
                          <w:lang w:eastAsia="en-AU"/>
                        </w:rPr>
                        <w:t xml:space="preserve"> components and assessing spending using the 2020 Review method for other welfare (equal per capita assessment method with regional and wage cost factors)?</w:t>
                      </w:r>
                    </w:p>
                    <w:p w14:paraId="2DB5BAE1" w14:textId="26A13741" w:rsidR="00B17FBC" w:rsidRPr="00F733EB" w:rsidRDefault="004F5A6F" w:rsidP="004F5A6F">
                      <w:pPr>
                        <w:pStyle w:val="CGC2025Questionsnumbers2"/>
                      </w:pPr>
                      <w:r>
                        <w:t xml:space="preserve">Do states support the Commission ceasing to collect state spending on the </w:t>
                      </w:r>
                      <w:r w:rsidR="00755D01">
                        <w:t>N</w:t>
                      </w:r>
                      <w:r>
                        <w:t xml:space="preserve">ational </w:t>
                      </w:r>
                      <w:r w:rsidR="00755D01">
                        <w:t>R</w:t>
                      </w:r>
                      <w:r>
                        <w:t xml:space="preserve">edress </w:t>
                      </w:r>
                      <w:r w:rsidR="00755D01">
                        <w:t>S</w:t>
                      </w:r>
                      <w:r>
                        <w:t>cheme?</w:t>
                      </w:r>
                    </w:p>
                  </w:txbxContent>
                </v:textbox>
                <w10:anchorlock/>
              </v:rect>
            </w:pict>
          </mc:Fallback>
        </mc:AlternateContent>
      </w:r>
    </w:p>
    <w:sectPr w:rsidR="00377F68" w:rsidRPr="00BA1360" w:rsidSect="004F0684">
      <w:footerReference w:type="default" r:id="rId23"/>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2E89" w14:textId="77777777" w:rsidR="00872A7C" w:rsidRDefault="00872A7C">
      <w:r>
        <w:separator/>
      </w:r>
    </w:p>
    <w:p w14:paraId="4AA10AB8" w14:textId="77777777" w:rsidR="00872A7C" w:rsidRDefault="00872A7C"/>
  </w:endnote>
  <w:endnote w:type="continuationSeparator" w:id="0">
    <w:p w14:paraId="6ED31D29" w14:textId="77777777" w:rsidR="00872A7C" w:rsidRDefault="00872A7C">
      <w:r>
        <w:continuationSeparator/>
      </w:r>
    </w:p>
    <w:p w14:paraId="3412AEC6" w14:textId="77777777" w:rsidR="00872A7C" w:rsidRDefault="00872A7C"/>
  </w:endnote>
  <w:endnote w:type="continuationNotice" w:id="1">
    <w:p w14:paraId="45286C85" w14:textId="77777777" w:rsidR="00872A7C" w:rsidRDefault="00872A7C">
      <w:pPr>
        <w:spacing w:before="0" w:line="240" w:lineRule="auto"/>
      </w:pPr>
    </w:p>
    <w:p w14:paraId="3AD7FBEA" w14:textId="77777777" w:rsidR="00872A7C" w:rsidRDefault="00872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ork Sans SemiBold">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3543" w14:textId="77777777" w:rsidR="00B80B50" w:rsidRDefault="008E230B" w:rsidP="008E230B">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p w14:paraId="7F84581E" w14:textId="77777777" w:rsidR="005B6B61" w:rsidRDefault="005B6B61" w:rsidP="00D22166">
        <w:pPr>
          <w:pStyle w:val="Footer"/>
        </w:pPr>
        <w:r>
          <w:fldChar w:fldCharType="begin"/>
        </w:r>
        <w:r>
          <w:instrText xml:space="preserve"> PAGE   \* MERGEFORMAT </w:instrText>
        </w:r>
        <w:r>
          <w:fldChar w:fldCharType="separate"/>
        </w:r>
        <w:r>
          <w:rPr>
            <w:noProof/>
          </w:rPr>
          <w:t>2</w:t>
        </w:r>
        <w:r>
          <w:rPr>
            <w:noProof/>
          </w:rPr>
          <w:fldChar w:fldCharType="end"/>
        </w:r>
      </w:p>
    </w:sdtContent>
  </w:sdt>
  <w:p w14:paraId="13358318"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83E6B" w14:textId="77777777" w:rsidR="00872A7C" w:rsidRPr="001C1AC5" w:rsidRDefault="00872A7C">
      <w:pPr>
        <w:rPr>
          <w:color w:val="ADD6EA"/>
        </w:rPr>
      </w:pPr>
      <w:r w:rsidRPr="001C1AC5">
        <w:rPr>
          <w:color w:val="ADD6EA"/>
        </w:rPr>
        <w:separator/>
      </w:r>
    </w:p>
    <w:p w14:paraId="6D0F3FB9" w14:textId="77777777" w:rsidR="00872A7C" w:rsidRDefault="00872A7C"/>
  </w:footnote>
  <w:footnote w:type="continuationSeparator" w:id="0">
    <w:p w14:paraId="6491DFA7" w14:textId="77777777" w:rsidR="00872A7C" w:rsidRDefault="00872A7C">
      <w:r>
        <w:continuationSeparator/>
      </w:r>
    </w:p>
    <w:p w14:paraId="4B3DF830" w14:textId="77777777" w:rsidR="00872A7C" w:rsidRDefault="00872A7C"/>
  </w:footnote>
  <w:footnote w:type="continuationNotice" w:id="1">
    <w:p w14:paraId="464B51C4" w14:textId="77777777" w:rsidR="00872A7C" w:rsidRDefault="00872A7C">
      <w:pPr>
        <w:spacing w:before="0" w:line="240" w:lineRule="auto"/>
      </w:pPr>
    </w:p>
    <w:p w14:paraId="528CB51A" w14:textId="77777777" w:rsidR="00872A7C" w:rsidRDefault="00872A7C"/>
  </w:footnote>
  <w:footnote w:id="2">
    <w:p w14:paraId="368033BC" w14:textId="188FFE84" w:rsidR="00C452CB" w:rsidRDefault="00C452CB" w:rsidP="00041C05">
      <w:pPr>
        <w:pStyle w:val="FootnoteText"/>
      </w:pPr>
      <w:r>
        <w:rPr>
          <w:rStyle w:val="FootnoteReference"/>
        </w:rPr>
        <w:footnoteRef/>
      </w:r>
      <w:r>
        <w:t xml:space="preserve"> Substantiations refer to child protection notifications made to relevant authorities where, after investigation, it is concluded that there is reasonable cause to believe the child had been, was being, or was likely to be abused, neglected</w:t>
      </w:r>
      <w:r w:rsidR="0EFE89C2">
        <w:t>,</w:t>
      </w:r>
      <w:r>
        <w:t xml:space="preserve"> or otherwise harmed.</w:t>
      </w:r>
    </w:p>
  </w:footnote>
  <w:footnote w:id="3">
    <w:p w14:paraId="78E8BD6F" w14:textId="29169DCE" w:rsidR="00C452CB" w:rsidRDefault="00C452CB" w:rsidP="00041C05">
      <w:pPr>
        <w:pStyle w:val="FootnoteText"/>
      </w:pPr>
      <w:r>
        <w:rPr>
          <w:rStyle w:val="FootnoteReference"/>
        </w:rPr>
        <w:footnoteRef/>
      </w:r>
      <w:r>
        <w:t xml:space="preserve"> </w:t>
      </w:r>
      <w:r w:rsidR="008A3DAF">
        <w:t>Australian Institute of Health and Welfare (</w:t>
      </w:r>
      <w:r>
        <w:t>AIHW</w:t>
      </w:r>
      <w:r w:rsidR="008A3DAF">
        <w:t>)</w:t>
      </w:r>
      <w:r w:rsidR="00146D72">
        <w:t>,</w:t>
      </w:r>
      <w:r>
        <w:t xml:space="preserve"> </w:t>
      </w:r>
      <w:r w:rsidRPr="00665B97">
        <w:rPr>
          <w:i/>
          <w:iCs/>
        </w:rPr>
        <w:t>Family, domestic</w:t>
      </w:r>
      <w:r w:rsidR="0EFE89C2" w:rsidRPr="00665B97">
        <w:rPr>
          <w:i/>
          <w:iCs/>
        </w:rPr>
        <w:t>,</w:t>
      </w:r>
      <w:r w:rsidRPr="00665B97">
        <w:rPr>
          <w:i/>
          <w:iCs/>
        </w:rPr>
        <w:t xml:space="preserve"> and sexual violence service responses in the time of COVID</w:t>
      </w:r>
      <w:r w:rsidR="000527DC">
        <w:rPr>
          <w:i/>
        </w:rPr>
        <w:noBreakHyphen/>
      </w:r>
      <w:r w:rsidRPr="00665B97">
        <w:rPr>
          <w:i/>
          <w:iCs/>
        </w:rPr>
        <w:t>19</w:t>
      </w:r>
      <w:r w:rsidR="00A34C67">
        <w:t xml:space="preserve">, </w:t>
      </w:r>
      <w:r w:rsidR="00146D72">
        <w:t>AIHW, Australian Government, 2021.</w:t>
      </w:r>
    </w:p>
  </w:footnote>
  <w:footnote w:id="4">
    <w:p w14:paraId="737C37CF" w14:textId="0E4D226F" w:rsidR="00C452CB" w:rsidRDefault="00C452CB" w:rsidP="00041C05">
      <w:pPr>
        <w:pStyle w:val="FootnoteText"/>
      </w:pPr>
      <w:r>
        <w:rPr>
          <w:rStyle w:val="FootnoteReference"/>
        </w:rPr>
        <w:footnoteRef/>
      </w:r>
      <w:r>
        <w:t xml:space="preserve"> </w:t>
      </w:r>
      <w:r w:rsidR="00A34C67">
        <w:t>Steering Committee for the Review of Government Service Provision</w:t>
      </w:r>
      <w:r w:rsidR="00A34C67" w:rsidRPr="00692C53">
        <w:t xml:space="preserve"> </w:t>
      </w:r>
      <w:r w:rsidR="00A34C67">
        <w:t>(SCRGSP)</w:t>
      </w:r>
      <w:r w:rsidR="00146D72">
        <w:t>,</w:t>
      </w:r>
      <w:r w:rsidR="00A34C67">
        <w:t xml:space="preserve"> </w:t>
      </w:r>
      <w:r w:rsidR="00A34C67" w:rsidRPr="004C25C2">
        <w:rPr>
          <w:i/>
        </w:rPr>
        <w:t>Report on Government Services 2023</w:t>
      </w:r>
      <w:r w:rsidR="00A34C67">
        <w:t xml:space="preserve">, Productivity Commission, </w:t>
      </w:r>
      <w:r w:rsidR="003D5F51">
        <w:t>Australian Government, 2023.</w:t>
      </w:r>
    </w:p>
  </w:footnote>
  <w:footnote w:id="5">
    <w:p w14:paraId="63BC30D1" w14:textId="3E516245" w:rsidR="00A72A09" w:rsidRDefault="00A72A09" w:rsidP="00041C05">
      <w:pPr>
        <w:pStyle w:val="FootnoteText"/>
      </w:pPr>
      <w:r>
        <w:rPr>
          <w:rStyle w:val="FootnoteReference"/>
        </w:rPr>
        <w:footnoteRef/>
      </w:r>
      <w:r>
        <w:t xml:space="preserve"> </w:t>
      </w:r>
      <w:r w:rsidR="00A945EC">
        <w:t>Steering Committee for the Review of Government Service Provision</w:t>
      </w:r>
      <w:r w:rsidR="00A945EC" w:rsidRPr="00692C53">
        <w:t xml:space="preserve"> </w:t>
      </w:r>
      <w:r w:rsidR="00A945EC">
        <w:t xml:space="preserve">(SCRGSP), </w:t>
      </w:r>
      <w:r w:rsidR="00A945EC" w:rsidRPr="004C25C2">
        <w:rPr>
          <w:i/>
        </w:rPr>
        <w:t>Report on Government Services 2023</w:t>
      </w:r>
      <w:r w:rsidR="00A945EC">
        <w:t>.</w:t>
      </w:r>
    </w:p>
  </w:footnote>
  <w:footnote w:id="6">
    <w:p w14:paraId="1B23935E" w14:textId="1F87C176" w:rsidR="00522AEB" w:rsidRDefault="00522AEB" w:rsidP="00041C05">
      <w:pPr>
        <w:pStyle w:val="FootnoteText"/>
      </w:pPr>
      <w:r>
        <w:rPr>
          <w:rStyle w:val="FootnoteReference"/>
        </w:rPr>
        <w:footnoteRef/>
      </w:r>
      <w:r>
        <w:t xml:space="preserve"> </w:t>
      </w:r>
      <w:r w:rsidR="009A652C">
        <w:t>Steering Committee for the Review of Government Service Provision</w:t>
      </w:r>
      <w:r w:rsidR="009A652C" w:rsidRPr="00692C53">
        <w:t xml:space="preserve"> </w:t>
      </w:r>
      <w:r w:rsidR="009A652C">
        <w:t xml:space="preserve">(SCRGSP), </w:t>
      </w:r>
      <w:r w:rsidR="009A652C" w:rsidRPr="004C25C2">
        <w:rPr>
          <w:i/>
        </w:rPr>
        <w:t>Report on Government Services 2023</w:t>
      </w:r>
      <w:r w:rsidR="00C65416">
        <w:rPr>
          <w:i/>
        </w:rPr>
        <w:t>, Part G, Section 19</w:t>
      </w:r>
      <w:r w:rsidR="008C1A96">
        <w:rPr>
          <w:i/>
        </w:rPr>
        <w:t>,</w:t>
      </w:r>
      <w:r w:rsidDel="009A652C">
        <w:rPr>
          <w:i/>
        </w:rPr>
        <w:t xml:space="preserve"> Service </w:t>
      </w:r>
      <w:r w:rsidR="008C1A96">
        <w:rPr>
          <w:i/>
        </w:rPr>
        <w:t>Overview</w:t>
      </w:r>
      <w:r w:rsidR="009A652C">
        <w:t>.</w:t>
      </w:r>
    </w:p>
  </w:footnote>
  <w:footnote w:id="7">
    <w:p w14:paraId="35E4855F" w14:textId="79740E1F" w:rsidR="009D745C" w:rsidRDefault="009D745C" w:rsidP="00041C05">
      <w:pPr>
        <w:pStyle w:val="FootnoteText"/>
      </w:pPr>
      <w:r>
        <w:rPr>
          <w:rStyle w:val="FootnoteReference"/>
        </w:rPr>
        <w:footnoteRef/>
      </w:r>
      <w:r>
        <w:t xml:space="preserve"> </w:t>
      </w:r>
      <w:r w:rsidR="00552CDC" w:rsidRPr="00552CDC">
        <w:t>Commonwealth Grants Commission</w:t>
      </w:r>
      <w:r w:rsidR="009A652C">
        <w:t xml:space="preserve"> (CGC)</w:t>
      </w:r>
      <w:r w:rsidR="00552CDC" w:rsidRPr="00552CDC">
        <w:t xml:space="preserve">, </w:t>
      </w:r>
      <w:r w:rsidR="00552CDC" w:rsidRPr="00D72389">
        <w:rPr>
          <w:i/>
          <w:iCs/>
        </w:rPr>
        <w:t>Report on GST Revenue Sharing Relativities 2020 Review</w:t>
      </w:r>
      <w:r w:rsidR="009A652C">
        <w:rPr>
          <w:i/>
          <w:iCs/>
        </w:rPr>
        <w:t>,</w:t>
      </w:r>
      <w:r w:rsidR="00552CDC" w:rsidRPr="00D72389">
        <w:rPr>
          <w:i/>
          <w:iCs/>
        </w:rPr>
        <w:t xml:space="preserve"> </w:t>
      </w:r>
      <w:r w:rsidR="00552CDC" w:rsidRPr="00552CDC">
        <w:t>Volume 2 (Part B)</w:t>
      </w:r>
      <w:r w:rsidR="009A652C">
        <w:t xml:space="preserve">, </w:t>
      </w:r>
      <w:r w:rsidR="00135F98">
        <w:t xml:space="preserve">p </w:t>
      </w:r>
      <w:r w:rsidR="00931050">
        <w:t xml:space="preserve">192, </w:t>
      </w:r>
      <w:r w:rsidR="009A652C">
        <w:t xml:space="preserve">CGC, Australian Government, 2020. </w:t>
      </w:r>
    </w:p>
  </w:footnote>
  <w:footnote w:id="8">
    <w:p w14:paraId="12449168" w14:textId="0370BF53" w:rsidR="00535CE9" w:rsidRDefault="00535CE9" w:rsidP="00041C05">
      <w:pPr>
        <w:pStyle w:val="FootnoteText"/>
      </w:pPr>
      <w:r>
        <w:rPr>
          <w:rStyle w:val="FootnoteReference"/>
        </w:rPr>
        <w:footnoteRef/>
      </w:r>
      <w:r>
        <w:t xml:space="preserve"> </w:t>
      </w:r>
      <w:r w:rsidR="00F5236F">
        <w:rPr>
          <w:shd w:val="clear" w:color="auto" w:fill="FFFFFF"/>
        </w:rPr>
        <w:t>Australian Institute of Health and Welfare</w:t>
      </w:r>
      <w:r w:rsidR="00F5236F">
        <w:t xml:space="preserve"> (</w:t>
      </w:r>
      <w:r w:rsidR="00E72BBD">
        <w:t>AIHW</w:t>
      </w:r>
      <w:r w:rsidR="00F5236F">
        <w:t>),</w:t>
      </w:r>
      <w:r w:rsidR="00E72BBD">
        <w:t xml:space="preserve"> </w:t>
      </w:r>
      <w:r w:rsidR="00E72BBD" w:rsidRPr="00D72389">
        <w:rPr>
          <w:i/>
          <w:iCs/>
        </w:rPr>
        <w:t>Specialist Homelessness services annual report 2021–22: Service Geography</w:t>
      </w:r>
      <w:r w:rsidR="00E72BBD">
        <w:t>,</w:t>
      </w:r>
      <w:r w:rsidR="00E72BBD" w:rsidDel="00F5236F">
        <w:rPr>
          <w:shd w:val="clear" w:color="auto" w:fill="FFFFFF"/>
        </w:rPr>
        <w:t xml:space="preserve"> </w:t>
      </w:r>
      <w:r w:rsidR="00F5236F">
        <w:rPr>
          <w:shd w:val="clear" w:color="auto" w:fill="FFFFFF"/>
        </w:rPr>
        <w:t xml:space="preserve">AIHW, Australian Government, </w:t>
      </w:r>
      <w:r w:rsidR="00F5236F">
        <w:t>2022</w:t>
      </w:r>
      <w:r w:rsidR="00E72BBD" w:rsidDel="00F5236F">
        <w:rPr>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B5E2" w14:textId="77777777" w:rsidR="00A5102B" w:rsidRDefault="00A5102B" w:rsidP="003A0403">
    <w:pPr>
      <w:pStyle w:val="Header"/>
    </w:pPr>
  </w:p>
</w:hdr>
</file>

<file path=word/intelligence2.xml><?xml version="1.0" encoding="utf-8"?>
<int2:intelligence xmlns:int2="http://schemas.microsoft.com/office/intelligence/2020/intelligence" xmlns:oel="http://schemas.microsoft.com/office/2019/extlst">
  <int2:observations>
    <int2:textHash int2:hashCode="mQe29NyM5d/BMV" int2:id="T28iVk2D">
      <int2:state int2:value="Rejected" int2:type="AugLoop_Text_Critique"/>
    </int2:textHash>
    <int2:textHash int2:hashCode="UQqdv9IsKRvJ3F" int2:id="jAbeTsHg">
      <int2:state int2:value="Rejected" int2:type="AugLoop_Text_Critique"/>
    </int2:textHash>
    <int2:textHash int2:hashCode="dO2PgubvB0datQ" int2:id="vmsy9Oyf">
      <int2:state int2:value="Rejected" int2:type="AugLoop_Text_Critique"/>
    </int2:textHash>
    <int2:bookmark int2:bookmarkName="_Int_2PXTxKlV" int2:invalidationBookmarkName="" int2:hashCode="aIyh/y44AOyh6+" int2:id="5Afkoamq">
      <int2:state int2:value="Rejected" int2:type="AugLoop_Acronyms_AcronymsCritique"/>
    </int2:bookmark>
    <int2:bookmark int2:bookmarkName="_Int_Vs8irFlk" int2:invalidationBookmarkName="" int2:hashCode="BCZsmHPMETW1td" int2:id="9zNVK2Rb">
      <int2:state int2:value="Rejected" int2:type="AugLoop_Acronyms_AcronymsCritique"/>
    </int2:bookmark>
    <int2:bookmark int2:bookmarkName="_Int_pqMhIG6T" int2:invalidationBookmarkName="" int2:hashCode="wf3MelLj21bA7j" int2:id="PooH0eNo">
      <int2:state int2:value="Rejected" int2:type="AugLoop_Acronyms_AcronymsCritique"/>
    </int2:bookmark>
    <int2:bookmark int2:bookmarkName="_Int_sZNikEny" int2:invalidationBookmarkName="" int2:hashCode="SlYFDncvjWIs3o" int2:id="o9rnHwS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B1A167D"/>
    <w:multiLevelType w:val="hybridMultilevel"/>
    <w:tmpl w:val="9656E722"/>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3D7BB4"/>
    <w:multiLevelType w:val="multilevel"/>
    <w:tmpl w:val="09F0A43E"/>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sz w:val="22"/>
        <w:szCs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28A8A8"/>
    <w:multiLevelType w:val="hybridMultilevel"/>
    <w:tmpl w:val="0A62A088"/>
    <w:lvl w:ilvl="0" w:tplc="02363EE4">
      <w:start w:val="1"/>
      <w:numFmt w:val="bullet"/>
      <w:lvlText w:val=""/>
      <w:lvlJc w:val="left"/>
      <w:pPr>
        <w:ind w:left="720" w:hanging="360"/>
      </w:pPr>
      <w:rPr>
        <w:rFonts w:ascii="Symbol" w:hAnsi="Symbol" w:hint="default"/>
      </w:rPr>
    </w:lvl>
    <w:lvl w:ilvl="1" w:tplc="35E869F8">
      <w:start w:val="1"/>
      <w:numFmt w:val="bullet"/>
      <w:lvlText w:val="o"/>
      <w:lvlJc w:val="left"/>
      <w:pPr>
        <w:ind w:left="1440" w:hanging="360"/>
      </w:pPr>
      <w:rPr>
        <w:rFonts w:ascii="Courier New" w:hAnsi="Courier New" w:hint="default"/>
      </w:rPr>
    </w:lvl>
    <w:lvl w:ilvl="2" w:tplc="CA166B88">
      <w:start w:val="1"/>
      <w:numFmt w:val="bullet"/>
      <w:lvlText w:val=""/>
      <w:lvlJc w:val="left"/>
      <w:pPr>
        <w:ind w:left="2160" w:hanging="360"/>
      </w:pPr>
      <w:rPr>
        <w:rFonts w:ascii="Wingdings" w:hAnsi="Wingdings" w:hint="default"/>
      </w:rPr>
    </w:lvl>
    <w:lvl w:ilvl="3" w:tplc="BD9C9D74">
      <w:start w:val="1"/>
      <w:numFmt w:val="bullet"/>
      <w:lvlText w:val=""/>
      <w:lvlJc w:val="left"/>
      <w:pPr>
        <w:ind w:left="2880" w:hanging="360"/>
      </w:pPr>
      <w:rPr>
        <w:rFonts w:ascii="Symbol" w:hAnsi="Symbol" w:hint="default"/>
      </w:rPr>
    </w:lvl>
    <w:lvl w:ilvl="4" w:tplc="F566E4A2">
      <w:start w:val="1"/>
      <w:numFmt w:val="bullet"/>
      <w:lvlText w:val="o"/>
      <w:lvlJc w:val="left"/>
      <w:pPr>
        <w:ind w:left="3600" w:hanging="360"/>
      </w:pPr>
      <w:rPr>
        <w:rFonts w:ascii="Courier New" w:hAnsi="Courier New" w:hint="default"/>
      </w:rPr>
    </w:lvl>
    <w:lvl w:ilvl="5" w:tplc="C85059EA">
      <w:start w:val="1"/>
      <w:numFmt w:val="bullet"/>
      <w:lvlText w:val=""/>
      <w:lvlJc w:val="left"/>
      <w:pPr>
        <w:ind w:left="4320" w:hanging="360"/>
      </w:pPr>
      <w:rPr>
        <w:rFonts w:ascii="Wingdings" w:hAnsi="Wingdings" w:hint="default"/>
      </w:rPr>
    </w:lvl>
    <w:lvl w:ilvl="6" w:tplc="FC68D658">
      <w:start w:val="1"/>
      <w:numFmt w:val="bullet"/>
      <w:lvlText w:val=""/>
      <w:lvlJc w:val="left"/>
      <w:pPr>
        <w:ind w:left="5040" w:hanging="360"/>
      </w:pPr>
      <w:rPr>
        <w:rFonts w:ascii="Symbol" w:hAnsi="Symbol" w:hint="default"/>
      </w:rPr>
    </w:lvl>
    <w:lvl w:ilvl="7" w:tplc="990A87C6">
      <w:start w:val="1"/>
      <w:numFmt w:val="bullet"/>
      <w:lvlText w:val="o"/>
      <w:lvlJc w:val="left"/>
      <w:pPr>
        <w:ind w:left="5760" w:hanging="360"/>
      </w:pPr>
      <w:rPr>
        <w:rFonts w:ascii="Courier New" w:hAnsi="Courier New" w:hint="default"/>
      </w:rPr>
    </w:lvl>
    <w:lvl w:ilvl="8" w:tplc="1DFCC0CC">
      <w:start w:val="1"/>
      <w:numFmt w:val="bullet"/>
      <w:lvlText w:val=""/>
      <w:lvlJc w:val="left"/>
      <w:pPr>
        <w:ind w:left="6480" w:hanging="360"/>
      </w:pPr>
      <w:rPr>
        <w:rFonts w:ascii="Wingdings" w:hAnsi="Wingdings" w:hint="default"/>
      </w:rPr>
    </w:lvl>
  </w:abstractNum>
  <w:abstractNum w:abstractNumId="8" w15:restartNumberingAfterBreak="0">
    <w:nsid w:val="21E86D49"/>
    <w:multiLevelType w:val="multilevel"/>
    <w:tmpl w:val="8C202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0" w15:restartNumberingAfterBreak="0">
    <w:nsid w:val="268155C4"/>
    <w:multiLevelType w:val="multilevel"/>
    <w:tmpl w:val="0F80F8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B45C01"/>
    <w:multiLevelType w:val="multilevel"/>
    <w:tmpl w:val="E9F601C8"/>
    <w:lvl w:ilvl="0">
      <w:start w:val="1"/>
      <w:numFmt w:val="decimal"/>
      <w:suff w:val="space"/>
      <w:lvlText w:val="Chapter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E1E2A55"/>
    <w:multiLevelType w:val="multilevel"/>
    <w:tmpl w:val="8B420830"/>
    <w:lvl w:ilvl="0">
      <w:start w:val="1"/>
      <w:numFmt w:val="decimal"/>
      <w:pStyle w:val="CGC2025QuestionNumbers"/>
      <w:lvlText w:val="Q%1."/>
      <w:lvlJc w:val="left"/>
      <w:pPr>
        <w:ind w:left="879"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974B00"/>
    <w:multiLevelType w:val="multilevel"/>
    <w:tmpl w:val="A310237C"/>
    <w:numStyleLink w:val="CGCConsultQuestion"/>
  </w:abstractNum>
  <w:abstractNum w:abstractNumId="18" w15:restartNumberingAfterBreak="0">
    <w:nsid w:val="4FE96541"/>
    <w:multiLevelType w:val="hybridMultilevel"/>
    <w:tmpl w:val="828A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0F1895"/>
    <w:multiLevelType w:val="multilevel"/>
    <w:tmpl w:val="A310237C"/>
    <w:numStyleLink w:val="CGCConsultQuestion"/>
  </w:abstractNum>
  <w:abstractNum w:abstractNumId="20" w15:restartNumberingAfterBreak="0">
    <w:nsid w:val="5E5E7C13"/>
    <w:multiLevelType w:val="multilevel"/>
    <w:tmpl w:val="7BFCDC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2" w15:restartNumberingAfterBreak="0">
    <w:nsid w:val="68901D6C"/>
    <w:multiLevelType w:val="multilevel"/>
    <w:tmpl w:val="00BED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4"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9"/>
  </w:num>
  <w:num w:numId="2" w16cid:durableId="1003897054">
    <w:abstractNumId w:val="24"/>
  </w:num>
  <w:num w:numId="3" w16cid:durableId="1334529044">
    <w:abstractNumId w:val="6"/>
  </w:num>
  <w:num w:numId="4" w16cid:durableId="1514761234">
    <w:abstractNumId w:val="5"/>
  </w:num>
  <w:num w:numId="5" w16cid:durableId="920797300">
    <w:abstractNumId w:val="0"/>
  </w:num>
  <w:num w:numId="6" w16cid:durableId="1807814447">
    <w:abstractNumId w:val="21"/>
  </w:num>
  <w:num w:numId="7" w16cid:durableId="801770153">
    <w:abstractNumId w:val="12"/>
  </w:num>
  <w:num w:numId="8" w16cid:durableId="1737627722">
    <w:abstractNumId w:val="23"/>
  </w:num>
  <w:num w:numId="9" w16cid:durableId="176697617">
    <w:abstractNumId w:val="4"/>
  </w:num>
  <w:num w:numId="10" w16cid:durableId="1408111535">
    <w:abstractNumId w:val="14"/>
  </w:num>
  <w:num w:numId="11" w16cid:durableId="2080126907">
    <w:abstractNumId w:val="16"/>
  </w:num>
  <w:num w:numId="12" w16cid:durableId="58332428">
    <w:abstractNumId w:val="11"/>
  </w:num>
  <w:num w:numId="13" w16cid:durableId="454983451">
    <w:abstractNumId w:val="22"/>
  </w:num>
  <w:num w:numId="14" w16cid:durableId="1905485886">
    <w:abstractNumId w:val="8"/>
  </w:num>
  <w:num w:numId="15" w16cid:durableId="1401057909">
    <w:abstractNumId w:val="10"/>
  </w:num>
  <w:num w:numId="16" w16cid:durableId="1243953869">
    <w:abstractNumId w:val="20"/>
  </w:num>
  <w:num w:numId="17" w16cid:durableId="145897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9731414">
    <w:abstractNumId w:val="13"/>
  </w:num>
  <w:num w:numId="19" w16cid:durableId="1771046321">
    <w:abstractNumId w:val="0"/>
    <w:lvlOverride w:ilvl="0">
      <w:startOverride w:val="1"/>
    </w:lvlOverride>
  </w:num>
  <w:num w:numId="20" w16cid:durableId="2097509523">
    <w:abstractNumId w:val="3"/>
  </w:num>
  <w:num w:numId="21" w16cid:durableId="146821968">
    <w:abstractNumId w:val="3"/>
    <w:lvlOverride w:ilvl="0">
      <w:startOverride w:val="1"/>
    </w:lvlOverride>
  </w:num>
  <w:num w:numId="22" w16cid:durableId="8615539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1864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7374591">
    <w:abstractNumId w:val="12"/>
    <w:lvlOverride w:ilvl="0">
      <w:startOverride w:val="1"/>
    </w:lvlOverride>
  </w:num>
  <w:num w:numId="25" w16cid:durableId="62026035">
    <w:abstractNumId w:val="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7537804">
    <w:abstractNumId w:val="4"/>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1261251">
    <w:abstractNumId w:val="4"/>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5521776">
    <w:abstractNumId w:val="1"/>
  </w:num>
  <w:num w:numId="29" w16cid:durableId="1986398447">
    <w:abstractNumId w:val="19"/>
  </w:num>
  <w:num w:numId="30" w16cid:durableId="1571231701">
    <w:abstractNumId w:val="17"/>
  </w:num>
  <w:num w:numId="31" w16cid:durableId="2063676958">
    <w:abstractNumId w:val="7"/>
  </w:num>
  <w:num w:numId="32" w16cid:durableId="139201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3600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0397423">
    <w:abstractNumId w:val="15"/>
  </w:num>
  <w:num w:numId="35" w16cid:durableId="726299809">
    <w:abstractNumId w:val="18"/>
  </w:num>
  <w:num w:numId="36" w16cid:durableId="953826419">
    <w:abstractNumId w:val="16"/>
  </w:num>
  <w:num w:numId="37" w16cid:durableId="886918859">
    <w:abstractNumId w:val="4"/>
  </w:num>
  <w:num w:numId="38" w16cid:durableId="1532376872">
    <w:abstractNumId w:val="2"/>
  </w:num>
  <w:num w:numId="39" w16cid:durableId="516383288">
    <w:abstractNumId w:val="6"/>
  </w:num>
  <w:num w:numId="40" w16cid:durableId="1164852887">
    <w:abstractNumId w:val="6"/>
  </w:num>
  <w:num w:numId="41" w16cid:durableId="78865325">
    <w:abstractNumId w:val="4"/>
  </w:num>
  <w:num w:numId="42" w16cid:durableId="35615319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CF"/>
    <w:rsid w:val="00000117"/>
    <w:rsid w:val="000005FB"/>
    <w:rsid w:val="00000AB2"/>
    <w:rsid w:val="00000C9F"/>
    <w:rsid w:val="00001078"/>
    <w:rsid w:val="000014F2"/>
    <w:rsid w:val="00001667"/>
    <w:rsid w:val="00001882"/>
    <w:rsid w:val="000019C0"/>
    <w:rsid w:val="00001D6F"/>
    <w:rsid w:val="00001DA2"/>
    <w:rsid w:val="00001E29"/>
    <w:rsid w:val="00001E8B"/>
    <w:rsid w:val="00002144"/>
    <w:rsid w:val="00002306"/>
    <w:rsid w:val="00002356"/>
    <w:rsid w:val="000025E6"/>
    <w:rsid w:val="00002680"/>
    <w:rsid w:val="00002923"/>
    <w:rsid w:val="00002B2E"/>
    <w:rsid w:val="00002F86"/>
    <w:rsid w:val="000032B9"/>
    <w:rsid w:val="0000347E"/>
    <w:rsid w:val="000036D8"/>
    <w:rsid w:val="000038C1"/>
    <w:rsid w:val="00003917"/>
    <w:rsid w:val="000042F1"/>
    <w:rsid w:val="000043F9"/>
    <w:rsid w:val="00004719"/>
    <w:rsid w:val="0000485A"/>
    <w:rsid w:val="00004C67"/>
    <w:rsid w:val="000053F8"/>
    <w:rsid w:val="000057CF"/>
    <w:rsid w:val="000058F5"/>
    <w:rsid w:val="00005EEE"/>
    <w:rsid w:val="0000618C"/>
    <w:rsid w:val="00006338"/>
    <w:rsid w:val="0000648D"/>
    <w:rsid w:val="00006C9A"/>
    <w:rsid w:val="00006E30"/>
    <w:rsid w:val="00006ECB"/>
    <w:rsid w:val="00006F3D"/>
    <w:rsid w:val="00007366"/>
    <w:rsid w:val="000073CC"/>
    <w:rsid w:val="00007899"/>
    <w:rsid w:val="000079AD"/>
    <w:rsid w:val="00007AB8"/>
    <w:rsid w:val="00007EF0"/>
    <w:rsid w:val="00007FD5"/>
    <w:rsid w:val="0001053F"/>
    <w:rsid w:val="000105A1"/>
    <w:rsid w:val="00010711"/>
    <w:rsid w:val="00010734"/>
    <w:rsid w:val="00010B75"/>
    <w:rsid w:val="00010CEC"/>
    <w:rsid w:val="00010E37"/>
    <w:rsid w:val="00010F5B"/>
    <w:rsid w:val="00010F73"/>
    <w:rsid w:val="00010F9E"/>
    <w:rsid w:val="00011BB3"/>
    <w:rsid w:val="00011C73"/>
    <w:rsid w:val="00011D15"/>
    <w:rsid w:val="00011D1A"/>
    <w:rsid w:val="00011DA8"/>
    <w:rsid w:val="00011F7D"/>
    <w:rsid w:val="00011FC2"/>
    <w:rsid w:val="000120A6"/>
    <w:rsid w:val="0001218F"/>
    <w:rsid w:val="0001220C"/>
    <w:rsid w:val="00012480"/>
    <w:rsid w:val="00012AC0"/>
    <w:rsid w:val="00012B57"/>
    <w:rsid w:val="00012B67"/>
    <w:rsid w:val="00012C74"/>
    <w:rsid w:val="00013A5A"/>
    <w:rsid w:val="00013B63"/>
    <w:rsid w:val="000141BF"/>
    <w:rsid w:val="000141E3"/>
    <w:rsid w:val="00014269"/>
    <w:rsid w:val="00014398"/>
    <w:rsid w:val="00014864"/>
    <w:rsid w:val="000148C5"/>
    <w:rsid w:val="0001491F"/>
    <w:rsid w:val="00014CB0"/>
    <w:rsid w:val="000150BF"/>
    <w:rsid w:val="00015283"/>
    <w:rsid w:val="000154BC"/>
    <w:rsid w:val="00015500"/>
    <w:rsid w:val="000156B2"/>
    <w:rsid w:val="00015818"/>
    <w:rsid w:val="00015A97"/>
    <w:rsid w:val="00015C57"/>
    <w:rsid w:val="00015D0B"/>
    <w:rsid w:val="00015E69"/>
    <w:rsid w:val="000160C9"/>
    <w:rsid w:val="000162E7"/>
    <w:rsid w:val="0001645C"/>
    <w:rsid w:val="00016718"/>
    <w:rsid w:val="0001698B"/>
    <w:rsid w:val="00016A0A"/>
    <w:rsid w:val="00016C62"/>
    <w:rsid w:val="00016FE0"/>
    <w:rsid w:val="00016FE9"/>
    <w:rsid w:val="0001708B"/>
    <w:rsid w:val="0001717A"/>
    <w:rsid w:val="00017640"/>
    <w:rsid w:val="00017665"/>
    <w:rsid w:val="000176D7"/>
    <w:rsid w:val="0001770B"/>
    <w:rsid w:val="000178EF"/>
    <w:rsid w:val="00017E5B"/>
    <w:rsid w:val="00017EB6"/>
    <w:rsid w:val="000202C9"/>
    <w:rsid w:val="00020333"/>
    <w:rsid w:val="0002041C"/>
    <w:rsid w:val="000204C9"/>
    <w:rsid w:val="0002078B"/>
    <w:rsid w:val="00020799"/>
    <w:rsid w:val="00020AA1"/>
    <w:rsid w:val="00020BC5"/>
    <w:rsid w:val="00020D21"/>
    <w:rsid w:val="00020EA3"/>
    <w:rsid w:val="00021324"/>
    <w:rsid w:val="00021727"/>
    <w:rsid w:val="00021827"/>
    <w:rsid w:val="00021B85"/>
    <w:rsid w:val="00021C7A"/>
    <w:rsid w:val="00021E88"/>
    <w:rsid w:val="00022B99"/>
    <w:rsid w:val="00022C1B"/>
    <w:rsid w:val="00022CE0"/>
    <w:rsid w:val="00022EA9"/>
    <w:rsid w:val="00023068"/>
    <w:rsid w:val="00023137"/>
    <w:rsid w:val="0002351D"/>
    <w:rsid w:val="00023AE6"/>
    <w:rsid w:val="00023B03"/>
    <w:rsid w:val="00023BDB"/>
    <w:rsid w:val="00024069"/>
    <w:rsid w:val="000246BA"/>
    <w:rsid w:val="000246DA"/>
    <w:rsid w:val="000246EB"/>
    <w:rsid w:val="00024745"/>
    <w:rsid w:val="0002496D"/>
    <w:rsid w:val="00024A4B"/>
    <w:rsid w:val="00024CD0"/>
    <w:rsid w:val="00024D5F"/>
    <w:rsid w:val="000251CC"/>
    <w:rsid w:val="00025242"/>
    <w:rsid w:val="00025412"/>
    <w:rsid w:val="000259C3"/>
    <w:rsid w:val="00025B1F"/>
    <w:rsid w:val="00025CB3"/>
    <w:rsid w:val="00025E94"/>
    <w:rsid w:val="00026085"/>
    <w:rsid w:val="0002609A"/>
    <w:rsid w:val="000265A4"/>
    <w:rsid w:val="000265B0"/>
    <w:rsid w:val="00026896"/>
    <w:rsid w:val="000268E0"/>
    <w:rsid w:val="00026A1A"/>
    <w:rsid w:val="00026AD6"/>
    <w:rsid w:val="00026E43"/>
    <w:rsid w:val="00026E62"/>
    <w:rsid w:val="00026E7B"/>
    <w:rsid w:val="000273C6"/>
    <w:rsid w:val="000274F7"/>
    <w:rsid w:val="00027557"/>
    <w:rsid w:val="00027661"/>
    <w:rsid w:val="00027ABE"/>
    <w:rsid w:val="00027EB9"/>
    <w:rsid w:val="00027F51"/>
    <w:rsid w:val="00030205"/>
    <w:rsid w:val="000302EB"/>
    <w:rsid w:val="0003031A"/>
    <w:rsid w:val="00030516"/>
    <w:rsid w:val="00030595"/>
    <w:rsid w:val="00030629"/>
    <w:rsid w:val="000307E9"/>
    <w:rsid w:val="00030E66"/>
    <w:rsid w:val="00031431"/>
    <w:rsid w:val="00031648"/>
    <w:rsid w:val="00031717"/>
    <w:rsid w:val="00031AFE"/>
    <w:rsid w:val="00031B76"/>
    <w:rsid w:val="00031CF4"/>
    <w:rsid w:val="00031D0B"/>
    <w:rsid w:val="00032318"/>
    <w:rsid w:val="00032544"/>
    <w:rsid w:val="000326F5"/>
    <w:rsid w:val="000327F7"/>
    <w:rsid w:val="00032856"/>
    <w:rsid w:val="000328A8"/>
    <w:rsid w:val="00032F41"/>
    <w:rsid w:val="00033347"/>
    <w:rsid w:val="000335BE"/>
    <w:rsid w:val="000336CB"/>
    <w:rsid w:val="000338C9"/>
    <w:rsid w:val="000339B3"/>
    <w:rsid w:val="00033A71"/>
    <w:rsid w:val="00033C0D"/>
    <w:rsid w:val="0003408C"/>
    <w:rsid w:val="0003409C"/>
    <w:rsid w:val="0003425B"/>
    <w:rsid w:val="000345E4"/>
    <w:rsid w:val="00034622"/>
    <w:rsid w:val="00034916"/>
    <w:rsid w:val="00034CE4"/>
    <w:rsid w:val="00034DBB"/>
    <w:rsid w:val="00034F08"/>
    <w:rsid w:val="00035382"/>
    <w:rsid w:val="0003553C"/>
    <w:rsid w:val="000355D9"/>
    <w:rsid w:val="00035841"/>
    <w:rsid w:val="00035969"/>
    <w:rsid w:val="00035AF4"/>
    <w:rsid w:val="000360D4"/>
    <w:rsid w:val="000361E6"/>
    <w:rsid w:val="000362A0"/>
    <w:rsid w:val="000363C5"/>
    <w:rsid w:val="000364E9"/>
    <w:rsid w:val="000365FC"/>
    <w:rsid w:val="0003660E"/>
    <w:rsid w:val="00036C51"/>
    <w:rsid w:val="00036F1C"/>
    <w:rsid w:val="000370C8"/>
    <w:rsid w:val="00037242"/>
    <w:rsid w:val="000372BA"/>
    <w:rsid w:val="000373C8"/>
    <w:rsid w:val="0003787D"/>
    <w:rsid w:val="00037A87"/>
    <w:rsid w:val="00037B26"/>
    <w:rsid w:val="00037E6D"/>
    <w:rsid w:val="00040135"/>
    <w:rsid w:val="000402DE"/>
    <w:rsid w:val="00040571"/>
    <w:rsid w:val="00040601"/>
    <w:rsid w:val="000408FD"/>
    <w:rsid w:val="00040A8B"/>
    <w:rsid w:val="00040CCA"/>
    <w:rsid w:val="00040D48"/>
    <w:rsid w:val="00040D67"/>
    <w:rsid w:val="0004101E"/>
    <w:rsid w:val="0004103A"/>
    <w:rsid w:val="000410C8"/>
    <w:rsid w:val="0004123E"/>
    <w:rsid w:val="00041299"/>
    <w:rsid w:val="00041745"/>
    <w:rsid w:val="00041748"/>
    <w:rsid w:val="00041C05"/>
    <w:rsid w:val="00041DBD"/>
    <w:rsid w:val="00041E1B"/>
    <w:rsid w:val="00041E84"/>
    <w:rsid w:val="00041F9B"/>
    <w:rsid w:val="000424EA"/>
    <w:rsid w:val="0004258C"/>
    <w:rsid w:val="00042B1E"/>
    <w:rsid w:val="00043B5D"/>
    <w:rsid w:val="00043CFE"/>
    <w:rsid w:val="00043FB4"/>
    <w:rsid w:val="0004403C"/>
    <w:rsid w:val="000442AA"/>
    <w:rsid w:val="00044346"/>
    <w:rsid w:val="00044414"/>
    <w:rsid w:val="00044479"/>
    <w:rsid w:val="00044491"/>
    <w:rsid w:val="0004456B"/>
    <w:rsid w:val="00044A87"/>
    <w:rsid w:val="000451DA"/>
    <w:rsid w:val="00045224"/>
    <w:rsid w:val="00045652"/>
    <w:rsid w:val="0004569D"/>
    <w:rsid w:val="00045849"/>
    <w:rsid w:val="000458C8"/>
    <w:rsid w:val="00045C11"/>
    <w:rsid w:val="00045F82"/>
    <w:rsid w:val="00046397"/>
    <w:rsid w:val="000465BD"/>
    <w:rsid w:val="00046859"/>
    <w:rsid w:val="00046B06"/>
    <w:rsid w:val="000470A2"/>
    <w:rsid w:val="00047585"/>
    <w:rsid w:val="00047690"/>
    <w:rsid w:val="00047806"/>
    <w:rsid w:val="00047817"/>
    <w:rsid w:val="00047856"/>
    <w:rsid w:val="00047951"/>
    <w:rsid w:val="00047AB0"/>
    <w:rsid w:val="00047CC6"/>
    <w:rsid w:val="00047DF1"/>
    <w:rsid w:val="00047E5A"/>
    <w:rsid w:val="00047F21"/>
    <w:rsid w:val="0005011D"/>
    <w:rsid w:val="0005017B"/>
    <w:rsid w:val="0005063A"/>
    <w:rsid w:val="000508D3"/>
    <w:rsid w:val="00050B1A"/>
    <w:rsid w:val="00050B41"/>
    <w:rsid w:val="00050B83"/>
    <w:rsid w:val="00050F39"/>
    <w:rsid w:val="00051114"/>
    <w:rsid w:val="00051627"/>
    <w:rsid w:val="00051732"/>
    <w:rsid w:val="00051B92"/>
    <w:rsid w:val="00051BED"/>
    <w:rsid w:val="00051F3C"/>
    <w:rsid w:val="000521E6"/>
    <w:rsid w:val="000525F5"/>
    <w:rsid w:val="000527DC"/>
    <w:rsid w:val="00052AA2"/>
    <w:rsid w:val="00052BE8"/>
    <w:rsid w:val="00052DA0"/>
    <w:rsid w:val="0005328B"/>
    <w:rsid w:val="00053380"/>
    <w:rsid w:val="00053480"/>
    <w:rsid w:val="00053512"/>
    <w:rsid w:val="00053563"/>
    <w:rsid w:val="00053581"/>
    <w:rsid w:val="000535BC"/>
    <w:rsid w:val="0005377C"/>
    <w:rsid w:val="0005381C"/>
    <w:rsid w:val="00053C36"/>
    <w:rsid w:val="00053D4D"/>
    <w:rsid w:val="00053F80"/>
    <w:rsid w:val="000540CC"/>
    <w:rsid w:val="0005410D"/>
    <w:rsid w:val="00054309"/>
    <w:rsid w:val="00054311"/>
    <w:rsid w:val="00054374"/>
    <w:rsid w:val="00054477"/>
    <w:rsid w:val="0005450F"/>
    <w:rsid w:val="0005451C"/>
    <w:rsid w:val="0005480E"/>
    <w:rsid w:val="000548DB"/>
    <w:rsid w:val="00054AA6"/>
    <w:rsid w:val="000554BF"/>
    <w:rsid w:val="000555DB"/>
    <w:rsid w:val="00055941"/>
    <w:rsid w:val="00055A2D"/>
    <w:rsid w:val="000560F0"/>
    <w:rsid w:val="00056105"/>
    <w:rsid w:val="00056371"/>
    <w:rsid w:val="00056373"/>
    <w:rsid w:val="0005676E"/>
    <w:rsid w:val="000569CD"/>
    <w:rsid w:val="00056ABD"/>
    <w:rsid w:val="00056BBB"/>
    <w:rsid w:val="00056C74"/>
    <w:rsid w:val="00056E89"/>
    <w:rsid w:val="000576D7"/>
    <w:rsid w:val="00057762"/>
    <w:rsid w:val="00057AED"/>
    <w:rsid w:val="00057D13"/>
    <w:rsid w:val="00057F7B"/>
    <w:rsid w:val="00060341"/>
    <w:rsid w:val="000603AA"/>
    <w:rsid w:val="000604C7"/>
    <w:rsid w:val="0006050F"/>
    <w:rsid w:val="0006055D"/>
    <w:rsid w:val="00060768"/>
    <w:rsid w:val="000607C2"/>
    <w:rsid w:val="00060A59"/>
    <w:rsid w:val="00060CA5"/>
    <w:rsid w:val="00060E15"/>
    <w:rsid w:val="0006104A"/>
    <w:rsid w:val="00061111"/>
    <w:rsid w:val="0006117F"/>
    <w:rsid w:val="00061233"/>
    <w:rsid w:val="000614C0"/>
    <w:rsid w:val="00061535"/>
    <w:rsid w:val="000615A8"/>
    <w:rsid w:val="00061751"/>
    <w:rsid w:val="0006177C"/>
    <w:rsid w:val="00061933"/>
    <w:rsid w:val="00061993"/>
    <w:rsid w:val="00061B86"/>
    <w:rsid w:val="00061B8C"/>
    <w:rsid w:val="00062330"/>
    <w:rsid w:val="000624BB"/>
    <w:rsid w:val="00062B4C"/>
    <w:rsid w:val="00062C57"/>
    <w:rsid w:val="00062D47"/>
    <w:rsid w:val="00062EE9"/>
    <w:rsid w:val="000633E8"/>
    <w:rsid w:val="00063437"/>
    <w:rsid w:val="0006366E"/>
    <w:rsid w:val="000637F2"/>
    <w:rsid w:val="00063998"/>
    <w:rsid w:val="000641EB"/>
    <w:rsid w:val="000643EB"/>
    <w:rsid w:val="000644E8"/>
    <w:rsid w:val="00064557"/>
    <w:rsid w:val="000648E8"/>
    <w:rsid w:val="00064A6D"/>
    <w:rsid w:val="00064B4F"/>
    <w:rsid w:val="00064CD1"/>
    <w:rsid w:val="00064CE5"/>
    <w:rsid w:val="0006519E"/>
    <w:rsid w:val="000651D2"/>
    <w:rsid w:val="000653F5"/>
    <w:rsid w:val="0006564D"/>
    <w:rsid w:val="000656EC"/>
    <w:rsid w:val="00065739"/>
    <w:rsid w:val="000657A7"/>
    <w:rsid w:val="00065BF3"/>
    <w:rsid w:val="000664BE"/>
    <w:rsid w:val="000665AB"/>
    <w:rsid w:val="00066C63"/>
    <w:rsid w:val="00066D82"/>
    <w:rsid w:val="00066E63"/>
    <w:rsid w:val="00066F8C"/>
    <w:rsid w:val="00066FC9"/>
    <w:rsid w:val="000675A7"/>
    <w:rsid w:val="000679BC"/>
    <w:rsid w:val="000702C3"/>
    <w:rsid w:val="00070A98"/>
    <w:rsid w:val="00070B45"/>
    <w:rsid w:val="00070EA5"/>
    <w:rsid w:val="0007102B"/>
    <w:rsid w:val="00071347"/>
    <w:rsid w:val="0007176E"/>
    <w:rsid w:val="0007185D"/>
    <w:rsid w:val="00071EF7"/>
    <w:rsid w:val="00071F1E"/>
    <w:rsid w:val="00072179"/>
    <w:rsid w:val="00072373"/>
    <w:rsid w:val="000724C7"/>
    <w:rsid w:val="00072CBE"/>
    <w:rsid w:val="0007310A"/>
    <w:rsid w:val="000731C5"/>
    <w:rsid w:val="0007335C"/>
    <w:rsid w:val="000733D6"/>
    <w:rsid w:val="0007360C"/>
    <w:rsid w:val="000738A8"/>
    <w:rsid w:val="000738EB"/>
    <w:rsid w:val="00073944"/>
    <w:rsid w:val="00073A1F"/>
    <w:rsid w:val="00073BF5"/>
    <w:rsid w:val="00073D9D"/>
    <w:rsid w:val="00073E21"/>
    <w:rsid w:val="00073E85"/>
    <w:rsid w:val="00073E92"/>
    <w:rsid w:val="000741EC"/>
    <w:rsid w:val="00074369"/>
    <w:rsid w:val="00074784"/>
    <w:rsid w:val="00075051"/>
    <w:rsid w:val="00075070"/>
    <w:rsid w:val="00075117"/>
    <w:rsid w:val="00075132"/>
    <w:rsid w:val="00075593"/>
    <w:rsid w:val="0007582F"/>
    <w:rsid w:val="00075A65"/>
    <w:rsid w:val="000762C5"/>
    <w:rsid w:val="00076434"/>
    <w:rsid w:val="000764B6"/>
    <w:rsid w:val="00076C57"/>
    <w:rsid w:val="00076DA5"/>
    <w:rsid w:val="00077036"/>
    <w:rsid w:val="000772B1"/>
    <w:rsid w:val="000773FA"/>
    <w:rsid w:val="00077809"/>
    <w:rsid w:val="000779DC"/>
    <w:rsid w:val="00077AAF"/>
    <w:rsid w:val="00077ADE"/>
    <w:rsid w:val="00077ADF"/>
    <w:rsid w:val="00077B8E"/>
    <w:rsid w:val="0008025E"/>
    <w:rsid w:val="00080439"/>
    <w:rsid w:val="00080895"/>
    <w:rsid w:val="000812ED"/>
    <w:rsid w:val="00081636"/>
    <w:rsid w:val="00081696"/>
    <w:rsid w:val="000816E0"/>
    <w:rsid w:val="00081905"/>
    <w:rsid w:val="000819A8"/>
    <w:rsid w:val="00081E45"/>
    <w:rsid w:val="00081F33"/>
    <w:rsid w:val="00081F57"/>
    <w:rsid w:val="00081FAD"/>
    <w:rsid w:val="0008208B"/>
    <w:rsid w:val="00082090"/>
    <w:rsid w:val="0008273C"/>
    <w:rsid w:val="00082971"/>
    <w:rsid w:val="00082A7B"/>
    <w:rsid w:val="00082D51"/>
    <w:rsid w:val="00082DEF"/>
    <w:rsid w:val="00082FAE"/>
    <w:rsid w:val="00083022"/>
    <w:rsid w:val="00083837"/>
    <w:rsid w:val="00083842"/>
    <w:rsid w:val="00083977"/>
    <w:rsid w:val="00083B06"/>
    <w:rsid w:val="00083FAA"/>
    <w:rsid w:val="000840C3"/>
    <w:rsid w:val="00084494"/>
    <w:rsid w:val="0008456B"/>
    <w:rsid w:val="0008462E"/>
    <w:rsid w:val="000847BF"/>
    <w:rsid w:val="00084DE7"/>
    <w:rsid w:val="00084EE0"/>
    <w:rsid w:val="000855F4"/>
    <w:rsid w:val="00085729"/>
    <w:rsid w:val="00085D0E"/>
    <w:rsid w:val="00085EA1"/>
    <w:rsid w:val="00086045"/>
    <w:rsid w:val="000861D9"/>
    <w:rsid w:val="0008677E"/>
    <w:rsid w:val="000867DC"/>
    <w:rsid w:val="0008693A"/>
    <w:rsid w:val="000869E1"/>
    <w:rsid w:val="000869F6"/>
    <w:rsid w:val="00086A5C"/>
    <w:rsid w:val="00086AC8"/>
    <w:rsid w:val="00086B04"/>
    <w:rsid w:val="00086C42"/>
    <w:rsid w:val="00086E69"/>
    <w:rsid w:val="00086EBC"/>
    <w:rsid w:val="000874C4"/>
    <w:rsid w:val="0008779D"/>
    <w:rsid w:val="00087A89"/>
    <w:rsid w:val="00087AAB"/>
    <w:rsid w:val="00087ACC"/>
    <w:rsid w:val="00087D4F"/>
    <w:rsid w:val="00087F04"/>
    <w:rsid w:val="00087F7D"/>
    <w:rsid w:val="00087FC4"/>
    <w:rsid w:val="00090362"/>
    <w:rsid w:val="00090DBA"/>
    <w:rsid w:val="000910DA"/>
    <w:rsid w:val="00091273"/>
    <w:rsid w:val="0009155A"/>
    <w:rsid w:val="00091AD2"/>
    <w:rsid w:val="00091C4F"/>
    <w:rsid w:val="00091D6E"/>
    <w:rsid w:val="000928AF"/>
    <w:rsid w:val="00092F4C"/>
    <w:rsid w:val="00092F8E"/>
    <w:rsid w:val="00093188"/>
    <w:rsid w:val="00093603"/>
    <w:rsid w:val="00093611"/>
    <w:rsid w:val="00093796"/>
    <w:rsid w:val="00093910"/>
    <w:rsid w:val="00093995"/>
    <w:rsid w:val="000939CA"/>
    <w:rsid w:val="00094010"/>
    <w:rsid w:val="00094193"/>
    <w:rsid w:val="0009430E"/>
    <w:rsid w:val="000943A8"/>
    <w:rsid w:val="00094531"/>
    <w:rsid w:val="00094551"/>
    <w:rsid w:val="00094597"/>
    <w:rsid w:val="00094676"/>
    <w:rsid w:val="000947FC"/>
    <w:rsid w:val="00094FD8"/>
    <w:rsid w:val="000950A8"/>
    <w:rsid w:val="0009567D"/>
    <w:rsid w:val="0009569E"/>
    <w:rsid w:val="00095CCF"/>
    <w:rsid w:val="00095DE7"/>
    <w:rsid w:val="00095FFF"/>
    <w:rsid w:val="000963CA"/>
    <w:rsid w:val="000963F4"/>
    <w:rsid w:val="0009650F"/>
    <w:rsid w:val="00096616"/>
    <w:rsid w:val="00096896"/>
    <w:rsid w:val="00096A17"/>
    <w:rsid w:val="00096C06"/>
    <w:rsid w:val="00096C31"/>
    <w:rsid w:val="00096E12"/>
    <w:rsid w:val="00096E4E"/>
    <w:rsid w:val="000970BA"/>
    <w:rsid w:val="00097189"/>
    <w:rsid w:val="00097192"/>
    <w:rsid w:val="00097626"/>
    <w:rsid w:val="00097678"/>
    <w:rsid w:val="00097790"/>
    <w:rsid w:val="00097C35"/>
    <w:rsid w:val="00097CF0"/>
    <w:rsid w:val="00097D78"/>
    <w:rsid w:val="00097F09"/>
    <w:rsid w:val="000A005C"/>
    <w:rsid w:val="000A011D"/>
    <w:rsid w:val="000A0715"/>
    <w:rsid w:val="000A0783"/>
    <w:rsid w:val="000A07C9"/>
    <w:rsid w:val="000A09ED"/>
    <w:rsid w:val="000A0BA1"/>
    <w:rsid w:val="000A0C33"/>
    <w:rsid w:val="000A0D9F"/>
    <w:rsid w:val="000A1747"/>
    <w:rsid w:val="000A17C5"/>
    <w:rsid w:val="000A17F1"/>
    <w:rsid w:val="000A1B09"/>
    <w:rsid w:val="000A1DED"/>
    <w:rsid w:val="000A1EDB"/>
    <w:rsid w:val="000A1F75"/>
    <w:rsid w:val="000A2052"/>
    <w:rsid w:val="000A2395"/>
    <w:rsid w:val="000A250B"/>
    <w:rsid w:val="000A2809"/>
    <w:rsid w:val="000A2C0B"/>
    <w:rsid w:val="000A2CA6"/>
    <w:rsid w:val="000A2E24"/>
    <w:rsid w:val="000A3130"/>
    <w:rsid w:val="000A336C"/>
    <w:rsid w:val="000A346F"/>
    <w:rsid w:val="000A3898"/>
    <w:rsid w:val="000A393B"/>
    <w:rsid w:val="000A3C2F"/>
    <w:rsid w:val="000A468C"/>
    <w:rsid w:val="000A487A"/>
    <w:rsid w:val="000A4B15"/>
    <w:rsid w:val="000A4CBC"/>
    <w:rsid w:val="000A52A1"/>
    <w:rsid w:val="000A562A"/>
    <w:rsid w:val="000A56B2"/>
    <w:rsid w:val="000A5824"/>
    <w:rsid w:val="000A5AC6"/>
    <w:rsid w:val="000A5B13"/>
    <w:rsid w:val="000A5DB9"/>
    <w:rsid w:val="000A6057"/>
    <w:rsid w:val="000A633D"/>
    <w:rsid w:val="000A6389"/>
    <w:rsid w:val="000A6392"/>
    <w:rsid w:val="000A646A"/>
    <w:rsid w:val="000A6922"/>
    <w:rsid w:val="000A6DC1"/>
    <w:rsid w:val="000A6F06"/>
    <w:rsid w:val="000A7182"/>
    <w:rsid w:val="000A71B6"/>
    <w:rsid w:val="000A74C3"/>
    <w:rsid w:val="000A756F"/>
    <w:rsid w:val="000A7AA9"/>
    <w:rsid w:val="000A7C5E"/>
    <w:rsid w:val="000A7E55"/>
    <w:rsid w:val="000A7E92"/>
    <w:rsid w:val="000A7E96"/>
    <w:rsid w:val="000B0774"/>
    <w:rsid w:val="000B080D"/>
    <w:rsid w:val="000B08AB"/>
    <w:rsid w:val="000B08F0"/>
    <w:rsid w:val="000B0A33"/>
    <w:rsid w:val="000B0D24"/>
    <w:rsid w:val="000B0DE2"/>
    <w:rsid w:val="000B0E95"/>
    <w:rsid w:val="000B137A"/>
    <w:rsid w:val="000B16CB"/>
    <w:rsid w:val="000B1882"/>
    <w:rsid w:val="000B1905"/>
    <w:rsid w:val="000B2042"/>
    <w:rsid w:val="000B215D"/>
    <w:rsid w:val="000B2490"/>
    <w:rsid w:val="000B25F9"/>
    <w:rsid w:val="000B286B"/>
    <w:rsid w:val="000B2942"/>
    <w:rsid w:val="000B2944"/>
    <w:rsid w:val="000B2AF2"/>
    <w:rsid w:val="000B2CFB"/>
    <w:rsid w:val="000B2DCD"/>
    <w:rsid w:val="000B2E2A"/>
    <w:rsid w:val="000B2F0F"/>
    <w:rsid w:val="000B3097"/>
    <w:rsid w:val="000B3515"/>
    <w:rsid w:val="000B3557"/>
    <w:rsid w:val="000B3623"/>
    <w:rsid w:val="000B3802"/>
    <w:rsid w:val="000B3BB2"/>
    <w:rsid w:val="000B3DC4"/>
    <w:rsid w:val="000B3F0A"/>
    <w:rsid w:val="000B3F3E"/>
    <w:rsid w:val="000B4179"/>
    <w:rsid w:val="000B436E"/>
    <w:rsid w:val="000B442C"/>
    <w:rsid w:val="000B4935"/>
    <w:rsid w:val="000B4EA0"/>
    <w:rsid w:val="000B5042"/>
    <w:rsid w:val="000B5227"/>
    <w:rsid w:val="000B53C0"/>
    <w:rsid w:val="000B53FD"/>
    <w:rsid w:val="000B5629"/>
    <w:rsid w:val="000B56FE"/>
    <w:rsid w:val="000B5744"/>
    <w:rsid w:val="000B5978"/>
    <w:rsid w:val="000B5B36"/>
    <w:rsid w:val="000B5C2F"/>
    <w:rsid w:val="000B61DE"/>
    <w:rsid w:val="000B64E3"/>
    <w:rsid w:val="000B689B"/>
    <w:rsid w:val="000B6A33"/>
    <w:rsid w:val="000B6DC9"/>
    <w:rsid w:val="000B73C6"/>
    <w:rsid w:val="000B7685"/>
    <w:rsid w:val="000B7835"/>
    <w:rsid w:val="000B793E"/>
    <w:rsid w:val="000B7CB8"/>
    <w:rsid w:val="000B7DC3"/>
    <w:rsid w:val="000B7F93"/>
    <w:rsid w:val="000C0038"/>
    <w:rsid w:val="000C00EC"/>
    <w:rsid w:val="000C0459"/>
    <w:rsid w:val="000C06A4"/>
    <w:rsid w:val="000C06B9"/>
    <w:rsid w:val="000C0BBD"/>
    <w:rsid w:val="000C0C80"/>
    <w:rsid w:val="000C0CB4"/>
    <w:rsid w:val="000C0CFA"/>
    <w:rsid w:val="000C0F3A"/>
    <w:rsid w:val="000C0FAC"/>
    <w:rsid w:val="000C1231"/>
    <w:rsid w:val="000C1575"/>
    <w:rsid w:val="000C1F18"/>
    <w:rsid w:val="000C1F7A"/>
    <w:rsid w:val="000C20E1"/>
    <w:rsid w:val="000C2123"/>
    <w:rsid w:val="000C2987"/>
    <w:rsid w:val="000C2EA9"/>
    <w:rsid w:val="000C32BB"/>
    <w:rsid w:val="000C354C"/>
    <w:rsid w:val="000C3927"/>
    <w:rsid w:val="000C3B22"/>
    <w:rsid w:val="000C3CB6"/>
    <w:rsid w:val="000C4063"/>
    <w:rsid w:val="000C43E9"/>
    <w:rsid w:val="000C466C"/>
    <w:rsid w:val="000C491C"/>
    <w:rsid w:val="000C4BB7"/>
    <w:rsid w:val="000C4DFC"/>
    <w:rsid w:val="000C50B3"/>
    <w:rsid w:val="000C52A6"/>
    <w:rsid w:val="000C534D"/>
    <w:rsid w:val="000C53E9"/>
    <w:rsid w:val="000C5486"/>
    <w:rsid w:val="000C5530"/>
    <w:rsid w:val="000C5E91"/>
    <w:rsid w:val="000C604F"/>
    <w:rsid w:val="000C624B"/>
    <w:rsid w:val="000C6936"/>
    <w:rsid w:val="000C6C2F"/>
    <w:rsid w:val="000C6E85"/>
    <w:rsid w:val="000C6E9F"/>
    <w:rsid w:val="000C76F8"/>
    <w:rsid w:val="000C776D"/>
    <w:rsid w:val="000C7807"/>
    <w:rsid w:val="000C782D"/>
    <w:rsid w:val="000C7AE7"/>
    <w:rsid w:val="000C7DDE"/>
    <w:rsid w:val="000C7F62"/>
    <w:rsid w:val="000D01AA"/>
    <w:rsid w:val="000D055D"/>
    <w:rsid w:val="000D0829"/>
    <w:rsid w:val="000D0A89"/>
    <w:rsid w:val="000D0ACF"/>
    <w:rsid w:val="000D0B77"/>
    <w:rsid w:val="000D0BB6"/>
    <w:rsid w:val="000D0C8D"/>
    <w:rsid w:val="000D1354"/>
    <w:rsid w:val="000D149C"/>
    <w:rsid w:val="000D16CD"/>
    <w:rsid w:val="000D18C4"/>
    <w:rsid w:val="000D1AD6"/>
    <w:rsid w:val="000D1DEA"/>
    <w:rsid w:val="000D1EA8"/>
    <w:rsid w:val="000D2088"/>
    <w:rsid w:val="000D224A"/>
    <w:rsid w:val="000D2311"/>
    <w:rsid w:val="000D2538"/>
    <w:rsid w:val="000D27F5"/>
    <w:rsid w:val="000D2879"/>
    <w:rsid w:val="000D290C"/>
    <w:rsid w:val="000D2A5E"/>
    <w:rsid w:val="000D2D5C"/>
    <w:rsid w:val="000D2E49"/>
    <w:rsid w:val="000D2F0A"/>
    <w:rsid w:val="000D31DC"/>
    <w:rsid w:val="000D3378"/>
    <w:rsid w:val="000D3531"/>
    <w:rsid w:val="000D355C"/>
    <w:rsid w:val="000D366D"/>
    <w:rsid w:val="000D375A"/>
    <w:rsid w:val="000D37C2"/>
    <w:rsid w:val="000D3823"/>
    <w:rsid w:val="000D3A9E"/>
    <w:rsid w:val="000D3BC1"/>
    <w:rsid w:val="000D3C09"/>
    <w:rsid w:val="000D3CC1"/>
    <w:rsid w:val="000D3E56"/>
    <w:rsid w:val="000D3F40"/>
    <w:rsid w:val="000D4063"/>
    <w:rsid w:val="000D4101"/>
    <w:rsid w:val="000D41CA"/>
    <w:rsid w:val="000D4342"/>
    <w:rsid w:val="000D43B8"/>
    <w:rsid w:val="000D4457"/>
    <w:rsid w:val="000D468C"/>
    <w:rsid w:val="000D48FF"/>
    <w:rsid w:val="000D4BA9"/>
    <w:rsid w:val="000D5097"/>
    <w:rsid w:val="000D533D"/>
    <w:rsid w:val="000D535B"/>
    <w:rsid w:val="000D5667"/>
    <w:rsid w:val="000D571F"/>
    <w:rsid w:val="000D57A8"/>
    <w:rsid w:val="000D5C58"/>
    <w:rsid w:val="000D5C68"/>
    <w:rsid w:val="000D5D69"/>
    <w:rsid w:val="000D657F"/>
    <w:rsid w:val="000D65C2"/>
    <w:rsid w:val="000D65F5"/>
    <w:rsid w:val="000D6C93"/>
    <w:rsid w:val="000D6CFD"/>
    <w:rsid w:val="000D70AE"/>
    <w:rsid w:val="000D70D7"/>
    <w:rsid w:val="000D7131"/>
    <w:rsid w:val="000D763B"/>
    <w:rsid w:val="000D772C"/>
    <w:rsid w:val="000D7C54"/>
    <w:rsid w:val="000D7E36"/>
    <w:rsid w:val="000E0210"/>
    <w:rsid w:val="000E089B"/>
    <w:rsid w:val="000E1007"/>
    <w:rsid w:val="000E1436"/>
    <w:rsid w:val="000E150E"/>
    <w:rsid w:val="000E1757"/>
    <w:rsid w:val="000E1767"/>
    <w:rsid w:val="000E17A7"/>
    <w:rsid w:val="000E1940"/>
    <w:rsid w:val="000E1979"/>
    <w:rsid w:val="000E1A53"/>
    <w:rsid w:val="000E1B78"/>
    <w:rsid w:val="000E20EE"/>
    <w:rsid w:val="000E26C1"/>
    <w:rsid w:val="000E2A2D"/>
    <w:rsid w:val="000E3109"/>
    <w:rsid w:val="000E311B"/>
    <w:rsid w:val="000E31A6"/>
    <w:rsid w:val="000E3592"/>
    <w:rsid w:val="000E35A0"/>
    <w:rsid w:val="000E3868"/>
    <w:rsid w:val="000E38BA"/>
    <w:rsid w:val="000E3AA3"/>
    <w:rsid w:val="000E3BE1"/>
    <w:rsid w:val="000E3D68"/>
    <w:rsid w:val="000E3E15"/>
    <w:rsid w:val="000E4034"/>
    <w:rsid w:val="000E41D5"/>
    <w:rsid w:val="000E423E"/>
    <w:rsid w:val="000E47B0"/>
    <w:rsid w:val="000E4902"/>
    <w:rsid w:val="000E4BF1"/>
    <w:rsid w:val="000E4C34"/>
    <w:rsid w:val="000E4EBC"/>
    <w:rsid w:val="000E4FF4"/>
    <w:rsid w:val="000E5031"/>
    <w:rsid w:val="000E5404"/>
    <w:rsid w:val="000E5610"/>
    <w:rsid w:val="000E5C21"/>
    <w:rsid w:val="000E5D9C"/>
    <w:rsid w:val="000E6391"/>
    <w:rsid w:val="000E63B0"/>
    <w:rsid w:val="000E6774"/>
    <w:rsid w:val="000E6AA5"/>
    <w:rsid w:val="000E7041"/>
    <w:rsid w:val="000E738C"/>
    <w:rsid w:val="000E76E9"/>
    <w:rsid w:val="000E780D"/>
    <w:rsid w:val="000E798E"/>
    <w:rsid w:val="000E7BAB"/>
    <w:rsid w:val="000E7F56"/>
    <w:rsid w:val="000F0293"/>
    <w:rsid w:val="000F03DA"/>
    <w:rsid w:val="000F0674"/>
    <w:rsid w:val="000F0879"/>
    <w:rsid w:val="000F0AC1"/>
    <w:rsid w:val="000F0B55"/>
    <w:rsid w:val="000F0D7B"/>
    <w:rsid w:val="000F0E67"/>
    <w:rsid w:val="000F175E"/>
    <w:rsid w:val="000F1981"/>
    <w:rsid w:val="000F19C5"/>
    <w:rsid w:val="000F1CDA"/>
    <w:rsid w:val="000F1EE5"/>
    <w:rsid w:val="000F1F56"/>
    <w:rsid w:val="000F1F61"/>
    <w:rsid w:val="000F1F8E"/>
    <w:rsid w:val="000F2183"/>
    <w:rsid w:val="000F232B"/>
    <w:rsid w:val="000F28B5"/>
    <w:rsid w:val="000F29FF"/>
    <w:rsid w:val="000F2B94"/>
    <w:rsid w:val="000F2F0E"/>
    <w:rsid w:val="000F2F41"/>
    <w:rsid w:val="000F2F8D"/>
    <w:rsid w:val="000F3314"/>
    <w:rsid w:val="000F353A"/>
    <w:rsid w:val="000F3632"/>
    <w:rsid w:val="000F38A4"/>
    <w:rsid w:val="000F3CBF"/>
    <w:rsid w:val="000F412B"/>
    <w:rsid w:val="000F414B"/>
    <w:rsid w:val="000F44AD"/>
    <w:rsid w:val="000F4730"/>
    <w:rsid w:val="000F4C3C"/>
    <w:rsid w:val="000F4C4C"/>
    <w:rsid w:val="000F58BC"/>
    <w:rsid w:val="000F594C"/>
    <w:rsid w:val="000F5A0D"/>
    <w:rsid w:val="000F5E36"/>
    <w:rsid w:val="000F5F7F"/>
    <w:rsid w:val="000F6264"/>
    <w:rsid w:val="000F649F"/>
    <w:rsid w:val="000F65AE"/>
    <w:rsid w:val="000F6700"/>
    <w:rsid w:val="000F6A5F"/>
    <w:rsid w:val="000F6B4A"/>
    <w:rsid w:val="000F7631"/>
    <w:rsid w:val="000F7694"/>
    <w:rsid w:val="000F7787"/>
    <w:rsid w:val="000F7E06"/>
    <w:rsid w:val="000F7F5B"/>
    <w:rsid w:val="001002D2"/>
    <w:rsid w:val="00100409"/>
    <w:rsid w:val="00100583"/>
    <w:rsid w:val="001005AA"/>
    <w:rsid w:val="0010076D"/>
    <w:rsid w:val="00100E6F"/>
    <w:rsid w:val="001010BC"/>
    <w:rsid w:val="001013EE"/>
    <w:rsid w:val="001015B8"/>
    <w:rsid w:val="0010173F"/>
    <w:rsid w:val="001017E3"/>
    <w:rsid w:val="00101C22"/>
    <w:rsid w:val="00101C51"/>
    <w:rsid w:val="00101C90"/>
    <w:rsid w:val="00101CCC"/>
    <w:rsid w:val="00101E4C"/>
    <w:rsid w:val="00101F87"/>
    <w:rsid w:val="00102135"/>
    <w:rsid w:val="001021D7"/>
    <w:rsid w:val="001023C5"/>
    <w:rsid w:val="001025A4"/>
    <w:rsid w:val="00102AFD"/>
    <w:rsid w:val="00102B29"/>
    <w:rsid w:val="00102BE0"/>
    <w:rsid w:val="00102CAC"/>
    <w:rsid w:val="00102F76"/>
    <w:rsid w:val="00102FEB"/>
    <w:rsid w:val="00103339"/>
    <w:rsid w:val="001033A9"/>
    <w:rsid w:val="001034E3"/>
    <w:rsid w:val="001039C2"/>
    <w:rsid w:val="00103B00"/>
    <w:rsid w:val="00103C7F"/>
    <w:rsid w:val="00103CBC"/>
    <w:rsid w:val="00103DFF"/>
    <w:rsid w:val="00103F1C"/>
    <w:rsid w:val="001040AD"/>
    <w:rsid w:val="001041CC"/>
    <w:rsid w:val="0010422B"/>
    <w:rsid w:val="00104917"/>
    <w:rsid w:val="00104960"/>
    <w:rsid w:val="00104CC4"/>
    <w:rsid w:val="00104E46"/>
    <w:rsid w:val="00104EDD"/>
    <w:rsid w:val="0010518D"/>
    <w:rsid w:val="001053D9"/>
    <w:rsid w:val="0010567A"/>
    <w:rsid w:val="00105A17"/>
    <w:rsid w:val="00105C56"/>
    <w:rsid w:val="001060B0"/>
    <w:rsid w:val="001064A4"/>
    <w:rsid w:val="00106534"/>
    <w:rsid w:val="00106826"/>
    <w:rsid w:val="00106843"/>
    <w:rsid w:val="00106B6A"/>
    <w:rsid w:val="00106C24"/>
    <w:rsid w:val="00106CB2"/>
    <w:rsid w:val="00106CEE"/>
    <w:rsid w:val="00106F70"/>
    <w:rsid w:val="0010734D"/>
    <w:rsid w:val="0010739F"/>
    <w:rsid w:val="00107726"/>
    <w:rsid w:val="00107B24"/>
    <w:rsid w:val="00107B43"/>
    <w:rsid w:val="00107E52"/>
    <w:rsid w:val="001103B6"/>
    <w:rsid w:val="00110417"/>
    <w:rsid w:val="001107F1"/>
    <w:rsid w:val="00110805"/>
    <w:rsid w:val="001108D5"/>
    <w:rsid w:val="00110996"/>
    <w:rsid w:val="00110C13"/>
    <w:rsid w:val="00110DC5"/>
    <w:rsid w:val="00111196"/>
    <w:rsid w:val="0011178C"/>
    <w:rsid w:val="00111A4D"/>
    <w:rsid w:val="00111ABA"/>
    <w:rsid w:val="00111AE7"/>
    <w:rsid w:val="00111EC2"/>
    <w:rsid w:val="001120B0"/>
    <w:rsid w:val="001121D0"/>
    <w:rsid w:val="0011243C"/>
    <w:rsid w:val="001125AB"/>
    <w:rsid w:val="001125E7"/>
    <w:rsid w:val="00112988"/>
    <w:rsid w:val="00112A32"/>
    <w:rsid w:val="00112A57"/>
    <w:rsid w:val="00112CF0"/>
    <w:rsid w:val="00112E1E"/>
    <w:rsid w:val="00112FC9"/>
    <w:rsid w:val="001136C6"/>
    <w:rsid w:val="00113A88"/>
    <w:rsid w:val="00113BF7"/>
    <w:rsid w:val="0011408D"/>
    <w:rsid w:val="001140F3"/>
    <w:rsid w:val="0011428D"/>
    <w:rsid w:val="001143F5"/>
    <w:rsid w:val="00114706"/>
    <w:rsid w:val="00114B58"/>
    <w:rsid w:val="00114D5B"/>
    <w:rsid w:val="00114D9B"/>
    <w:rsid w:val="00114DA1"/>
    <w:rsid w:val="00114EA0"/>
    <w:rsid w:val="00114F65"/>
    <w:rsid w:val="0011526E"/>
    <w:rsid w:val="001153F3"/>
    <w:rsid w:val="00115672"/>
    <w:rsid w:val="001157AB"/>
    <w:rsid w:val="0011585E"/>
    <w:rsid w:val="00115ADE"/>
    <w:rsid w:val="00115B66"/>
    <w:rsid w:val="00115C9E"/>
    <w:rsid w:val="00116062"/>
    <w:rsid w:val="001166BE"/>
    <w:rsid w:val="00116702"/>
    <w:rsid w:val="001167A0"/>
    <w:rsid w:val="0011684C"/>
    <w:rsid w:val="0011699D"/>
    <w:rsid w:val="00116D3E"/>
    <w:rsid w:val="00116EE4"/>
    <w:rsid w:val="00117152"/>
    <w:rsid w:val="0011729F"/>
    <w:rsid w:val="001172BD"/>
    <w:rsid w:val="001178E4"/>
    <w:rsid w:val="00117AA2"/>
    <w:rsid w:val="00117CFD"/>
    <w:rsid w:val="0012013E"/>
    <w:rsid w:val="0012020C"/>
    <w:rsid w:val="00120B1E"/>
    <w:rsid w:val="00120E67"/>
    <w:rsid w:val="001211AB"/>
    <w:rsid w:val="001211DE"/>
    <w:rsid w:val="00121278"/>
    <w:rsid w:val="001213B4"/>
    <w:rsid w:val="001214BE"/>
    <w:rsid w:val="001218B8"/>
    <w:rsid w:val="001218CD"/>
    <w:rsid w:val="00121A72"/>
    <w:rsid w:val="00121F2D"/>
    <w:rsid w:val="00121F79"/>
    <w:rsid w:val="001220B7"/>
    <w:rsid w:val="001223BB"/>
    <w:rsid w:val="00122457"/>
    <w:rsid w:val="00122774"/>
    <w:rsid w:val="00122D21"/>
    <w:rsid w:val="001230F7"/>
    <w:rsid w:val="001232B5"/>
    <w:rsid w:val="00123325"/>
    <w:rsid w:val="0012337F"/>
    <w:rsid w:val="00123608"/>
    <w:rsid w:val="00123616"/>
    <w:rsid w:val="00123BC6"/>
    <w:rsid w:val="00123DA3"/>
    <w:rsid w:val="00124346"/>
    <w:rsid w:val="00124396"/>
    <w:rsid w:val="00124398"/>
    <w:rsid w:val="001245C0"/>
    <w:rsid w:val="00124730"/>
    <w:rsid w:val="00124826"/>
    <w:rsid w:val="00124B73"/>
    <w:rsid w:val="00124ED1"/>
    <w:rsid w:val="0012542D"/>
    <w:rsid w:val="0012561A"/>
    <w:rsid w:val="00125806"/>
    <w:rsid w:val="001258EF"/>
    <w:rsid w:val="001259C5"/>
    <w:rsid w:val="001259E0"/>
    <w:rsid w:val="00125B33"/>
    <w:rsid w:val="00125E57"/>
    <w:rsid w:val="001260B6"/>
    <w:rsid w:val="001260E3"/>
    <w:rsid w:val="00126201"/>
    <w:rsid w:val="001266EE"/>
    <w:rsid w:val="00126AD1"/>
    <w:rsid w:val="00126FB4"/>
    <w:rsid w:val="001272E6"/>
    <w:rsid w:val="00127687"/>
    <w:rsid w:val="001277C7"/>
    <w:rsid w:val="00127858"/>
    <w:rsid w:val="00127C8B"/>
    <w:rsid w:val="00127E95"/>
    <w:rsid w:val="00130248"/>
    <w:rsid w:val="0013024F"/>
    <w:rsid w:val="00130256"/>
    <w:rsid w:val="00130303"/>
    <w:rsid w:val="0013033D"/>
    <w:rsid w:val="001307A8"/>
    <w:rsid w:val="0013083E"/>
    <w:rsid w:val="00130858"/>
    <w:rsid w:val="00130DCA"/>
    <w:rsid w:val="0013100D"/>
    <w:rsid w:val="00131234"/>
    <w:rsid w:val="001312CB"/>
    <w:rsid w:val="0013137F"/>
    <w:rsid w:val="00131BAD"/>
    <w:rsid w:val="00131C30"/>
    <w:rsid w:val="00131D5F"/>
    <w:rsid w:val="00131ED3"/>
    <w:rsid w:val="00132229"/>
    <w:rsid w:val="001322D2"/>
    <w:rsid w:val="001323A3"/>
    <w:rsid w:val="00132503"/>
    <w:rsid w:val="00132E0B"/>
    <w:rsid w:val="001331F1"/>
    <w:rsid w:val="001333F9"/>
    <w:rsid w:val="00133C81"/>
    <w:rsid w:val="00133F08"/>
    <w:rsid w:val="00134146"/>
    <w:rsid w:val="00134222"/>
    <w:rsid w:val="001343B3"/>
    <w:rsid w:val="001346A2"/>
    <w:rsid w:val="0013474C"/>
    <w:rsid w:val="001347D3"/>
    <w:rsid w:val="00134847"/>
    <w:rsid w:val="0013497E"/>
    <w:rsid w:val="00134FA3"/>
    <w:rsid w:val="00135080"/>
    <w:rsid w:val="001351C6"/>
    <w:rsid w:val="001352BC"/>
    <w:rsid w:val="001356C7"/>
    <w:rsid w:val="001358C9"/>
    <w:rsid w:val="00135BE2"/>
    <w:rsid w:val="00135F98"/>
    <w:rsid w:val="0013601E"/>
    <w:rsid w:val="0013623B"/>
    <w:rsid w:val="00136497"/>
    <w:rsid w:val="00136624"/>
    <w:rsid w:val="001369BF"/>
    <w:rsid w:val="00136C98"/>
    <w:rsid w:val="00136F29"/>
    <w:rsid w:val="00136F6F"/>
    <w:rsid w:val="00137260"/>
    <w:rsid w:val="00137423"/>
    <w:rsid w:val="001376AB"/>
    <w:rsid w:val="00137A42"/>
    <w:rsid w:val="00137D90"/>
    <w:rsid w:val="00140646"/>
    <w:rsid w:val="00140D09"/>
    <w:rsid w:val="00140D6E"/>
    <w:rsid w:val="00140D92"/>
    <w:rsid w:val="00140E95"/>
    <w:rsid w:val="00141042"/>
    <w:rsid w:val="001414E0"/>
    <w:rsid w:val="0014162E"/>
    <w:rsid w:val="00141BD1"/>
    <w:rsid w:val="001421C1"/>
    <w:rsid w:val="001423B0"/>
    <w:rsid w:val="0014281A"/>
    <w:rsid w:val="00142B21"/>
    <w:rsid w:val="00142B86"/>
    <w:rsid w:val="00142DA3"/>
    <w:rsid w:val="00143228"/>
    <w:rsid w:val="001435CE"/>
    <w:rsid w:val="001438E0"/>
    <w:rsid w:val="00143AAF"/>
    <w:rsid w:val="00143B25"/>
    <w:rsid w:val="00143D52"/>
    <w:rsid w:val="00143DE6"/>
    <w:rsid w:val="00143F85"/>
    <w:rsid w:val="001441DA"/>
    <w:rsid w:val="00144A22"/>
    <w:rsid w:val="00144C8A"/>
    <w:rsid w:val="0014525B"/>
    <w:rsid w:val="001455B4"/>
    <w:rsid w:val="001455CC"/>
    <w:rsid w:val="00145604"/>
    <w:rsid w:val="00145DF3"/>
    <w:rsid w:val="0014616B"/>
    <w:rsid w:val="00146659"/>
    <w:rsid w:val="001468FD"/>
    <w:rsid w:val="00146D3B"/>
    <w:rsid w:val="00146D72"/>
    <w:rsid w:val="00147115"/>
    <w:rsid w:val="001471DD"/>
    <w:rsid w:val="00147213"/>
    <w:rsid w:val="0014740D"/>
    <w:rsid w:val="00147461"/>
    <w:rsid w:val="001477CE"/>
    <w:rsid w:val="0014784F"/>
    <w:rsid w:val="001478AD"/>
    <w:rsid w:val="00147BCC"/>
    <w:rsid w:val="00147F4D"/>
    <w:rsid w:val="0015040C"/>
    <w:rsid w:val="0015075A"/>
    <w:rsid w:val="00150843"/>
    <w:rsid w:val="0015096E"/>
    <w:rsid w:val="00150B89"/>
    <w:rsid w:val="00150C35"/>
    <w:rsid w:val="00150CFD"/>
    <w:rsid w:val="00150ECB"/>
    <w:rsid w:val="0015100D"/>
    <w:rsid w:val="00151316"/>
    <w:rsid w:val="0015167D"/>
    <w:rsid w:val="001516EE"/>
    <w:rsid w:val="001517E0"/>
    <w:rsid w:val="0015181C"/>
    <w:rsid w:val="001519C7"/>
    <w:rsid w:val="00151DFB"/>
    <w:rsid w:val="00151E35"/>
    <w:rsid w:val="00152123"/>
    <w:rsid w:val="0015233A"/>
    <w:rsid w:val="0015236F"/>
    <w:rsid w:val="0015256E"/>
    <w:rsid w:val="00152611"/>
    <w:rsid w:val="00152692"/>
    <w:rsid w:val="00152807"/>
    <w:rsid w:val="0015287E"/>
    <w:rsid w:val="00152BD1"/>
    <w:rsid w:val="00152BE0"/>
    <w:rsid w:val="00152C3D"/>
    <w:rsid w:val="00152ED6"/>
    <w:rsid w:val="00152FED"/>
    <w:rsid w:val="00153315"/>
    <w:rsid w:val="00153762"/>
    <w:rsid w:val="00153AA7"/>
    <w:rsid w:val="00153B1B"/>
    <w:rsid w:val="00153CA7"/>
    <w:rsid w:val="00153D48"/>
    <w:rsid w:val="001542A4"/>
    <w:rsid w:val="001542BE"/>
    <w:rsid w:val="00154A35"/>
    <w:rsid w:val="00154A9A"/>
    <w:rsid w:val="00155044"/>
    <w:rsid w:val="001550A3"/>
    <w:rsid w:val="0015510B"/>
    <w:rsid w:val="00155469"/>
    <w:rsid w:val="00155746"/>
    <w:rsid w:val="00155DC8"/>
    <w:rsid w:val="00155E48"/>
    <w:rsid w:val="00155EAF"/>
    <w:rsid w:val="00156251"/>
    <w:rsid w:val="00156419"/>
    <w:rsid w:val="00156436"/>
    <w:rsid w:val="0015658C"/>
    <w:rsid w:val="001565E8"/>
    <w:rsid w:val="001566D8"/>
    <w:rsid w:val="0015686A"/>
    <w:rsid w:val="00156A49"/>
    <w:rsid w:val="00156C80"/>
    <w:rsid w:val="00156CA6"/>
    <w:rsid w:val="0015742B"/>
    <w:rsid w:val="001574A7"/>
    <w:rsid w:val="0015751D"/>
    <w:rsid w:val="0015776C"/>
    <w:rsid w:val="00157984"/>
    <w:rsid w:val="001579DC"/>
    <w:rsid w:val="00157AD5"/>
    <w:rsid w:val="00157BA5"/>
    <w:rsid w:val="00157CEB"/>
    <w:rsid w:val="00157F02"/>
    <w:rsid w:val="00160015"/>
    <w:rsid w:val="00160346"/>
    <w:rsid w:val="001604D5"/>
    <w:rsid w:val="001605EB"/>
    <w:rsid w:val="00160877"/>
    <w:rsid w:val="00160C1B"/>
    <w:rsid w:val="00160EA4"/>
    <w:rsid w:val="0016108C"/>
    <w:rsid w:val="001610AC"/>
    <w:rsid w:val="00161391"/>
    <w:rsid w:val="0016155E"/>
    <w:rsid w:val="00161616"/>
    <w:rsid w:val="00161D3D"/>
    <w:rsid w:val="00161DCE"/>
    <w:rsid w:val="001620CB"/>
    <w:rsid w:val="001622F9"/>
    <w:rsid w:val="001625EC"/>
    <w:rsid w:val="00162780"/>
    <w:rsid w:val="001628A4"/>
    <w:rsid w:val="00162999"/>
    <w:rsid w:val="001630A8"/>
    <w:rsid w:val="00163983"/>
    <w:rsid w:val="00163E35"/>
    <w:rsid w:val="00164202"/>
    <w:rsid w:val="00164B4B"/>
    <w:rsid w:val="00164ECE"/>
    <w:rsid w:val="00165219"/>
    <w:rsid w:val="001652C2"/>
    <w:rsid w:val="0016534B"/>
    <w:rsid w:val="001654B0"/>
    <w:rsid w:val="001654B9"/>
    <w:rsid w:val="001657CF"/>
    <w:rsid w:val="00165907"/>
    <w:rsid w:val="00165C22"/>
    <w:rsid w:val="00165FF0"/>
    <w:rsid w:val="00166098"/>
    <w:rsid w:val="001660AA"/>
    <w:rsid w:val="001660CB"/>
    <w:rsid w:val="00166841"/>
    <w:rsid w:val="0016688E"/>
    <w:rsid w:val="0016689D"/>
    <w:rsid w:val="00166A1B"/>
    <w:rsid w:val="00166A22"/>
    <w:rsid w:val="00166A53"/>
    <w:rsid w:val="00166BE5"/>
    <w:rsid w:val="00166E24"/>
    <w:rsid w:val="00166F83"/>
    <w:rsid w:val="00167169"/>
    <w:rsid w:val="001671B2"/>
    <w:rsid w:val="0016723A"/>
    <w:rsid w:val="001672D1"/>
    <w:rsid w:val="00167335"/>
    <w:rsid w:val="001674FA"/>
    <w:rsid w:val="001675D0"/>
    <w:rsid w:val="00167AA3"/>
    <w:rsid w:val="00170100"/>
    <w:rsid w:val="001702E7"/>
    <w:rsid w:val="0017034B"/>
    <w:rsid w:val="001704CF"/>
    <w:rsid w:val="00170523"/>
    <w:rsid w:val="00170DC9"/>
    <w:rsid w:val="0017113D"/>
    <w:rsid w:val="00171335"/>
    <w:rsid w:val="00171796"/>
    <w:rsid w:val="0017181D"/>
    <w:rsid w:val="00171A05"/>
    <w:rsid w:val="00171D48"/>
    <w:rsid w:val="001725BB"/>
    <w:rsid w:val="00172E17"/>
    <w:rsid w:val="00172E28"/>
    <w:rsid w:val="00172EC4"/>
    <w:rsid w:val="00172F3A"/>
    <w:rsid w:val="001730A3"/>
    <w:rsid w:val="001730FD"/>
    <w:rsid w:val="0017311D"/>
    <w:rsid w:val="001733DB"/>
    <w:rsid w:val="001735B1"/>
    <w:rsid w:val="00173798"/>
    <w:rsid w:val="001738F0"/>
    <w:rsid w:val="00173BE6"/>
    <w:rsid w:val="00173D5A"/>
    <w:rsid w:val="00173DA5"/>
    <w:rsid w:val="00173E72"/>
    <w:rsid w:val="00173E9E"/>
    <w:rsid w:val="0017472D"/>
    <w:rsid w:val="00174762"/>
    <w:rsid w:val="001747E0"/>
    <w:rsid w:val="001750B9"/>
    <w:rsid w:val="00175209"/>
    <w:rsid w:val="00175374"/>
    <w:rsid w:val="001753F8"/>
    <w:rsid w:val="0017572D"/>
    <w:rsid w:val="00175967"/>
    <w:rsid w:val="00175AA2"/>
    <w:rsid w:val="00175ACB"/>
    <w:rsid w:val="00175B65"/>
    <w:rsid w:val="00175F5A"/>
    <w:rsid w:val="00175FCA"/>
    <w:rsid w:val="001760FF"/>
    <w:rsid w:val="0017645D"/>
    <w:rsid w:val="00176738"/>
    <w:rsid w:val="00176DAD"/>
    <w:rsid w:val="00176E42"/>
    <w:rsid w:val="00176E9A"/>
    <w:rsid w:val="001775AD"/>
    <w:rsid w:val="0017771D"/>
    <w:rsid w:val="001777D5"/>
    <w:rsid w:val="001777E9"/>
    <w:rsid w:val="001778D0"/>
    <w:rsid w:val="00177B6B"/>
    <w:rsid w:val="00177BDD"/>
    <w:rsid w:val="00177D12"/>
    <w:rsid w:val="00177D4D"/>
    <w:rsid w:val="00177DC0"/>
    <w:rsid w:val="001800A0"/>
    <w:rsid w:val="0018033D"/>
    <w:rsid w:val="0018043D"/>
    <w:rsid w:val="001807C0"/>
    <w:rsid w:val="001808A4"/>
    <w:rsid w:val="00180935"/>
    <w:rsid w:val="00180A23"/>
    <w:rsid w:val="00180B76"/>
    <w:rsid w:val="00180BE8"/>
    <w:rsid w:val="00180DE6"/>
    <w:rsid w:val="00180E9E"/>
    <w:rsid w:val="001811DE"/>
    <w:rsid w:val="001818CC"/>
    <w:rsid w:val="00181B43"/>
    <w:rsid w:val="00182023"/>
    <w:rsid w:val="00182487"/>
    <w:rsid w:val="0018269E"/>
    <w:rsid w:val="001826CB"/>
    <w:rsid w:val="001827AC"/>
    <w:rsid w:val="00182899"/>
    <w:rsid w:val="00183139"/>
    <w:rsid w:val="001831E8"/>
    <w:rsid w:val="001832B0"/>
    <w:rsid w:val="0018349C"/>
    <w:rsid w:val="00183562"/>
    <w:rsid w:val="00183649"/>
    <w:rsid w:val="00183935"/>
    <w:rsid w:val="00183970"/>
    <w:rsid w:val="00183C19"/>
    <w:rsid w:val="001843C4"/>
    <w:rsid w:val="00184519"/>
    <w:rsid w:val="001845F7"/>
    <w:rsid w:val="001848DE"/>
    <w:rsid w:val="001849F7"/>
    <w:rsid w:val="00184A83"/>
    <w:rsid w:val="00184E50"/>
    <w:rsid w:val="00185037"/>
    <w:rsid w:val="00185263"/>
    <w:rsid w:val="0018537D"/>
    <w:rsid w:val="001853A5"/>
    <w:rsid w:val="00185641"/>
    <w:rsid w:val="00185A8A"/>
    <w:rsid w:val="00185FA0"/>
    <w:rsid w:val="001862DA"/>
    <w:rsid w:val="001866B3"/>
    <w:rsid w:val="001866D1"/>
    <w:rsid w:val="001868A3"/>
    <w:rsid w:val="00186A8A"/>
    <w:rsid w:val="00186AA8"/>
    <w:rsid w:val="00186EB8"/>
    <w:rsid w:val="00187145"/>
    <w:rsid w:val="001874F4"/>
    <w:rsid w:val="001875EC"/>
    <w:rsid w:val="00187613"/>
    <w:rsid w:val="00187DA4"/>
    <w:rsid w:val="00187EE8"/>
    <w:rsid w:val="00187FEC"/>
    <w:rsid w:val="00190093"/>
    <w:rsid w:val="001904D5"/>
    <w:rsid w:val="00190A0B"/>
    <w:rsid w:val="00190BFA"/>
    <w:rsid w:val="0019104D"/>
    <w:rsid w:val="001913F8"/>
    <w:rsid w:val="00191778"/>
    <w:rsid w:val="001919D9"/>
    <w:rsid w:val="00191A50"/>
    <w:rsid w:val="00191A77"/>
    <w:rsid w:val="00191C23"/>
    <w:rsid w:val="00191DB3"/>
    <w:rsid w:val="00191FA7"/>
    <w:rsid w:val="00191FD5"/>
    <w:rsid w:val="001923ED"/>
    <w:rsid w:val="001925C0"/>
    <w:rsid w:val="00192B90"/>
    <w:rsid w:val="00192BFE"/>
    <w:rsid w:val="00192D0D"/>
    <w:rsid w:val="00192DDE"/>
    <w:rsid w:val="00192FA3"/>
    <w:rsid w:val="00193260"/>
    <w:rsid w:val="0019330F"/>
    <w:rsid w:val="0019374B"/>
    <w:rsid w:val="00193A90"/>
    <w:rsid w:val="00193B10"/>
    <w:rsid w:val="00193EE3"/>
    <w:rsid w:val="00193F9D"/>
    <w:rsid w:val="00194098"/>
    <w:rsid w:val="0019417F"/>
    <w:rsid w:val="00194995"/>
    <w:rsid w:val="00194CA5"/>
    <w:rsid w:val="00194FCC"/>
    <w:rsid w:val="00195476"/>
    <w:rsid w:val="00195706"/>
    <w:rsid w:val="00195CD2"/>
    <w:rsid w:val="001960B1"/>
    <w:rsid w:val="00196167"/>
    <w:rsid w:val="0019620C"/>
    <w:rsid w:val="00196526"/>
    <w:rsid w:val="00196594"/>
    <w:rsid w:val="001967A1"/>
    <w:rsid w:val="00196963"/>
    <w:rsid w:val="00196B93"/>
    <w:rsid w:val="00196BA3"/>
    <w:rsid w:val="00196BB2"/>
    <w:rsid w:val="00196E95"/>
    <w:rsid w:val="001970F9"/>
    <w:rsid w:val="00197350"/>
    <w:rsid w:val="001974BA"/>
    <w:rsid w:val="001975AB"/>
    <w:rsid w:val="00197BC3"/>
    <w:rsid w:val="00197CF5"/>
    <w:rsid w:val="00197DCD"/>
    <w:rsid w:val="001A05F7"/>
    <w:rsid w:val="001A07F5"/>
    <w:rsid w:val="001A0850"/>
    <w:rsid w:val="001A0968"/>
    <w:rsid w:val="001A0DEB"/>
    <w:rsid w:val="001A0F0C"/>
    <w:rsid w:val="001A131E"/>
    <w:rsid w:val="001A1388"/>
    <w:rsid w:val="001A1720"/>
    <w:rsid w:val="001A192B"/>
    <w:rsid w:val="001A1A0D"/>
    <w:rsid w:val="001A1D29"/>
    <w:rsid w:val="001A2109"/>
    <w:rsid w:val="001A21B7"/>
    <w:rsid w:val="001A2466"/>
    <w:rsid w:val="001A26F5"/>
    <w:rsid w:val="001A27E6"/>
    <w:rsid w:val="001A2DDC"/>
    <w:rsid w:val="001A2F36"/>
    <w:rsid w:val="001A3256"/>
    <w:rsid w:val="001A372B"/>
    <w:rsid w:val="001A3771"/>
    <w:rsid w:val="001A397A"/>
    <w:rsid w:val="001A3991"/>
    <w:rsid w:val="001A3B98"/>
    <w:rsid w:val="001A3BDE"/>
    <w:rsid w:val="001A3CFA"/>
    <w:rsid w:val="001A3F16"/>
    <w:rsid w:val="001A41A5"/>
    <w:rsid w:val="001A4336"/>
    <w:rsid w:val="001A4780"/>
    <w:rsid w:val="001A4CCB"/>
    <w:rsid w:val="001A4EB6"/>
    <w:rsid w:val="001A5119"/>
    <w:rsid w:val="001A517A"/>
    <w:rsid w:val="001A5419"/>
    <w:rsid w:val="001A5705"/>
    <w:rsid w:val="001A585E"/>
    <w:rsid w:val="001A592C"/>
    <w:rsid w:val="001A5D64"/>
    <w:rsid w:val="001A6037"/>
    <w:rsid w:val="001A609B"/>
    <w:rsid w:val="001A61C7"/>
    <w:rsid w:val="001A620B"/>
    <w:rsid w:val="001A63F2"/>
    <w:rsid w:val="001A6436"/>
    <w:rsid w:val="001A6496"/>
    <w:rsid w:val="001A6575"/>
    <w:rsid w:val="001A6854"/>
    <w:rsid w:val="001A6E6B"/>
    <w:rsid w:val="001A726C"/>
    <w:rsid w:val="001A7346"/>
    <w:rsid w:val="001A7386"/>
    <w:rsid w:val="001A751B"/>
    <w:rsid w:val="001A785E"/>
    <w:rsid w:val="001A7971"/>
    <w:rsid w:val="001A7A8D"/>
    <w:rsid w:val="001A7B28"/>
    <w:rsid w:val="001A7BFE"/>
    <w:rsid w:val="001A7E01"/>
    <w:rsid w:val="001A7E31"/>
    <w:rsid w:val="001A7FFD"/>
    <w:rsid w:val="001B0110"/>
    <w:rsid w:val="001B0511"/>
    <w:rsid w:val="001B090D"/>
    <w:rsid w:val="001B09E3"/>
    <w:rsid w:val="001B0AC4"/>
    <w:rsid w:val="001B0AD8"/>
    <w:rsid w:val="001B0C0A"/>
    <w:rsid w:val="001B0F33"/>
    <w:rsid w:val="001B105E"/>
    <w:rsid w:val="001B10FE"/>
    <w:rsid w:val="001B1324"/>
    <w:rsid w:val="001B1729"/>
    <w:rsid w:val="001B1E52"/>
    <w:rsid w:val="001B1FAD"/>
    <w:rsid w:val="001B29C1"/>
    <w:rsid w:val="001B300F"/>
    <w:rsid w:val="001B3048"/>
    <w:rsid w:val="001B378F"/>
    <w:rsid w:val="001B3961"/>
    <w:rsid w:val="001B40CB"/>
    <w:rsid w:val="001B40E7"/>
    <w:rsid w:val="001B42E4"/>
    <w:rsid w:val="001B436F"/>
    <w:rsid w:val="001B4425"/>
    <w:rsid w:val="001B470C"/>
    <w:rsid w:val="001B4B32"/>
    <w:rsid w:val="001B4E90"/>
    <w:rsid w:val="001B4E97"/>
    <w:rsid w:val="001B4EB7"/>
    <w:rsid w:val="001B4F0E"/>
    <w:rsid w:val="001B5097"/>
    <w:rsid w:val="001B5291"/>
    <w:rsid w:val="001B563F"/>
    <w:rsid w:val="001B571B"/>
    <w:rsid w:val="001B582D"/>
    <w:rsid w:val="001B5890"/>
    <w:rsid w:val="001B58B7"/>
    <w:rsid w:val="001B59A9"/>
    <w:rsid w:val="001B5C8D"/>
    <w:rsid w:val="001B5D3A"/>
    <w:rsid w:val="001B5D41"/>
    <w:rsid w:val="001B5EB0"/>
    <w:rsid w:val="001B6421"/>
    <w:rsid w:val="001B691A"/>
    <w:rsid w:val="001B696E"/>
    <w:rsid w:val="001B697A"/>
    <w:rsid w:val="001B6A56"/>
    <w:rsid w:val="001B6AFA"/>
    <w:rsid w:val="001B6D84"/>
    <w:rsid w:val="001B6FAF"/>
    <w:rsid w:val="001B6FE7"/>
    <w:rsid w:val="001B7191"/>
    <w:rsid w:val="001B71B9"/>
    <w:rsid w:val="001B71E3"/>
    <w:rsid w:val="001B7209"/>
    <w:rsid w:val="001B7243"/>
    <w:rsid w:val="001B7515"/>
    <w:rsid w:val="001B765A"/>
    <w:rsid w:val="001B76A8"/>
    <w:rsid w:val="001B782D"/>
    <w:rsid w:val="001C00F2"/>
    <w:rsid w:val="001C05BE"/>
    <w:rsid w:val="001C0963"/>
    <w:rsid w:val="001C09D9"/>
    <w:rsid w:val="001C1121"/>
    <w:rsid w:val="001C14A1"/>
    <w:rsid w:val="001C14EA"/>
    <w:rsid w:val="001C162A"/>
    <w:rsid w:val="001C1724"/>
    <w:rsid w:val="001C196E"/>
    <w:rsid w:val="001C1A14"/>
    <w:rsid w:val="001C1AC5"/>
    <w:rsid w:val="001C1B51"/>
    <w:rsid w:val="001C1C1C"/>
    <w:rsid w:val="001C1DE7"/>
    <w:rsid w:val="001C202D"/>
    <w:rsid w:val="001C2134"/>
    <w:rsid w:val="001C21A2"/>
    <w:rsid w:val="001C22BD"/>
    <w:rsid w:val="001C22F8"/>
    <w:rsid w:val="001C23C3"/>
    <w:rsid w:val="001C24B2"/>
    <w:rsid w:val="001C24F4"/>
    <w:rsid w:val="001C2A03"/>
    <w:rsid w:val="001C30D2"/>
    <w:rsid w:val="001C3874"/>
    <w:rsid w:val="001C38A7"/>
    <w:rsid w:val="001C39E8"/>
    <w:rsid w:val="001C3A22"/>
    <w:rsid w:val="001C3BC6"/>
    <w:rsid w:val="001C3CD8"/>
    <w:rsid w:val="001C3D31"/>
    <w:rsid w:val="001C3E21"/>
    <w:rsid w:val="001C3F63"/>
    <w:rsid w:val="001C4237"/>
    <w:rsid w:val="001C44E0"/>
    <w:rsid w:val="001C4553"/>
    <w:rsid w:val="001C4619"/>
    <w:rsid w:val="001C4623"/>
    <w:rsid w:val="001C4632"/>
    <w:rsid w:val="001C466B"/>
    <w:rsid w:val="001C4687"/>
    <w:rsid w:val="001C469B"/>
    <w:rsid w:val="001C47CC"/>
    <w:rsid w:val="001C4A0B"/>
    <w:rsid w:val="001C4B75"/>
    <w:rsid w:val="001C4C45"/>
    <w:rsid w:val="001C4C8C"/>
    <w:rsid w:val="001C4DA4"/>
    <w:rsid w:val="001C504B"/>
    <w:rsid w:val="001C532B"/>
    <w:rsid w:val="001C54F5"/>
    <w:rsid w:val="001C559E"/>
    <w:rsid w:val="001C55F6"/>
    <w:rsid w:val="001C5D2D"/>
    <w:rsid w:val="001C5D8B"/>
    <w:rsid w:val="001C6086"/>
    <w:rsid w:val="001C6252"/>
    <w:rsid w:val="001C62A4"/>
    <w:rsid w:val="001C62B4"/>
    <w:rsid w:val="001C6311"/>
    <w:rsid w:val="001C6504"/>
    <w:rsid w:val="001C66BF"/>
    <w:rsid w:val="001C6758"/>
    <w:rsid w:val="001C681D"/>
    <w:rsid w:val="001C69B9"/>
    <w:rsid w:val="001C6A71"/>
    <w:rsid w:val="001C6BFC"/>
    <w:rsid w:val="001C71AA"/>
    <w:rsid w:val="001C7225"/>
    <w:rsid w:val="001C73F8"/>
    <w:rsid w:val="001C75AB"/>
    <w:rsid w:val="001C75B2"/>
    <w:rsid w:val="001C767D"/>
    <w:rsid w:val="001C76C8"/>
    <w:rsid w:val="001C776C"/>
    <w:rsid w:val="001C779D"/>
    <w:rsid w:val="001C77E1"/>
    <w:rsid w:val="001C77F0"/>
    <w:rsid w:val="001C79DA"/>
    <w:rsid w:val="001C7A47"/>
    <w:rsid w:val="001C7A61"/>
    <w:rsid w:val="001C7ABB"/>
    <w:rsid w:val="001C7B01"/>
    <w:rsid w:val="001C7B07"/>
    <w:rsid w:val="001C7C88"/>
    <w:rsid w:val="001C7E6C"/>
    <w:rsid w:val="001C7F9B"/>
    <w:rsid w:val="001D01EA"/>
    <w:rsid w:val="001D02A9"/>
    <w:rsid w:val="001D0C43"/>
    <w:rsid w:val="001D112B"/>
    <w:rsid w:val="001D11B3"/>
    <w:rsid w:val="001D1595"/>
    <w:rsid w:val="001D1621"/>
    <w:rsid w:val="001D19A8"/>
    <w:rsid w:val="001D1F9D"/>
    <w:rsid w:val="001D2094"/>
    <w:rsid w:val="001D240E"/>
    <w:rsid w:val="001D26ED"/>
    <w:rsid w:val="001D2831"/>
    <w:rsid w:val="001D28B3"/>
    <w:rsid w:val="001D2D33"/>
    <w:rsid w:val="001D33AD"/>
    <w:rsid w:val="001D38DC"/>
    <w:rsid w:val="001D3D5E"/>
    <w:rsid w:val="001D3D79"/>
    <w:rsid w:val="001D468B"/>
    <w:rsid w:val="001D4BA7"/>
    <w:rsid w:val="001D5257"/>
    <w:rsid w:val="001D5280"/>
    <w:rsid w:val="001D5963"/>
    <w:rsid w:val="001D5CAD"/>
    <w:rsid w:val="001D5D71"/>
    <w:rsid w:val="001D62F5"/>
    <w:rsid w:val="001D638B"/>
    <w:rsid w:val="001D6488"/>
    <w:rsid w:val="001D6890"/>
    <w:rsid w:val="001D6CCE"/>
    <w:rsid w:val="001D6DFA"/>
    <w:rsid w:val="001D7159"/>
    <w:rsid w:val="001D7798"/>
    <w:rsid w:val="001D7948"/>
    <w:rsid w:val="001D79EF"/>
    <w:rsid w:val="001E004B"/>
    <w:rsid w:val="001E040D"/>
    <w:rsid w:val="001E0741"/>
    <w:rsid w:val="001E08F7"/>
    <w:rsid w:val="001E0916"/>
    <w:rsid w:val="001E1396"/>
    <w:rsid w:val="001E13C4"/>
    <w:rsid w:val="001E1441"/>
    <w:rsid w:val="001E17B8"/>
    <w:rsid w:val="001E1901"/>
    <w:rsid w:val="001E19D3"/>
    <w:rsid w:val="001E1F97"/>
    <w:rsid w:val="001E217C"/>
    <w:rsid w:val="001E23D1"/>
    <w:rsid w:val="001E2428"/>
    <w:rsid w:val="001E252F"/>
    <w:rsid w:val="001E257A"/>
    <w:rsid w:val="001E2610"/>
    <w:rsid w:val="001E26BD"/>
    <w:rsid w:val="001E2908"/>
    <w:rsid w:val="001E2A8E"/>
    <w:rsid w:val="001E2C43"/>
    <w:rsid w:val="001E38A8"/>
    <w:rsid w:val="001E3982"/>
    <w:rsid w:val="001E42AF"/>
    <w:rsid w:val="001E481B"/>
    <w:rsid w:val="001E4C4A"/>
    <w:rsid w:val="001E4F64"/>
    <w:rsid w:val="001E53CD"/>
    <w:rsid w:val="001E580B"/>
    <w:rsid w:val="001E5855"/>
    <w:rsid w:val="001E5A43"/>
    <w:rsid w:val="001E5B80"/>
    <w:rsid w:val="001E5BBB"/>
    <w:rsid w:val="001E5D75"/>
    <w:rsid w:val="001E5F64"/>
    <w:rsid w:val="001E6180"/>
    <w:rsid w:val="001E659B"/>
    <w:rsid w:val="001E65DD"/>
    <w:rsid w:val="001E6647"/>
    <w:rsid w:val="001E674B"/>
    <w:rsid w:val="001E68FC"/>
    <w:rsid w:val="001E6C2D"/>
    <w:rsid w:val="001E6D8E"/>
    <w:rsid w:val="001E6FBF"/>
    <w:rsid w:val="001E714A"/>
    <w:rsid w:val="001E72B6"/>
    <w:rsid w:val="001E7396"/>
    <w:rsid w:val="001E7569"/>
    <w:rsid w:val="001E7A5F"/>
    <w:rsid w:val="001E7F25"/>
    <w:rsid w:val="001F02E0"/>
    <w:rsid w:val="001F0766"/>
    <w:rsid w:val="001F0C39"/>
    <w:rsid w:val="001F0E62"/>
    <w:rsid w:val="001F0EE5"/>
    <w:rsid w:val="001F1086"/>
    <w:rsid w:val="001F111D"/>
    <w:rsid w:val="001F1178"/>
    <w:rsid w:val="001F16FB"/>
    <w:rsid w:val="001F1761"/>
    <w:rsid w:val="001F1844"/>
    <w:rsid w:val="001F1A09"/>
    <w:rsid w:val="001F1AE8"/>
    <w:rsid w:val="001F1BC4"/>
    <w:rsid w:val="001F2178"/>
    <w:rsid w:val="001F22CC"/>
    <w:rsid w:val="001F23D4"/>
    <w:rsid w:val="001F244F"/>
    <w:rsid w:val="001F25E0"/>
    <w:rsid w:val="001F26E3"/>
    <w:rsid w:val="001F2D62"/>
    <w:rsid w:val="001F2DF7"/>
    <w:rsid w:val="001F34DD"/>
    <w:rsid w:val="001F37E6"/>
    <w:rsid w:val="001F3A6C"/>
    <w:rsid w:val="001F3C5F"/>
    <w:rsid w:val="001F3FD5"/>
    <w:rsid w:val="001F458A"/>
    <w:rsid w:val="001F4B1F"/>
    <w:rsid w:val="001F4EB8"/>
    <w:rsid w:val="001F4F5A"/>
    <w:rsid w:val="001F51C1"/>
    <w:rsid w:val="001F548D"/>
    <w:rsid w:val="001F56BA"/>
    <w:rsid w:val="001F5FF8"/>
    <w:rsid w:val="001F61FE"/>
    <w:rsid w:val="001F646F"/>
    <w:rsid w:val="001F648E"/>
    <w:rsid w:val="001F655D"/>
    <w:rsid w:val="001F66DE"/>
    <w:rsid w:val="001F68BC"/>
    <w:rsid w:val="001F6C87"/>
    <w:rsid w:val="001F6EC5"/>
    <w:rsid w:val="001F705D"/>
    <w:rsid w:val="001F71B5"/>
    <w:rsid w:val="001F7246"/>
    <w:rsid w:val="001F7512"/>
    <w:rsid w:val="001F7570"/>
    <w:rsid w:val="001F7971"/>
    <w:rsid w:val="001F7A58"/>
    <w:rsid w:val="001F7ACA"/>
    <w:rsid w:val="001F7D00"/>
    <w:rsid w:val="001F7D3A"/>
    <w:rsid w:val="001F7FF3"/>
    <w:rsid w:val="0020066A"/>
    <w:rsid w:val="00200807"/>
    <w:rsid w:val="00200966"/>
    <w:rsid w:val="00200A6B"/>
    <w:rsid w:val="00200CAC"/>
    <w:rsid w:val="00200D92"/>
    <w:rsid w:val="002014E7"/>
    <w:rsid w:val="00201636"/>
    <w:rsid w:val="00201DA5"/>
    <w:rsid w:val="00202046"/>
    <w:rsid w:val="00202576"/>
    <w:rsid w:val="0020294A"/>
    <w:rsid w:val="00202966"/>
    <w:rsid w:val="00202A9E"/>
    <w:rsid w:val="00202AA8"/>
    <w:rsid w:val="00202C8C"/>
    <w:rsid w:val="00202D81"/>
    <w:rsid w:val="00202DC0"/>
    <w:rsid w:val="00202E80"/>
    <w:rsid w:val="00202EB6"/>
    <w:rsid w:val="0020364D"/>
    <w:rsid w:val="00203941"/>
    <w:rsid w:val="00203B02"/>
    <w:rsid w:val="00203F82"/>
    <w:rsid w:val="00204026"/>
    <w:rsid w:val="0020437B"/>
    <w:rsid w:val="002048BC"/>
    <w:rsid w:val="002051EE"/>
    <w:rsid w:val="00205507"/>
    <w:rsid w:val="00205642"/>
    <w:rsid w:val="00205644"/>
    <w:rsid w:val="00205A9F"/>
    <w:rsid w:val="00205B0E"/>
    <w:rsid w:val="00205B1F"/>
    <w:rsid w:val="00205C55"/>
    <w:rsid w:val="00205EDA"/>
    <w:rsid w:val="00205FEA"/>
    <w:rsid w:val="002061CA"/>
    <w:rsid w:val="0020689C"/>
    <w:rsid w:val="00206929"/>
    <w:rsid w:val="002069A7"/>
    <w:rsid w:val="002069BC"/>
    <w:rsid w:val="00206DFB"/>
    <w:rsid w:val="00206E13"/>
    <w:rsid w:val="00206F7F"/>
    <w:rsid w:val="00207007"/>
    <w:rsid w:val="00207126"/>
    <w:rsid w:val="0020718C"/>
    <w:rsid w:val="00207205"/>
    <w:rsid w:val="00207223"/>
    <w:rsid w:val="00207408"/>
    <w:rsid w:val="00207526"/>
    <w:rsid w:val="0020762E"/>
    <w:rsid w:val="0020772C"/>
    <w:rsid w:val="00207DEE"/>
    <w:rsid w:val="0021000D"/>
    <w:rsid w:val="0021033E"/>
    <w:rsid w:val="00210679"/>
    <w:rsid w:val="00210901"/>
    <w:rsid w:val="00210954"/>
    <w:rsid w:val="002109E7"/>
    <w:rsid w:val="00210D6E"/>
    <w:rsid w:val="00210D9C"/>
    <w:rsid w:val="00210DCC"/>
    <w:rsid w:val="00210DCD"/>
    <w:rsid w:val="0021125F"/>
    <w:rsid w:val="0021198D"/>
    <w:rsid w:val="002119BF"/>
    <w:rsid w:val="00211B54"/>
    <w:rsid w:val="00211C52"/>
    <w:rsid w:val="00211D3D"/>
    <w:rsid w:val="00211DC0"/>
    <w:rsid w:val="0021225B"/>
    <w:rsid w:val="002126B2"/>
    <w:rsid w:val="002128B3"/>
    <w:rsid w:val="00212948"/>
    <w:rsid w:val="00212A00"/>
    <w:rsid w:val="00212BB4"/>
    <w:rsid w:val="00212BFF"/>
    <w:rsid w:val="00212C55"/>
    <w:rsid w:val="002134A1"/>
    <w:rsid w:val="00213A9B"/>
    <w:rsid w:val="00213E70"/>
    <w:rsid w:val="00213E74"/>
    <w:rsid w:val="00214036"/>
    <w:rsid w:val="002142E8"/>
    <w:rsid w:val="002145B9"/>
    <w:rsid w:val="00214756"/>
    <w:rsid w:val="00214A9C"/>
    <w:rsid w:val="00214BD4"/>
    <w:rsid w:val="00214C94"/>
    <w:rsid w:val="00214FFF"/>
    <w:rsid w:val="0021501A"/>
    <w:rsid w:val="00215101"/>
    <w:rsid w:val="002151CB"/>
    <w:rsid w:val="00215468"/>
    <w:rsid w:val="002154FE"/>
    <w:rsid w:val="00215AAF"/>
    <w:rsid w:val="00215BCF"/>
    <w:rsid w:val="002160BB"/>
    <w:rsid w:val="00216238"/>
    <w:rsid w:val="002163C8"/>
    <w:rsid w:val="002165D3"/>
    <w:rsid w:val="00216771"/>
    <w:rsid w:val="0021687C"/>
    <w:rsid w:val="0021697C"/>
    <w:rsid w:val="00216AAA"/>
    <w:rsid w:val="00217353"/>
    <w:rsid w:val="00217423"/>
    <w:rsid w:val="00217691"/>
    <w:rsid w:val="00217817"/>
    <w:rsid w:val="00217839"/>
    <w:rsid w:val="00217BBD"/>
    <w:rsid w:val="00217DF9"/>
    <w:rsid w:val="0022067E"/>
    <w:rsid w:val="002206D0"/>
    <w:rsid w:val="00220893"/>
    <w:rsid w:val="002208DA"/>
    <w:rsid w:val="0022094B"/>
    <w:rsid w:val="00221197"/>
    <w:rsid w:val="00221581"/>
    <w:rsid w:val="002215D5"/>
    <w:rsid w:val="00221607"/>
    <w:rsid w:val="00221837"/>
    <w:rsid w:val="0022195B"/>
    <w:rsid w:val="00221B1E"/>
    <w:rsid w:val="00221C8C"/>
    <w:rsid w:val="0022224C"/>
    <w:rsid w:val="00222392"/>
    <w:rsid w:val="002223C1"/>
    <w:rsid w:val="002224C1"/>
    <w:rsid w:val="00222574"/>
    <w:rsid w:val="0022267F"/>
    <w:rsid w:val="00222AF4"/>
    <w:rsid w:val="00222D4A"/>
    <w:rsid w:val="0022359F"/>
    <w:rsid w:val="0022389B"/>
    <w:rsid w:val="002240C5"/>
    <w:rsid w:val="002244A6"/>
    <w:rsid w:val="002245B8"/>
    <w:rsid w:val="0022463E"/>
    <w:rsid w:val="00224CE1"/>
    <w:rsid w:val="002256AC"/>
    <w:rsid w:val="002256E4"/>
    <w:rsid w:val="002259BA"/>
    <w:rsid w:val="00225A3B"/>
    <w:rsid w:val="00225A8C"/>
    <w:rsid w:val="00225AE3"/>
    <w:rsid w:val="00225BD8"/>
    <w:rsid w:val="00225CFE"/>
    <w:rsid w:val="00226081"/>
    <w:rsid w:val="002262D1"/>
    <w:rsid w:val="002263A4"/>
    <w:rsid w:val="002264E2"/>
    <w:rsid w:val="00226AF7"/>
    <w:rsid w:val="00226CF3"/>
    <w:rsid w:val="002276A5"/>
    <w:rsid w:val="002277B0"/>
    <w:rsid w:val="002278E4"/>
    <w:rsid w:val="00227B4A"/>
    <w:rsid w:val="00227CDE"/>
    <w:rsid w:val="00227FDC"/>
    <w:rsid w:val="00230003"/>
    <w:rsid w:val="0023039A"/>
    <w:rsid w:val="00230472"/>
    <w:rsid w:val="0023060E"/>
    <w:rsid w:val="00230817"/>
    <w:rsid w:val="0023081D"/>
    <w:rsid w:val="00230A9B"/>
    <w:rsid w:val="00230B9A"/>
    <w:rsid w:val="00230C9C"/>
    <w:rsid w:val="00230D60"/>
    <w:rsid w:val="00230DCC"/>
    <w:rsid w:val="00230F31"/>
    <w:rsid w:val="00230FA0"/>
    <w:rsid w:val="00230FE7"/>
    <w:rsid w:val="00231417"/>
    <w:rsid w:val="00231611"/>
    <w:rsid w:val="002316DB"/>
    <w:rsid w:val="002317CA"/>
    <w:rsid w:val="00231960"/>
    <w:rsid w:val="00231BBD"/>
    <w:rsid w:val="00231D7E"/>
    <w:rsid w:val="00231E84"/>
    <w:rsid w:val="00231F26"/>
    <w:rsid w:val="002324E3"/>
    <w:rsid w:val="002326C4"/>
    <w:rsid w:val="00232917"/>
    <w:rsid w:val="002329E5"/>
    <w:rsid w:val="00232DD0"/>
    <w:rsid w:val="00232FEC"/>
    <w:rsid w:val="0023329C"/>
    <w:rsid w:val="00233355"/>
    <w:rsid w:val="00233586"/>
    <w:rsid w:val="00233808"/>
    <w:rsid w:val="00233868"/>
    <w:rsid w:val="002338CA"/>
    <w:rsid w:val="00233B7B"/>
    <w:rsid w:val="00233BC0"/>
    <w:rsid w:val="00233BDA"/>
    <w:rsid w:val="00233BFF"/>
    <w:rsid w:val="00233D31"/>
    <w:rsid w:val="00233D92"/>
    <w:rsid w:val="00233ECE"/>
    <w:rsid w:val="00233FBB"/>
    <w:rsid w:val="00233FF1"/>
    <w:rsid w:val="002345D4"/>
    <w:rsid w:val="00234B4F"/>
    <w:rsid w:val="00234C42"/>
    <w:rsid w:val="00234F8D"/>
    <w:rsid w:val="00235038"/>
    <w:rsid w:val="0023511A"/>
    <w:rsid w:val="00235412"/>
    <w:rsid w:val="0023561F"/>
    <w:rsid w:val="00235F4B"/>
    <w:rsid w:val="0023617D"/>
    <w:rsid w:val="00236244"/>
    <w:rsid w:val="00236586"/>
    <w:rsid w:val="00236656"/>
    <w:rsid w:val="0023669A"/>
    <w:rsid w:val="00236DC0"/>
    <w:rsid w:val="00236F4C"/>
    <w:rsid w:val="002373A2"/>
    <w:rsid w:val="00237A0A"/>
    <w:rsid w:val="00237DE4"/>
    <w:rsid w:val="00237EAC"/>
    <w:rsid w:val="0024016C"/>
    <w:rsid w:val="002402F3"/>
    <w:rsid w:val="00240461"/>
    <w:rsid w:val="002407CC"/>
    <w:rsid w:val="002409E3"/>
    <w:rsid w:val="002410C2"/>
    <w:rsid w:val="002410DA"/>
    <w:rsid w:val="0024111E"/>
    <w:rsid w:val="0024113D"/>
    <w:rsid w:val="002411C6"/>
    <w:rsid w:val="00241394"/>
    <w:rsid w:val="002415CE"/>
    <w:rsid w:val="00241BC0"/>
    <w:rsid w:val="00242283"/>
    <w:rsid w:val="00242517"/>
    <w:rsid w:val="0024260B"/>
    <w:rsid w:val="0024266B"/>
    <w:rsid w:val="002427B5"/>
    <w:rsid w:val="0024296D"/>
    <w:rsid w:val="00242B2B"/>
    <w:rsid w:val="002432B0"/>
    <w:rsid w:val="00243422"/>
    <w:rsid w:val="00243446"/>
    <w:rsid w:val="002439B0"/>
    <w:rsid w:val="00243BD2"/>
    <w:rsid w:val="00243D63"/>
    <w:rsid w:val="0024401F"/>
    <w:rsid w:val="00244341"/>
    <w:rsid w:val="0024444E"/>
    <w:rsid w:val="00244685"/>
    <w:rsid w:val="002447E9"/>
    <w:rsid w:val="002447FC"/>
    <w:rsid w:val="00244A56"/>
    <w:rsid w:val="00244C8A"/>
    <w:rsid w:val="00244E76"/>
    <w:rsid w:val="00244EE7"/>
    <w:rsid w:val="002453BE"/>
    <w:rsid w:val="002455C3"/>
    <w:rsid w:val="0024569B"/>
    <w:rsid w:val="00245A3F"/>
    <w:rsid w:val="00245E2E"/>
    <w:rsid w:val="00245FE1"/>
    <w:rsid w:val="00246686"/>
    <w:rsid w:val="00246967"/>
    <w:rsid w:val="00247177"/>
    <w:rsid w:val="0024736E"/>
    <w:rsid w:val="002473B4"/>
    <w:rsid w:val="0024799C"/>
    <w:rsid w:val="00247B4D"/>
    <w:rsid w:val="00247EBC"/>
    <w:rsid w:val="00250166"/>
    <w:rsid w:val="00250386"/>
    <w:rsid w:val="00250A38"/>
    <w:rsid w:val="00250BFD"/>
    <w:rsid w:val="00250C60"/>
    <w:rsid w:val="00251028"/>
    <w:rsid w:val="0025106D"/>
    <w:rsid w:val="002513AE"/>
    <w:rsid w:val="002517C6"/>
    <w:rsid w:val="00251CAD"/>
    <w:rsid w:val="00251CFF"/>
    <w:rsid w:val="00251FB0"/>
    <w:rsid w:val="0025217B"/>
    <w:rsid w:val="002521E1"/>
    <w:rsid w:val="00252686"/>
    <w:rsid w:val="002527A2"/>
    <w:rsid w:val="0025309F"/>
    <w:rsid w:val="002530F3"/>
    <w:rsid w:val="00253498"/>
    <w:rsid w:val="002535CE"/>
    <w:rsid w:val="00253724"/>
    <w:rsid w:val="002538DF"/>
    <w:rsid w:val="00254114"/>
    <w:rsid w:val="00254247"/>
    <w:rsid w:val="002542B2"/>
    <w:rsid w:val="0025447C"/>
    <w:rsid w:val="00254531"/>
    <w:rsid w:val="00254681"/>
    <w:rsid w:val="00254B08"/>
    <w:rsid w:val="00254B81"/>
    <w:rsid w:val="0025518A"/>
    <w:rsid w:val="00255399"/>
    <w:rsid w:val="002559B3"/>
    <w:rsid w:val="00255A84"/>
    <w:rsid w:val="00255B5A"/>
    <w:rsid w:val="00255C08"/>
    <w:rsid w:val="00255F7F"/>
    <w:rsid w:val="00256777"/>
    <w:rsid w:val="00256795"/>
    <w:rsid w:val="0025684E"/>
    <w:rsid w:val="0025698E"/>
    <w:rsid w:val="00256D84"/>
    <w:rsid w:val="002574AF"/>
    <w:rsid w:val="00257A7E"/>
    <w:rsid w:val="00257AAA"/>
    <w:rsid w:val="00257B86"/>
    <w:rsid w:val="00257C41"/>
    <w:rsid w:val="00257F13"/>
    <w:rsid w:val="00260448"/>
    <w:rsid w:val="0026075D"/>
    <w:rsid w:val="00260BA6"/>
    <w:rsid w:val="00260C35"/>
    <w:rsid w:val="00260D8B"/>
    <w:rsid w:val="0026114B"/>
    <w:rsid w:val="0026115B"/>
    <w:rsid w:val="0026123A"/>
    <w:rsid w:val="00261391"/>
    <w:rsid w:val="0026169D"/>
    <w:rsid w:val="00261972"/>
    <w:rsid w:val="00261978"/>
    <w:rsid w:val="00261CF1"/>
    <w:rsid w:val="00261DA5"/>
    <w:rsid w:val="0026237B"/>
    <w:rsid w:val="002625B6"/>
    <w:rsid w:val="00262869"/>
    <w:rsid w:val="002628F6"/>
    <w:rsid w:val="00262B07"/>
    <w:rsid w:val="00262DCF"/>
    <w:rsid w:val="00262FF5"/>
    <w:rsid w:val="002631A8"/>
    <w:rsid w:val="00263374"/>
    <w:rsid w:val="002634EA"/>
    <w:rsid w:val="002637C1"/>
    <w:rsid w:val="002637CF"/>
    <w:rsid w:val="00263AF8"/>
    <w:rsid w:val="00263CD1"/>
    <w:rsid w:val="0026436B"/>
    <w:rsid w:val="002645C7"/>
    <w:rsid w:val="002646C9"/>
    <w:rsid w:val="002646FE"/>
    <w:rsid w:val="002648EE"/>
    <w:rsid w:val="00264B3D"/>
    <w:rsid w:val="00264C1F"/>
    <w:rsid w:val="00264FD6"/>
    <w:rsid w:val="00265237"/>
    <w:rsid w:val="002656C7"/>
    <w:rsid w:val="00265AC3"/>
    <w:rsid w:val="00265BFC"/>
    <w:rsid w:val="00265D3C"/>
    <w:rsid w:val="00265D9E"/>
    <w:rsid w:val="002661EE"/>
    <w:rsid w:val="0026683B"/>
    <w:rsid w:val="00266D29"/>
    <w:rsid w:val="00266E9A"/>
    <w:rsid w:val="002671A2"/>
    <w:rsid w:val="0026722A"/>
    <w:rsid w:val="002673E8"/>
    <w:rsid w:val="00267496"/>
    <w:rsid w:val="0026770A"/>
    <w:rsid w:val="00267A28"/>
    <w:rsid w:val="00267A7C"/>
    <w:rsid w:val="00267B3C"/>
    <w:rsid w:val="00267B57"/>
    <w:rsid w:val="00267F66"/>
    <w:rsid w:val="00270169"/>
    <w:rsid w:val="00270189"/>
    <w:rsid w:val="002702D2"/>
    <w:rsid w:val="00270370"/>
    <w:rsid w:val="002708A2"/>
    <w:rsid w:val="00270910"/>
    <w:rsid w:val="00270E19"/>
    <w:rsid w:val="0027170E"/>
    <w:rsid w:val="00271B4D"/>
    <w:rsid w:val="00271BB6"/>
    <w:rsid w:val="00271E89"/>
    <w:rsid w:val="00271F48"/>
    <w:rsid w:val="00271FEE"/>
    <w:rsid w:val="0027204C"/>
    <w:rsid w:val="00272164"/>
    <w:rsid w:val="00272499"/>
    <w:rsid w:val="00272547"/>
    <w:rsid w:val="00272616"/>
    <w:rsid w:val="00272623"/>
    <w:rsid w:val="0027268F"/>
    <w:rsid w:val="00272960"/>
    <w:rsid w:val="00272A65"/>
    <w:rsid w:val="00272C65"/>
    <w:rsid w:val="00272DBE"/>
    <w:rsid w:val="00272DF9"/>
    <w:rsid w:val="0027304A"/>
    <w:rsid w:val="0027304D"/>
    <w:rsid w:val="00273102"/>
    <w:rsid w:val="0027349A"/>
    <w:rsid w:val="00273930"/>
    <w:rsid w:val="00273CB2"/>
    <w:rsid w:val="00274020"/>
    <w:rsid w:val="002742FE"/>
    <w:rsid w:val="00274BA1"/>
    <w:rsid w:val="00274C4D"/>
    <w:rsid w:val="00274EFA"/>
    <w:rsid w:val="00274F60"/>
    <w:rsid w:val="00274F9A"/>
    <w:rsid w:val="00275025"/>
    <w:rsid w:val="00275380"/>
    <w:rsid w:val="00275634"/>
    <w:rsid w:val="00275965"/>
    <w:rsid w:val="0027596A"/>
    <w:rsid w:val="002759C0"/>
    <w:rsid w:val="00275B68"/>
    <w:rsid w:val="00275C43"/>
    <w:rsid w:val="00275D7A"/>
    <w:rsid w:val="00275F9E"/>
    <w:rsid w:val="002761BD"/>
    <w:rsid w:val="0027652E"/>
    <w:rsid w:val="00276884"/>
    <w:rsid w:val="002769CF"/>
    <w:rsid w:val="00277120"/>
    <w:rsid w:val="002772AF"/>
    <w:rsid w:val="0027780B"/>
    <w:rsid w:val="002778BE"/>
    <w:rsid w:val="002779A2"/>
    <w:rsid w:val="00277A86"/>
    <w:rsid w:val="00280215"/>
    <w:rsid w:val="00280A75"/>
    <w:rsid w:val="00280B6C"/>
    <w:rsid w:val="00280CBA"/>
    <w:rsid w:val="00280D5B"/>
    <w:rsid w:val="00280EA4"/>
    <w:rsid w:val="00281007"/>
    <w:rsid w:val="002811B7"/>
    <w:rsid w:val="00281249"/>
    <w:rsid w:val="00281364"/>
    <w:rsid w:val="00281796"/>
    <w:rsid w:val="00281819"/>
    <w:rsid w:val="00281DA0"/>
    <w:rsid w:val="00282086"/>
    <w:rsid w:val="002821B6"/>
    <w:rsid w:val="002822C7"/>
    <w:rsid w:val="00282372"/>
    <w:rsid w:val="00282492"/>
    <w:rsid w:val="002826C9"/>
    <w:rsid w:val="00282795"/>
    <w:rsid w:val="002827F9"/>
    <w:rsid w:val="00282BAE"/>
    <w:rsid w:val="00282D05"/>
    <w:rsid w:val="00282DAC"/>
    <w:rsid w:val="00282DF5"/>
    <w:rsid w:val="00282E13"/>
    <w:rsid w:val="00282EE5"/>
    <w:rsid w:val="00282FD5"/>
    <w:rsid w:val="00283110"/>
    <w:rsid w:val="0028313A"/>
    <w:rsid w:val="002834C9"/>
    <w:rsid w:val="002835A6"/>
    <w:rsid w:val="002837C2"/>
    <w:rsid w:val="0028399A"/>
    <w:rsid w:val="002839FB"/>
    <w:rsid w:val="00283BB4"/>
    <w:rsid w:val="00283D4E"/>
    <w:rsid w:val="00283F53"/>
    <w:rsid w:val="00284036"/>
    <w:rsid w:val="00284162"/>
    <w:rsid w:val="002844AC"/>
    <w:rsid w:val="0028453A"/>
    <w:rsid w:val="002845EA"/>
    <w:rsid w:val="002846B4"/>
    <w:rsid w:val="002846F8"/>
    <w:rsid w:val="002848C8"/>
    <w:rsid w:val="00284904"/>
    <w:rsid w:val="00284B22"/>
    <w:rsid w:val="00284C20"/>
    <w:rsid w:val="0028523A"/>
    <w:rsid w:val="00285309"/>
    <w:rsid w:val="00285328"/>
    <w:rsid w:val="0028551B"/>
    <w:rsid w:val="00285A8C"/>
    <w:rsid w:val="00285B2E"/>
    <w:rsid w:val="00285C05"/>
    <w:rsid w:val="00285DF6"/>
    <w:rsid w:val="002860DC"/>
    <w:rsid w:val="00286154"/>
    <w:rsid w:val="0028670B"/>
    <w:rsid w:val="00286894"/>
    <w:rsid w:val="00286B1C"/>
    <w:rsid w:val="00286B65"/>
    <w:rsid w:val="00286DCB"/>
    <w:rsid w:val="00286EBE"/>
    <w:rsid w:val="00286FB0"/>
    <w:rsid w:val="0028718B"/>
    <w:rsid w:val="00287423"/>
    <w:rsid w:val="00287699"/>
    <w:rsid w:val="0028783E"/>
    <w:rsid w:val="00287CFC"/>
    <w:rsid w:val="00290008"/>
    <w:rsid w:val="0029008E"/>
    <w:rsid w:val="002904CD"/>
    <w:rsid w:val="00290588"/>
    <w:rsid w:val="00290716"/>
    <w:rsid w:val="002907BC"/>
    <w:rsid w:val="00290C7A"/>
    <w:rsid w:val="00290F8B"/>
    <w:rsid w:val="00291371"/>
    <w:rsid w:val="002913CF"/>
    <w:rsid w:val="002914C9"/>
    <w:rsid w:val="002919DB"/>
    <w:rsid w:val="002920C7"/>
    <w:rsid w:val="0029212D"/>
    <w:rsid w:val="002921A0"/>
    <w:rsid w:val="002921DA"/>
    <w:rsid w:val="00292228"/>
    <w:rsid w:val="002929D8"/>
    <w:rsid w:val="00292A30"/>
    <w:rsid w:val="00292B8D"/>
    <w:rsid w:val="00292B9F"/>
    <w:rsid w:val="00292EF2"/>
    <w:rsid w:val="00293109"/>
    <w:rsid w:val="00293748"/>
    <w:rsid w:val="002938DA"/>
    <w:rsid w:val="00293C63"/>
    <w:rsid w:val="00293F3D"/>
    <w:rsid w:val="0029456E"/>
    <w:rsid w:val="00294590"/>
    <w:rsid w:val="002945FB"/>
    <w:rsid w:val="002948F5"/>
    <w:rsid w:val="00294A58"/>
    <w:rsid w:val="00294AF9"/>
    <w:rsid w:val="00294B49"/>
    <w:rsid w:val="00294D2F"/>
    <w:rsid w:val="00295274"/>
    <w:rsid w:val="002958DE"/>
    <w:rsid w:val="002959FD"/>
    <w:rsid w:val="00295B70"/>
    <w:rsid w:val="00295EEF"/>
    <w:rsid w:val="002962EC"/>
    <w:rsid w:val="002963DD"/>
    <w:rsid w:val="0029648D"/>
    <w:rsid w:val="00296A50"/>
    <w:rsid w:val="00296F47"/>
    <w:rsid w:val="00297096"/>
    <w:rsid w:val="0029714C"/>
    <w:rsid w:val="00297289"/>
    <w:rsid w:val="00297514"/>
    <w:rsid w:val="0029799C"/>
    <w:rsid w:val="00297C35"/>
    <w:rsid w:val="00297ECD"/>
    <w:rsid w:val="002A00BF"/>
    <w:rsid w:val="002A04E2"/>
    <w:rsid w:val="002A06E7"/>
    <w:rsid w:val="002A07C9"/>
    <w:rsid w:val="002A08D3"/>
    <w:rsid w:val="002A0E02"/>
    <w:rsid w:val="002A0E17"/>
    <w:rsid w:val="002A0E79"/>
    <w:rsid w:val="002A0E94"/>
    <w:rsid w:val="002A1182"/>
    <w:rsid w:val="002A1263"/>
    <w:rsid w:val="002A18DA"/>
    <w:rsid w:val="002A18FE"/>
    <w:rsid w:val="002A19F7"/>
    <w:rsid w:val="002A1FB9"/>
    <w:rsid w:val="002A214C"/>
    <w:rsid w:val="002A2261"/>
    <w:rsid w:val="002A2364"/>
    <w:rsid w:val="002A283D"/>
    <w:rsid w:val="002A29D9"/>
    <w:rsid w:val="002A2A08"/>
    <w:rsid w:val="002A2B37"/>
    <w:rsid w:val="002A2BC4"/>
    <w:rsid w:val="002A2D62"/>
    <w:rsid w:val="002A2D93"/>
    <w:rsid w:val="002A31FA"/>
    <w:rsid w:val="002A32BE"/>
    <w:rsid w:val="002A339E"/>
    <w:rsid w:val="002A33FC"/>
    <w:rsid w:val="002A3418"/>
    <w:rsid w:val="002A35A5"/>
    <w:rsid w:val="002A3CD2"/>
    <w:rsid w:val="002A3DF7"/>
    <w:rsid w:val="002A3FF6"/>
    <w:rsid w:val="002A4113"/>
    <w:rsid w:val="002A4266"/>
    <w:rsid w:val="002A4409"/>
    <w:rsid w:val="002A449A"/>
    <w:rsid w:val="002A44A0"/>
    <w:rsid w:val="002A45B1"/>
    <w:rsid w:val="002A46C8"/>
    <w:rsid w:val="002A47DF"/>
    <w:rsid w:val="002A496E"/>
    <w:rsid w:val="002A4D2A"/>
    <w:rsid w:val="002A4E42"/>
    <w:rsid w:val="002A5379"/>
    <w:rsid w:val="002A539E"/>
    <w:rsid w:val="002A556F"/>
    <w:rsid w:val="002A576B"/>
    <w:rsid w:val="002A598E"/>
    <w:rsid w:val="002A61A5"/>
    <w:rsid w:val="002A61B1"/>
    <w:rsid w:val="002A648D"/>
    <w:rsid w:val="002A6700"/>
    <w:rsid w:val="002A6EA1"/>
    <w:rsid w:val="002A7199"/>
    <w:rsid w:val="002A73C8"/>
    <w:rsid w:val="002A76C2"/>
    <w:rsid w:val="002A77C3"/>
    <w:rsid w:val="002A7983"/>
    <w:rsid w:val="002A79D9"/>
    <w:rsid w:val="002A7BAF"/>
    <w:rsid w:val="002A7BBD"/>
    <w:rsid w:val="002B00B6"/>
    <w:rsid w:val="002B019F"/>
    <w:rsid w:val="002B0294"/>
    <w:rsid w:val="002B05A8"/>
    <w:rsid w:val="002B0620"/>
    <w:rsid w:val="002B0BDC"/>
    <w:rsid w:val="002B0D6E"/>
    <w:rsid w:val="002B10B0"/>
    <w:rsid w:val="002B1225"/>
    <w:rsid w:val="002B1437"/>
    <w:rsid w:val="002B14DB"/>
    <w:rsid w:val="002B15DD"/>
    <w:rsid w:val="002B169C"/>
    <w:rsid w:val="002B16DC"/>
    <w:rsid w:val="002B1838"/>
    <w:rsid w:val="002B1C96"/>
    <w:rsid w:val="002B1EEB"/>
    <w:rsid w:val="002B1F89"/>
    <w:rsid w:val="002B216C"/>
    <w:rsid w:val="002B21BB"/>
    <w:rsid w:val="002B22F5"/>
    <w:rsid w:val="002B274C"/>
    <w:rsid w:val="002B2868"/>
    <w:rsid w:val="002B2CC4"/>
    <w:rsid w:val="002B2E9F"/>
    <w:rsid w:val="002B2F77"/>
    <w:rsid w:val="002B3529"/>
    <w:rsid w:val="002B352C"/>
    <w:rsid w:val="002B3596"/>
    <w:rsid w:val="002B43B3"/>
    <w:rsid w:val="002B4776"/>
    <w:rsid w:val="002B4EA2"/>
    <w:rsid w:val="002B4F81"/>
    <w:rsid w:val="002B4FAD"/>
    <w:rsid w:val="002B5073"/>
    <w:rsid w:val="002B538D"/>
    <w:rsid w:val="002B58A0"/>
    <w:rsid w:val="002B5B61"/>
    <w:rsid w:val="002B5CA1"/>
    <w:rsid w:val="002B5F2D"/>
    <w:rsid w:val="002B5F8A"/>
    <w:rsid w:val="002B6031"/>
    <w:rsid w:val="002B63B3"/>
    <w:rsid w:val="002B6699"/>
    <w:rsid w:val="002B66BA"/>
    <w:rsid w:val="002B6716"/>
    <w:rsid w:val="002B6EFD"/>
    <w:rsid w:val="002B6F33"/>
    <w:rsid w:val="002B79F0"/>
    <w:rsid w:val="002B7B8A"/>
    <w:rsid w:val="002B7C32"/>
    <w:rsid w:val="002B7C96"/>
    <w:rsid w:val="002B7F3E"/>
    <w:rsid w:val="002C00F5"/>
    <w:rsid w:val="002C0166"/>
    <w:rsid w:val="002C059A"/>
    <w:rsid w:val="002C05D9"/>
    <w:rsid w:val="002C06B5"/>
    <w:rsid w:val="002C0A92"/>
    <w:rsid w:val="002C0CCC"/>
    <w:rsid w:val="002C0CD7"/>
    <w:rsid w:val="002C0D7B"/>
    <w:rsid w:val="002C0D99"/>
    <w:rsid w:val="002C11BC"/>
    <w:rsid w:val="002C11D6"/>
    <w:rsid w:val="002C138D"/>
    <w:rsid w:val="002C143E"/>
    <w:rsid w:val="002C1443"/>
    <w:rsid w:val="002C1CBF"/>
    <w:rsid w:val="002C1D9C"/>
    <w:rsid w:val="002C1EFA"/>
    <w:rsid w:val="002C2187"/>
    <w:rsid w:val="002C22C5"/>
    <w:rsid w:val="002C272B"/>
    <w:rsid w:val="002C27B1"/>
    <w:rsid w:val="002C2806"/>
    <w:rsid w:val="002C28AE"/>
    <w:rsid w:val="002C295E"/>
    <w:rsid w:val="002C2999"/>
    <w:rsid w:val="002C2B12"/>
    <w:rsid w:val="002C2BD3"/>
    <w:rsid w:val="002C2BEB"/>
    <w:rsid w:val="002C2F87"/>
    <w:rsid w:val="002C30A4"/>
    <w:rsid w:val="002C3147"/>
    <w:rsid w:val="002C315B"/>
    <w:rsid w:val="002C34B2"/>
    <w:rsid w:val="002C366F"/>
    <w:rsid w:val="002C3894"/>
    <w:rsid w:val="002C3D9B"/>
    <w:rsid w:val="002C3E6A"/>
    <w:rsid w:val="002C40EF"/>
    <w:rsid w:val="002C42EE"/>
    <w:rsid w:val="002C488D"/>
    <w:rsid w:val="002C491A"/>
    <w:rsid w:val="002C4A81"/>
    <w:rsid w:val="002C4B78"/>
    <w:rsid w:val="002C4B93"/>
    <w:rsid w:val="002C4CA9"/>
    <w:rsid w:val="002C4CB2"/>
    <w:rsid w:val="002C4CD0"/>
    <w:rsid w:val="002C5034"/>
    <w:rsid w:val="002C53D9"/>
    <w:rsid w:val="002C5453"/>
    <w:rsid w:val="002C566C"/>
    <w:rsid w:val="002C57BD"/>
    <w:rsid w:val="002C5830"/>
    <w:rsid w:val="002C5A5C"/>
    <w:rsid w:val="002C5B19"/>
    <w:rsid w:val="002C5BC3"/>
    <w:rsid w:val="002C5BFE"/>
    <w:rsid w:val="002C5C0A"/>
    <w:rsid w:val="002C5C3F"/>
    <w:rsid w:val="002C5D87"/>
    <w:rsid w:val="002C64F8"/>
    <w:rsid w:val="002C6686"/>
    <w:rsid w:val="002C67FE"/>
    <w:rsid w:val="002C68E5"/>
    <w:rsid w:val="002C6E03"/>
    <w:rsid w:val="002C7016"/>
    <w:rsid w:val="002C7075"/>
    <w:rsid w:val="002C70A3"/>
    <w:rsid w:val="002C7301"/>
    <w:rsid w:val="002C7344"/>
    <w:rsid w:val="002C75E6"/>
    <w:rsid w:val="002C786E"/>
    <w:rsid w:val="002C791F"/>
    <w:rsid w:val="002C7C0A"/>
    <w:rsid w:val="002C7C9C"/>
    <w:rsid w:val="002C7CDC"/>
    <w:rsid w:val="002C7FF4"/>
    <w:rsid w:val="002D0121"/>
    <w:rsid w:val="002D03D3"/>
    <w:rsid w:val="002D04C5"/>
    <w:rsid w:val="002D059D"/>
    <w:rsid w:val="002D0727"/>
    <w:rsid w:val="002D100C"/>
    <w:rsid w:val="002D1B36"/>
    <w:rsid w:val="002D1B96"/>
    <w:rsid w:val="002D1BAD"/>
    <w:rsid w:val="002D225B"/>
    <w:rsid w:val="002D2270"/>
    <w:rsid w:val="002D238D"/>
    <w:rsid w:val="002D2E4C"/>
    <w:rsid w:val="002D2EC4"/>
    <w:rsid w:val="002D319A"/>
    <w:rsid w:val="002D32AF"/>
    <w:rsid w:val="002D3306"/>
    <w:rsid w:val="002D3429"/>
    <w:rsid w:val="002D3568"/>
    <w:rsid w:val="002D3607"/>
    <w:rsid w:val="002D37C1"/>
    <w:rsid w:val="002D3E18"/>
    <w:rsid w:val="002D4074"/>
    <w:rsid w:val="002D42F1"/>
    <w:rsid w:val="002D4487"/>
    <w:rsid w:val="002D4542"/>
    <w:rsid w:val="002D4830"/>
    <w:rsid w:val="002D4A0A"/>
    <w:rsid w:val="002D4A43"/>
    <w:rsid w:val="002D4D62"/>
    <w:rsid w:val="002D5041"/>
    <w:rsid w:val="002D5263"/>
    <w:rsid w:val="002D52BF"/>
    <w:rsid w:val="002D5AA1"/>
    <w:rsid w:val="002D5DBD"/>
    <w:rsid w:val="002D607F"/>
    <w:rsid w:val="002D60C9"/>
    <w:rsid w:val="002D65B4"/>
    <w:rsid w:val="002D6728"/>
    <w:rsid w:val="002D686E"/>
    <w:rsid w:val="002D68CE"/>
    <w:rsid w:val="002D6D06"/>
    <w:rsid w:val="002D6D74"/>
    <w:rsid w:val="002D71D8"/>
    <w:rsid w:val="002D72B6"/>
    <w:rsid w:val="002D7F63"/>
    <w:rsid w:val="002E0315"/>
    <w:rsid w:val="002E0403"/>
    <w:rsid w:val="002E07DB"/>
    <w:rsid w:val="002E0903"/>
    <w:rsid w:val="002E0C71"/>
    <w:rsid w:val="002E0D26"/>
    <w:rsid w:val="002E0D8B"/>
    <w:rsid w:val="002E0DE8"/>
    <w:rsid w:val="002E10FA"/>
    <w:rsid w:val="002E1C3C"/>
    <w:rsid w:val="002E1EAA"/>
    <w:rsid w:val="002E21D1"/>
    <w:rsid w:val="002E221E"/>
    <w:rsid w:val="002E229D"/>
    <w:rsid w:val="002E25A8"/>
    <w:rsid w:val="002E279A"/>
    <w:rsid w:val="002E2B01"/>
    <w:rsid w:val="002E2BE7"/>
    <w:rsid w:val="002E30C9"/>
    <w:rsid w:val="002E323E"/>
    <w:rsid w:val="002E34CF"/>
    <w:rsid w:val="002E36E8"/>
    <w:rsid w:val="002E3832"/>
    <w:rsid w:val="002E399E"/>
    <w:rsid w:val="002E3A18"/>
    <w:rsid w:val="002E3B08"/>
    <w:rsid w:val="002E3CE5"/>
    <w:rsid w:val="002E3E59"/>
    <w:rsid w:val="002E3F66"/>
    <w:rsid w:val="002E4118"/>
    <w:rsid w:val="002E41F3"/>
    <w:rsid w:val="002E4505"/>
    <w:rsid w:val="002E4519"/>
    <w:rsid w:val="002E4D90"/>
    <w:rsid w:val="002E4E38"/>
    <w:rsid w:val="002E5038"/>
    <w:rsid w:val="002E533C"/>
    <w:rsid w:val="002E557C"/>
    <w:rsid w:val="002E5893"/>
    <w:rsid w:val="002E5BB9"/>
    <w:rsid w:val="002E5CA6"/>
    <w:rsid w:val="002E6116"/>
    <w:rsid w:val="002E6156"/>
    <w:rsid w:val="002E67E6"/>
    <w:rsid w:val="002E6882"/>
    <w:rsid w:val="002E69B3"/>
    <w:rsid w:val="002E6DBB"/>
    <w:rsid w:val="002E6E7C"/>
    <w:rsid w:val="002E6F72"/>
    <w:rsid w:val="002E72EA"/>
    <w:rsid w:val="002E799B"/>
    <w:rsid w:val="002E7B0D"/>
    <w:rsid w:val="002E7DAA"/>
    <w:rsid w:val="002F04DE"/>
    <w:rsid w:val="002F089E"/>
    <w:rsid w:val="002F09EA"/>
    <w:rsid w:val="002F0A2B"/>
    <w:rsid w:val="002F0B9F"/>
    <w:rsid w:val="002F0BE0"/>
    <w:rsid w:val="002F0D1B"/>
    <w:rsid w:val="002F0F46"/>
    <w:rsid w:val="002F10DD"/>
    <w:rsid w:val="002F118E"/>
    <w:rsid w:val="002F121E"/>
    <w:rsid w:val="002F14D0"/>
    <w:rsid w:val="002F1524"/>
    <w:rsid w:val="002F190D"/>
    <w:rsid w:val="002F196B"/>
    <w:rsid w:val="002F1A3E"/>
    <w:rsid w:val="002F1CD3"/>
    <w:rsid w:val="002F1D51"/>
    <w:rsid w:val="002F1D8B"/>
    <w:rsid w:val="002F1E10"/>
    <w:rsid w:val="002F1E43"/>
    <w:rsid w:val="002F1EA4"/>
    <w:rsid w:val="002F24B0"/>
    <w:rsid w:val="002F279C"/>
    <w:rsid w:val="002F283F"/>
    <w:rsid w:val="002F2BB2"/>
    <w:rsid w:val="002F39A5"/>
    <w:rsid w:val="002F3A93"/>
    <w:rsid w:val="002F3AC1"/>
    <w:rsid w:val="002F3AFA"/>
    <w:rsid w:val="002F41EF"/>
    <w:rsid w:val="002F4355"/>
    <w:rsid w:val="002F4444"/>
    <w:rsid w:val="002F44A4"/>
    <w:rsid w:val="002F4777"/>
    <w:rsid w:val="002F4BEA"/>
    <w:rsid w:val="002F4E9B"/>
    <w:rsid w:val="002F5221"/>
    <w:rsid w:val="002F54B6"/>
    <w:rsid w:val="002F5629"/>
    <w:rsid w:val="002F5632"/>
    <w:rsid w:val="002F5674"/>
    <w:rsid w:val="002F5D34"/>
    <w:rsid w:val="002F5D6F"/>
    <w:rsid w:val="002F615A"/>
    <w:rsid w:val="002F65E5"/>
    <w:rsid w:val="002F6A6F"/>
    <w:rsid w:val="002F6AF0"/>
    <w:rsid w:val="002F6B24"/>
    <w:rsid w:val="002F6E28"/>
    <w:rsid w:val="002F70BA"/>
    <w:rsid w:val="002F725F"/>
    <w:rsid w:val="002F7637"/>
    <w:rsid w:val="002F7A88"/>
    <w:rsid w:val="002F7A99"/>
    <w:rsid w:val="002F7C08"/>
    <w:rsid w:val="002F7D8D"/>
    <w:rsid w:val="002F7E68"/>
    <w:rsid w:val="002F7F86"/>
    <w:rsid w:val="002F7FFC"/>
    <w:rsid w:val="00300560"/>
    <w:rsid w:val="003005CE"/>
    <w:rsid w:val="0030079C"/>
    <w:rsid w:val="003007DE"/>
    <w:rsid w:val="00300A82"/>
    <w:rsid w:val="00300A84"/>
    <w:rsid w:val="00300C9E"/>
    <w:rsid w:val="00300E39"/>
    <w:rsid w:val="00300F95"/>
    <w:rsid w:val="0030101C"/>
    <w:rsid w:val="0030107F"/>
    <w:rsid w:val="003011A6"/>
    <w:rsid w:val="003013EF"/>
    <w:rsid w:val="003015F8"/>
    <w:rsid w:val="003018D7"/>
    <w:rsid w:val="00301B1A"/>
    <w:rsid w:val="00301BE7"/>
    <w:rsid w:val="00301E89"/>
    <w:rsid w:val="00301F19"/>
    <w:rsid w:val="00302306"/>
    <w:rsid w:val="003023C2"/>
    <w:rsid w:val="003024FE"/>
    <w:rsid w:val="003028EB"/>
    <w:rsid w:val="0030294F"/>
    <w:rsid w:val="00302E5E"/>
    <w:rsid w:val="00302EA1"/>
    <w:rsid w:val="00302EB5"/>
    <w:rsid w:val="003031A2"/>
    <w:rsid w:val="00303249"/>
    <w:rsid w:val="003038DB"/>
    <w:rsid w:val="00303972"/>
    <w:rsid w:val="00303BC0"/>
    <w:rsid w:val="00303BC3"/>
    <w:rsid w:val="00303D58"/>
    <w:rsid w:val="00303D69"/>
    <w:rsid w:val="00303FA3"/>
    <w:rsid w:val="0030415A"/>
    <w:rsid w:val="00304433"/>
    <w:rsid w:val="003044BD"/>
    <w:rsid w:val="0030458D"/>
    <w:rsid w:val="00304746"/>
    <w:rsid w:val="003048C9"/>
    <w:rsid w:val="00304C55"/>
    <w:rsid w:val="00304C8F"/>
    <w:rsid w:val="00304D19"/>
    <w:rsid w:val="00304D4E"/>
    <w:rsid w:val="00304F35"/>
    <w:rsid w:val="00304F3C"/>
    <w:rsid w:val="00304FF8"/>
    <w:rsid w:val="00305098"/>
    <w:rsid w:val="0030511E"/>
    <w:rsid w:val="00305BCF"/>
    <w:rsid w:val="0030615E"/>
    <w:rsid w:val="00306383"/>
    <w:rsid w:val="003066E9"/>
    <w:rsid w:val="00306D6D"/>
    <w:rsid w:val="00307448"/>
    <w:rsid w:val="0030759E"/>
    <w:rsid w:val="00307602"/>
    <w:rsid w:val="00307952"/>
    <w:rsid w:val="003079B4"/>
    <w:rsid w:val="00307AC5"/>
    <w:rsid w:val="00307C55"/>
    <w:rsid w:val="00307DEF"/>
    <w:rsid w:val="00310138"/>
    <w:rsid w:val="0031027B"/>
    <w:rsid w:val="003103F9"/>
    <w:rsid w:val="003105A3"/>
    <w:rsid w:val="003107E5"/>
    <w:rsid w:val="003109BE"/>
    <w:rsid w:val="003109CE"/>
    <w:rsid w:val="00310A2F"/>
    <w:rsid w:val="00310DE6"/>
    <w:rsid w:val="0031115B"/>
    <w:rsid w:val="003115AC"/>
    <w:rsid w:val="003116C5"/>
    <w:rsid w:val="003119A7"/>
    <w:rsid w:val="00311D33"/>
    <w:rsid w:val="00311EE1"/>
    <w:rsid w:val="0031200F"/>
    <w:rsid w:val="0031208A"/>
    <w:rsid w:val="003126BD"/>
    <w:rsid w:val="003126CA"/>
    <w:rsid w:val="003127C5"/>
    <w:rsid w:val="00312B95"/>
    <w:rsid w:val="00312D75"/>
    <w:rsid w:val="003131EB"/>
    <w:rsid w:val="0031327C"/>
    <w:rsid w:val="00313383"/>
    <w:rsid w:val="00313537"/>
    <w:rsid w:val="00313664"/>
    <w:rsid w:val="00313754"/>
    <w:rsid w:val="003137FD"/>
    <w:rsid w:val="0031380E"/>
    <w:rsid w:val="003138A6"/>
    <w:rsid w:val="003138D2"/>
    <w:rsid w:val="00313958"/>
    <w:rsid w:val="00313A7F"/>
    <w:rsid w:val="00313B78"/>
    <w:rsid w:val="00313C9A"/>
    <w:rsid w:val="00313DD4"/>
    <w:rsid w:val="00313E02"/>
    <w:rsid w:val="003143BF"/>
    <w:rsid w:val="00314475"/>
    <w:rsid w:val="0031463B"/>
    <w:rsid w:val="0031486F"/>
    <w:rsid w:val="00314A3D"/>
    <w:rsid w:val="00314DB2"/>
    <w:rsid w:val="00314F90"/>
    <w:rsid w:val="00315238"/>
    <w:rsid w:val="00315247"/>
    <w:rsid w:val="003153B1"/>
    <w:rsid w:val="00315593"/>
    <w:rsid w:val="00315731"/>
    <w:rsid w:val="003159A1"/>
    <w:rsid w:val="00315A1C"/>
    <w:rsid w:val="00315C6A"/>
    <w:rsid w:val="00315D4B"/>
    <w:rsid w:val="00315F85"/>
    <w:rsid w:val="0031617F"/>
    <w:rsid w:val="00316769"/>
    <w:rsid w:val="00317101"/>
    <w:rsid w:val="00317871"/>
    <w:rsid w:val="0032006F"/>
    <w:rsid w:val="003201A1"/>
    <w:rsid w:val="00320549"/>
    <w:rsid w:val="00320747"/>
    <w:rsid w:val="00320832"/>
    <w:rsid w:val="00320FD1"/>
    <w:rsid w:val="00321109"/>
    <w:rsid w:val="0032124F"/>
    <w:rsid w:val="00321560"/>
    <w:rsid w:val="00321690"/>
    <w:rsid w:val="0032172B"/>
    <w:rsid w:val="00321758"/>
    <w:rsid w:val="00321823"/>
    <w:rsid w:val="00321BDA"/>
    <w:rsid w:val="00321F7A"/>
    <w:rsid w:val="003226B9"/>
    <w:rsid w:val="00322AD8"/>
    <w:rsid w:val="00322DB8"/>
    <w:rsid w:val="00322E12"/>
    <w:rsid w:val="0032358B"/>
    <w:rsid w:val="0032366C"/>
    <w:rsid w:val="003238F4"/>
    <w:rsid w:val="00323905"/>
    <w:rsid w:val="00323B4C"/>
    <w:rsid w:val="00323D94"/>
    <w:rsid w:val="00323FC4"/>
    <w:rsid w:val="00324181"/>
    <w:rsid w:val="003243D1"/>
    <w:rsid w:val="003248C2"/>
    <w:rsid w:val="0032491A"/>
    <w:rsid w:val="00324ADF"/>
    <w:rsid w:val="00324D17"/>
    <w:rsid w:val="00324D77"/>
    <w:rsid w:val="00324D7F"/>
    <w:rsid w:val="0032547A"/>
    <w:rsid w:val="00325692"/>
    <w:rsid w:val="003257A7"/>
    <w:rsid w:val="00325820"/>
    <w:rsid w:val="00325841"/>
    <w:rsid w:val="003259D7"/>
    <w:rsid w:val="00326451"/>
    <w:rsid w:val="003267F9"/>
    <w:rsid w:val="003268C7"/>
    <w:rsid w:val="00326914"/>
    <w:rsid w:val="00326B3B"/>
    <w:rsid w:val="00326C60"/>
    <w:rsid w:val="0032704C"/>
    <w:rsid w:val="0032709A"/>
    <w:rsid w:val="00327426"/>
    <w:rsid w:val="003277AE"/>
    <w:rsid w:val="00327BD3"/>
    <w:rsid w:val="00327CAA"/>
    <w:rsid w:val="00327D93"/>
    <w:rsid w:val="00327DE9"/>
    <w:rsid w:val="00327EB4"/>
    <w:rsid w:val="00327F5E"/>
    <w:rsid w:val="003301B3"/>
    <w:rsid w:val="00330312"/>
    <w:rsid w:val="0033033D"/>
    <w:rsid w:val="00330372"/>
    <w:rsid w:val="00330385"/>
    <w:rsid w:val="003303CC"/>
    <w:rsid w:val="0033086F"/>
    <w:rsid w:val="003308D8"/>
    <w:rsid w:val="0033102E"/>
    <w:rsid w:val="0033137B"/>
    <w:rsid w:val="00331401"/>
    <w:rsid w:val="0033185B"/>
    <w:rsid w:val="00331B24"/>
    <w:rsid w:val="00331CEE"/>
    <w:rsid w:val="00331ED9"/>
    <w:rsid w:val="00332344"/>
    <w:rsid w:val="00332372"/>
    <w:rsid w:val="003323B9"/>
    <w:rsid w:val="003325F1"/>
    <w:rsid w:val="00332825"/>
    <w:rsid w:val="00332867"/>
    <w:rsid w:val="0033289C"/>
    <w:rsid w:val="00332B83"/>
    <w:rsid w:val="00332CF5"/>
    <w:rsid w:val="00332F67"/>
    <w:rsid w:val="0033312E"/>
    <w:rsid w:val="0033316C"/>
    <w:rsid w:val="00333231"/>
    <w:rsid w:val="00333234"/>
    <w:rsid w:val="003333C5"/>
    <w:rsid w:val="00333822"/>
    <w:rsid w:val="003339EC"/>
    <w:rsid w:val="00333A45"/>
    <w:rsid w:val="00333B1F"/>
    <w:rsid w:val="00333CC8"/>
    <w:rsid w:val="0033409D"/>
    <w:rsid w:val="003340BC"/>
    <w:rsid w:val="0033414E"/>
    <w:rsid w:val="003343B5"/>
    <w:rsid w:val="003345F8"/>
    <w:rsid w:val="0033492C"/>
    <w:rsid w:val="00334A9A"/>
    <w:rsid w:val="00334D5E"/>
    <w:rsid w:val="00334D75"/>
    <w:rsid w:val="00334DDD"/>
    <w:rsid w:val="003351AD"/>
    <w:rsid w:val="003351AE"/>
    <w:rsid w:val="00335370"/>
    <w:rsid w:val="003353FE"/>
    <w:rsid w:val="003356B3"/>
    <w:rsid w:val="0033572C"/>
    <w:rsid w:val="0033577C"/>
    <w:rsid w:val="0033583D"/>
    <w:rsid w:val="00335A81"/>
    <w:rsid w:val="00335ED1"/>
    <w:rsid w:val="00336326"/>
    <w:rsid w:val="00336368"/>
    <w:rsid w:val="0033644B"/>
    <w:rsid w:val="003369CC"/>
    <w:rsid w:val="00336C06"/>
    <w:rsid w:val="00336ED8"/>
    <w:rsid w:val="00336FBD"/>
    <w:rsid w:val="00337808"/>
    <w:rsid w:val="00337905"/>
    <w:rsid w:val="00337EF8"/>
    <w:rsid w:val="003401C5"/>
    <w:rsid w:val="00340285"/>
    <w:rsid w:val="003403E2"/>
    <w:rsid w:val="003407E4"/>
    <w:rsid w:val="0034081B"/>
    <w:rsid w:val="00340C0A"/>
    <w:rsid w:val="00341296"/>
    <w:rsid w:val="00341557"/>
    <w:rsid w:val="003416A0"/>
    <w:rsid w:val="00341725"/>
    <w:rsid w:val="00341833"/>
    <w:rsid w:val="00341A29"/>
    <w:rsid w:val="00341C68"/>
    <w:rsid w:val="003423C7"/>
    <w:rsid w:val="003424A0"/>
    <w:rsid w:val="00342574"/>
    <w:rsid w:val="003425DF"/>
    <w:rsid w:val="00342803"/>
    <w:rsid w:val="00342841"/>
    <w:rsid w:val="003428BA"/>
    <w:rsid w:val="00342A60"/>
    <w:rsid w:val="00342CBB"/>
    <w:rsid w:val="00342DDC"/>
    <w:rsid w:val="00342DF8"/>
    <w:rsid w:val="00342E88"/>
    <w:rsid w:val="00342F83"/>
    <w:rsid w:val="00342FBC"/>
    <w:rsid w:val="00343375"/>
    <w:rsid w:val="0034343F"/>
    <w:rsid w:val="0034375A"/>
    <w:rsid w:val="0034379D"/>
    <w:rsid w:val="0034391A"/>
    <w:rsid w:val="003439F6"/>
    <w:rsid w:val="00343A7E"/>
    <w:rsid w:val="00343AC4"/>
    <w:rsid w:val="00343CB0"/>
    <w:rsid w:val="00343DED"/>
    <w:rsid w:val="00343E21"/>
    <w:rsid w:val="00343E5D"/>
    <w:rsid w:val="00343E69"/>
    <w:rsid w:val="0034410F"/>
    <w:rsid w:val="0034412F"/>
    <w:rsid w:val="00344182"/>
    <w:rsid w:val="003441E7"/>
    <w:rsid w:val="00344359"/>
    <w:rsid w:val="00344674"/>
    <w:rsid w:val="00344774"/>
    <w:rsid w:val="00344983"/>
    <w:rsid w:val="00344A10"/>
    <w:rsid w:val="00344A29"/>
    <w:rsid w:val="00344F1C"/>
    <w:rsid w:val="00345553"/>
    <w:rsid w:val="00345641"/>
    <w:rsid w:val="00346186"/>
    <w:rsid w:val="00346192"/>
    <w:rsid w:val="003463D1"/>
    <w:rsid w:val="003463D8"/>
    <w:rsid w:val="0034646D"/>
    <w:rsid w:val="00346476"/>
    <w:rsid w:val="003469D8"/>
    <w:rsid w:val="00346C66"/>
    <w:rsid w:val="0034714F"/>
    <w:rsid w:val="0034723D"/>
    <w:rsid w:val="003472EE"/>
    <w:rsid w:val="003477AD"/>
    <w:rsid w:val="0034797B"/>
    <w:rsid w:val="00347BE5"/>
    <w:rsid w:val="00347D85"/>
    <w:rsid w:val="00347EE5"/>
    <w:rsid w:val="00347F69"/>
    <w:rsid w:val="00350640"/>
    <w:rsid w:val="003507DD"/>
    <w:rsid w:val="00350B03"/>
    <w:rsid w:val="00350BC7"/>
    <w:rsid w:val="00350C0E"/>
    <w:rsid w:val="00350C95"/>
    <w:rsid w:val="00351124"/>
    <w:rsid w:val="00351347"/>
    <w:rsid w:val="00351632"/>
    <w:rsid w:val="0035167A"/>
    <w:rsid w:val="003516B7"/>
    <w:rsid w:val="00351831"/>
    <w:rsid w:val="00351B87"/>
    <w:rsid w:val="00351FE3"/>
    <w:rsid w:val="00351FEC"/>
    <w:rsid w:val="003521E1"/>
    <w:rsid w:val="003522E0"/>
    <w:rsid w:val="003524D0"/>
    <w:rsid w:val="0035256D"/>
    <w:rsid w:val="0035267F"/>
    <w:rsid w:val="0035284A"/>
    <w:rsid w:val="00352B39"/>
    <w:rsid w:val="00352B55"/>
    <w:rsid w:val="00353057"/>
    <w:rsid w:val="003530FE"/>
    <w:rsid w:val="003536C5"/>
    <w:rsid w:val="00354193"/>
    <w:rsid w:val="003543CB"/>
    <w:rsid w:val="003547F2"/>
    <w:rsid w:val="003547FA"/>
    <w:rsid w:val="003548FE"/>
    <w:rsid w:val="0035509C"/>
    <w:rsid w:val="003550A4"/>
    <w:rsid w:val="003550BA"/>
    <w:rsid w:val="00355137"/>
    <w:rsid w:val="00355171"/>
    <w:rsid w:val="0035525B"/>
    <w:rsid w:val="0035537A"/>
    <w:rsid w:val="003554D2"/>
    <w:rsid w:val="0035580D"/>
    <w:rsid w:val="0035588D"/>
    <w:rsid w:val="00355969"/>
    <w:rsid w:val="00355985"/>
    <w:rsid w:val="003559C2"/>
    <w:rsid w:val="00355D0B"/>
    <w:rsid w:val="00355D13"/>
    <w:rsid w:val="00355E3A"/>
    <w:rsid w:val="0035618F"/>
    <w:rsid w:val="00356279"/>
    <w:rsid w:val="003565E0"/>
    <w:rsid w:val="00356887"/>
    <w:rsid w:val="00356915"/>
    <w:rsid w:val="00356E75"/>
    <w:rsid w:val="00356F02"/>
    <w:rsid w:val="00357658"/>
    <w:rsid w:val="0035766F"/>
    <w:rsid w:val="0035781A"/>
    <w:rsid w:val="0035796D"/>
    <w:rsid w:val="0035797B"/>
    <w:rsid w:val="00357B39"/>
    <w:rsid w:val="00357CB5"/>
    <w:rsid w:val="00357D65"/>
    <w:rsid w:val="00357E8C"/>
    <w:rsid w:val="00357EDC"/>
    <w:rsid w:val="00360052"/>
    <w:rsid w:val="003600B2"/>
    <w:rsid w:val="003602DC"/>
    <w:rsid w:val="003603F3"/>
    <w:rsid w:val="0036040E"/>
    <w:rsid w:val="00360443"/>
    <w:rsid w:val="00360517"/>
    <w:rsid w:val="00360532"/>
    <w:rsid w:val="00360B57"/>
    <w:rsid w:val="00360CB5"/>
    <w:rsid w:val="00360EB5"/>
    <w:rsid w:val="00360F43"/>
    <w:rsid w:val="003617DF"/>
    <w:rsid w:val="00361A0A"/>
    <w:rsid w:val="00361C71"/>
    <w:rsid w:val="00361D06"/>
    <w:rsid w:val="00361D3F"/>
    <w:rsid w:val="00361E93"/>
    <w:rsid w:val="003623DD"/>
    <w:rsid w:val="003625AD"/>
    <w:rsid w:val="00362660"/>
    <w:rsid w:val="0036280A"/>
    <w:rsid w:val="003628DB"/>
    <w:rsid w:val="00362FD3"/>
    <w:rsid w:val="003633AD"/>
    <w:rsid w:val="0036382F"/>
    <w:rsid w:val="003639FB"/>
    <w:rsid w:val="00363BF7"/>
    <w:rsid w:val="00364264"/>
    <w:rsid w:val="0036478C"/>
    <w:rsid w:val="0036490C"/>
    <w:rsid w:val="00364B0F"/>
    <w:rsid w:val="00364D9D"/>
    <w:rsid w:val="00364DE6"/>
    <w:rsid w:val="00364E2D"/>
    <w:rsid w:val="003650F3"/>
    <w:rsid w:val="0036512B"/>
    <w:rsid w:val="003652B9"/>
    <w:rsid w:val="003657DF"/>
    <w:rsid w:val="00365BFA"/>
    <w:rsid w:val="0036601F"/>
    <w:rsid w:val="003662E8"/>
    <w:rsid w:val="0036633A"/>
    <w:rsid w:val="0036695B"/>
    <w:rsid w:val="00366B4A"/>
    <w:rsid w:val="00366B8A"/>
    <w:rsid w:val="00367386"/>
    <w:rsid w:val="003678EB"/>
    <w:rsid w:val="00367B88"/>
    <w:rsid w:val="00370307"/>
    <w:rsid w:val="0037035D"/>
    <w:rsid w:val="00370821"/>
    <w:rsid w:val="003709A2"/>
    <w:rsid w:val="003709BB"/>
    <w:rsid w:val="00370A18"/>
    <w:rsid w:val="00370AA1"/>
    <w:rsid w:val="003710ED"/>
    <w:rsid w:val="00371385"/>
    <w:rsid w:val="003716B7"/>
    <w:rsid w:val="003717D0"/>
    <w:rsid w:val="00371890"/>
    <w:rsid w:val="00371D3A"/>
    <w:rsid w:val="003720EE"/>
    <w:rsid w:val="00372263"/>
    <w:rsid w:val="003725AA"/>
    <w:rsid w:val="003728BF"/>
    <w:rsid w:val="00372A5B"/>
    <w:rsid w:val="00372EDC"/>
    <w:rsid w:val="00373491"/>
    <w:rsid w:val="00373747"/>
    <w:rsid w:val="00373766"/>
    <w:rsid w:val="003739DD"/>
    <w:rsid w:val="00373A9E"/>
    <w:rsid w:val="003741A2"/>
    <w:rsid w:val="00374419"/>
    <w:rsid w:val="0037447F"/>
    <w:rsid w:val="0037452D"/>
    <w:rsid w:val="00374A48"/>
    <w:rsid w:val="00374AC8"/>
    <w:rsid w:val="00374C44"/>
    <w:rsid w:val="00374D75"/>
    <w:rsid w:val="00374DC6"/>
    <w:rsid w:val="0037526B"/>
    <w:rsid w:val="003753CE"/>
    <w:rsid w:val="0037575F"/>
    <w:rsid w:val="00375A73"/>
    <w:rsid w:val="00375E08"/>
    <w:rsid w:val="00375EA8"/>
    <w:rsid w:val="003764AF"/>
    <w:rsid w:val="003767A6"/>
    <w:rsid w:val="00376E6B"/>
    <w:rsid w:val="00376F2E"/>
    <w:rsid w:val="0037738C"/>
    <w:rsid w:val="00377C5C"/>
    <w:rsid w:val="00377CAD"/>
    <w:rsid w:val="00377D9A"/>
    <w:rsid w:val="00377E4F"/>
    <w:rsid w:val="00377F68"/>
    <w:rsid w:val="0038016E"/>
    <w:rsid w:val="00380265"/>
    <w:rsid w:val="00380364"/>
    <w:rsid w:val="00380394"/>
    <w:rsid w:val="0038047C"/>
    <w:rsid w:val="00380746"/>
    <w:rsid w:val="00380A00"/>
    <w:rsid w:val="00380B0B"/>
    <w:rsid w:val="00380BB9"/>
    <w:rsid w:val="00380C32"/>
    <w:rsid w:val="00380D7D"/>
    <w:rsid w:val="00380E94"/>
    <w:rsid w:val="00381256"/>
    <w:rsid w:val="0038126C"/>
    <w:rsid w:val="003813B0"/>
    <w:rsid w:val="003814BB"/>
    <w:rsid w:val="00381562"/>
    <w:rsid w:val="00381662"/>
    <w:rsid w:val="00381750"/>
    <w:rsid w:val="00381CBE"/>
    <w:rsid w:val="00381FF6"/>
    <w:rsid w:val="0038216C"/>
    <w:rsid w:val="00382266"/>
    <w:rsid w:val="0038235E"/>
    <w:rsid w:val="00382A53"/>
    <w:rsid w:val="00382AE5"/>
    <w:rsid w:val="00382B0B"/>
    <w:rsid w:val="00382B0C"/>
    <w:rsid w:val="00382FE3"/>
    <w:rsid w:val="00383170"/>
    <w:rsid w:val="003831EE"/>
    <w:rsid w:val="003833B5"/>
    <w:rsid w:val="0038352D"/>
    <w:rsid w:val="0038352E"/>
    <w:rsid w:val="00383570"/>
    <w:rsid w:val="003835FF"/>
    <w:rsid w:val="00383BF4"/>
    <w:rsid w:val="00384089"/>
    <w:rsid w:val="00384584"/>
    <w:rsid w:val="003847ED"/>
    <w:rsid w:val="00384ADE"/>
    <w:rsid w:val="00384DB9"/>
    <w:rsid w:val="00385069"/>
    <w:rsid w:val="003856BD"/>
    <w:rsid w:val="003859A1"/>
    <w:rsid w:val="003866A5"/>
    <w:rsid w:val="00386DDB"/>
    <w:rsid w:val="00387355"/>
    <w:rsid w:val="00387460"/>
    <w:rsid w:val="00387553"/>
    <w:rsid w:val="00387639"/>
    <w:rsid w:val="00387737"/>
    <w:rsid w:val="0038792E"/>
    <w:rsid w:val="0038797A"/>
    <w:rsid w:val="00387A4A"/>
    <w:rsid w:val="00387D45"/>
    <w:rsid w:val="00390DF9"/>
    <w:rsid w:val="00391078"/>
    <w:rsid w:val="0039121A"/>
    <w:rsid w:val="00391D9F"/>
    <w:rsid w:val="003921CD"/>
    <w:rsid w:val="00392270"/>
    <w:rsid w:val="003929D2"/>
    <w:rsid w:val="003929FF"/>
    <w:rsid w:val="00392BC2"/>
    <w:rsid w:val="00392CCA"/>
    <w:rsid w:val="00393029"/>
    <w:rsid w:val="00393885"/>
    <w:rsid w:val="00393AD7"/>
    <w:rsid w:val="00393E3E"/>
    <w:rsid w:val="00393F81"/>
    <w:rsid w:val="00393FA5"/>
    <w:rsid w:val="0039406E"/>
    <w:rsid w:val="0039411F"/>
    <w:rsid w:val="0039413F"/>
    <w:rsid w:val="003946B9"/>
    <w:rsid w:val="003946C6"/>
    <w:rsid w:val="00394B51"/>
    <w:rsid w:val="003953BE"/>
    <w:rsid w:val="003957BB"/>
    <w:rsid w:val="00395C24"/>
    <w:rsid w:val="0039600D"/>
    <w:rsid w:val="003962CD"/>
    <w:rsid w:val="003963FF"/>
    <w:rsid w:val="003965C0"/>
    <w:rsid w:val="00396894"/>
    <w:rsid w:val="00396935"/>
    <w:rsid w:val="00396997"/>
    <w:rsid w:val="00396A4C"/>
    <w:rsid w:val="0039743E"/>
    <w:rsid w:val="003979AA"/>
    <w:rsid w:val="00397A8D"/>
    <w:rsid w:val="00397CAC"/>
    <w:rsid w:val="00397D16"/>
    <w:rsid w:val="003A0403"/>
    <w:rsid w:val="003A0D0B"/>
    <w:rsid w:val="003A0F56"/>
    <w:rsid w:val="003A1301"/>
    <w:rsid w:val="003A1306"/>
    <w:rsid w:val="003A1337"/>
    <w:rsid w:val="003A1688"/>
    <w:rsid w:val="003A1DA4"/>
    <w:rsid w:val="003A1EE5"/>
    <w:rsid w:val="003A1FEA"/>
    <w:rsid w:val="003A2197"/>
    <w:rsid w:val="003A2500"/>
    <w:rsid w:val="003A2534"/>
    <w:rsid w:val="003A27BB"/>
    <w:rsid w:val="003A280A"/>
    <w:rsid w:val="003A2C30"/>
    <w:rsid w:val="003A2E18"/>
    <w:rsid w:val="003A2FC6"/>
    <w:rsid w:val="003A2FE5"/>
    <w:rsid w:val="003A31B8"/>
    <w:rsid w:val="003A31F5"/>
    <w:rsid w:val="003A35D6"/>
    <w:rsid w:val="003A3A9E"/>
    <w:rsid w:val="003A43CA"/>
    <w:rsid w:val="003A43EC"/>
    <w:rsid w:val="003A4473"/>
    <w:rsid w:val="003A4593"/>
    <w:rsid w:val="003A45E3"/>
    <w:rsid w:val="003A4780"/>
    <w:rsid w:val="003A4E51"/>
    <w:rsid w:val="003A5077"/>
    <w:rsid w:val="003A5389"/>
    <w:rsid w:val="003A5614"/>
    <w:rsid w:val="003A56A1"/>
    <w:rsid w:val="003A5B05"/>
    <w:rsid w:val="003A5BC5"/>
    <w:rsid w:val="003A5C82"/>
    <w:rsid w:val="003A5CF2"/>
    <w:rsid w:val="003A5D19"/>
    <w:rsid w:val="003A5E4A"/>
    <w:rsid w:val="003A5F4E"/>
    <w:rsid w:val="003A6085"/>
    <w:rsid w:val="003A6580"/>
    <w:rsid w:val="003A6881"/>
    <w:rsid w:val="003A6A4E"/>
    <w:rsid w:val="003A6B46"/>
    <w:rsid w:val="003A6DDA"/>
    <w:rsid w:val="003A71BB"/>
    <w:rsid w:val="003A72FF"/>
    <w:rsid w:val="003A76AF"/>
    <w:rsid w:val="003A782B"/>
    <w:rsid w:val="003A7C06"/>
    <w:rsid w:val="003B03BF"/>
    <w:rsid w:val="003B0764"/>
    <w:rsid w:val="003B09B9"/>
    <w:rsid w:val="003B0B1D"/>
    <w:rsid w:val="003B0D0B"/>
    <w:rsid w:val="003B0E6D"/>
    <w:rsid w:val="003B0E9B"/>
    <w:rsid w:val="003B1018"/>
    <w:rsid w:val="003B1620"/>
    <w:rsid w:val="003B1661"/>
    <w:rsid w:val="003B1919"/>
    <w:rsid w:val="003B1F28"/>
    <w:rsid w:val="003B2361"/>
    <w:rsid w:val="003B25A6"/>
    <w:rsid w:val="003B26BB"/>
    <w:rsid w:val="003B2A09"/>
    <w:rsid w:val="003B2B0A"/>
    <w:rsid w:val="003B2E43"/>
    <w:rsid w:val="003B2FCF"/>
    <w:rsid w:val="003B317B"/>
    <w:rsid w:val="003B38DF"/>
    <w:rsid w:val="003B3D01"/>
    <w:rsid w:val="003B3EC4"/>
    <w:rsid w:val="003B3F09"/>
    <w:rsid w:val="003B3FD2"/>
    <w:rsid w:val="003B4059"/>
    <w:rsid w:val="003B4407"/>
    <w:rsid w:val="003B440E"/>
    <w:rsid w:val="003B449B"/>
    <w:rsid w:val="003B453B"/>
    <w:rsid w:val="003B4C16"/>
    <w:rsid w:val="003B51D0"/>
    <w:rsid w:val="003B5254"/>
    <w:rsid w:val="003B533E"/>
    <w:rsid w:val="003B5747"/>
    <w:rsid w:val="003B580F"/>
    <w:rsid w:val="003B5E96"/>
    <w:rsid w:val="003B6230"/>
    <w:rsid w:val="003B629D"/>
    <w:rsid w:val="003B63DD"/>
    <w:rsid w:val="003B641B"/>
    <w:rsid w:val="003B642F"/>
    <w:rsid w:val="003B673D"/>
    <w:rsid w:val="003B6A7F"/>
    <w:rsid w:val="003B6B97"/>
    <w:rsid w:val="003B6FC9"/>
    <w:rsid w:val="003B7025"/>
    <w:rsid w:val="003B730A"/>
    <w:rsid w:val="003B7840"/>
    <w:rsid w:val="003B7AF0"/>
    <w:rsid w:val="003B7B7C"/>
    <w:rsid w:val="003B7CC3"/>
    <w:rsid w:val="003B7F41"/>
    <w:rsid w:val="003C014F"/>
    <w:rsid w:val="003C0165"/>
    <w:rsid w:val="003C0183"/>
    <w:rsid w:val="003C067E"/>
    <w:rsid w:val="003C0961"/>
    <w:rsid w:val="003C0A31"/>
    <w:rsid w:val="003C0A40"/>
    <w:rsid w:val="003C0B0E"/>
    <w:rsid w:val="003C0F2F"/>
    <w:rsid w:val="003C1054"/>
    <w:rsid w:val="003C175D"/>
    <w:rsid w:val="003C1CFB"/>
    <w:rsid w:val="003C1E09"/>
    <w:rsid w:val="003C24F7"/>
    <w:rsid w:val="003C2577"/>
    <w:rsid w:val="003C2765"/>
    <w:rsid w:val="003C2BBD"/>
    <w:rsid w:val="003C2F98"/>
    <w:rsid w:val="003C32A6"/>
    <w:rsid w:val="003C3379"/>
    <w:rsid w:val="003C3AE8"/>
    <w:rsid w:val="003C3B82"/>
    <w:rsid w:val="003C3BB5"/>
    <w:rsid w:val="003C3E77"/>
    <w:rsid w:val="003C3E86"/>
    <w:rsid w:val="003C3EBD"/>
    <w:rsid w:val="003C4066"/>
    <w:rsid w:val="003C4264"/>
    <w:rsid w:val="003C43EC"/>
    <w:rsid w:val="003C4448"/>
    <w:rsid w:val="003C46AD"/>
    <w:rsid w:val="003C4D1E"/>
    <w:rsid w:val="003C4E99"/>
    <w:rsid w:val="003C529F"/>
    <w:rsid w:val="003C5BD7"/>
    <w:rsid w:val="003C5FC9"/>
    <w:rsid w:val="003C63D3"/>
    <w:rsid w:val="003C6AC8"/>
    <w:rsid w:val="003C7449"/>
    <w:rsid w:val="003C7A45"/>
    <w:rsid w:val="003C7AF1"/>
    <w:rsid w:val="003C7BE5"/>
    <w:rsid w:val="003D0022"/>
    <w:rsid w:val="003D02DB"/>
    <w:rsid w:val="003D03F9"/>
    <w:rsid w:val="003D05D3"/>
    <w:rsid w:val="003D0B52"/>
    <w:rsid w:val="003D0DB8"/>
    <w:rsid w:val="003D1016"/>
    <w:rsid w:val="003D1054"/>
    <w:rsid w:val="003D1093"/>
    <w:rsid w:val="003D11EA"/>
    <w:rsid w:val="003D1448"/>
    <w:rsid w:val="003D1529"/>
    <w:rsid w:val="003D156B"/>
    <w:rsid w:val="003D1621"/>
    <w:rsid w:val="003D1ADC"/>
    <w:rsid w:val="003D1BB5"/>
    <w:rsid w:val="003D1D95"/>
    <w:rsid w:val="003D1EEC"/>
    <w:rsid w:val="003D1EF2"/>
    <w:rsid w:val="003D1F44"/>
    <w:rsid w:val="003D222F"/>
    <w:rsid w:val="003D22D2"/>
    <w:rsid w:val="003D2A77"/>
    <w:rsid w:val="003D2CF2"/>
    <w:rsid w:val="003D3254"/>
    <w:rsid w:val="003D33E2"/>
    <w:rsid w:val="003D3537"/>
    <w:rsid w:val="003D35E6"/>
    <w:rsid w:val="003D3A06"/>
    <w:rsid w:val="003D3CB2"/>
    <w:rsid w:val="003D3D91"/>
    <w:rsid w:val="003D3EC2"/>
    <w:rsid w:val="003D4018"/>
    <w:rsid w:val="003D4708"/>
    <w:rsid w:val="003D472C"/>
    <w:rsid w:val="003D477A"/>
    <w:rsid w:val="003D4B53"/>
    <w:rsid w:val="003D4CBA"/>
    <w:rsid w:val="003D4D86"/>
    <w:rsid w:val="003D4E94"/>
    <w:rsid w:val="003D4F2A"/>
    <w:rsid w:val="003D5469"/>
    <w:rsid w:val="003D5847"/>
    <w:rsid w:val="003D59D8"/>
    <w:rsid w:val="003D5F51"/>
    <w:rsid w:val="003D5FA8"/>
    <w:rsid w:val="003D614C"/>
    <w:rsid w:val="003D619A"/>
    <w:rsid w:val="003D6267"/>
    <w:rsid w:val="003D6556"/>
    <w:rsid w:val="003D6728"/>
    <w:rsid w:val="003D69FB"/>
    <w:rsid w:val="003D6F9E"/>
    <w:rsid w:val="003D7078"/>
    <w:rsid w:val="003D758E"/>
    <w:rsid w:val="003D7C86"/>
    <w:rsid w:val="003D7CF9"/>
    <w:rsid w:val="003D7E5F"/>
    <w:rsid w:val="003E01B9"/>
    <w:rsid w:val="003E0282"/>
    <w:rsid w:val="003E0352"/>
    <w:rsid w:val="003E05BD"/>
    <w:rsid w:val="003E05FF"/>
    <w:rsid w:val="003E077B"/>
    <w:rsid w:val="003E0976"/>
    <w:rsid w:val="003E0A15"/>
    <w:rsid w:val="003E0BF5"/>
    <w:rsid w:val="003E0C71"/>
    <w:rsid w:val="003E0C99"/>
    <w:rsid w:val="003E14BE"/>
    <w:rsid w:val="003E182D"/>
    <w:rsid w:val="003E1937"/>
    <w:rsid w:val="003E1AFB"/>
    <w:rsid w:val="003E1F17"/>
    <w:rsid w:val="003E213F"/>
    <w:rsid w:val="003E26B2"/>
    <w:rsid w:val="003E2B86"/>
    <w:rsid w:val="003E2F6B"/>
    <w:rsid w:val="003E3046"/>
    <w:rsid w:val="003E3205"/>
    <w:rsid w:val="003E32E1"/>
    <w:rsid w:val="003E32FE"/>
    <w:rsid w:val="003E3307"/>
    <w:rsid w:val="003E345C"/>
    <w:rsid w:val="003E3615"/>
    <w:rsid w:val="003E3C6C"/>
    <w:rsid w:val="003E3F41"/>
    <w:rsid w:val="003E4B7C"/>
    <w:rsid w:val="003E50A1"/>
    <w:rsid w:val="003E5127"/>
    <w:rsid w:val="003E513E"/>
    <w:rsid w:val="003E5337"/>
    <w:rsid w:val="003E536E"/>
    <w:rsid w:val="003E542F"/>
    <w:rsid w:val="003E54A6"/>
    <w:rsid w:val="003E569A"/>
    <w:rsid w:val="003E57D3"/>
    <w:rsid w:val="003E5898"/>
    <w:rsid w:val="003E592F"/>
    <w:rsid w:val="003E5F33"/>
    <w:rsid w:val="003E61BE"/>
    <w:rsid w:val="003E6525"/>
    <w:rsid w:val="003E6615"/>
    <w:rsid w:val="003E694D"/>
    <w:rsid w:val="003E6CD0"/>
    <w:rsid w:val="003E6D61"/>
    <w:rsid w:val="003E74C3"/>
    <w:rsid w:val="003E75EC"/>
    <w:rsid w:val="003E79F9"/>
    <w:rsid w:val="003E7C34"/>
    <w:rsid w:val="003E7CB1"/>
    <w:rsid w:val="003E7CD0"/>
    <w:rsid w:val="003E7DC9"/>
    <w:rsid w:val="003F06E0"/>
    <w:rsid w:val="003F076E"/>
    <w:rsid w:val="003F083C"/>
    <w:rsid w:val="003F08C4"/>
    <w:rsid w:val="003F0949"/>
    <w:rsid w:val="003F0C38"/>
    <w:rsid w:val="003F0D7C"/>
    <w:rsid w:val="003F0F70"/>
    <w:rsid w:val="003F1223"/>
    <w:rsid w:val="003F12E9"/>
    <w:rsid w:val="003F177A"/>
    <w:rsid w:val="003F19C4"/>
    <w:rsid w:val="003F1AB9"/>
    <w:rsid w:val="003F1B0E"/>
    <w:rsid w:val="003F1BBE"/>
    <w:rsid w:val="003F1C13"/>
    <w:rsid w:val="003F1FD6"/>
    <w:rsid w:val="003F21D2"/>
    <w:rsid w:val="003F26FE"/>
    <w:rsid w:val="003F2A07"/>
    <w:rsid w:val="003F2A44"/>
    <w:rsid w:val="003F2ABB"/>
    <w:rsid w:val="003F2BF3"/>
    <w:rsid w:val="003F2C11"/>
    <w:rsid w:val="003F2C59"/>
    <w:rsid w:val="003F301F"/>
    <w:rsid w:val="003F3377"/>
    <w:rsid w:val="003F33B7"/>
    <w:rsid w:val="003F3412"/>
    <w:rsid w:val="003F37FD"/>
    <w:rsid w:val="003F3854"/>
    <w:rsid w:val="003F39AE"/>
    <w:rsid w:val="003F39EA"/>
    <w:rsid w:val="003F3A52"/>
    <w:rsid w:val="003F3EF1"/>
    <w:rsid w:val="003F40E1"/>
    <w:rsid w:val="003F45B2"/>
    <w:rsid w:val="003F4679"/>
    <w:rsid w:val="003F481B"/>
    <w:rsid w:val="003F4970"/>
    <w:rsid w:val="003F4B4A"/>
    <w:rsid w:val="003F4B62"/>
    <w:rsid w:val="003F4D94"/>
    <w:rsid w:val="003F59F4"/>
    <w:rsid w:val="003F5B16"/>
    <w:rsid w:val="003F5CD7"/>
    <w:rsid w:val="003F5CD8"/>
    <w:rsid w:val="003F5FDD"/>
    <w:rsid w:val="003F6086"/>
    <w:rsid w:val="003F60E1"/>
    <w:rsid w:val="003F648C"/>
    <w:rsid w:val="003F6605"/>
    <w:rsid w:val="003F6633"/>
    <w:rsid w:val="003F66FD"/>
    <w:rsid w:val="003F672A"/>
    <w:rsid w:val="003F6BB3"/>
    <w:rsid w:val="003F6FDD"/>
    <w:rsid w:val="003F7000"/>
    <w:rsid w:val="003F751B"/>
    <w:rsid w:val="003F757E"/>
    <w:rsid w:val="003F764A"/>
    <w:rsid w:val="003F7F49"/>
    <w:rsid w:val="003F7FCC"/>
    <w:rsid w:val="004001BC"/>
    <w:rsid w:val="004002E3"/>
    <w:rsid w:val="0040032A"/>
    <w:rsid w:val="0040033C"/>
    <w:rsid w:val="00400494"/>
    <w:rsid w:val="004004F6"/>
    <w:rsid w:val="004005A1"/>
    <w:rsid w:val="0040078F"/>
    <w:rsid w:val="004008C9"/>
    <w:rsid w:val="004010AA"/>
    <w:rsid w:val="004011CF"/>
    <w:rsid w:val="004017C4"/>
    <w:rsid w:val="004017DF"/>
    <w:rsid w:val="00401A68"/>
    <w:rsid w:val="00401B69"/>
    <w:rsid w:val="0040214B"/>
    <w:rsid w:val="00402280"/>
    <w:rsid w:val="00402588"/>
    <w:rsid w:val="004026C1"/>
    <w:rsid w:val="00402741"/>
    <w:rsid w:val="00402B37"/>
    <w:rsid w:val="00402BA1"/>
    <w:rsid w:val="00402BC7"/>
    <w:rsid w:val="00402C7C"/>
    <w:rsid w:val="00402DC6"/>
    <w:rsid w:val="00402E4F"/>
    <w:rsid w:val="00402ECE"/>
    <w:rsid w:val="0040313C"/>
    <w:rsid w:val="0040351E"/>
    <w:rsid w:val="00403882"/>
    <w:rsid w:val="0040388E"/>
    <w:rsid w:val="00403A03"/>
    <w:rsid w:val="00403ACE"/>
    <w:rsid w:val="00403E24"/>
    <w:rsid w:val="00404507"/>
    <w:rsid w:val="00404D94"/>
    <w:rsid w:val="00404DCD"/>
    <w:rsid w:val="0040548B"/>
    <w:rsid w:val="004054A8"/>
    <w:rsid w:val="004055FB"/>
    <w:rsid w:val="00405AE6"/>
    <w:rsid w:val="00405EA9"/>
    <w:rsid w:val="00405EAA"/>
    <w:rsid w:val="00406145"/>
    <w:rsid w:val="0040646D"/>
    <w:rsid w:val="00406500"/>
    <w:rsid w:val="0040654E"/>
    <w:rsid w:val="00406595"/>
    <w:rsid w:val="0040667E"/>
    <w:rsid w:val="00406A86"/>
    <w:rsid w:val="00406AC1"/>
    <w:rsid w:val="00406F61"/>
    <w:rsid w:val="00406FFC"/>
    <w:rsid w:val="00407441"/>
    <w:rsid w:val="0040763D"/>
    <w:rsid w:val="00407717"/>
    <w:rsid w:val="004077D6"/>
    <w:rsid w:val="0040780E"/>
    <w:rsid w:val="00407867"/>
    <w:rsid w:val="00407C0D"/>
    <w:rsid w:val="004100E7"/>
    <w:rsid w:val="004104BE"/>
    <w:rsid w:val="00410883"/>
    <w:rsid w:val="00410A5C"/>
    <w:rsid w:val="00410BAA"/>
    <w:rsid w:val="00410C9B"/>
    <w:rsid w:val="00410D99"/>
    <w:rsid w:val="00411033"/>
    <w:rsid w:val="004110DF"/>
    <w:rsid w:val="00411280"/>
    <w:rsid w:val="00411317"/>
    <w:rsid w:val="004115E1"/>
    <w:rsid w:val="004116F3"/>
    <w:rsid w:val="004117A8"/>
    <w:rsid w:val="0041196C"/>
    <w:rsid w:val="00411A50"/>
    <w:rsid w:val="00411A53"/>
    <w:rsid w:val="00411BEF"/>
    <w:rsid w:val="00411F5D"/>
    <w:rsid w:val="004121E7"/>
    <w:rsid w:val="00412FD5"/>
    <w:rsid w:val="0041312D"/>
    <w:rsid w:val="004132F2"/>
    <w:rsid w:val="00413ECB"/>
    <w:rsid w:val="0041400D"/>
    <w:rsid w:val="00414334"/>
    <w:rsid w:val="00414414"/>
    <w:rsid w:val="00414665"/>
    <w:rsid w:val="00414673"/>
    <w:rsid w:val="0041473B"/>
    <w:rsid w:val="0041478B"/>
    <w:rsid w:val="00414B30"/>
    <w:rsid w:val="00414C6B"/>
    <w:rsid w:val="00414E47"/>
    <w:rsid w:val="00414E51"/>
    <w:rsid w:val="00414E5C"/>
    <w:rsid w:val="0041517D"/>
    <w:rsid w:val="004151EC"/>
    <w:rsid w:val="00415A1C"/>
    <w:rsid w:val="00415D79"/>
    <w:rsid w:val="00415D9B"/>
    <w:rsid w:val="00416093"/>
    <w:rsid w:val="004162D3"/>
    <w:rsid w:val="00416512"/>
    <w:rsid w:val="0041665B"/>
    <w:rsid w:val="004167C7"/>
    <w:rsid w:val="004167DB"/>
    <w:rsid w:val="00416CA7"/>
    <w:rsid w:val="00416CC7"/>
    <w:rsid w:val="00416D3C"/>
    <w:rsid w:val="00416DC4"/>
    <w:rsid w:val="00416E86"/>
    <w:rsid w:val="00417347"/>
    <w:rsid w:val="004173A0"/>
    <w:rsid w:val="0041747D"/>
    <w:rsid w:val="0041760B"/>
    <w:rsid w:val="00417775"/>
    <w:rsid w:val="00417943"/>
    <w:rsid w:val="004179E2"/>
    <w:rsid w:val="00417E60"/>
    <w:rsid w:val="00417EEE"/>
    <w:rsid w:val="00417FF5"/>
    <w:rsid w:val="004202E1"/>
    <w:rsid w:val="004203EF"/>
    <w:rsid w:val="00420435"/>
    <w:rsid w:val="004204AF"/>
    <w:rsid w:val="0042094B"/>
    <w:rsid w:val="00420E3F"/>
    <w:rsid w:val="00420F04"/>
    <w:rsid w:val="004210BA"/>
    <w:rsid w:val="0042111B"/>
    <w:rsid w:val="004213A2"/>
    <w:rsid w:val="004213A6"/>
    <w:rsid w:val="004214FC"/>
    <w:rsid w:val="00421870"/>
    <w:rsid w:val="00421EBB"/>
    <w:rsid w:val="00422059"/>
    <w:rsid w:val="004225D5"/>
    <w:rsid w:val="004228C6"/>
    <w:rsid w:val="00422C35"/>
    <w:rsid w:val="00422D03"/>
    <w:rsid w:val="00423099"/>
    <w:rsid w:val="0042347C"/>
    <w:rsid w:val="0042387B"/>
    <w:rsid w:val="00423A1F"/>
    <w:rsid w:val="00423ACF"/>
    <w:rsid w:val="00423CA6"/>
    <w:rsid w:val="00423CBD"/>
    <w:rsid w:val="004240A9"/>
    <w:rsid w:val="004241CE"/>
    <w:rsid w:val="00424200"/>
    <w:rsid w:val="0042448D"/>
    <w:rsid w:val="00424564"/>
    <w:rsid w:val="0042458F"/>
    <w:rsid w:val="004247A6"/>
    <w:rsid w:val="00424BE2"/>
    <w:rsid w:val="00424D0A"/>
    <w:rsid w:val="00424E79"/>
    <w:rsid w:val="00424FA9"/>
    <w:rsid w:val="00425022"/>
    <w:rsid w:val="00425366"/>
    <w:rsid w:val="0042558E"/>
    <w:rsid w:val="00425BA1"/>
    <w:rsid w:val="00425E7D"/>
    <w:rsid w:val="00426178"/>
    <w:rsid w:val="004262F4"/>
    <w:rsid w:val="00426303"/>
    <w:rsid w:val="0042661C"/>
    <w:rsid w:val="00426FF4"/>
    <w:rsid w:val="00427271"/>
    <w:rsid w:val="004272EE"/>
    <w:rsid w:val="00427372"/>
    <w:rsid w:val="004274B3"/>
    <w:rsid w:val="00427808"/>
    <w:rsid w:val="00427C67"/>
    <w:rsid w:val="00427F27"/>
    <w:rsid w:val="00430048"/>
    <w:rsid w:val="0043009C"/>
    <w:rsid w:val="00430294"/>
    <w:rsid w:val="004303AB"/>
    <w:rsid w:val="0043044F"/>
    <w:rsid w:val="0043062E"/>
    <w:rsid w:val="00430734"/>
    <w:rsid w:val="0043076A"/>
    <w:rsid w:val="004307AA"/>
    <w:rsid w:val="00430A19"/>
    <w:rsid w:val="00430BDD"/>
    <w:rsid w:val="0043113F"/>
    <w:rsid w:val="00431346"/>
    <w:rsid w:val="00431785"/>
    <w:rsid w:val="00431905"/>
    <w:rsid w:val="00431B17"/>
    <w:rsid w:val="00431F6E"/>
    <w:rsid w:val="00432048"/>
    <w:rsid w:val="004323EB"/>
    <w:rsid w:val="00432540"/>
    <w:rsid w:val="00432857"/>
    <w:rsid w:val="00432A8C"/>
    <w:rsid w:val="00432D78"/>
    <w:rsid w:val="00432E48"/>
    <w:rsid w:val="00432E85"/>
    <w:rsid w:val="00432ED2"/>
    <w:rsid w:val="004332B3"/>
    <w:rsid w:val="00433365"/>
    <w:rsid w:val="00433469"/>
    <w:rsid w:val="00433529"/>
    <w:rsid w:val="0043362C"/>
    <w:rsid w:val="004338E3"/>
    <w:rsid w:val="00433C2A"/>
    <w:rsid w:val="00433F36"/>
    <w:rsid w:val="00433FEE"/>
    <w:rsid w:val="004344B2"/>
    <w:rsid w:val="004344BF"/>
    <w:rsid w:val="0043452F"/>
    <w:rsid w:val="00434660"/>
    <w:rsid w:val="00434B15"/>
    <w:rsid w:val="00434B64"/>
    <w:rsid w:val="00434D01"/>
    <w:rsid w:val="004351C5"/>
    <w:rsid w:val="00435297"/>
    <w:rsid w:val="00435679"/>
    <w:rsid w:val="004357CD"/>
    <w:rsid w:val="00435A59"/>
    <w:rsid w:val="00435CB8"/>
    <w:rsid w:val="00435DFA"/>
    <w:rsid w:val="00435FFF"/>
    <w:rsid w:val="00436217"/>
    <w:rsid w:val="00436227"/>
    <w:rsid w:val="00436279"/>
    <w:rsid w:val="0043632B"/>
    <w:rsid w:val="00436624"/>
    <w:rsid w:val="00436D20"/>
    <w:rsid w:val="00436E6C"/>
    <w:rsid w:val="00437057"/>
    <w:rsid w:val="00437135"/>
    <w:rsid w:val="00437169"/>
    <w:rsid w:val="004375B3"/>
    <w:rsid w:val="00437750"/>
    <w:rsid w:val="00437B99"/>
    <w:rsid w:val="00440360"/>
    <w:rsid w:val="004403F7"/>
    <w:rsid w:val="00440675"/>
    <w:rsid w:val="00440C8C"/>
    <w:rsid w:val="004412FA"/>
    <w:rsid w:val="004414C7"/>
    <w:rsid w:val="0044167F"/>
    <w:rsid w:val="004417A6"/>
    <w:rsid w:val="004418A4"/>
    <w:rsid w:val="004418E1"/>
    <w:rsid w:val="00441CBC"/>
    <w:rsid w:val="00441F0C"/>
    <w:rsid w:val="00441F98"/>
    <w:rsid w:val="00442068"/>
    <w:rsid w:val="0044207C"/>
    <w:rsid w:val="00442E9B"/>
    <w:rsid w:val="00443729"/>
    <w:rsid w:val="004438E4"/>
    <w:rsid w:val="004439CC"/>
    <w:rsid w:val="00443B94"/>
    <w:rsid w:val="00443C37"/>
    <w:rsid w:val="00443E1F"/>
    <w:rsid w:val="00443EC1"/>
    <w:rsid w:val="0044403E"/>
    <w:rsid w:val="004441D6"/>
    <w:rsid w:val="00444240"/>
    <w:rsid w:val="004443E1"/>
    <w:rsid w:val="00444457"/>
    <w:rsid w:val="004444FA"/>
    <w:rsid w:val="00444E4C"/>
    <w:rsid w:val="00444EE0"/>
    <w:rsid w:val="0044566E"/>
    <w:rsid w:val="004459B9"/>
    <w:rsid w:val="00445BAC"/>
    <w:rsid w:val="00445BE1"/>
    <w:rsid w:val="004464AD"/>
    <w:rsid w:val="00446A96"/>
    <w:rsid w:val="00446AF6"/>
    <w:rsid w:val="00446C68"/>
    <w:rsid w:val="00446CAE"/>
    <w:rsid w:val="00446D05"/>
    <w:rsid w:val="00446DC7"/>
    <w:rsid w:val="00446F26"/>
    <w:rsid w:val="0044756C"/>
    <w:rsid w:val="00447666"/>
    <w:rsid w:val="00447725"/>
    <w:rsid w:val="004477FF"/>
    <w:rsid w:val="00447AC9"/>
    <w:rsid w:val="00447C14"/>
    <w:rsid w:val="00447CE7"/>
    <w:rsid w:val="00447D1A"/>
    <w:rsid w:val="00447D60"/>
    <w:rsid w:val="00447F20"/>
    <w:rsid w:val="004501F7"/>
    <w:rsid w:val="004502B2"/>
    <w:rsid w:val="00450359"/>
    <w:rsid w:val="004503CE"/>
    <w:rsid w:val="00450452"/>
    <w:rsid w:val="0045047E"/>
    <w:rsid w:val="004504E9"/>
    <w:rsid w:val="00450511"/>
    <w:rsid w:val="00450964"/>
    <w:rsid w:val="00450CD9"/>
    <w:rsid w:val="00450FD5"/>
    <w:rsid w:val="00451433"/>
    <w:rsid w:val="00451970"/>
    <w:rsid w:val="00451E80"/>
    <w:rsid w:val="00451F2C"/>
    <w:rsid w:val="00452434"/>
    <w:rsid w:val="00452583"/>
    <w:rsid w:val="00452631"/>
    <w:rsid w:val="00452EAE"/>
    <w:rsid w:val="00452EF2"/>
    <w:rsid w:val="00452FEC"/>
    <w:rsid w:val="00453264"/>
    <w:rsid w:val="0045350E"/>
    <w:rsid w:val="0045402E"/>
    <w:rsid w:val="00454154"/>
    <w:rsid w:val="004548A7"/>
    <w:rsid w:val="00454C04"/>
    <w:rsid w:val="004551F2"/>
    <w:rsid w:val="0045521A"/>
    <w:rsid w:val="0045526D"/>
    <w:rsid w:val="00455597"/>
    <w:rsid w:val="00456226"/>
    <w:rsid w:val="0045628F"/>
    <w:rsid w:val="004562B8"/>
    <w:rsid w:val="0045650E"/>
    <w:rsid w:val="0045681A"/>
    <w:rsid w:val="004568D7"/>
    <w:rsid w:val="00456E0B"/>
    <w:rsid w:val="004574E7"/>
    <w:rsid w:val="004575B3"/>
    <w:rsid w:val="00457981"/>
    <w:rsid w:val="00457990"/>
    <w:rsid w:val="00457C7C"/>
    <w:rsid w:val="00460114"/>
    <w:rsid w:val="0046030F"/>
    <w:rsid w:val="00460878"/>
    <w:rsid w:val="00460A79"/>
    <w:rsid w:val="00461410"/>
    <w:rsid w:val="0046147A"/>
    <w:rsid w:val="0046174C"/>
    <w:rsid w:val="00461CDE"/>
    <w:rsid w:val="00462036"/>
    <w:rsid w:val="0046222A"/>
    <w:rsid w:val="00462809"/>
    <w:rsid w:val="00462914"/>
    <w:rsid w:val="00462B45"/>
    <w:rsid w:val="00462B54"/>
    <w:rsid w:val="00462BA2"/>
    <w:rsid w:val="00463064"/>
    <w:rsid w:val="004632D5"/>
    <w:rsid w:val="0046334D"/>
    <w:rsid w:val="004633A5"/>
    <w:rsid w:val="004635D1"/>
    <w:rsid w:val="004636C5"/>
    <w:rsid w:val="004637AF"/>
    <w:rsid w:val="00463DB5"/>
    <w:rsid w:val="004640FD"/>
    <w:rsid w:val="00464118"/>
    <w:rsid w:val="004644F9"/>
    <w:rsid w:val="004645CD"/>
    <w:rsid w:val="004649CD"/>
    <w:rsid w:val="00464C37"/>
    <w:rsid w:val="0046517A"/>
    <w:rsid w:val="00465385"/>
    <w:rsid w:val="0046552F"/>
    <w:rsid w:val="0046558A"/>
    <w:rsid w:val="00465683"/>
    <w:rsid w:val="004656CF"/>
    <w:rsid w:val="004659A3"/>
    <w:rsid w:val="00465D65"/>
    <w:rsid w:val="00465E91"/>
    <w:rsid w:val="004664F2"/>
    <w:rsid w:val="00466750"/>
    <w:rsid w:val="00466805"/>
    <w:rsid w:val="0046685B"/>
    <w:rsid w:val="004668D8"/>
    <w:rsid w:val="00466917"/>
    <w:rsid w:val="00466DA5"/>
    <w:rsid w:val="00466FC4"/>
    <w:rsid w:val="00467045"/>
    <w:rsid w:val="004670A0"/>
    <w:rsid w:val="004675B3"/>
    <w:rsid w:val="0046770A"/>
    <w:rsid w:val="00467A5C"/>
    <w:rsid w:val="00467ABD"/>
    <w:rsid w:val="00467E2B"/>
    <w:rsid w:val="00467E2F"/>
    <w:rsid w:val="00467F7D"/>
    <w:rsid w:val="00470083"/>
    <w:rsid w:val="00470BAE"/>
    <w:rsid w:val="00471411"/>
    <w:rsid w:val="004718E9"/>
    <w:rsid w:val="00471956"/>
    <w:rsid w:val="00471CE8"/>
    <w:rsid w:val="00471D36"/>
    <w:rsid w:val="00471DEC"/>
    <w:rsid w:val="00471EBA"/>
    <w:rsid w:val="00472461"/>
    <w:rsid w:val="004724BE"/>
    <w:rsid w:val="0047277E"/>
    <w:rsid w:val="004727AD"/>
    <w:rsid w:val="00472B98"/>
    <w:rsid w:val="00472DEE"/>
    <w:rsid w:val="00473141"/>
    <w:rsid w:val="004732CA"/>
    <w:rsid w:val="004738A5"/>
    <w:rsid w:val="00473B78"/>
    <w:rsid w:val="00473C3D"/>
    <w:rsid w:val="00473EBA"/>
    <w:rsid w:val="00474445"/>
    <w:rsid w:val="0047451E"/>
    <w:rsid w:val="00474835"/>
    <w:rsid w:val="00474A86"/>
    <w:rsid w:val="00474EA2"/>
    <w:rsid w:val="004752E8"/>
    <w:rsid w:val="00475326"/>
    <w:rsid w:val="004754CC"/>
    <w:rsid w:val="00475871"/>
    <w:rsid w:val="00475B95"/>
    <w:rsid w:val="00475BFE"/>
    <w:rsid w:val="00475C23"/>
    <w:rsid w:val="00475C50"/>
    <w:rsid w:val="00475E41"/>
    <w:rsid w:val="00475EAA"/>
    <w:rsid w:val="00475F6F"/>
    <w:rsid w:val="004762F3"/>
    <w:rsid w:val="00476B12"/>
    <w:rsid w:val="00477042"/>
    <w:rsid w:val="0047711B"/>
    <w:rsid w:val="00477149"/>
    <w:rsid w:val="00477404"/>
    <w:rsid w:val="00477612"/>
    <w:rsid w:val="00477C42"/>
    <w:rsid w:val="00477E1D"/>
    <w:rsid w:val="00480065"/>
    <w:rsid w:val="004800A9"/>
    <w:rsid w:val="00480562"/>
    <w:rsid w:val="00480564"/>
    <w:rsid w:val="00480849"/>
    <w:rsid w:val="004808B8"/>
    <w:rsid w:val="004809B8"/>
    <w:rsid w:val="00480DD9"/>
    <w:rsid w:val="0048119A"/>
    <w:rsid w:val="00481708"/>
    <w:rsid w:val="004817E9"/>
    <w:rsid w:val="00481CFE"/>
    <w:rsid w:val="00481F10"/>
    <w:rsid w:val="004820FA"/>
    <w:rsid w:val="004821B9"/>
    <w:rsid w:val="00482356"/>
    <w:rsid w:val="004824F0"/>
    <w:rsid w:val="00482758"/>
    <w:rsid w:val="00482A14"/>
    <w:rsid w:val="00483217"/>
    <w:rsid w:val="0048347E"/>
    <w:rsid w:val="00483646"/>
    <w:rsid w:val="00483A69"/>
    <w:rsid w:val="00483D32"/>
    <w:rsid w:val="00483D6B"/>
    <w:rsid w:val="00483F79"/>
    <w:rsid w:val="0048446E"/>
    <w:rsid w:val="004845BD"/>
    <w:rsid w:val="00484705"/>
    <w:rsid w:val="004847EF"/>
    <w:rsid w:val="004848E8"/>
    <w:rsid w:val="0048493E"/>
    <w:rsid w:val="00484AA6"/>
    <w:rsid w:val="00484CC0"/>
    <w:rsid w:val="00484D05"/>
    <w:rsid w:val="00484DBD"/>
    <w:rsid w:val="00485026"/>
    <w:rsid w:val="00485301"/>
    <w:rsid w:val="00485601"/>
    <w:rsid w:val="00485612"/>
    <w:rsid w:val="0048583C"/>
    <w:rsid w:val="00485A0F"/>
    <w:rsid w:val="00485DD4"/>
    <w:rsid w:val="00485E20"/>
    <w:rsid w:val="00485F13"/>
    <w:rsid w:val="00486093"/>
    <w:rsid w:val="0048632D"/>
    <w:rsid w:val="004866E1"/>
    <w:rsid w:val="00486DF9"/>
    <w:rsid w:val="00486E2E"/>
    <w:rsid w:val="0048701F"/>
    <w:rsid w:val="00487498"/>
    <w:rsid w:val="00487D40"/>
    <w:rsid w:val="00487E86"/>
    <w:rsid w:val="00487F3C"/>
    <w:rsid w:val="004902A7"/>
    <w:rsid w:val="0049048F"/>
    <w:rsid w:val="00490742"/>
    <w:rsid w:val="004908BF"/>
    <w:rsid w:val="00490A31"/>
    <w:rsid w:val="004910A6"/>
    <w:rsid w:val="00491140"/>
    <w:rsid w:val="00491575"/>
    <w:rsid w:val="004916CB"/>
    <w:rsid w:val="004916CD"/>
    <w:rsid w:val="0049183D"/>
    <w:rsid w:val="00491880"/>
    <w:rsid w:val="00491D88"/>
    <w:rsid w:val="00491FDF"/>
    <w:rsid w:val="00492271"/>
    <w:rsid w:val="004925BF"/>
    <w:rsid w:val="004926AE"/>
    <w:rsid w:val="004927D8"/>
    <w:rsid w:val="004928BF"/>
    <w:rsid w:val="00492D4C"/>
    <w:rsid w:val="00493021"/>
    <w:rsid w:val="00493275"/>
    <w:rsid w:val="00493277"/>
    <w:rsid w:val="004935ED"/>
    <w:rsid w:val="00493631"/>
    <w:rsid w:val="00493BE7"/>
    <w:rsid w:val="00494016"/>
    <w:rsid w:val="00494165"/>
    <w:rsid w:val="004942B5"/>
    <w:rsid w:val="00494A7D"/>
    <w:rsid w:val="00494E80"/>
    <w:rsid w:val="0049508D"/>
    <w:rsid w:val="004954CE"/>
    <w:rsid w:val="004958AC"/>
    <w:rsid w:val="00495A2F"/>
    <w:rsid w:val="00495FD4"/>
    <w:rsid w:val="00496048"/>
    <w:rsid w:val="0049605C"/>
    <w:rsid w:val="00496126"/>
    <w:rsid w:val="004965C1"/>
    <w:rsid w:val="004965F7"/>
    <w:rsid w:val="00496605"/>
    <w:rsid w:val="004966F6"/>
    <w:rsid w:val="00496850"/>
    <w:rsid w:val="0049687E"/>
    <w:rsid w:val="004969AF"/>
    <w:rsid w:val="00496DA4"/>
    <w:rsid w:val="00496E94"/>
    <w:rsid w:val="004970F8"/>
    <w:rsid w:val="004974A6"/>
    <w:rsid w:val="00497552"/>
    <w:rsid w:val="004975AD"/>
    <w:rsid w:val="00497808"/>
    <w:rsid w:val="00497950"/>
    <w:rsid w:val="00497BFA"/>
    <w:rsid w:val="00497CFD"/>
    <w:rsid w:val="00497FBF"/>
    <w:rsid w:val="004A04A4"/>
    <w:rsid w:val="004A053D"/>
    <w:rsid w:val="004A06F9"/>
    <w:rsid w:val="004A06FE"/>
    <w:rsid w:val="004A1300"/>
    <w:rsid w:val="004A1635"/>
    <w:rsid w:val="004A1A55"/>
    <w:rsid w:val="004A1B6E"/>
    <w:rsid w:val="004A1CCB"/>
    <w:rsid w:val="004A1D47"/>
    <w:rsid w:val="004A1FCC"/>
    <w:rsid w:val="004A2150"/>
    <w:rsid w:val="004A2565"/>
    <w:rsid w:val="004A267A"/>
    <w:rsid w:val="004A2771"/>
    <w:rsid w:val="004A29BD"/>
    <w:rsid w:val="004A2EF8"/>
    <w:rsid w:val="004A2F18"/>
    <w:rsid w:val="004A2FFD"/>
    <w:rsid w:val="004A3183"/>
    <w:rsid w:val="004A325C"/>
    <w:rsid w:val="004A3873"/>
    <w:rsid w:val="004A38F8"/>
    <w:rsid w:val="004A39C9"/>
    <w:rsid w:val="004A3B78"/>
    <w:rsid w:val="004A4020"/>
    <w:rsid w:val="004A4036"/>
    <w:rsid w:val="004A40B0"/>
    <w:rsid w:val="004A41FB"/>
    <w:rsid w:val="004A4309"/>
    <w:rsid w:val="004A46E0"/>
    <w:rsid w:val="004A46FF"/>
    <w:rsid w:val="004A4A56"/>
    <w:rsid w:val="004A4BFA"/>
    <w:rsid w:val="004A4CBD"/>
    <w:rsid w:val="004A52C4"/>
    <w:rsid w:val="004A56B1"/>
    <w:rsid w:val="004A5A65"/>
    <w:rsid w:val="004A5AD7"/>
    <w:rsid w:val="004A5F9D"/>
    <w:rsid w:val="004A6101"/>
    <w:rsid w:val="004A6166"/>
    <w:rsid w:val="004A63E5"/>
    <w:rsid w:val="004A66FC"/>
    <w:rsid w:val="004A67E9"/>
    <w:rsid w:val="004A6851"/>
    <w:rsid w:val="004A687D"/>
    <w:rsid w:val="004A6896"/>
    <w:rsid w:val="004A6B13"/>
    <w:rsid w:val="004A6DB6"/>
    <w:rsid w:val="004A7048"/>
    <w:rsid w:val="004A7057"/>
    <w:rsid w:val="004A70F7"/>
    <w:rsid w:val="004A7200"/>
    <w:rsid w:val="004A73A0"/>
    <w:rsid w:val="004A742E"/>
    <w:rsid w:val="004A7616"/>
    <w:rsid w:val="004A7954"/>
    <w:rsid w:val="004A7B16"/>
    <w:rsid w:val="004A7B5E"/>
    <w:rsid w:val="004A7EFC"/>
    <w:rsid w:val="004B029D"/>
    <w:rsid w:val="004B0498"/>
    <w:rsid w:val="004B0514"/>
    <w:rsid w:val="004B0840"/>
    <w:rsid w:val="004B0A0A"/>
    <w:rsid w:val="004B0B7E"/>
    <w:rsid w:val="004B0D70"/>
    <w:rsid w:val="004B1008"/>
    <w:rsid w:val="004B102D"/>
    <w:rsid w:val="004B1088"/>
    <w:rsid w:val="004B1125"/>
    <w:rsid w:val="004B12F1"/>
    <w:rsid w:val="004B1B3C"/>
    <w:rsid w:val="004B1C4B"/>
    <w:rsid w:val="004B1DA3"/>
    <w:rsid w:val="004B1EF5"/>
    <w:rsid w:val="004B1F04"/>
    <w:rsid w:val="004B1F73"/>
    <w:rsid w:val="004B208D"/>
    <w:rsid w:val="004B2392"/>
    <w:rsid w:val="004B2722"/>
    <w:rsid w:val="004B284F"/>
    <w:rsid w:val="004B2891"/>
    <w:rsid w:val="004B2C16"/>
    <w:rsid w:val="004B2C60"/>
    <w:rsid w:val="004B2D06"/>
    <w:rsid w:val="004B2D30"/>
    <w:rsid w:val="004B34CA"/>
    <w:rsid w:val="004B359B"/>
    <w:rsid w:val="004B370E"/>
    <w:rsid w:val="004B37D3"/>
    <w:rsid w:val="004B3804"/>
    <w:rsid w:val="004B3B67"/>
    <w:rsid w:val="004B3BF2"/>
    <w:rsid w:val="004B3DDF"/>
    <w:rsid w:val="004B3E57"/>
    <w:rsid w:val="004B42E9"/>
    <w:rsid w:val="004B4339"/>
    <w:rsid w:val="004B4507"/>
    <w:rsid w:val="004B46BB"/>
    <w:rsid w:val="004B4928"/>
    <w:rsid w:val="004B545E"/>
    <w:rsid w:val="004B5749"/>
    <w:rsid w:val="004B5C07"/>
    <w:rsid w:val="004B60CB"/>
    <w:rsid w:val="004B627B"/>
    <w:rsid w:val="004B6673"/>
    <w:rsid w:val="004B6784"/>
    <w:rsid w:val="004B6BAA"/>
    <w:rsid w:val="004B6E81"/>
    <w:rsid w:val="004B6E89"/>
    <w:rsid w:val="004B7591"/>
    <w:rsid w:val="004B75DB"/>
    <w:rsid w:val="004B762C"/>
    <w:rsid w:val="004B7652"/>
    <w:rsid w:val="004B7B95"/>
    <w:rsid w:val="004B7DC9"/>
    <w:rsid w:val="004C0378"/>
    <w:rsid w:val="004C0650"/>
    <w:rsid w:val="004C07D9"/>
    <w:rsid w:val="004C081C"/>
    <w:rsid w:val="004C0833"/>
    <w:rsid w:val="004C0E2E"/>
    <w:rsid w:val="004C10FE"/>
    <w:rsid w:val="004C11A2"/>
    <w:rsid w:val="004C12D1"/>
    <w:rsid w:val="004C14AA"/>
    <w:rsid w:val="004C1CB5"/>
    <w:rsid w:val="004C2220"/>
    <w:rsid w:val="004C22C9"/>
    <w:rsid w:val="004C25C2"/>
    <w:rsid w:val="004C296C"/>
    <w:rsid w:val="004C29CF"/>
    <w:rsid w:val="004C2D81"/>
    <w:rsid w:val="004C2DEE"/>
    <w:rsid w:val="004C30EF"/>
    <w:rsid w:val="004C37CF"/>
    <w:rsid w:val="004C37DA"/>
    <w:rsid w:val="004C3B79"/>
    <w:rsid w:val="004C4088"/>
    <w:rsid w:val="004C484D"/>
    <w:rsid w:val="004C4B16"/>
    <w:rsid w:val="004C4C21"/>
    <w:rsid w:val="004C4C4C"/>
    <w:rsid w:val="004C4D85"/>
    <w:rsid w:val="004C507A"/>
    <w:rsid w:val="004C50F1"/>
    <w:rsid w:val="004C5141"/>
    <w:rsid w:val="004C5197"/>
    <w:rsid w:val="004C5268"/>
    <w:rsid w:val="004C54F1"/>
    <w:rsid w:val="004C5665"/>
    <w:rsid w:val="004C59FF"/>
    <w:rsid w:val="004C5C5F"/>
    <w:rsid w:val="004C5F4F"/>
    <w:rsid w:val="004C63BB"/>
    <w:rsid w:val="004C641F"/>
    <w:rsid w:val="004C6574"/>
    <w:rsid w:val="004C6639"/>
    <w:rsid w:val="004C6748"/>
    <w:rsid w:val="004C6876"/>
    <w:rsid w:val="004C75D9"/>
    <w:rsid w:val="004C7986"/>
    <w:rsid w:val="004C7BBE"/>
    <w:rsid w:val="004C7D58"/>
    <w:rsid w:val="004C7D8B"/>
    <w:rsid w:val="004D05DA"/>
    <w:rsid w:val="004D075D"/>
    <w:rsid w:val="004D07EB"/>
    <w:rsid w:val="004D0A49"/>
    <w:rsid w:val="004D0B88"/>
    <w:rsid w:val="004D0C27"/>
    <w:rsid w:val="004D0D2B"/>
    <w:rsid w:val="004D0DFB"/>
    <w:rsid w:val="004D0E37"/>
    <w:rsid w:val="004D1253"/>
    <w:rsid w:val="004D158D"/>
    <w:rsid w:val="004D1AB3"/>
    <w:rsid w:val="004D1C82"/>
    <w:rsid w:val="004D20E8"/>
    <w:rsid w:val="004D210D"/>
    <w:rsid w:val="004D228F"/>
    <w:rsid w:val="004D233B"/>
    <w:rsid w:val="004D2819"/>
    <w:rsid w:val="004D281A"/>
    <w:rsid w:val="004D2B7A"/>
    <w:rsid w:val="004D2E82"/>
    <w:rsid w:val="004D2F55"/>
    <w:rsid w:val="004D3041"/>
    <w:rsid w:val="004D312E"/>
    <w:rsid w:val="004D31E0"/>
    <w:rsid w:val="004D3287"/>
    <w:rsid w:val="004D34A9"/>
    <w:rsid w:val="004D3571"/>
    <w:rsid w:val="004D3F61"/>
    <w:rsid w:val="004D3FF0"/>
    <w:rsid w:val="004D432A"/>
    <w:rsid w:val="004D479B"/>
    <w:rsid w:val="004D48FD"/>
    <w:rsid w:val="004D4CF4"/>
    <w:rsid w:val="004D4E8E"/>
    <w:rsid w:val="004D5079"/>
    <w:rsid w:val="004D5135"/>
    <w:rsid w:val="004D55D1"/>
    <w:rsid w:val="004D56AB"/>
    <w:rsid w:val="004D57E0"/>
    <w:rsid w:val="004D5C11"/>
    <w:rsid w:val="004D5ED1"/>
    <w:rsid w:val="004D6797"/>
    <w:rsid w:val="004D693C"/>
    <w:rsid w:val="004D6E0F"/>
    <w:rsid w:val="004D6EF5"/>
    <w:rsid w:val="004D7100"/>
    <w:rsid w:val="004D715E"/>
    <w:rsid w:val="004D7165"/>
    <w:rsid w:val="004D7660"/>
    <w:rsid w:val="004D76E1"/>
    <w:rsid w:val="004D7E55"/>
    <w:rsid w:val="004E0091"/>
    <w:rsid w:val="004E02B9"/>
    <w:rsid w:val="004E094F"/>
    <w:rsid w:val="004E0B48"/>
    <w:rsid w:val="004E0BEE"/>
    <w:rsid w:val="004E0C03"/>
    <w:rsid w:val="004E107C"/>
    <w:rsid w:val="004E10E4"/>
    <w:rsid w:val="004E121F"/>
    <w:rsid w:val="004E1357"/>
    <w:rsid w:val="004E1775"/>
    <w:rsid w:val="004E186D"/>
    <w:rsid w:val="004E1C6F"/>
    <w:rsid w:val="004E1EF0"/>
    <w:rsid w:val="004E24AB"/>
    <w:rsid w:val="004E269F"/>
    <w:rsid w:val="004E2879"/>
    <w:rsid w:val="004E28D8"/>
    <w:rsid w:val="004E2A4D"/>
    <w:rsid w:val="004E2DB1"/>
    <w:rsid w:val="004E326D"/>
    <w:rsid w:val="004E3546"/>
    <w:rsid w:val="004E39AD"/>
    <w:rsid w:val="004E3A95"/>
    <w:rsid w:val="004E3B79"/>
    <w:rsid w:val="004E3D3F"/>
    <w:rsid w:val="004E406C"/>
    <w:rsid w:val="004E420A"/>
    <w:rsid w:val="004E4825"/>
    <w:rsid w:val="004E4899"/>
    <w:rsid w:val="004E4AAD"/>
    <w:rsid w:val="004E4BB7"/>
    <w:rsid w:val="004E513E"/>
    <w:rsid w:val="004E55D2"/>
    <w:rsid w:val="004E59E1"/>
    <w:rsid w:val="004E5CF5"/>
    <w:rsid w:val="004E5D0D"/>
    <w:rsid w:val="004E6073"/>
    <w:rsid w:val="004E6318"/>
    <w:rsid w:val="004E6499"/>
    <w:rsid w:val="004E6719"/>
    <w:rsid w:val="004E6B7D"/>
    <w:rsid w:val="004E6DD8"/>
    <w:rsid w:val="004E6F63"/>
    <w:rsid w:val="004E7076"/>
    <w:rsid w:val="004E7104"/>
    <w:rsid w:val="004E7517"/>
    <w:rsid w:val="004E7519"/>
    <w:rsid w:val="004E769A"/>
    <w:rsid w:val="004E7AEB"/>
    <w:rsid w:val="004E7B82"/>
    <w:rsid w:val="004E7C01"/>
    <w:rsid w:val="004E7C55"/>
    <w:rsid w:val="004E7E6C"/>
    <w:rsid w:val="004F0135"/>
    <w:rsid w:val="004F03D5"/>
    <w:rsid w:val="004F05CD"/>
    <w:rsid w:val="004F0684"/>
    <w:rsid w:val="004F06A5"/>
    <w:rsid w:val="004F07A1"/>
    <w:rsid w:val="004F1173"/>
    <w:rsid w:val="004F1463"/>
    <w:rsid w:val="004F148C"/>
    <w:rsid w:val="004F1ACF"/>
    <w:rsid w:val="004F1BA7"/>
    <w:rsid w:val="004F1E16"/>
    <w:rsid w:val="004F1E56"/>
    <w:rsid w:val="004F222C"/>
    <w:rsid w:val="004F2284"/>
    <w:rsid w:val="004F28DB"/>
    <w:rsid w:val="004F28E5"/>
    <w:rsid w:val="004F2A15"/>
    <w:rsid w:val="004F2C66"/>
    <w:rsid w:val="004F2CB7"/>
    <w:rsid w:val="004F2F39"/>
    <w:rsid w:val="004F2F52"/>
    <w:rsid w:val="004F3156"/>
    <w:rsid w:val="004F31AE"/>
    <w:rsid w:val="004F31CF"/>
    <w:rsid w:val="004F32DC"/>
    <w:rsid w:val="004F341F"/>
    <w:rsid w:val="004F381B"/>
    <w:rsid w:val="004F383C"/>
    <w:rsid w:val="004F3A8E"/>
    <w:rsid w:val="004F3B60"/>
    <w:rsid w:val="004F3F7A"/>
    <w:rsid w:val="004F491F"/>
    <w:rsid w:val="004F4A13"/>
    <w:rsid w:val="004F4F07"/>
    <w:rsid w:val="004F4FCB"/>
    <w:rsid w:val="004F502A"/>
    <w:rsid w:val="004F53E2"/>
    <w:rsid w:val="004F55C5"/>
    <w:rsid w:val="004F5700"/>
    <w:rsid w:val="004F585C"/>
    <w:rsid w:val="004F58D3"/>
    <w:rsid w:val="004F591F"/>
    <w:rsid w:val="004F5A6F"/>
    <w:rsid w:val="004F5CEF"/>
    <w:rsid w:val="004F5D2B"/>
    <w:rsid w:val="004F5F48"/>
    <w:rsid w:val="004F6230"/>
    <w:rsid w:val="004F628E"/>
    <w:rsid w:val="004F6439"/>
    <w:rsid w:val="004F655C"/>
    <w:rsid w:val="004F65C1"/>
    <w:rsid w:val="004F6794"/>
    <w:rsid w:val="004F6974"/>
    <w:rsid w:val="004F748B"/>
    <w:rsid w:val="004F750C"/>
    <w:rsid w:val="004F7531"/>
    <w:rsid w:val="004F77FD"/>
    <w:rsid w:val="004F7C87"/>
    <w:rsid w:val="004F7ECB"/>
    <w:rsid w:val="004F7F2F"/>
    <w:rsid w:val="0050005E"/>
    <w:rsid w:val="00500160"/>
    <w:rsid w:val="00500293"/>
    <w:rsid w:val="00500320"/>
    <w:rsid w:val="005003BB"/>
    <w:rsid w:val="005004B0"/>
    <w:rsid w:val="00500586"/>
    <w:rsid w:val="005007BA"/>
    <w:rsid w:val="00500A3C"/>
    <w:rsid w:val="00500ACD"/>
    <w:rsid w:val="00500D49"/>
    <w:rsid w:val="00500FC1"/>
    <w:rsid w:val="00500FCE"/>
    <w:rsid w:val="00501138"/>
    <w:rsid w:val="00501181"/>
    <w:rsid w:val="005012C0"/>
    <w:rsid w:val="005015C6"/>
    <w:rsid w:val="005015EB"/>
    <w:rsid w:val="005017F8"/>
    <w:rsid w:val="00501A5D"/>
    <w:rsid w:val="00501C81"/>
    <w:rsid w:val="00501CF6"/>
    <w:rsid w:val="00501F21"/>
    <w:rsid w:val="00501F68"/>
    <w:rsid w:val="00501F6F"/>
    <w:rsid w:val="00501FFE"/>
    <w:rsid w:val="00502070"/>
    <w:rsid w:val="00502C17"/>
    <w:rsid w:val="00502C52"/>
    <w:rsid w:val="00503344"/>
    <w:rsid w:val="00503360"/>
    <w:rsid w:val="00503797"/>
    <w:rsid w:val="0050390F"/>
    <w:rsid w:val="00503994"/>
    <w:rsid w:val="00503A82"/>
    <w:rsid w:val="00503AB4"/>
    <w:rsid w:val="00503C46"/>
    <w:rsid w:val="00504061"/>
    <w:rsid w:val="00504152"/>
    <w:rsid w:val="0050462E"/>
    <w:rsid w:val="0050472F"/>
    <w:rsid w:val="00504A0B"/>
    <w:rsid w:val="00504B27"/>
    <w:rsid w:val="00504DE0"/>
    <w:rsid w:val="00504E91"/>
    <w:rsid w:val="00504F2E"/>
    <w:rsid w:val="00505176"/>
    <w:rsid w:val="00505210"/>
    <w:rsid w:val="0050544D"/>
    <w:rsid w:val="00505BAE"/>
    <w:rsid w:val="00505E22"/>
    <w:rsid w:val="005060F6"/>
    <w:rsid w:val="005062FE"/>
    <w:rsid w:val="005065B8"/>
    <w:rsid w:val="00506956"/>
    <w:rsid w:val="00506973"/>
    <w:rsid w:val="005069BD"/>
    <w:rsid w:val="00506F90"/>
    <w:rsid w:val="0050707B"/>
    <w:rsid w:val="00507243"/>
    <w:rsid w:val="005074E8"/>
    <w:rsid w:val="0050753C"/>
    <w:rsid w:val="00507B89"/>
    <w:rsid w:val="00507D6B"/>
    <w:rsid w:val="00510370"/>
    <w:rsid w:val="005105DA"/>
    <w:rsid w:val="0051099E"/>
    <w:rsid w:val="00510CCA"/>
    <w:rsid w:val="00510FDF"/>
    <w:rsid w:val="0051108A"/>
    <w:rsid w:val="00511267"/>
    <w:rsid w:val="00511662"/>
    <w:rsid w:val="005117F7"/>
    <w:rsid w:val="00511C48"/>
    <w:rsid w:val="00511CE8"/>
    <w:rsid w:val="00511D35"/>
    <w:rsid w:val="00511D3F"/>
    <w:rsid w:val="00511D63"/>
    <w:rsid w:val="00512025"/>
    <w:rsid w:val="005126D6"/>
    <w:rsid w:val="005127C1"/>
    <w:rsid w:val="0051299B"/>
    <w:rsid w:val="00512BD8"/>
    <w:rsid w:val="00512CC3"/>
    <w:rsid w:val="0051339F"/>
    <w:rsid w:val="00513553"/>
    <w:rsid w:val="00513565"/>
    <w:rsid w:val="005138B1"/>
    <w:rsid w:val="00513DC7"/>
    <w:rsid w:val="00513E6D"/>
    <w:rsid w:val="00513F21"/>
    <w:rsid w:val="00514161"/>
    <w:rsid w:val="0051446B"/>
    <w:rsid w:val="005144A0"/>
    <w:rsid w:val="00514559"/>
    <w:rsid w:val="00514685"/>
    <w:rsid w:val="005149B5"/>
    <w:rsid w:val="00514A33"/>
    <w:rsid w:val="00514B90"/>
    <w:rsid w:val="005150A4"/>
    <w:rsid w:val="00515380"/>
    <w:rsid w:val="005153F3"/>
    <w:rsid w:val="0051549E"/>
    <w:rsid w:val="005155DD"/>
    <w:rsid w:val="005155F1"/>
    <w:rsid w:val="00515915"/>
    <w:rsid w:val="0051594E"/>
    <w:rsid w:val="00515B60"/>
    <w:rsid w:val="00515DC1"/>
    <w:rsid w:val="00515E37"/>
    <w:rsid w:val="00516118"/>
    <w:rsid w:val="0051639F"/>
    <w:rsid w:val="00516776"/>
    <w:rsid w:val="00516C18"/>
    <w:rsid w:val="00516CFC"/>
    <w:rsid w:val="005171F2"/>
    <w:rsid w:val="00517302"/>
    <w:rsid w:val="00517507"/>
    <w:rsid w:val="005176CA"/>
    <w:rsid w:val="00517839"/>
    <w:rsid w:val="0051783F"/>
    <w:rsid w:val="00517843"/>
    <w:rsid w:val="00517A74"/>
    <w:rsid w:val="00517B22"/>
    <w:rsid w:val="00520091"/>
    <w:rsid w:val="00520495"/>
    <w:rsid w:val="00520530"/>
    <w:rsid w:val="005206F3"/>
    <w:rsid w:val="00520D09"/>
    <w:rsid w:val="00520FFC"/>
    <w:rsid w:val="0052116B"/>
    <w:rsid w:val="00521244"/>
    <w:rsid w:val="005213EB"/>
    <w:rsid w:val="00521758"/>
    <w:rsid w:val="00521F7D"/>
    <w:rsid w:val="005224F0"/>
    <w:rsid w:val="00522660"/>
    <w:rsid w:val="005227A8"/>
    <w:rsid w:val="00522967"/>
    <w:rsid w:val="00522AEB"/>
    <w:rsid w:val="00523528"/>
    <w:rsid w:val="005235D1"/>
    <w:rsid w:val="005236C0"/>
    <w:rsid w:val="00523C7A"/>
    <w:rsid w:val="00523DCF"/>
    <w:rsid w:val="00524457"/>
    <w:rsid w:val="0052445F"/>
    <w:rsid w:val="005244E9"/>
    <w:rsid w:val="00524A7D"/>
    <w:rsid w:val="00524E4E"/>
    <w:rsid w:val="00525268"/>
    <w:rsid w:val="00525367"/>
    <w:rsid w:val="005253CA"/>
    <w:rsid w:val="005253FC"/>
    <w:rsid w:val="00525443"/>
    <w:rsid w:val="005256A7"/>
    <w:rsid w:val="005257B0"/>
    <w:rsid w:val="005259C4"/>
    <w:rsid w:val="00525A53"/>
    <w:rsid w:val="00525B2F"/>
    <w:rsid w:val="0052604A"/>
    <w:rsid w:val="005260B6"/>
    <w:rsid w:val="005260FD"/>
    <w:rsid w:val="0052638F"/>
    <w:rsid w:val="00526495"/>
    <w:rsid w:val="0052677F"/>
    <w:rsid w:val="005269C5"/>
    <w:rsid w:val="00527084"/>
    <w:rsid w:val="005270FC"/>
    <w:rsid w:val="00527486"/>
    <w:rsid w:val="005276D7"/>
    <w:rsid w:val="0052773D"/>
    <w:rsid w:val="00527841"/>
    <w:rsid w:val="005279AE"/>
    <w:rsid w:val="00527A42"/>
    <w:rsid w:val="00527F39"/>
    <w:rsid w:val="00527F6D"/>
    <w:rsid w:val="00530736"/>
    <w:rsid w:val="00530C32"/>
    <w:rsid w:val="00530DB1"/>
    <w:rsid w:val="005312A7"/>
    <w:rsid w:val="00531374"/>
    <w:rsid w:val="0053138E"/>
    <w:rsid w:val="00531A57"/>
    <w:rsid w:val="00531B3F"/>
    <w:rsid w:val="00531FA2"/>
    <w:rsid w:val="00532494"/>
    <w:rsid w:val="00532723"/>
    <w:rsid w:val="005327A9"/>
    <w:rsid w:val="00532AAC"/>
    <w:rsid w:val="00532B13"/>
    <w:rsid w:val="00532CB2"/>
    <w:rsid w:val="00532D10"/>
    <w:rsid w:val="00533149"/>
    <w:rsid w:val="00533354"/>
    <w:rsid w:val="0053371D"/>
    <w:rsid w:val="00533B84"/>
    <w:rsid w:val="00533BD5"/>
    <w:rsid w:val="00534381"/>
    <w:rsid w:val="00534593"/>
    <w:rsid w:val="0053498F"/>
    <w:rsid w:val="00534A1C"/>
    <w:rsid w:val="00534D7D"/>
    <w:rsid w:val="005350DC"/>
    <w:rsid w:val="00535124"/>
    <w:rsid w:val="00535252"/>
    <w:rsid w:val="0053539E"/>
    <w:rsid w:val="0053544A"/>
    <w:rsid w:val="005357E2"/>
    <w:rsid w:val="00535A79"/>
    <w:rsid w:val="00535C83"/>
    <w:rsid w:val="00535CB4"/>
    <w:rsid w:val="00535CE9"/>
    <w:rsid w:val="00535DFF"/>
    <w:rsid w:val="00535FE5"/>
    <w:rsid w:val="00536010"/>
    <w:rsid w:val="0053606A"/>
    <w:rsid w:val="00536116"/>
    <w:rsid w:val="00536237"/>
    <w:rsid w:val="00536312"/>
    <w:rsid w:val="005363DC"/>
    <w:rsid w:val="005364DA"/>
    <w:rsid w:val="005367CE"/>
    <w:rsid w:val="00536896"/>
    <w:rsid w:val="00536AD5"/>
    <w:rsid w:val="00536BCC"/>
    <w:rsid w:val="00537146"/>
    <w:rsid w:val="00537904"/>
    <w:rsid w:val="005379D3"/>
    <w:rsid w:val="00537A77"/>
    <w:rsid w:val="00537A7E"/>
    <w:rsid w:val="00537C63"/>
    <w:rsid w:val="005400A0"/>
    <w:rsid w:val="00540310"/>
    <w:rsid w:val="0054044E"/>
    <w:rsid w:val="005405A4"/>
    <w:rsid w:val="00540705"/>
    <w:rsid w:val="005408E1"/>
    <w:rsid w:val="00540EB6"/>
    <w:rsid w:val="00540EED"/>
    <w:rsid w:val="00540F9D"/>
    <w:rsid w:val="00541013"/>
    <w:rsid w:val="0054154D"/>
    <w:rsid w:val="00541A14"/>
    <w:rsid w:val="005420F8"/>
    <w:rsid w:val="0054211F"/>
    <w:rsid w:val="005422EE"/>
    <w:rsid w:val="00542D62"/>
    <w:rsid w:val="00542E34"/>
    <w:rsid w:val="00543055"/>
    <w:rsid w:val="00543462"/>
    <w:rsid w:val="00543834"/>
    <w:rsid w:val="0054390B"/>
    <w:rsid w:val="00543A5B"/>
    <w:rsid w:val="00543F9C"/>
    <w:rsid w:val="00544300"/>
    <w:rsid w:val="00544774"/>
    <w:rsid w:val="00544BF1"/>
    <w:rsid w:val="00545290"/>
    <w:rsid w:val="00545C42"/>
    <w:rsid w:val="00545CEB"/>
    <w:rsid w:val="00545D06"/>
    <w:rsid w:val="00545D97"/>
    <w:rsid w:val="00545DB7"/>
    <w:rsid w:val="00545DDB"/>
    <w:rsid w:val="00545F2D"/>
    <w:rsid w:val="00546193"/>
    <w:rsid w:val="005461AA"/>
    <w:rsid w:val="005462D0"/>
    <w:rsid w:val="00546AD0"/>
    <w:rsid w:val="00546C79"/>
    <w:rsid w:val="00546CA2"/>
    <w:rsid w:val="00546D39"/>
    <w:rsid w:val="00546DE4"/>
    <w:rsid w:val="00546F85"/>
    <w:rsid w:val="005472A4"/>
    <w:rsid w:val="005472F3"/>
    <w:rsid w:val="00547A88"/>
    <w:rsid w:val="00547AED"/>
    <w:rsid w:val="0055000A"/>
    <w:rsid w:val="0055036C"/>
    <w:rsid w:val="0055047F"/>
    <w:rsid w:val="0055087D"/>
    <w:rsid w:val="00550AB0"/>
    <w:rsid w:val="00550CBF"/>
    <w:rsid w:val="00550E84"/>
    <w:rsid w:val="00550FC2"/>
    <w:rsid w:val="0055101C"/>
    <w:rsid w:val="00551368"/>
    <w:rsid w:val="005513AC"/>
    <w:rsid w:val="0055141A"/>
    <w:rsid w:val="00551759"/>
    <w:rsid w:val="00551846"/>
    <w:rsid w:val="0055198B"/>
    <w:rsid w:val="005524B0"/>
    <w:rsid w:val="005525CB"/>
    <w:rsid w:val="00552861"/>
    <w:rsid w:val="00552B0F"/>
    <w:rsid w:val="00552C3B"/>
    <w:rsid w:val="00552CD2"/>
    <w:rsid w:val="00552CDC"/>
    <w:rsid w:val="00552F7C"/>
    <w:rsid w:val="00552FCC"/>
    <w:rsid w:val="0055301C"/>
    <w:rsid w:val="0055344F"/>
    <w:rsid w:val="00553893"/>
    <w:rsid w:val="00553A7D"/>
    <w:rsid w:val="00553ACA"/>
    <w:rsid w:val="00553CA1"/>
    <w:rsid w:val="00553D16"/>
    <w:rsid w:val="00553DFB"/>
    <w:rsid w:val="00554076"/>
    <w:rsid w:val="00554139"/>
    <w:rsid w:val="00554316"/>
    <w:rsid w:val="0055485B"/>
    <w:rsid w:val="00554894"/>
    <w:rsid w:val="005548C9"/>
    <w:rsid w:val="00554960"/>
    <w:rsid w:val="00554A84"/>
    <w:rsid w:val="00554BB2"/>
    <w:rsid w:val="00554F08"/>
    <w:rsid w:val="00554FFD"/>
    <w:rsid w:val="005555DB"/>
    <w:rsid w:val="005556D8"/>
    <w:rsid w:val="0055584F"/>
    <w:rsid w:val="0055587F"/>
    <w:rsid w:val="00555AE0"/>
    <w:rsid w:val="00555AEC"/>
    <w:rsid w:val="00555B16"/>
    <w:rsid w:val="00555F09"/>
    <w:rsid w:val="00556028"/>
    <w:rsid w:val="00556EFB"/>
    <w:rsid w:val="00557296"/>
    <w:rsid w:val="005572E7"/>
    <w:rsid w:val="005577B0"/>
    <w:rsid w:val="00557B39"/>
    <w:rsid w:val="00557C25"/>
    <w:rsid w:val="0056013B"/>
    <w:rsid w:val="00560192"/>
    <w:rsid w:val="00560646"/>
    <w:rsid w:val="00560EAD"/>
    <w:rsid w:val="00561241"/>
    <w:rsid w:val="00561698"/>
    <w:rsid w:val="00561AB3"/>
    <w:rsid w:val="00562084"/>
    <w:rsid w:val="00562330"/>
    <w:rsid w:val="005623EA"/>
    <w:rsid w:val="005626AD"/>
    <w:rsid w:val="00562EA1"/>
    <w:rsid w:val="005630B7"/>
    <w:rsid w:val="005632E4"/>
    <w:rsid w:val="0056350E"/>
    <w:rsid w:val="0056375B"/>
    <w:rsid w:val="005638C0"/>
    <w:rsid w:val="005638CB"/>
    <w:rsid w:val="00563B93"/>
    <w:rsid w:val="00563DDB"/>
    <w:rsid w:val="00563DF2"/>
    <w:rsid w:val="00563EBC"/>
    <w:rsid w:val="00563FF3"/>
    <w:rsid w:val="00564369"/>
    <w:rsid w:val="00564B74"/>
    <w:rsid w:val="00564B82"/>
    <w:rsid w:val="00564C58"/>
    <w:rsid w:val="00564DB0"/>
    <w:rsid w:val="00565333"/>
    <w:rsid w:val="005654BE"/>
    <w:rsid w:val="0056574F"/>
    <w:rsid w:val="005658BD"/>
    <w:rsid w:val="00565AA0"/>
    <w:rsid w:val="00565BB7"/>
    <w:rsid w:val="00565D7D"/>
    <w:rsid w:val="00565DB9"/>
    <w:rsid w:val="00566004"/>
    <w:rsid w:val="0056624F"/>
    <w:rsid w:val="0056644C"/>
    <w:rsid w:val="005669BC"/>
    <w:rsid w:val="00566AD4"/>
    <w:rsid w:val="00566D15"/>
    <w:rsid w:val="005670AC"/>
    <w:rsid w:val="00567154"/>
    <w:rsid w:val="00567562"/>
    <w:rsid w:val="005675DF"/>
    <w:rsid w:val="005679ED"/>
    <w:rsid w:val="00567BDA"/>
    <w:rsid w:val="00567BE3"/>
    <w:rsid w:val="00567DE1"/>
    <w:rsid w:val="00567F16"/>
    <w:rsid w:val="00570318"/>
    <w:rsid w:val="00570EED"/>
    <w:rsid w:val="00570F18"/>
    <w:rsid w:val="00570F30"/>
    <w:rsid w:val="0057107A"/>
    <w:rsid w:val="0057120E"/>
    <w:rsid w:val="0057141A"/>
    <w:rsid w:val="005714AB"/>
    <w:rsid w:val="00571619"/>
    <w:rsid w:val="005716FC"/>
    <w:rsid w:val="005717F7"/>
    <w:rsid w:val="0057187F"/>
    <w:rsid w:val="0057198F"/>
    <w:rsid w:val="00571C52"/>
    <w:rsid w:val="00571D2A"/>
    <w:rsid w:val="00571F9E"/>
    <w:rsid w:val="00571FE8"/>
    <w:rsid w:val="005723C9"/>
    <w:rsid w:val="00572546"/>
    <w:rsid w:val="005725E3"/>
    <w:rsid w:val="005726F3"/>
    <w:rsid w:val="005727BD"/>
    <w:rsid w:val="0057281D"/>
    <w:rsid w:val="005729FD"/>
    <w:rsid w:val="00572A0C"/>
    <w:rsid w:val="00572A77"/>
    <w:rsid w:val="00572C2A"/>
    <w:rsid w:val="00572CD5"/>
    <w:rsid w:val="00572EF2"/>
    <w:rsid w:val="00573587"/>
    <w:rsid w:val="00573B54"/>
    <w:rsid w:val="00573F56"/>
    <w:rsid w:val="005744F6"/>
    <w:rsid w:val="0057459D"/>
    <w:rsid w:val="005746C7"/>
    <w:rsid w:val="005747F3"/>
    <w:rsid w:val="00574B37"/>
    <w:rsid w:val="00575231"/>
    <w:rsid w:val="00575246"/>
    <w:rsid w:val="0057549A"/>
    <w:rsid w:val="005754ED"/>
    <w:rsid w:val="00575AE0"/>
    <w:rsid w:val="00575B15"/>
    <w:rsid w:val="00575B53"/>
    <w:rsid w:val="00575CAC"/>
    <w:rsid w:val="00575DEF"/>
    <w:rsid w:val="00575E3A"/>
    <w:rsid w:val="00575F16"/>
    <w:rsid w:val="00575FFA"/>
    <w:rsid w:val="005761A4"/>
    <w:rsid w:val="00576534"/>
    <w:rsid w:val="00576AB5"/>
    <w:rsid w:val="00576C5F"/>
    <w:rsid w:val="00576E74"/>
    <w:rsid w:val="00577004"/>
    <w:rsid w:val="005771F0"/>
    <w:rsid w:val="0057740D"/>
    <w:rsid w:val="005774BA"/>
    <w:rsid w:val="005778B5"/>
    <w:rsid w:val="005778C8"/>
    <w:rsid w:val="005778EF"/>
    <w:rsid w:val="00577A0C"/>
    <w:rsid w:val="00577A25"/>
    <w:rsid w:val="00577A7F"/>
    <w:rsid w:val="0058013F"/>
    <w:rsid w:val="005801A4"/>
    <w:rsid w:val="00580A06"/>
    <w:rsid w:val="00580C79"/>
    <w:rsid w:val="00580D30"/>
    <w:rsid w:val="00580E5E"/>
    <w:rsid w:val="00580ED8"/>
    <w:rsid w:val="0058131B"/>
    <w:rsid w:val="00581354"/>
    <w:rsid w:val="005816FA"/>
    <w:rsid w:val="005818C7"/>
    <w:rsid w:val="005819DB"/>
    <w:rsid w:val="00581D5C"/>
    <w:rsid w:val="0058211D"/>
    <w:rsid w:val="0058248A"/>
    <w:rsid w:val="005824EA"/>
    <w:rsid w:val="005826AA"/>
    <w:rsid w:val="005826BA"/>
    <w:rsid w:val="005826EA"/>
    <w:rsid w:val="005831D5"/>
    <w:rsid w:val="0058344D"/>
    <w:rsid w:val="0058358D"/>
    <w:rsid w:val="0058385F"/>
    <w:rsid w:val="00583A33"/>
    <w:rsid w:val="00583DAA"/>
    <w:rsid w:val="00583E24"/>
    <w:rsid w:val="00583F94"/>
    <w:rsid w:val="005842E2"/>
    <w:rsid w:val="0058453E"/>
    <w:rsid w:val="00584619"/>
    <w:rsid w:val="00584BE4"/>
    <w:rsid w:val="00584BFC"/>
    <w:rsid w:val="00584C43"/>
    <w:rsid w:val="005850D5"/>
    <w:rsid w:val="005852F7"/>
    <w:rsid w:val="0058546C"/>
    <w:rsid w:val="005854C4"/>
    <w:rsid w:val="005858D5"/>
    <w:rsid w:val="00585A79"/>
    <w:rsid w:val="00585AF2"/>
    <w:rsid w:val="00585D6F"/>
    <w:rsid w:val="0058602E"/>
    <w:rsid w:val="005860AF"/>
    <w:rsid w:val="00586179"/>
    <w:rsid w:val="005864CB"/>
    <w:rsid w:val="0058666C"/>
    <w:rsid w:val="005867D2"/>
    <w:rsid w:val="0058687D"/>
    <w:rsid w:val="005869CB"/>
    <w:rsid w:val="00586D10"/>
    <w:rsid w:val="00586F35"/>
    <w:rsid w:val="00586F85"/>
    <w:rsid w:val="005870E2"/>
    <w:rsid w:val="0058724E"/>
    <w:rsid w:val="005874F5"/>
    <w:rsid w:val="005875A5"/>
    <w:rsid w:val="005876FA"/>
    <w:rsid w:val="00587876"/>
    <w:rsid w:val="0058798E"/>
    <w:rsid w:val="0059013D"/>
    <w:rsid w:val="005901CB"/>
    <w:rsid w:val="00590781"/>
    <w:rsid w:val="00590862"/>
    <w:rsid w:val="005909A8"/>
    <w:rsid w:val="00590A81"/>
    <w:rsid w:val="00590D4E"/>
    <w:rsid w:val="00590E3D"/>
    <w:rsid w:val="005910E0"/>
    <w:rsid w:val="005915E8"/>
    <w:rsid w:val="005917E2"/>
    <w:rsid w:val="00591C16"/>
    <w:rsid w:val="00591C58"/>
    <w:rsid w:val="00591E61"/>
    <w:rsid w:val="00592001"/>
    <w:rsid w:val="0059247B"/>
    <w:rsid w:val="00592538"/>
    <w:rsid w:val="00592679"/>
    <w:rsid w:val="0059275C"/>
    <w:rsid w:val="00592808"/>
    <w:rsid w:val="00592964"/>
    <w:rsid w:val="00592A0D"/>
    <w:rsid w:val="00592A8E"/>
    <w:rsid w:val="00592AEC"/>
    <w:rsid w:val="00592B45"/>
    <w:rsid w:val="00593207"/>
    <w:rsid w:val="0059373C"/>
    <w:rsid w:val="00593A68"/>
    <w:rsid w:val="00593FA4"/>
    <w:rsid w:val="00594376"/>
    <w:rsid w:val="005944B6"/>
    <w:rsid w:val="00594A61"/>
    <w:rsid w:val="00594F1D"/>
    <w:rsid w:val="00594F6F"/>
    <w:rsid w:val="005953AD"/>
    <w:rsid w:val="005956B6"/>
    <w:rsid w:val="005956E3"/>
    <w:rsid w:val="00595728"/>
    <w:rsid w:val="00595894"/>
    <w:rsid w:val="00595996"/>
    <w:rsid w:val="00596154"/>
    <w:rsid w:val="005963CC"/>
    <w:rsid w:val="005964F7"/>
    <w:rsid w:val="00596841"/>
    <w:rsid w:val="00596861"/>
    <w:rsid w:val="00596C0A"/>
    <w:rsid w:val="00596C9B"/>
    <w:rsid w:val="00596D82"/>
    <w:rsid w:val="00596E19"/>
    <w:rsid w:val="00596E80"/>
    <w:rsid w:val="005978AA"/>
    <w:rsid w:val="0059794D"/>
    <w:rsid w:val="00597AA8"/>
    <w:rsid w:val="00597C4C"/>
    <w:rsid w:val="005A0078"/>
    <w:rsid w:val="005A01C6"/>
    <w:rsid w:val="005A02D7"/>
    <w:rsid w:val="005A07F1"/>
    <w:rsid w:val="005A0E45"/>
    <w:rsid w:val="005A1113"/>
    <w:rsid w:val="005A1369"/>
    <w:rsid w:val="005A13DE"/>
    <w:rsid w:val="005A16FB"/>
    <w:rsid w:val="005A181D"/>
    <w:rsid w:val="005A1986"/>
    <w:rsid w:val="005A1C71"/>
    <w:rsid w:val="005A2049"/>
    <w:rsid w:val="005A23E6"/>
    <w:rsid w:val="005A241E"/>
    <w:rsid w:val="005A27FB"/>
    <w:rsid w:val="005A2809"/>
    <w:rsid w:val="005A28B4"/>
    <w:rsid w:val="005A2AA7"/>
    <w:rsid w:val="005A2FEF"/>
    <w:rsid w:val="005A38AA"/>
    <w:rsid w:val="005A3C3C"/>
    <w:rsid w:val="005A3C9B"/>
    <w:rsid w:val="005A3F84"/>
    <w:rsid w:val="005A418F"/>
    <w:rsid w:val="005A42EC"/>
    <w:rsid w:val="005A46A3"/>
    <w:rsid w:val="005A46F6"/>
    <w:rsid w:val="005A472C"/>
    <w:rsid w:val="005A4869"/>
    <w:rsid w:val="005A4897"/>
    <w:rsid w:val="005A48F1"/>
    <w:rsid w:val="005A4A43"/>
    <w:rsid w:val="005A4C3D"/>
    <w:rsid w:val="005A4C76"/>
    <w:rsid w:val="005A4FB4"/>
    <w:rsid w:val="005A51A0"/>
    <w:rsid w:val="005A5325"/>
    <w:rsid w:val="005A5557"/>
    <w:rsid w:val="005A573A"/>
    <w:rsid w:val="005A593C"/>
    <w:rsid w:val="005A5B4D"/>
    <w:rsid w:val="005A61A7"/>
    <w:rsid w:val="005A61F3"/>
    <w:rsid w:val="005A627D"/>
    <w:rsid w:val="005A66EF"/>
    <w:rsid w:val="005A6F61"/>
    <w:rsid w:val="005A6F92"/>
    <w:rsid w:val="005A6FC3"/>
    <w:rsid w:val="005A6FED"/>
    <w:rsid w:val="005A70E5"/>
    <w:rsid w:val="005A7323"/>
    <w:rsid w:val="005A777A"/>
    <w:rsid w:val="005A78B2"/>
    <w:rsid w:val="005A7A57"/>
    <w:rsid w:val="005A7AA4"/>
    <w:rsid w:val="005A7C39"/>
    <w:rsid w:val="005B0374"/>
    <w:rsid w:val="005B05E7"/>
    <w:rsid w:val="005B0A87"/>
    <w:rsid w:val="005B0AE8"/>
    <w:rsid w:val="005B0B39"/>
    <w:rsid w:val="005B10EF"/>
    <w:rsid w:val="005B11B8"/>
    <w:rsid w:val="005B13CE"/>
    <w:rsid w:val="005B166A"/>
    <w:rsid w:val="005B17DF"/>
    <w:rsid w:val="005B1A25"/>
    <w:rsid w:val="005B1B3E"/>
    <w:rsid w:val="005B1BC4"/>
    <w:rsid w:val="005B1D50"/>
    <w:rsid w:val="005B2249"/>
    <w:rsid w:val="005B269D"/>
    <w:rsid w:val="005B2836"/>
    <w:rsid w:val="005B2C40"/>
    <w:rsid w:val="005B2D3D"/>
    <w:rsid w:val="005B2FD8"/>
    <w:rsid w:val="005B332F"/>
    <w:rsid w:val="005B37E9"/>
    <w:rsid w:val="005B3B14"/>
    <w:rsid w:val="005B3C66"/>
    <w:rsid w:val="005B3D11"/>
    <w:rsid w:val="005B3E56"/>
    <w:rsid w:val="005B411C"/>
    <w:rsid w:val="005B4323"/>
    <w:rsid w:val="005B44CF"/>
    <w:rsid w:val="005B4BA3"/>
    <w:rsid w:val="005B4E4D"/>
    <w:rsid w:val="005B5538"/>
    <w:rsid w:val="005B5639"/>
    <w:rsid w:val="005B582E"/>
    <w:rsid w:val="005B5D5F"/>
    <w:rsid w:val="005B5E7E"/>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A83"/>
    <w:rsid w:val="005B7B2E"/>
    <w:rsid w:val="005B7B47"/>
    <w:rsid w:val="005B7BFF"/>
    <w:rsid w:val="005C01A8"/>
    <w:rsid w:val="005C0221"/>
    <w:rsid w:val="005C06F8"/>
    <w:rsid w:val="005C072C"/>
    <w:rsid w:val="005C0CB9"/>
    <w:rsid w:val="005C0E15"/>
    <w:rsid w:val="005C1023"/>
    <w:rsid w:val="005C1028"/>
    <w:rsid w:val="005C10D7"/>
    <w:rsid w:val="005C1384"/>
    <w:rsid w:val="005C13B2"/>
    <w:rsid w:val="005C14FD"/>
    <w:rsid w:val="005C17A1"/>
    <w:rsid w:val="005C1815"/>
    <w:rsid w:val="005C1A4F"/>
    <w:rsid w:val="005C1AEC"/>
    <w:rsid w:val="005C1FC1"/>
    <w:rsid w:val="005C2340"/>
    <w:rsid w:val="005C27E3"/>
    <w:rsid w:val="005C3343"/>
    <w:rsid w:val="005C33AA"/>
    <w:rsid w:val="005C37CB"/>
    <w:rsid w:val="005C3BE8"/>
    <w:rsid w:val="005C3EF8"/>
    <w:rsid w:val="005C3FAA"/>
    <w:rsid w:val="005C3FE3"/>
    <w:rsid w:val="005C43CC"/>
    <w:rsid w:val="005C459C"/>
    <w:rsid w:val="005C475A"/>
    <w:rsid w:val="005C5179"/>
    <w:rsid w:val="005C5752"/>
    <w:rsid w:val="005C5AB2"/>
    <w:rsid w:val="005C5C95"/>
    <w:rsid w:val="005C614F"/>
    <w:rsid w:val="005C68BB"/>
    <w:rsid w:val="005C71FB"/>
    <w:rsid w:val="005C7405"/>
    <w:rsid w:val="005C74C5"/>
    <w:rsid w:val="005C76CC"/>
    <w:rsid w:val="005C7775"/>
    <w:rsid w:val="005C7BCA"/>
    <w:rsid w:val="005C7FCF"/>
    <w:rsid w:val="005D0081"/>
    <w:rsid w:val="005D00A7"/>
    <w:rsid w:val="005D0295"/>
    <w:rsid w:val="005D02FB"/>
    <w:rsid w:val="005D09EF"/>
    <w:rsid w:val="005D13FC"/>
    <w:rsid w:val="005D1457"/>
    <w:rsid w:val="005D14A2"/>
    <w:rsid w:val="005D14B9"/>
    <w:rsid w:val="005D15A8"/>
    <w:rsid w:val="005D16DA"/>
    <w:rsid w:val="005D1715"/>
    <w:rsid w:val="005D1A9F"/>
    <w:rsid w:val="005D1C71"/>
    <w:rsid w:val="005D1D91"/>
    <w:rsid w:val="005D28CC"/>
    <w:rsid w:val="005D292F"/>
    <w:rsid w:val="005D2A87"/>
    <w:rsid w:val="005D2B95"/>
    <w:rsid w:val="005D3264"/>
    <w:rsid w:val="005D32FF"/>
    <w:rsid w:val="005D34EA"/>
    <w:rsid w:val="005D363E"/>
    <w:rsid w:val="005D368B"/>
    <w:rsid w:val="005D39F9"/>
    <w:rsid w:val="005D3E6A"/>
    <w:rsid w:val="005D3E8E"/>
    <w:rsid w:val="005D40A9"/>
    <w:rsid w:val="005D42BD"/>
    <w:rsid w:val="005D45B5"/>
    <w:rsid w:val="005D4661"/>
    <w:rsid w:val="005D4B07"/>
    <w:rsid w:val="005D4C57"/>
    <w:rsid w:val="005D4FE1"/>
    <w:rsid w:val="005D5075"/>
    <w:rsid w:val="005D50C0"/>
    <w:rsid w:val="005D52FA"/>
    <w:rsid w:val="005D5403"/>
    <w:rsid w:val="005D5E5D"/>
    <w:rsid w:val="005D5EB4"/>
    <w:rsid w:val="005D600F"/>
    <w:rsid w:val="005D6013"/>
    <w:rsid w:val="005D6612"/>
    <w:rsid w:val="005D66F5"/>
    <w:rsid w:val="005D697E"/>
    <w:rsid w:val="005D7088"/>
    <w:rsid w:val="005D76AE"/>
    <w:rsid w:val="005D76DE"/>
    <w:rsid w:val="005D7713"/>
    <w:rsid w:val="005D777B"/>
    <w:rsid w:val="005D77DE"/>
    <w:rsid w:val="005D7A88"/>
    <w:rsid w:val="005D7BD0"/>
    <w:rsid w:val="005D7D29"/>
    <w:rsid w:val="005D7EBF"/>
    <w:rsid w:val="005E047B"/>
    <w:rsid w:val="005E05A1"/>
    <w:rsid w:val="005E09E4"/>
    <w:rsid w:val="005E0D78"/>
    <w:rsid w:val="005E11D3"/>
    <w:rsid w:val="005E1726"/>
    <w:rsid w:val="005E19EF"/>
    <w:rsid w:val="005E2036"/>
    <w:rsid w:val="005E235A"/>
    <w:rsid w:val="005E2513"/>
    <w:rsid w:val="005E25C0"/>
    <w:rsid w:val="005E266F"/>
    <w:rsid w:val="005E2884"/>
    <w:rsid w:val="005E29DC"/>
    <w:rsid w:val="005E2B0E"/>
    <w:rsid w:val="005E2BCF"/>
    <w:rsid w:val="005E2EA2"/>
    <w:rsid w:val="005E2FA1"/>
    <w:rsid w:val="005E349F"/>
    <w:rsid w:val="005E38DE"/>
    <w:rsid w:val="005E3B4C"/>
    <w:rsid w:val="005E3F34"/>
    <w:rsid w:val="005E4051"/>
    <w:rsid w:val="005E4198"/>
    <w:rsid w:val="005E421C"/>
    <w:rsid w:val="005E4241"/>
    <w:rsid w:val="005E42AF"/>
    <w:rsid w:val="005E42D2"/>
    <w:rsid w:val="005E46BE"/>
    <w:rsid w:val="005E477D"/>
    <w:rsid w:val="005E4EF0"/>
    <w:rsid w:val="005E50E8"/>
    <w:rsid w:val="005E51D0"/>
    <w:rsid w:val="005E53CA"/>
    <w:rsid w:val="005E5734"/>
    <w:rsid w:val="005E5741"/>
    <w:rsid w:val="005E5B62"/>
    <w:rsid w:val="005E5EC3"/>
    <w:rsid w:val="005E602B"/>
    <w:rsid w:val="005E6045"/>
    <w:rsid w:val="005E6150"/>
    <w:rsid w:val="005E61B6"/>
    <w:rsid w:val="005E6487"/>
    <w:rsid w:val="005E64B3"/>
    <w:rsid w:val="005E651F"/>
    <w:rsid w:val="005E664C"/>
    <w:rsid w:val="005E6971"/>
    <w:rsid w:val="005E6D4E"/>
    <w:rsid w:val="005E6EEE"/>
    <w:rsid w:val="005E73CE"/>
    <w:rsid w:val="005E76B1"/>
    <w:rsid w:val="005E77E3"/>
    <w:rsid w:val="005E7EE8"/>
    <w:rsid w:val="005F00F1"/>
    <w:rsid w:val="005F0616"/>
    <w:rsid w:val="005F0727"/>
    <w:rsid w:val="005F07DC"/>
    <w:rsid w:val="005F0C34"/>
    <w:rsid w:val="005F0C40"/>
    <w:rsid w:val="005F0DA2"/>
    <w:rsid w:val="005F0EAB"/>
    <w:rsid w:val="005F0FB4"/>
    <w:rsid w:val="005F1247"/>
    <w:rsid w:val="005F131B"/>
    <w:rsid w:val="005F13BD"/>
    <w:rsid w:val="005F1761"/>
    <w:rsid w:val="005F1859"/>
    <w:rsid w:val="005F1AC8"/>
    <w:rsid w:val="005F1B25"/>
    <w:rsid w:val="005F1FAD"/>
    <w:rsid w:val="005F21AF"/>
    <w:rsid w:val="005F21FB"/>
    <w:rsid w:val="005F257C"/>
    <w:rsid w:val="005F25E2"/>
    <w:rsid w:val="005F27E3"/>
    <w:rsid w:val="005F29DF"/>
    <w:rsid w:val="005F2B4F"/>
    <w:rsid w:val="005F3071"/>
    <w:rsid w:val="005F347F"/>
    <w:rsid w:val="005F35AA"/>
    <w:rsid w:val="005F37B5"/>
    <w:rsid w:val="005F38CE"/>
    <w:rsid w:val="005F40DE"/>
    <w:rsid w:val="005F439E"/>
    <w:rsid w:val="005F4421"/>
    <w:rsid w:val="005F450C"/>
    <w:rsid w:val="005F4927"/>
    <w:rsid w:val="005F49F4"/>
    <w:rsid w:val="005F4A10"/>
    <w:rsid w:val="005F4ABD"/>
    <w:rsid w:val="005F4B7D"/>
    <w:rsid w:val="005F4D34"/>
    <w:rsid w:val="005F4DB6"/>
    <w:rsid w:val="005F4E65"/>
    <w:rsid w:val="005F4EFC"/>
    <w:rsid w:val="005F4F77"/>
    <w:rsid w:val="005F52F6"/>
    <w:rsid w:val="005F557D"/>
    <w:rsid w:val="005F56F3"/>
    <w:rsid w:val="005F59E5"/>
    <w:rsid w:val="005F5A0F"/>
    <w:rsid w:val="005F5B53"/>
    <w:rsid w:val="005F5EDF"/>
    <w:rsid w:val="005F6035"/>
    <w:rsid w:val="005F61C5"/>
    <w:rsid w:val="005F63D8"/>
    <w:rsid w:val="005F64D8"/>
    <w:rsid w:val="005F64FB"/>
    <w:rsid w:val="005F67EC"/>
    <w:rsid w:val="005F6A3F"/>
    <w:rsid w:val="005F6A74"/>
    <w:rsid w:val="005F6BBB"/>
    <w:rsid w:val="005F6C45"/>
    <w:rsid w:val="005F6E19"/>
    <w:rsid w:val="005F71EC"/>
    <w:rsid w:val="005F7311"/>
    <w:rsid w:val="005F789F"/>
    <w:rsid w:val="005F7935"/>
    <w:rsid w:val="005F7DBC"/>
    <w:rsid w:val="006000CD"/>
    <w:rsid w:val="006000FB"/>
    <w:rsid w:val="00600265"/>
    <w:rsid w:val="006006E4"/>
    <w:rsid w:val="00600754"/>
    <w:rsid w:val="00600933"/>
    <w:rsid w:val="00600FAD"/>
    <w:rsid w:val="0060119A"/>
    <w:rsid w:val="006014DF"/>
    <w:rsid w:val="00601735"/>
    <w:rsid w:val="00602099"/>
    <w:rsid w:val="006022D0"/>
    <w:rsid w:val="0060251E"/>
    <w:rsid w:val="0060275E"/>
    <w:rsid w:val="00602A68"/>
    <w:rsid w:val="00602D31"/>
    <w:rsid w:val="00602DDE"/>
    <w:rsid w:val="00602E0C"/>
    <w:rsid w:val="0060339B"/>
    <w:rsid w:val="00603552"/>
    <w:rsid w:val="0060384E"/>
    <w:rsid w:val="00603882"/>
    <w:rsid w:val="00603F8A"/>
    <w:rsid w:val="006040D9"/>
    <w:rsid w:val="0060428B"/>
    <w:rsid w:val="00604307"/>
    <w:rsid w:val="006043D1"/>
    <w:rsid w:val="006046E4"/>
    <w:rsid w:val="006047EA"/>
    <w:rsid w:val="00604877"/>
    <w:rsid w:val="00604BC5"/>
    <w:rsid w:val="00604D85"/>
    <w:rsid w:val="00604FD8"/>
    <w:rsid w:val="00605037"/>
    <w:rsid w:val="00605647"/>
    <w:rsid w:val="0060577C"/>
    <w:rsid w:val="00605841"/>
    <w:rsid w:val="006058B4"/>
    <w:rsid w:val="006059B6"/>
    <w:rsid w:val="00605E04"/>
    <w:rsid w:val="00605E0D"/>
    <w:rsid w:val="00605E8E"/>
    <w:rsid w:val="00605FED"/>
    <w:rsid w:val="00605FFE"/>
    <w:rsid w:val="006063F2"/>
    <w:rsid w:val="00606508"/>
    <w:rsid w:val="0060650C"/>
    <w:rsid w:val="00606974"/>
    <w:rsid w:val="00606B37"/>
    <w:rsid w:val="00606FF6"/>
    <w:rsid w:val="00607179"/>
    <w:rsid w:val="00607252"/>
    <w:rsid w:val="006074B3"/>
    <w:rsid w:val="00607624"/>
    <w:rsid w:val="00607C2E"/>
    <w:rsid w:val="00607C6A"/>
    <w:rsid w:val="00607CC4"/>
    <w:rsid w:val="00610137"/>
    <w:rsid w:val="0061038C"/>
    <w:rsid w:val="006103D5"/>
    <w:rsid w:val="006106C1"/>
    <w:rsid w:val="006106F4"/>
    <w:rsid w:val="0061070C"/>
    <w:rsid w:val="00610A0D"/>
    <w:rsid w:val="00610B28"/>
    <w:rsid w:val="00610B9E"/>
    <w:rsid w:val="00610C3E"/>
    <w:rsid w:val="00610F52"/>
    <w:rsid w:val="0061124A"/>
    <w:rsid w:val="006112D0"/>
    <w:rsid w:val="0061131D"/>
    <w:rsid w:val="0061167D"/>
    <w:rsid w:val="0061169D"/>
    <w:rsid w:val="00611737"/>
    <w:rsid w:val="00611752"/>
    <w:rsid w:val="00611B07"/>
    <w:rsid w:val="00611C1D"/>
    <w:rsid w:val="00611C60"/>
    <w:rsid w:val="00611F0D"/>
    <w:rsid w:val="00612019"/>
    <w:rsid w:val="006120C9"/>
    <w:rsid w:val="00612388"/>
    <w:rsid w:val="00612480"/>
    <w:rsid w:val="0061254A"/>
    <w:rsid w:val="006125E1"/>
    <w:rsid w:val="006126B4"/>
    <w:rsid w:val="00612904"/>
    <w:rsid w:val="00612943"/>
    <w:rsid w:val="00612E32"/>
    <w:rsid w:val="00612FDD"/>
    <w:rsid w:val="006133A6"/>
    <w:rsid w:val="00613456"/>
    <w:rsid w:val="006134CA"/>
    <w:rsid w:val="006136FB"/>
    <w:rsid w:val="006136FE"/>
    <w:rsid w:val="00613846"/>
    <w:rsid w:val="006138BF"/>
    <w:rsid w:val="00613924"/>
    <w:rsid w:val="00613940"/>
    <w:rsid w:val="00613ECE"/>
    <w:rsid w:val="0061461E"/>
    <w:rsid w:val="00614646"/>
    <w:rsid w:val="006148C3"/>
    <w:rsid w:val="0061494C"/>
    <w:rsid w:val="0061497D"/>
    <w:rsid w:val="00614B35"/>
    <w:rsid w:val="00614B41"/>
    <w:rsid w:val="00614DE8"/>
    <w:rsid w:val="006152D6"/>
    <w:rsid w:val="006154EE"/>
    <w:rsid w:val="0061598D"/>
    <w:rsid w:val="00615A35"/>
    <w:rsid w:val="006164AB"/>
    <w:rsid w:val="006165A9"/>
    <w:rsid w:val="006165CE"/>
    <w:rsid w:val="006166A6"/>
    <w:rsid w:val="00616755"/>
    <w:rsid w:val="00616B2E"/>
    <w:rsid w:val="00616B6B"/>
    <w:rsid w:val="00616B8C"/>
    <w:rsid w:val="00616BC0"/>
    <w:rsid w:val="0061708E"/>
    <w:rsid w:val="00617108"/>
    <w:rsid w:val="00617211"/>
    <w:rsid w:val="00617264"/>
    <w:rsid w:val="0061750E"/>
    <w:rsid w:val="006175A7"/>
    <w:rsid w:val="00617652"/>
    <w:rsid w:val="0061784D"/>
    <w:rsid w:val="00617B8B"/>
    <w:rsid w:val="00617C18"/>
    <w:rsid w:val="00617C50"/>
    <w:rsid w:val="00617F79"/>
    <w:rsid w:val="0062022E"/>
    <w:rsid w:val="00620231"/>
    <w:rsid w:val="006207B2"/>
    <w:rsid w:val="006207ED"/>
    <w:rsid w:val="00620AE5"/>
    <w:rsid w:val="00620AFF"/>
    <w:rsid w:val="00620B98"/>
    <w:rsid w:val="00620BFC"/>
    <w:rsid w:val="00620CB3"/>
    <w:rsid w:val="00620CE3"/>
    <w:rsid w:val="0062140E"/>
    <w:rsid w:val="00621827"/>
    <w:rsid w:val="00621A0B"/>
    <w:rsid w:val="00621A6F"/>
    <w:rsid w:val="00622143"/>
    <w:rsid w:val="00622388"/>
    <w:rsid w:val="00622669"/>
    <w:rsid w:val="0062280D"/>
    <w:rsid w:val="0062286A"/>
    <w:rsid w:val="006228E1"/>
    <w:rsid w:val="00622B1A"/>
    <w:rsid w:val="00622D74"/>
    <w:rsid w:val="00622DCE"/>
    <w:rsid w:val="00622E0B"/>
    <w:rsid w:val="00622EFD"/>
    <w:rsid w:val="00622FE1"/>
    <w:rsid w:val="006230E8"/>
    <w:rsid w:val="0062325B"/>
    <w:rsid w:val="00623438"/>
    <w:rsid w:val="00623525"/>
    <w:rsid w:val="0062360C"/>
    <w:rsid w:val="006237DE"/>
    <w:rsid w:val="00623960"/>
    <w:rsid w:val="006240FF"/>
    <w:rsid w:val="0062416C"/>
    <w:rsid w:val="006241BC"/>
    <w:rsid w:val="00624470"/>
    <w:rsid w:val="00624510"/>
    <w:rsid w:val="0062488E"/>
    <w:rsid w:val="006249B1"/>
    <w:rsid w:val="006249B8"/>
    <w:rsid w:val="00624AC4"/>
    <w:rsid w:val="00624CAC"/>
    <w:rsid w:val="00624E37"/>
    <w:rsid w:val="00624F4E"/>
    <w:rsid w:val="00624F7C"/>
    <w:rsid w:val="0062526C"/>
    <w:rsid w:val="006253B7"/>
    <w:rsid w:val="00625519"/>
    <w:rsid w:val="006259C4"/>
    <w:rsid w:val="00625A17"/>
    <w:rsid w:val="00625C1A"/>
    <w:rsid w:val="00625C77"/>
    <w:rsid w:val="00625CE5"/>
    <w:rsid w:val="00625EE9"/>
    <w:rsid w:val="00626071"/>
    <w:rsid w:val="00626216"/>
    <w:rsid w:val="00626652"/>
    <w:rsid w:val="006267E9"/>
    <w:rsid w:val="00626C37"/>
    <w:rsid w:val="00626C39"/>
    <w:rsid w:val="00626F07"/>
    <w:rsid w:val="00626F20"/>
    <w:rsid w:val="00626FCF"/>
    <w:rsid w:val="00627006"/>
    <w:rsid w:val="0062707D"/>
    <w:rsid w:val="006274F5"/>
    <w:rsid w:val="00630256"/>
    <w:rsid w:val="0063071F"/>
    <w:rsid w:val="0063075D"/>
    <w:rsid w:val="006309D8"/>
    <w:rsid w:val="00630C5E"/>
    <w:rsid w:val="00630CFB"/>
    <w:rsid w:val="006311C8"/>
    <w:rsid w:val="006314F6"/>
    <w:rsid w:val="00631655"/>
    <w:rsid w:val="00631873"/>
    <w:rsid w:val="00631891"/>
    <w:rsid w:val="006318C0"/>
    <w:rsid w:val="00631BCE"/>
    <w:rsid w:val="00631C06"/>
    <w:rsid w:val="00631E00"/>
    <w:rsid w:val="00631E43"/>
    <w:rsid w:val="00632111"/>
    <w:rsid w:val="00632459"/>
    <w:rsid w:val="0063251C"/>
    <w:rsid w:val="006326DF"/>
    <w:rsid w:val="006327CF"/>
    <w:rsid w:val="00632946"/>
    <w:rsid w:val="00632B0E"/>
    <w:rsid w:val="00632BC2"/>
    <w:rsid w:val="00632E50"/>
    <w:rsid w:val="00632FD8"/>
    <w:rsid w:val="00633744"/>
    <w:rsid w:val="00633C36"/>
    <w:rsid w:val="00633C83"/>
    <w:rsid w:val="00633E96"/>
    <w:rsid w:val="00633FD7"/>
    <w:rsid w:val="006341E5"/>
    <w:rsid w:val="0063426D"/>
    <w:rsid w:val="0063440B"/>
    <w:rsid w:val="0063461D"/>
    <w:rsid w:val="006347E7"/>
    <w:rsid w:val="006347F4"/>
    <w:rsid w:val="00634826"/>
    <w:rsid w:val="006349F6"/>
    <w:rsid w:val="00634AA9"/>
    <w:rsid w:val="00634B42"/>
    <w:rsid w:val="00634BAB"/>
    <w:rsid w:val="00634D4F"/>
    <w:rsid w:val="00634D53"/>
    <w:rsid w:val="00635027"/>
    <w:rsid w:val="00635560"/>
    <w:rsid w:val="006355C4"/>
    <w:rsid w:val="006356FC"/>
    <w:rsid w:val="00635CB0"/>
    <w:rsid w:val="006360ED"/>
    <w:rsid w:val="00636315"/>
    <w:rsid w:val="0063633E"/>
    <w:rsid w:val="00636481"/>
    <w:rsid w:val="00636486"/>
    <w:rsid w:val="006365B6"/>
    <w:rsid w:val="0063660C"/>
    <w:rsid w:val="00636664"/>
    <w:rsid w:val="00636694"/>
    <w:rsid w:val="00636702"/>
    <w:rsid w:val="0063693C"/>
    <w:rsid w:val="00636A95"/>
    <w:rsid w:val="00636EBB"/>
    <w:rsid w:val="00637170"/>
    <w:rsid w:val="00637208"/>
    <w:rsid w:val="006372AD"/>
    <w:rsid w:val="006374E0"/>
    <w:rsid w:val="00637764"/>
    <w:rsid w:val="00637C38"/>
    <w:rsid w:val="00637CBA"/>
    <w:rsid w:val="00640576"/>
    <w:rsid w:val="0064059A"/>
    <w:rsid w:val="00640962"/>
    <w:rsid w:val="00640AC5"/>
    <w:rsid w:val="0064126C"/>
    <w:rsid w:val="006412D3"/>
    <w:rsid w:val="0064138C"/>
    <w:rsid w:val="006413AA"/>
    <w:rsid w:val="006416D2"/>
    <w:rsid w:val="00641A83"/>
    <w:rsid w:val="00641D62"/>
    <w:rsid w:val="00641D96"/>
    <w:rsid w:val="00641FE4"/>
    <w:rsid w:val="006423AA"/>
    <w:rsid w:val="00642AEA"/>
    <w:rsid w:val="00642E37"/>
    <w:rsid w:val="00642F08"/>
    <w:rsid w:val="0064319B"/>
    <w:rsid w:val="00643430"/>
    <w:rsid w:val="006438EE"/>
    <w:rsid w:val="00643AF4"/>
    <w:rsid w:val="00643E35"/>
    <w:rsid w:val="00644178"/>
    <w:rsid w:val="006441F6"/>
    <w:rsid w:val="0064422A"/>
    <w:rsid w:val="0064456D"/>
    <w:rsid w:val="00644812"/>
    <w:rsid w:val="00644A7B"/>
    <w:rsid w:val="00644D3A"/>
    <w:rsid w:val="00644DE9"/>
    <w:rsid w:val="00644FC4"/>
    <w:rsid w:val="0064516B"/>
    <w:rsid w:val="006455AF"/>
    <w:rsid w:val="00645B4C"/>
    <w:rsid w:val="00645BDE"/>
    <w:rsid w:val="00645D97"/>
    <w:rsid w:val="00645E59"/>
    <w:rsid w:val="00645F5B"/>
    <w:rsid w:val="006465C3"/>
    <w:rsid w:val="0064669D"/>
    <w:rsid w:val="006466FC"/>
    <w:rsid w:val="006468B1"/>
    <w:rsid w:val="00646C6F"/>
    <w:rsid w:val="00646D33"/>
    <w:rsid w:val="00646E5C"/>
    <w:rsid w:val="006470A8"/>
    <w:rsid w:val="006470C4"/>
    <w:rsid w:val="00647163"/>
    <w:rsid w:val="0064720C"/>
    <w:rsid w:val="0064722E"/>
    <w:rsid w:val="006478DF"/>
    <w:rsid w:val="006478E9"/>
    <w:rsid w:val="006479D4"/>
    <w:rsid w:val="00647A7F"/>
    <w:rsid w:val="00650445"/>
    <w:rsid w:val="00650941"/>
    <w:rsid w:val="00650C28"/>
    <w:rsid w:val="00650E39"/>
    <w:rsid w:val="00650E6D"/>
    <w:rsid w:val="006510CE"/>
    <w:rsid w:val="006512D6"/>
    <w:rsid w:val="006514B6"/>
    <w:rsid w:val="00651812"/>
    <w:rsid w:val="0065184F"/>
    <w:rsid w:val="0065196B"/>
    <w:rsid w:val="00651AA2"/>
    <w:rsid w:val="00651BBB"/>
    <w:rsid w:val="00651C59"/>
    <w:rsid w:val="00651D74"/>
    <w:rsid w:val="0065261F"/>
    <w:rsid w:val="0065272B"/>
    <w:rsid w:val="00652880"/>
    <w:rsid w:val="00652921"/>
    <w:rsid w:val="00652AE7"/>
    <w:rsid w:val="00652B54"/>
    <w:rsid w:val="00652C3A"/>
    <w:rsid w:val="00652DB7"/>
    <w:rsid w:val="00652E41"/>
    <w:rsid w:val="00652FCE"/>
    <w:rsid w:val="0065394F"/>
    <w:rsid w:val="00653B1B"/>
    <w:rsid w:val="00653E37"/>
    <w:rsid w:val="00653FC2"/>
    <w:rsid w:val="006541F5"/>
    <w:rsid w:val="006543BA"/>
    <w:rsid w:val="00654926"/>
    <w:rsid w:val="00654ACD"/>
    <w:rsid w:val="00654CD4"/>
    <w:rsid w:val="00654D72"/>
    <w:rsid w:val="00654EE8"/>
    <w:rsid w:val="00654F7C"/>
    <w:rsid w:val="00654F93"/>
    <w:rsid w:val="006553F3"/>
    <w:rsid w:val="006556D1"/>
    <w:rsid w:val="006556D9"/>
    <w:rsid w:val="00655AEE"/>
    <w:rsid w:val="00655BB2"/>
    <w:rsid w:val="00655C13"/>
    <w:rsid w:val="00655CA1"/>
    <w:rsid w:val="00656030"/>
    <w:rsid w:val="0065607A"/>
    <w:rsid w:val="006564CB"/>
    <w:rsid w:val="006565F7"/>
    <w:rsid w:val="0065660B"/>
    <w:rsid w:val="0065661F"/>
    <w:rsid w:val="006566BF"/>
    <w:rsid w:val="00656814"/>
    <w:rsid w:val="00656CDB"/>
    <w:rsid w:val="00656DA0"/>
    <w:rsid w:val="00656EF5"/>
    <w:rsid w:val="00657123"/>
    <w:rsid w:val="00657189"/>
    <w:rsid w:val="0065724E"/>
    <w:rsid w:val="006576EC"/>
    <w:rsid w:val="0065791B"/>
    <w:rsid w:val="00657BD8"/>
    <w:rsid w:val="00657F90"/>
    <w:rsid w:val="006600DB"/>
    <w:rsid w:val="00660572"/>
    <w:rsid w:val="006613C0"/>
    <w:rsid w:val="0066194E"/>
    <w:rsid w:val="00661C46"/>
    <w:rsid w:val="00661F2C"/>
    <w:rsid w:val="0066202F"/>
    <w:rsid w:val="006622A8"/>
    <w:rsid w:val="00662492"/>
    <w:rsid w:val="006626BE"/>
    <w:rsid w:val="006630FC"/>
    <w:rsid w:val="00663147"/>
    <w:rsid w:val="00663344"/>
    <w:rsid w:val="00663672"/>
    <w:rsid w:val="006638CF"/>
    <w:rsid w:val="00663A5A"/>
    <w:rsid w:val="00663C93"/>
    <w:rsid w:val="00663DFB"/>
    <w:rsid w:val="00663E28"/>
    <w:rsid w:val="00664198"/>
    <w:rsid w:val="00664416"/>
    <w:rsid w:val="006644E1"/>
    <w:rsid w:val="006645EC"/>
    <w:rsid w:val="00664642"/>
    <w:rsid w:val="00664674"/>
    <w:rsid w:val="00664C0C"/>
    <w:rsid w:val="00664C13"/>
    <w:rsid w:val="0066506E"/>
    <w:rsid w:val="006652D3"/>
    <w:rsid w:val="006652DC"/>
    <w:rsid w:val="0066540D"/>
    <w:rsid w:val="00665888"/>
    <w:rsid w:val="00665A67"/>
    <w:rsid w:val="00665B97"/>
    <w:rsid w:val="0066623E"/>
    <w:rsid w:val="00666CBE"/>
    <w:rsid w:val="00667409"/>
    <w:rsid w:val="00667551"/>
    <w:rsid w:val="006675E9"/>
    <w:rsid w:val="00667A0E"/>
    <w:rsid w:val="00667B59"/>
    <w:rsid w:val="00667BC6"/>
    <w:rsid w:val="00667C3E"/>
    <w:rsid w:val="00667CF3"/>
    <w:rsid w:val="00667E89"/>
    <w:rsid w:val="00667F94"/>
    <w:rsid w:val="00670380"/>
    <w:rsid w:val="0067050A"/>
    <w:rsid w:val="00670544"/>
    <w:rsid w:val="006705D5"/>
    <w:rsid w:val="0067066B"/>
    <w:rsid w:val="00670692"/>
    <w:rsid w:val="006706B5"/>
    <w:rsid w:val="00670722"/>
    <w:rsid w:val="00670C07"/>
    <w:rsid w:val="00670F05"/>
    <w:rsid w:val="00670F72"/>
    <w:rsid w:val="00670F81"/>
    <w:rsid w:val="00671047"/>
    <w:rsid w:val="00671483"/>
    <w:rsid w:val="0067158A"/>
    <w:rsid w:val="006715A8"/>
    <w:rsid w:val="00671738"/>
    <w:rsid w:val="006719B2"/>
    <w:rsid w:val="00671FF4"/>
    <w:rsid w:val="00672225"/>
    <w:rsid w:val="00672BC1"/>
    <w:rsid w:val="00672C45"/>
    <w:rsid w:val="00672D0E"/>
    <w:rsid w:val="00672F79"/>
    <w:rsid w:val="0067319C"/>
    <w:rsid w:val="0067327D"/>
    <w:rsid w:val="00673568"/>
    <w:rsid w:val="00673A3E"/>
    <w:rsid w:val="00673BC8"/>
    <w:rsid w:val="00673DC1"/>
    <w:rsid w:val="00673F42"/>
    <w:rsid w:val="00674042"/>
    <w:rsid w:val="006744B2"/>
    <w:rsid w:val="00674C88"/>
    <w:rsid w:val="00674D58"/>
    <w:rsid w:val="00674ECD"/>
    <w:rsid w:val="00674FC8"/>
    <w:rsid w:val="00675018"/>
    <w:rsid w:val="006758C9"/>
    <w:rsid w:val="00675A5F"/>
    <w:rsid w:val="00675B53"/>
    <w:rsid w:val="006764BC"/>
    <w:rsid w:val="006766EE"/>
    <w:rsid w:val="00676989"/>
    <w:rsid w:val="006769C4"/>
    <w:rsid w:val="006769E6"/>
    <w:rsid w:val="00676C6F"/>
    <w:rsid w:val="00677456"/>
    <w:rsid w:val="006774B0"/>
    <w:rsid w:val="00677627"/>
    <w:rsid w:val="006776C7"/>
    <w:rsid w:val="00677743"/>
    <w:rsid w:val="00677A67"/>
    <w:rsid w:val="00677A87"/>
    <w:rsid w:val="00677BD5"/>
    <w:rsid w:val="00677E3C"/>
    <w:rsid w:val="00680157"/>
    <w:rsid w:val="006801B6"/>
    <w:rsid w:val="00680257"/>
    <w:rsid w:val="0068025E"/>
    <w:rsid w:val="0068051B"/>
    <w:rsid w:val="006805D9"/>
    <w:rsid w:val="00680728"/>
    <w:rsid w:val="00680738"/>
    <w:rsid w:val="00680912"/>
    <w:rsid w:val="00680C91"/>
    <w:rsid w:val="00680E8B"/>
    <w:rsid w:val="0068150F"/>
    <w:rsid w:val="006818D0"/>
    <w:rsid w:val="006819A3"/>
    <w:rsid w:val="00681B80"/>
    <w:rsid w:val="00681D51"/>
    <w:rsid w:val="00681E2F"/>
    <w:rsid w:val="00682129"/>
    <w:rsid w:val="006821A0"/>
    <w:rsid w:val="0068266C"/>
    <w:rsid w:val="00682B43"/>
    <w:rsid w:val="00682C7C"/>
    <w:rsid w:val="00682E55"/>
    <w:rsid w:val="00683166"/>
    <w:rsid w:val="0068340E"/>
    <w:rsid w:val="00683528"/>
    <w:rsid w:val="00683722"/>
    <w:rsid w:val="00683D2F"/>
    <w:rsid w:val="00684044"/>
    <w:rsid w:val="006840B2"/>
    <w:rsid w:val="006843F6"/>
    <w:rsid w:val="006848C7"/>
    <w:rsid w:val="0068491F"/>
    <w:rsid w:val="0068497A"/>
    <w:rsid w:val="00684F4C"/>
    <w:rsid w:val="006850C8"/>
    <w:rsid w:val="006851A2"/>
    <w:rsid w:val="006852EE"/>
    <w:rsid w:val="0068563E"/>
    <w:rsid w:val="006856A7"/>
    <w:rsid w:val="00685DE4"/>
    <w:rsid w:val="00685F2B"/>
    <w:rsid w:val="00686024"/>
    <w:rsid w:val="00686118"/>
    <w:rsid w:val="006861C0"/>
    <w:rsid w:val="00686596"/>
    <w:rsid w:val="006867F2"/>
    <w:rsid w:val="00686C01"/>
    <w:rsid w:val="00686CC2"/>
    <w:rsid w:val="00686D6C"/>
    <w:rsid w:val="00686F00"/>
    <w:rsid w:val="00686F7A"/>
    <w:rsid w:val="00686FC8"/>
    <w:rsid w:val="00687124"/>
    <w:rsid w:val="00687B85"/>
    <w:rsid w:val="00687C97"/>
    <w:rsid w:val="00687D5A"/>
    <w:rsid w:val="006900B0"/>
    <w:rsid w:val="0069031E"/>
    <w:rsid w:val="00690324"/>
    <w:rsid w:val="006904C2"/>
    <w:rsid w:val="006904DD"/>
    <w:rsid w:val="00690524"/>
    <w:rsid w:val="006907F5"/>
    <w:rsid w:val="00690B53"/>
    <w:rsid w:val="00690E71"/>
    <w:rsid w:val="006911C8"/>
    <w:rsid w:val="00691459"/>
    <w:rsid w:val="00691C65"/>
    <w:rsid w:val="0069207F"/>
    <w:rsid w:val="00692C53"/>
    <w:rsid w:val="00692D12"/>
    <w:rsid w:val="00693137"/>
    <w:rsid w:val="00693531"/>
    <w:rsid w:val="00693842"/>
    <w:rsid w:val="00693888"/>
    <w:rsid w:val="00693C87"/>
    <w:rsid w:val="00693D3E"/>
    <w:rsid w:val="0069404B"/>
    <w:rsid w:val="00694433"/>
    <w:rsid w:val="0069457A"/>
    <w:rsid w:val="006948A4"/>
    <w:rsid w:val="006949A7"/>
    <w:rsid w:val="006949D7"/>
    <w:rsid w:val="00694B65"/>
    <w:rsid w:val="00694C69"/>
    <w:rsid w:val="00694D53"/>
    <w:rsid w:val="00694E58"/>
    <w:rsid w:val="00694FD4"/>
    <w:rsid w:val="006951CE"/>
    <w:rsid w:val="006951E5"/>
    <w:rsid w:val="006951FF"/>
    <w:rsid w:val="00695206"/>
    <w:rsid w:val="00695538"/>
    <w:rsid w:val="00695B5A"/>
    <w:rsid w:val="00695D1E"/>
    <w:rsid w:val="00695D61"/>
    <w:rsid w:val="00695FCA"/>
    <w:rsid w:val="00696335"/>
    <w:rsid w:val="0069687E"/>
    <w:rsid w:val="006968B7"/>
    <w:rsid w:val="00696A4D"/>
    <w:rsid w:val="00696ACB"/>
    <w:rsid w:val="00696C70"/>
    <w:rsid w:val="00696EAB"/>
    <w:rsid w:val="00696FE6"/>
    <w:rsid w:val="006971EB"/>
    <w:rsid w:val="0069736F"/>
    <w:rsid w:val="00697A16"/>
    <w:rsid w:val="00697AC9"/>
    <w:rsid w:val="00697D19"/>
    <w:rsid w:val="006A0052"/>
    <w:rsid w:val="006A0339"/>
    <w:rsid w:val="006A0348"/>
    <w:rsid w:val="006A03B2"/>
    <w:rsid w:val="006A05C7"/>
    <w:rsid w:val="006A08CA"/>
    <w:rsid w:val="006A0E43"/>
    <w:rsid w:val="006A102D"/>
    <w:rsid w:val="006A11E4"/>
    <w:rsid w:val="006A15CF"/>
    <w:rsid w:val="006A16F0"/>
    <w:rsid w:val="006A1B54"/>
    <w:rsid w:val="006A2061"/>
    <w:rsid w:val="006A20A4"/>
    <w:rsid w:val="006A21AC"/>
    <w:rsid w:val="006A23DD"/>
    <w:rsid w:val="006A2950"/>
    <w:rsid w:val="006A29FF"/>
    <w:rsid w:val="006A2AB9"/>
    <w:rsid w:val="006A2DB4"/>
    <w:rsid w:val="006A2F05"/>
    <w:rsid w:val="006A2FCF"/>
    <w:rsid w:val="006A32B4"/>
    <w:rsid w:val="006A350E"/>
    <w:rsid w:val="006A3E6E"/>
    <w:rsid w:val="006A414D"/>
    <w:rsid w:val="006A41F8"/>
    <w:rsid w:val="006A42A5"/>
    <w:rsid w:val="006A451E"/>
    <w:rsid w:val="006A45BB"/>
    <w:rsid w:val="006A4E52"/>
    <w:rsid w:val="006A4ECE"/>
    <w:rsid w:val="006A4FC8"/>
    <w:rsid w:val="006A50D8"/>
    <w:rsid w:val="006A50F1"/>
    <w:rsid w:val="006A513C"/>
    <w:rsid w:val="006A517B"/>
    <w:rsid w:val="006A532B"/>
    <w:rsid w:val="006A55E1"/>
    <w:rsid w:val="006A58A6"/>
    <w:rsid w:val="006A5B01"/>
    <w:rsid w:val="006A5E01"/>
    <w:rsid w:val="006A603D"/>
    <w:rsid w:val="006A607B"/>
    <w:rsid w:val="006A61EC"/>
    <w:rsid w:val="006A6296"/>
    <w:rsid w:val="006A635E"/>
    <w:rsid w:val="006A677C"/>
    <w:rsid w:val="006A6BE2"/>
    <w:rsid w:val="006A6E27"/>
    <w:rsid w:val="006A6EAC"/>
    <w:rsid w:val="006A6F4C"/>
    <w:rsid w:val="006A6FB8"/>
    <w:rsid w:val="006A72B0"/>
    <w:rsid w:val="006A74E5"/>
    <w:rsid w:val="006A7AB4"/>
    <w:rsid w:val="006A7B9F"/>
    <w:rsid w:val="006A7E48"/>
    <w:rsid w:val="006A7FB7"/>
    <w:rsid w:val="006B02C4"/>
    <w:rsid w:val="006B04FE"/>
    <w:rsid w:val="006B05D4"/>
    <w:rsid w:val="006B075C"/>
    <w:rsid w:val="006B0856"/>
    <w:rsid w:val="006B0894"/>
    <w:rsid w:val="006B0D3F"/>
    <w:rsid w:val="006B0E44"/>
    <w:rsid w:val="006B12F6"/>
    <w:rsid w:val="006B18C5"/>
    <w:rsid w:val="006B1932"/>
    <w:rsid w:val="006B1B49"/>
    <w:rsid w:val="006B1B85"/>
    <w:rsid w:val="006B1C8C"/>
    <w:rsid w:val="006B1F47"/>
    <w:rsid w:val="006B1FDA"/>
    <w:rsid w:val="006B21E4"/>
    <w:rsid w:val="006B2722"/>
    <w:rsid w:val="006B2743"/>
    <w:rsid w:val="006B2A9B"/>
    <w:rsid w:val="006B2F65"/>
    <w:rsid w:val="006B3004"/>
    <w:rsid w:val="006B36AE"/>
    <w:rsid w:val="006B3980"/>
    <w:rsid w:val="006B3AFD"/>
    <w:rsid w:val="006B3E4D"/>
    <w:rsid w:val="006B417B"/>
    <w:rsid w:val="006B43A7"/>
    <w:rsid w:val="006B4449"/>
    <w:rsid w:val="006B464E"/>
    <w:rsid w:val="006B474F"/>
    <w:rsid w:val="006B4C0C"/>
    <w:rsid w:val="006B4EAB"/>
    <w:rsid w:val="006B5091"/>
    <w:rsid w:val="006B50B8"/>
    <w:rsid w:val="006B50F9"/>
    <w:rsid w:val="006B510E"/>
    <w:rsid w:val="006B5756"/>
    <w:rsid w:val="006B5A61"/>
    <w:rsid w:val="006B5C4C"/>
    <w:rsid w:val="006B5D79"/>
    <w:rsid w:val="006B5FBC"/>
    <w:rsid w:val="006B64E8"/>
    <w:rsid w:val="006B652D"/>
    <w:rsid w:val="006B654C"/>
    <w:rsid w:val="006B6AEF"/>
    <w:rsid w:val="006B6DA1"/>
    <w:rsid w:val="006B7455"/>
    <w:rsid w:val="006B76C2"/>
    <w:rsid w:val="006B7877"/>
    <w:rsid w:val="006B7CBC"/>
    <w:rsid w:val="006B7E1D"/>
    <w:rsid w:val="006B7F97"/>
    <w:rsid w:val="006C02CD"/>
    <w:rsid w:val="006C06A9"/>
    <w:rsid w:val="006C077F"/>
    <w:rsid w:val="006C0D8F"/>
    <w:rsid w:val="006C1189"/>
    <w:rsid w:val="006C132E"/>
    <w:rsid w:val="006C13A3"/>
    <w:rsid w:val="006C154B"/>
    <w:rsid w:val="006C157B"/>
    <w:rsid w:val="006C1822"/>
    <w:rsid w:val="006C1AAC"/>
    <w:rsid w:val="006C1F1E"/>
    <w:rsid w:val="006C2042"/>
    <w:rsid w:val="006C21F1"/>
    <w:rsid w:val="006C2A84"/>
    <w:rsid w:val="006C2ABA"/>
    <w:rsid w:val="006C2B59"/>
    <w:rsid w:val="006C2C86"/>
    <w:rsid w:val="006C2C8B"/>
    <w:rsid w:val="006C2D1A"/>
    <w:rsid w:val="006C2E13"/>
    <w:rsid w:val="006C2F29"/>
    <w:rsid w:val="006C3335"/>
    <w:rsid w:val="006C34A1"/>
    <w:rsid w:val="006C3686"/>
    <w:rsid w:val="006C38EF"/>
    <w:rsid w:val="006C3BCF"/>
    <w:rsid w:val="006C3BEF"/>
    <w:rsid w:val="006C3C0B"/>
    <w:rsid w:val="006C3D8A"/>
    <w:rsid w:val="006C3EBC"/>
    <w:rsid w:val="006C4043"/>
    <w:rsid w:val="006C41C1"/>
    <w:rsid w:val="006C41ED"/>
    <w:rsid w:val="006C4343"/>
    <w:rsid w:val="006C43F8"/>
    <w:rsid w:val="006C43FB"/>
    <w:rsid w:val="006C44F9"/>
    <w:rsid w:val="006C4950"/>
    <w:rsid w:val="006C49AF"/>
    <w:rsid w:val="006C4E90"/>
    <w:rsid w:val="006C4F0A"/>
    <w:rsid w:val="006C52B9"/>
    <w:rsid w:val="006C559A"/>
    <w:rsid w:val="006C5734"/>
    <w:rsid w:val="006C5835"/>
    <w:rsid w:val="006C58E3"/>
    <w:rsid w:val="006C5940"/>
    <w:rsid w:val="006C5A8D"/>
    <w:rsid w:val="006C5B94"/>
    <w:rsid w:val="006C5C66"/>
    <w:rsid w:val="006C5CDD"/>
    <w:rsid w:val="006C5D0C"/>
    <w:rsid w:val="006C6346"/>
    <w:rsid w:val="006C674F"/>
    <w:rsid w:val="006C6ED1"/>
    <w:rsid w:val="006C6F68"/>
    <w:rsid w:val="006C7777"/>
    <w:rsid w:val="006C7C3E"/>
    <w:rsid w:val="006C7FB8"/>
    <w:rsid w:val="006C7FF1"/>
    <w:rsid w:val="006D002E"/>
    <w:rsid w:val="006D0146"/>
    <w:rsid w:val="006D02AA"/>
    <w:rsid w:val="006D033F"/>
    <w:rsid w:val="006D0F89"/>
    <w:rsid w:val="006D1A50"/>
    <w:rsid w:val="006D1DFE"/>
    <w:rsid w:val="006D20A4"/>
    <w:rsid w:val="006D23A2"/>
    <w:rsid w:val="006D2560"/>
    <w:rsid w:val="006D26BD"/>
    <w:rsid w:val="006D27B8"/>
    <w:rsid w:val="006D31DB"/>
    <w:rsid w:val="006D328B"/>
    <w:rsid w:val="006D33A9"/>
    <w:rsid w:val="006D3620"/>
    <w:rsid w:val="006D3DE5"/>
    <w:rsid w:val="006D3F83"/>
    <w:rsid w:val="006D3FC2"/>
    <w:rsid w:val="006D41CE"/>
    <w:rsid w:val="006D460E"/>
    <w:rsid w:val="006D4630"/>
    <w:rsid w:val="006D471A"/>
    <w:rsid w:val="006D472A"/>
    <w:rsid w:val="006D4AAA"/>
    <w:rsid w:val="006D4CA2"/>
    <w:rsid w:val="006D4D7E"/>
    <w:rsid w:val="006D5176"/>
    <w:rsid w:val="006D5201"/>
    <w:rsid w:val="006D5274"/>
    <w:rsid w:val="006D5313"/>
    <w:rsid w:val="006D535C"/>
    <w:rsid w:val="006D5510"/>
    <w:rsid w:val="006D55C0"/>
    <w:rsid w:val="006D5820"/>
    <w:rsid w:val="006D5886"/>
    <w:rsid w:val="006D5F54"/>
    <w:rsid w:val="006D5F9A"/>
    <w:rsid w:val="006D624D"/>
    <w:rsid w:val="006D6515"/>
    <w:rsid w:val="006D6703"/>
    <w:rsid w:val="006D6797"/>
    <w:rsid w:val="006D6944"/>
    <w:rsid w:val="006D6989"/>
    <w:rsid w:val="006D6F24"/>
    <w:rsid w:val="006D6FC1"/>
    <w:rsid w:val="006D74ED"/>
    <w:rsid w:val="006D78EB"/>
    <w:rsid w:val="006D7C6D"/>
    <w:rsid w:val="006D7D66"/>
    <w:rsid w:val="006E058C"/>
    <w:rsid w:val="006E0922"/>
    <w:rsid w:val="006E0A53"/>
    <w:rsid w:val="006E0B0D"/>
    <w:rsid w:val="006E0ED9"/>
    <w:rsid w:val="006E0EF4"/>
    <w:rsid w:val="006E0F4A"/>
    <w:rsid w:val="006E0F5D"/>
    <w:rsid w:val="006E0FA4"/>
    <w:rsid w:val="006E13A6"/>
    <w:rsid w:val="006E13C3"/>
    <w:rsid w:val="006E13EF"/>
    <w:rsid w:val="006E1629"/>
    <w:rsid w:val="006E16F2"/>
    <w:rsid w:val="006E1854"/>
    <w:rsid w:val="006E1A51"/>
    <w:rsid w:val="006E1FBF"/>
    <w:rsid w:val="006E2008"/>
    <w:rsid w:val="006E2429"/>
    <w:rsid w:val="006E2656"/>
    <w:rsid w:val="006E28FF"/>
    <w:rsid w:val="006E2A40"/>
    <w:rsid w:val="006E2BB3"/>
    <w:rsid w:val="006E2BF5"/>
    <w:rsid w:val="006E2D31"/>
    <w:rsid w:val="006E2FB1"/>
    <w:rsid w:val="006E2FCB"/>
    <w:rsid w:val="006E33BD"/>
    <w:rsid w:val="006E376F"/>
    <w:rsid w:val="006E3848"/>
    <w:rsid w:val="006E38A2"/>
    <w:rsid w:val="006E3D01"/>
    <w:rsid w:val="006E3DA4"/>
    <w:rsid w:val="006E3F1F"/>
    <w:rsid w:val="006E4021"/>
    <w:rsid w:val="006E402D"/>
    <w:rsid w:val="006E42CD"/>
    <w:rsid w:val="006E4654"/>
    <w:rsid w:val="006E4690"/>
    <w:rsid w:val="006E473B"/>
    <w:rsid w:val="006E48EE"/>
    <w:rsid w:val="006E4A43"/>
    <w:rsid w:val="006E4B4C"/>
    <w:rsid w:val="006E50E1"/>
    <w:rsid w:val="006E5147"/>
    <w:rsid w:val="006E5269"/>
    <w:rsid w:val="006E5374"/>
    <w:rsid w:val="006E592A"/>
    <w:rsid w:val="006E5934"/>
    <w:rsid w:val="006E5BC2"/>
    <w:rsid w:val="006E5F40"/>
    <w:rsid w:val="006E5F90"/>
    <w:rsid w:val="006E6175"/>
    <w:rsid w:val="006E673C"/>
    <w:rsid w:val="006E6779"/>
    <w:rsid w:val="006E6A74"/>
    <w:rsid w:val="006E6BC2"/>
    <w:rsid w:val="006E6CE7"/>
    <w:rsid w:val="006E7150"/>
    <w:rsid w:val="006E744A"/>
    <w:rsid w:val="006E77A5"/>
    <w:rsid w:val="006E77BB"/>
    <w:rsid w:val="006E780C"/>
    <w:rsid w:val="006E7BD2"/>
    <w:rsid w:val="006E7DF0"/>
    <w:rsid w:val="006E7EF3"/>
    <w:rsid w:val="006E7FB6"/>
    <w:rsid w:val="006F020F"/>
    <w:rsid w:val="006F058B"/>
    <w:rsid w:val="006F061C"/>
    <w:rsid w:val="006F0800"/>
    <w:rsid w:val="006F08C6"/>
    <w:rsid w:val="006F08FA"/>
    <w:rsid w:val="006F0A30"/>
    <w:rsid w:val="006F1024"/>
    <w:rsid w:val="006F125C"/>
    <w:rsid w:val="006F129F"/>
    <w:rsid w:val="006F13E0"/>
    <w:rsid w:val="006F1488"/>
    <w:rsid w:val="006F160D"/>
    <w:rsid w:val="006F1BE0"/>
    <w:rsid w:val="006F1E2D"/>
    <w:rsid w:val="006F1F36"/>
    <w:rsid w:val="006F1F97"/>
    <w:rsid w:val="006F26B4"/>
    <w:rsid w:val="006F2A0D"/>
    <w:rsid w:val="006F2D0A"/>
    <w:rsid w:val="006F2D7F"/>
    <w:rsid w:val="006F319D"/>
    <w:rsid w:val="006F319E"/>
    <w:rsid w:val="006F3546"/>
    <w:rsid w:val="006F3549"/>
    <w:rsid w:val="006F3ABE"/>
    <w:rsid w:val="006F3C1F"/>
    <w:rsid w:val="006F41F0"/>
    <w:rsid w:val="006F45A4"/>
    <w:rsid w:val="006F474D"/>
    <w:rsid w:val="006F4C65"/>
    <w:rsid w:val="006F4CBC"/>
    <w:rsid w:val="006F4CC9"/>
    <w:rsid w:val="006F4FB4"/>
    <w:rsid w:val="006F5984"/>
    <w:rsid w:val="006F5A7C"/>
    <w:rsid w:val="006F5CC2"/>
    <w:rsid w:val="006F62B9"/>
    <w:rsid w:val="006F6303"/>
    <w:rsid w:val="006F6316"/>
    <w:rsid w:val="006F65A2"/>
    <w:rsid w:val="006F6885"/>
    <w:rsid w:val="006F69CF"/>
    <w:rsid w:val="006F6C31"/>
    <w:rsid w:val="006F71A2"/>
    <w:rsid w:val="006F73D8"/>
    <w:rsid w:val="006F74B5"/>
    <w:rsid w:val="006F77BF"/>
    <w:rsid w:val="006F77E6"/>
    <w:rsid w:val="006F7A56"/>
    <w:rsid w:val="006F7C2E"/>
    <w:rsid w:val="006F7DEF"/>
    <w:rsid w:val="006F7EF9"/>
    <w:rsid w:val="00700CF2"/>
    <w:rsid w:val="00700F78"/>
    <w:rsid w:val="007011CC"/>
    <w:rsid w:val="0070150E"/>
    <w:rsid w:val="007016DD"/>
    <w:rsid w:val="00701735"/>
    <w:rsid w:val="00701CC3"/>
    <w:rsid w:val="00701D8B"/>
    <w:rsid w:val="00702328"/>
    <w:rsid w:val="00702381"/>
    <w:rsid w:val="007024D6"/>
    <w:rsid w:val="007024FB"/>
    <w:rsid w:val="00702577"/>
    <w:rsid w:val="007028EA"/>
    <w:rsid w:val="00702AD3"/>
    <w:rsid w:val="00702F8D"/>
    <w:rsid w:val="007030B4"/>
    <w:rsid w:val="007031F7"/>
    <w:rsid w:val="00703238"/>
    <w:rsid w:val="00703253"/>
    <w:rsid w:val="007032EF"/>
    <w:rsid w:val="00703845"/>
    <w:rsid w:val="0070392D"/>
    <w:rsid w:val="00703F05"/>
    <w:rsid w:val="007040C7"/>
    <w:rsid w:val="007043D6"/>
    <w:rsid w:val="0070460A"/>
    <w:rsid w:val="00704673"/>
    <w:rsid w:val="00704788"/>
    <w:rsid w:val="007047C7"/>
    <w:rsid w:val="00704A75"/>
    <w:rsid w:val="00704C5B"/>
    <w:rsid w:val="00704FD5"/>
    <w:rsid w:val="00705212"/>
    <w:rsid w:val="007054EE"/>
    <w:rsid w:val="007055E4"/>
    <w:rsid w:val="00705974"/>
    <w:rsid w:val="00705DB8"/>
    <w:rsid w:val="00705E49"/>
    <w:rsid w:val="00705EDC"/>
    <w:rsid w:val="00705F50"/>
    <w:rsid w:val="0070625C"/>
    <w:rsid w:val="00706344"/>
    <w:rsid w:val="007063B2"/>
    <w:rsid w:val="007066F3"/>
    <w:rsid w:val="00706929"/>
    <w:rsid w:val="007069CB"/>
    <w:rsid w:val="00706C8C"/>
    <w:rsid w:val="00706D25"/>
    <w:rsid w:val="0070719A"/>
    <w:rsid w:val="0070719F"/>
    <w:rsid w:val="007072EE"/>
    <w:rsid w:val="0070746A"/>
    <w:rsid w:val="0070748A"/>
    <w:rsid w:val="007075DA"/>
    <w:rsid w:val="007076A2"/>
    <w:rsid w:val="00707845"/>
    <w:rsid w:val="00707916"/>
    <w:rsid w:val="00707A4C"/>
    <w:rsid w:val="00707A98"/>
    <w:rsid w:val="00707E5B"/>
    <w:rsid w:val="00707FE1"/>
    <w:rsid w:val="00710349"/>
    <w:rsid w:val="0071035A"/>
    <w:rsid w:val="0071049B"/>
    <w:rsid w:val="0071104C"/>
    <w:rsid w:val="00711412"/>
    <w:rsid w:val="00711738"/>
    <w:rsid w:val="0071179B"/>
    <w:rsid w:val="00711C71"/>
    <w:rsid w:val="00711D57"/>
    <w:rsid w:val="00711F40"/>
    <w:rsid w:val="00712346"/>
    <w:rsid w:val="00712379"/>
    <w:rsid w:val="0071243A"/>
    <w:rsid w:val="007125A9"/>
    <w:rsid w:val="00712A8B"/>
    <w:rsid w:val="00712F40"/>
    <w:rsid w:val="00712F7A"/>
    <w:rsid w:val="00713225"/>
    <w:rsid w:val="00713B79"/>
    <w:rsid w:val="00713BB3"/>
    <w:rsid w:val="00713D6A"/>
    <w:rsid w:val="00713D87"/>
    <w:rsid w:val="007140E8"/>
    <w:rsid w:val="007141F4"/>
    <w:rsid w:val="007145B1"/>
    <w:rsid w:val="00714972"/>
    <w:rsid w:val="00714C05"/>
    <w:rsid w:val="00714D36"/>
    <w:rsid w:val="00714D4E"/>
    <w:rsid w:val="00714E7E"/>
    <w:rsid w:val="00714F97"/>
    <w:rsid w:val="00715091"/>
    <w:rsid w:val="0071529D"/>
    <w:rsid w:val="0071548F"/>
    <w:rsid w:val="00715808"/>
    <w:rsid w:val="00715821"/>
    <w:rsid w:val="00715826"/>
    <w:rsid w:val="00715F99"/>
    <w:rsid w:val="00715FF6"/>
    <w:rsid w:val="00716711"/>
    <w:rsid w:val="0071682C"/>
    <w:rsid w:val="007169FB"/>
    <w:rsid w:val="00716AD2"/>
    <w:rsid w:val="00716C1A"/>
    <w:rsid w:val="00716FE6"/>
    <w:rsid w:val="0071717E"/>
    <w:rsid w:val="007171E9"/>
    <w:rsid w:val="00717541"/>
    <w:rsid w:val="007175A7"/>
    <w:rsid w:val="007176AD"/>
    <w:rsid w:val="00717B3E"/>
    <w:rsid w:val="00717B5F"/>
    <w:rsid w:val="00717C90"/>
    <w:rsid w:val="00720133"/>
    <w:rsid w:val="00720232"/>
    <w:rsid w:val="007205E1"/>
    <w:rsid w:val="0072095F"/>
    <w:rsid w:val="0072108E"/>
    <w:rsid w:val="007215E5"/>
    <w:rsid w:val="007216B7"/>
    <w:rsid w:val="00721767"/>
    <w:rsid w:val="00721826"/>
    <w:rsid w:val="007218EB"/>
    <w:rsid w:val="00721A20"/>
    <w:rsid w:val="00721C77"/>
    <w:rsid w:val="007223D1"/>
    <w:rsid w:val="00722872"/>
    <w:rsid w:val="0072299A"/>
    <w:rsid w:val="007229D3"/>
    <w:rsid w:val="00722A72"/>
    <w:rsid w:val="00722B70"/>
    <w:rsid w:val="00722D6F"/>
    <w:rsid w:val="00723062"/>
    <w:rsid w:val="007231DD"/>
    <w:rsid w:val="00723770"/>
    <w:rsid w:val="00723826"/>
    <w:rsid w:val="00723AE4"/>
    <w:rsid w:val="007241BE"/>
    <w:rsid w:val="007246D4"/>
    <w:rsid w:val="0072470F"/>
    <w:rsid w:val="00724786"/>
    <w:rsid w:val="00724BC0"/>
    <w:rsid w:val="007250F6"/>
    <w:rsid w:val="0072512A"/>
    <w:rsid w:val="007251C4"/>
    <w:rsid w:val="0072520F"/>
    <w:rsid w:val="00725356"/>
    <w:rsid w:val="00725900"/>
    <w:rsid w:val="00725966"/>
    <w:rsid w:val="00725C2D"/>
    <w:rsid w:val="00725C48"/>
    <w:rsid w:val="007261CF"/>
    <w:rsid w:val="0072629F"/>
    <w:rsid w:val="00726384"/>
    <w:rsid w:val="007264B1"/>
    <w:rsid w:val="007269EF"/>
    <w:rsid w:val="00726C80"/>
    <w:rsid w:val="00726F11"/>
    <w:rsid w:val="00726FDC"/>
    <w:rsid w:val="00727529"/>
    <w:rsid w:val="007276F7"/>
    <w:rsid w:val="00727930"/>
    <w:rsid w:val="007279E3"/>
    <w:rsid w:val="00727AAD"/>
    <w:rsid w:val="00727D88"/>
    <w:rsid w:val="0073027A"/>
    <w:rsid w:val="00730338"/>
    <w:rsid w:val="0073072C"/>
    <w:rsid w:val="00730E35"/>
    <w:rsid w:val="0073130B"/>
    <w:rsid w:val="0073143B"/>
    <w:rsid w:val="00731769"/>
    <w:rsid w:val="00731D7C"/>
    <w:rsid w:val="00731DE5"/>
    <w:rsid w:val="00731EE6"/>
    <w:rsid w:val="0073211A"/>
    <w:rsid w:val="007325C0"/>
    <w:rsid w:val="0073271E"/>
    <w:rsid w:val="00732BD5"/>
    <w:rsid w:val="00732C26"/>
    <w:rsid w:val="00732C2F"/>
    <w:rsid w:val="00732D7D"/>
    <w:rsid w:val="00733081"/>
    <w:rsid w:val="0073347A"/>
    <w:rsid w:val="0073356D"/>
    <w:rsid w:val="0073359C"/>
    <w:rsid w:val="00733606"/>
    <w:rsid w:val="00734052"/>
    <w:rsid w:val="00734249"/>
    <w:rsid w:val="007343D5"/>
    <w:rsid w:val="00734420"/>
    <w:rsid w:val="00734C4D"/>
    <w:rsid w:val="00734C96"/>
    <w:rsid w:val="00734D16"/>
    <w:rsid w:val="00734F40"/>
    <w:rsid w:val="00734FA3"/>
    <w:rsid w:val="00735025"/>
    <w:rsid w:val="007355A6"/>
    <w:rsid w:val="00735BA7"/>
    <w:rsid w:val="00735C36"/>
    <w:rsid w:val="00735DF2"/>
    <w:rsid w:val="00735F43"/>
    <w:rsid w:val="00736608"/>
    <w:rsid w:val="00736675"/>
    <w:rsid w:val="007368D0"/>
    <w:rsid w:val="00736915"/>
    <w:rsid w:val="00736E5C"/>
    <w:rsid w:val="007371C6"/>
    <w:rsid w:val="007371D7"/>
    <w:rsid w:val="00737503"/>
    <w:rsid w:val="00737E19"/>
    <w:rsid w:val="00737F06"/>
    <w:rsid w:val="00737F87"/>
    <w:rsid w:val="00737FBC"/>
    <w:rsid w:val="0074027C"/>
    <w:rsid w:val="00740317"/>
    <w:rsid w:val="00740368"/>
    <w:rsid w:val="00740410"/>
    <w:rsid w:val="00740536"/>
    <w:rsid w:val="00740A71"/>
    <w:rsid w:val="00740AC7"/>
    <w:rsid w:val="00740E94"/>
    <w:rsid w:val="00740FA6"/>
    <w:rsid w:val="00741167"/>
    <w:rsid w:val="00741227"/>
    <w:rsid w:val="007413B7"/>
    <w:rsid w:val="0074146C"/>
    <w:rsid w:val="00741785"/>
    <w:rsid w:val="00741F9D"/>
    <w:rsid w:val="007420C7"/>
    <w:rsid w:val="0074222E"/>
    <w:rsid w:val="0074223A"/>
    <w:rsid w:val="00742532"/>
    <w:rsid w:val="0074261B"/>
    <w:rsid w:val="00742648"/>
    <w:rsid w:val="00742FA0"/>
    <w:rsid w:val="00743047"/>
    <w:rsid w:val="007439CC"/>
    <w:rsid w:val="00743CAC"/>
    <w:rsid w:val="00743CC3"/>
    <w:rsid w:val="00743E88"/>
    <w:rsid w:val="00743F25"/>
    <w:rsid w:val="00744015"/>
    <w:rsid w:val="00744041"/>
    <w:rsid w:val="0074436B"/>
    <w:rsid w:val="00744AB0"/>
    <w:rsid w:val="00744E10"/>
    <w:rsid w:val="007450A5"/>
    <w:rsid w:val="007450BA"/>
    <w:rsid w:val="00745149"/>
    <w:rsid w:val="0074533F"/>
    <w:rsid w:val="007453BE"/>
    <w:rsid w:val="007453E9"/>
    <w:rsid w:val="007458D5"/>
    <w:rsid w:val="00745BAE"/>
    <w:rsid w:val="00745C92"/>
    <w:rsid w:val="007460DA"/>
    <w:rsid w:val="00746C41"/>
    <w:rsid w:val="00747126"/>
    <w:rsid w:val="007476A0"/>
    <w:rsid w:val="00747723"/>
    <w:rsid w:val="007477C5"/>
    <w:rsid w:val="0074792C"/>
    <w:rsid w:val="00747938"/>
    <w:rsid w:val="00747B4D"/>
    <w:rsid w:val="00747C75"/>
    <w:rsid w:val="00747D57"/>
    <w:rsid w:val="00750E81"/>
    <w:rsid w:val="00750EC3"/>
    <w:rsid w:val="00750FCF"/>
    <w:rsid w:val="007512B3"/>
    <w:rsid w:val="00751551"/>
    <w:rsid w:val="00751576"/>
    <w:rsid w:val="007515D1"/>
    <w:rsid w:val="00751634"/>
    <w:rsid w:val="007517DA"/>
    <w:rsid w:val="00751B95"/>
    <w:rsid w:val="00751DA1"/>
    <w:rsid w:val="0075204A"/>
    <w:rsid w:val="007521C4"/>
    <w:rsid w:val="00752422"/>
    <w:rsid w:val="007524D8"/>
    <w:rsid w:val="0075268B"/>
    <w:rsid w:val="00752BEB"/>
    <w:rsid w:val="00752CEA"/>
    <w:rsid w:val="00752D13"/>
    <w:rsid w:val="00752DD8"/>
    <w:rsid w:val="0075303F"/>
    <w:rsid w:val="0075312C"/>
    <w:rsid w:val="007532FA"/>
    <w:rsid w:val="00753394"/>
    <w:rsid w:val="00753671"/>
    <w:rsid w:val="00753757"/>
    <w:rsid w:val="0075377A"/>
    <w:rsid w:val="00753A38"/>
    <w:rsid w:val="00753D0A"/>
    <w:rsid w:val="00753F7F"/>
    <w:rsid w:val="007541E4"/>
    <w:rsid w:val="0075469A"/>
    <w:rsid w:val="00754CF1"/>
    <w:rsid w:val="00755467"/>
    <w:rsid w:val="00755736"/>
    <w:rsid w:val="007557C8"/>
    <w:rsid w:val="00755817"/>
    <w:rsid w:val="00755B12"/>
    <w:rsid w:val="00755D01"/>
    <w:rsid w:val="00755D93"/>
    <w:rsid w:val="00755DCB"/>
    <w:rsid w:val="00755E5C"/>
    <w:rsid w:val="00755EE0"/>
    <w:rsid w:val="00756377"/>
    <w:rsid w:val="00756B6B"/>
    <w:rsid w:val="00757035"/>
    <w:rsid w:val="00757186"/>
    <w:rsid w:val="00757716"/>
    <w:rsid w:val="007578E1"/>
    <w:rsid w:val="00757A6A"/>
    <w:rsid w:val="00757CF3"/>
    <w:rsid w:val="00757F06"/>
    <w:rsid w:val="0076006D"/>
    <w:rsid w:val="00760270"/>
    <w:rsid w:val="00760768"/>
    <w:rsid w:val="0076077C"/>
    <w:rsid w:val="00760A86"/>
    <w:rsid w:val="00760BCC"/>
    <w:rsid w:val="00760E5F"/>
    <w:rsid w:val="0076106B"/>
    <w:rsid w:val="007617EE"/>
    <w:rsid w:val="00761830"/>
    <w:rsid w:val="007618F6"/>
    <w:rsid w:val="00761955"/>
    <w:rsid w:val="00761A27"/>
    <w:rsid w:val="00761A7B"/>
    <w:rsid w:val="00761B62"/>
    <w:rsid w:val="00761E1F"/>
    <w:rsid w:val="00761EF1"/>
    <w:rsid w:val="007621FF"/>
    <w:rsid w:val="00762AFB"/>
    <w:rsid w:val="00762C74"/>
    <w:rsid w:val="007630F5"/>
    <w:rsid w:val="00763275"/>
    <w:rsid w:val="00763388"/>
    <w:rsid w:val="0076340C"/>
    <w:rsid w:val="00763743"/>
    <w:rsid w:val="007637BC"/>
    <w:rsid w:val="00763968"/>
    <w:rsid w:val="007639D9"/>
    <w:rsid w:val="00763EE3"/>
    <w:rsid w:val="007640AF"/>
    <w:rsid w:val="0076440A"/>
    <w:rsid w:val="0076475B"/>
    <w:rsid w:val="00764B31"/>
    <w:rsid w:val="00764B5D"/>
    <w:rsid w:val="00764D00"/>
    <w:rsid w:val="00764FD5"/>
    <w:rsid w:val="0076536E"/>
    <w:rsid w:val="007655A9"/>
    <w:rsid w:val="007656A1"/>
    <w:rsid w:val="007656CA"/>
    <w:rsid w:val="00765956"/>
    <w:rsid w:val="00765A07"/>
    <w:rsid w:val="00765AA9"/>
    <w:rsid w:val="00765BA8"/>
    <w:rsid w:val="00766007"/>
    <w:rsid w:val="007664F7"/>
    <w:rsid w:val="00766DCF"/>
    <w:rsid w:val="00767193"/>
    <w:rsid w:val="007673C8"/>
    <w:rsid w:val="007674D7"/>
    <w:rsid w:val="00767768"/>
    <w:rsid w:val="0076784F"/>
    <w:rsid w:val="0076796A"/>
    <w:rsid w:val="00767BF3"/>
    <w:rsid w:val="00767C56"/>
    <w:rsid w:val="00767CFD"/>
    <w:rsid w:val="00767D9C"/>
    <w:rsid w:val="00767DC0"/>
    <w:rsid w:val="00767FFC"/>
    <w:rsid w:val="0077001C"/>
    <w:rsid w:val="0077018F"/>
    <w:rsid w:val="007706C1"/>
    <w:rsid w:val="00770A26"/>
    <w:rsid w:val="00770B3B"/>
    <w:rsid w:val="00770FA5"/>
    <w:rsid w:val="00771608"/>
    <w:rsid w:val="0077163A"/>
    <w:rsid w:val="007717E4"/>
    <w:rsid w:val="00771CBC"/>
    <w:rsid w:val="00771FB5"/>
    <w:rsid w:val="007724A7"/>
    <w:rsid w:val="007726FA"/>
    <w:rsid w:val="00772869"/>
    <w:rsid w:val="00772945"/>
    <w:rsid w:val="007730BE"/>
    <w:rsid w:val="007731BC"/>
    <w:rsid w:val="0077330B"/>
    <w:rsid w:val="00773328"/>
    <w:rsid w:val="00773481"/>
    <w:rsid w:val="00773896"/>
    <w:rsid w:val="00773913"/>
    <w:rsid w:val="00773A05"/>
    <w:rsid w:val="00773B43"/>
    <w:rsid w:val="00773C3D"/>
    <w:rsid w:val="007741E7"/>
    <w:rsid w:val="007742D0"/>
    <w:rsid w:val="0077434E"/>
    <w:rsid w:val="007743FA"/>
    <w:rsid w:val="00774425"/>
    <w:rsid w:val="007746ED"/>
    <w:rsid w:val="00774814"/>
    <w:rsid w:val="00774ACB"/>
    <w:rsid w:val="00774B93"/>
    <w:rsid w:val="00774EAF"/>
    <w:rsid w:val="00774FC7"/>
    <w:rsid w:val="00775231"/>
    <w:rsid w:val="00775295"/>
    <w:rsid w:val="007754C3"/>
    <w:rsid w:val="0077554D"/>
    <w:rsid w:val="00775567"/>
    <w:rsid w:val="007757C6"/>
    <w:rsid w:val="00775AAA"/>
    <w:rsid w:val="00775ACA"/>
    <w:rsid w:val="00775BF6"/>
    <w:rsid w:val="00775C40"/>
    <w:rsid w:val="00775C59"/>
    <w:rsid w:val="00775CB4"/>
    <w:rsid w:val="00775D97"/>
    <w:rsid w:val="0077629F"/>
    <w:rsid w:val="0077645D"/>
    <w:rsid w:val="00776542"/>
    <w:rsid w:val="00776749"/>
    <w:rsid w:val="00776E2E"/>
    <w:rsid w:val="00777442"/>
    <w:rsid w:val="00777451"/>
    <w:rsid w:val="00777742"/>
    <w:rsid w:val="007779A3"/>
    <w:rsid w:val="00777ADC"/>
    <w:rsid w:val="00777BCF"/>
    <w:rsid w:val="007801BE"/>
    <w:rsid w:val="007802E7"/>
    <w:rsid w:val="00780B1A"/>
    <w:rsid w:val="00780C15"/>
    <w:rsid w:val="00780D45"/>
    <w:rsid w:val="00780F3F"/>
    <w:rsid w:val="007812E7"/>
    <w:rsid w:val="00781315"/>
    <w:rsid w:val="0078136C"/>
    <w:rsid w:val="0078159F"/>
    <w:rsid w:val="00781A97"/>
    <w:rsid w:val="00781B57"/>
    <w:rsid w:val="00781E7D"/>
    <w:rsid w:val="00782065"/>
    <w:rsid w:val="00782419"/>
    <w:rsid w:val="007824BC"/>
    <w:rsid w:val="007826D2"/>
    <w:rsid w:val="00782D2D"/>
    <w:rsid w:val="00782DFC"/>
    <w:rsid w:val="00782EC4"/>
    <w:rsid w:val="00782EEE"/>
    <w:rsid w:val="007830CB"/>
    <w:rsid w:val="00783153"/>
    <w:rsid w:val="0078384B"/>
    <w:rsid w:val="0078396F"/>
    <w:rsid w:val="00783A74"/>
    <w:rsid w:val="00783AE5"/>
    <w:rsid w:val="00783BE5"/>
    <w:rsid w:val="007845E4"/>
    <w:rsid w:val="007847C0"/>
    <w:rsid w:val="00784829"/>
    <w:rsid w:val="00784B98"/>
    <w:rsid w:val="00784C03"/>
    <w:rsid w:val="0078539C"/>
    <w:rsid w:val="00785777"/>
    <w:rsid w:val="00785AC2"/>
    <w:rsid w:val="00785C83"/>
    <w:rsid w:val="00785E8C"/>
    <w:rsid w:val="00785F4F"/>
    <w:rsid w:val="007864DA"/>
    <w:rsid w:val="00786779"/>
    <w:rsid w:val="00786A6F"/>
    <w:rsid w:val="00786ED8"/>
    <w:rsid w:val="00787432"/>
    <w:rsid w:val="00787491"/>
    <w:rsid w:val="0078759B"/>
    <w:rsid w:val="00787807"/>
    <w:rsid w:val="007879B9"/>
    <w:rsid w:val="00787A15"/>
    <w:rsid w:val="00787CF3"/>
    <w:rsid w:val="00787D20"/>
    <w:rsid w:val="00787E37"/>
    <w:rsid w:val="00787FD1"/>
    <w:rsid w:val="0079001F"/>
    <w:rsid w:val="00790362"/>
    <w:rsid w:val="007904EA"/>
    <w:rsid w:val="0079065C"/>
    <w:rsid w:val="00790767"/>
    <w:rsid w:val="00790B5F"/>
    <w:rsid w:val="00790CD7"/>
    <w:rsid w:val="00790D1F"/>
    <w:rsid w:val="0079108A"/>
    <w:rsid w:val="007911B6"/>
    <w:rsid w:val="00791430"/>
    <w:rsid w:val="00791BF5"/>
    <w:rsid w:val="007920FE"/>
    <w:rsid w:val="00792431"/>
    <w:rsid w:val="00792A86"/>
    <w:rsid w:val="007930B7"/>
    <w:rsid w:val="00793237"/>
    <w:rsid w:val="00793257"/>
    <w:rsid w:val="00793541"/>
    <w:rsid w:val="007945C8"/>
    <w:rsid w:val="007946AA"/>
    <w:rsid w:val="00794E6A"/>
    <w:rsid w:val="00794F5F"/>
    <w:rsid w:val="007953AE"/>
    <w:rsid w:val="007954CF"/>
    <w:rsid w:val="00795699"/>
    <w:rsid w:val="00795730"/>
    <w:rsid w:val="007958E5"/>
    <w:rsid w:val="00795DF5"/>
    <w:rsid w:val="00795DF6"/>
    <w:rsid w:val="00795E2E"/>
    <w:rsid w:val="00795FFB"/>
    <w:rsid w:val="0079624E"/>
    <w:rsid w:val="007965FD"/>
    <w:rsid w:val="0079691E"/>
    <w:rsid w:val="007969E4"/>
    <w:rsid w:val="00796CD0"/>
    <w:rsid w:val="00796E5B"/>
    <w:rsid w:val="00796E96"/>
    <w:rsid w:val="00797093"/>
    <w:rsid w:val="007970C0"/>
    <w:rsid w:val="007971D1"/>
    <w:rsid w:val="0079776F"/>
    <w:rsid w:val="00797B40"/>
    <w:rsid w:val="00797CD7"/>
    <w:rsid w:val="00797FD3"/>
    <w:rsid w:val="007A0003"/>
    <w:rsid w:val="007A0131"/>
    <w:rsid w:val="007A04E1"/>
    <w:rsid w:val="007A06CB"/>
    <w:rsid w:val="007A08CD"/>
    <w:rsid w:val="007A08CE"/>
    <w:rsid w:val="007A092C"/>
    <w:rsid w:val="007A0BC8"/>
    <w:rsid w:val="007A0C8E"/>
    <w:rsid w:val="007A0F3F"/>
    <w:rsid w:val="007A1364"/>
    <w:rsid w:val="007A14E8"/>
    <w:rsid w:val="007A1785"/>
    <w:rsid w:val="007A1889"/>
    <w:rsid w:val="007A1939"/>
    <w:rsid w:val="007A1BC5"/>
    <w:rsid w:val="007A1BDA"/>
    <w:rsid w:val="007A1F2D"/>
    <w:rsid w:val="007A2286"/>
    <w:rsid w:val="007A2417"/>
    <w:rsid w:val="007A2485"/>
    <w:rsid w:val="007A24A0"/>
    <w:rsid w:val="007A2546"/>
    <w:rsid w:val="007A2720"/>
    <w:rsid w:val="007A2769"/>
    <w:rsid w:val="007A2809"/>
    <w:rsid w:val="007A2824"/>
    <w:rsid w:val="007A28EC"/>
    <w:rsid w:val="007A2938"/>
    <w:rsid w:val="007A29D7"/>
    <w:rsid w:val="007A2A5A"/>
    <w:rsid w:val="007A2CCB"/>
    <w:rsid w:val="007A2DB0"/>
    <w:rsid w:val="007A2E83"/>
    <w:rsid w:val="007A332C"/>
    <w:rsid w:val="007A35AC"/>
    <w:rsid w:val="007A3809"/>
    <w:rsid w:val="007A3843"/>
    <w:rsid w:val="007A3B9A"/>
    <w:rsid w:val="007A3FC1"/>
    <w:rsid w:val="007A4171"/>
    <w:rsid w:val="007A41A1"/>
    <w:rsid w:val="007A41B9"/>
    <w:rsid w:val="007A4377"/>
    <w:rsid w:val="007A4637"/>
    <w:rsid w:val="007A48CA"/>
    <w:rsid w:val="007A48DA"/>
    <w:rsid w:val="007A4AB2"/>
    <w:rsid w:val="007A4B9D"/>
    <w:rsid w:val="007A4E13"/>
    <w:rsid w:val="007A4FD5"/>
    <w:rsid w:val="007A5263"/>
    <w:rsid w:val="007A5554"/>
    <w:rsid w:val="007A5579"/>
    <w:rsid w:val="007A58DD"/>
    <w:rsid w:val="007A5C4E"/>
    <w:rsid w:val="007A5E68"/>
    <w:rsid w:val="007A602B"/>
    <w:rsid w:val="007A6141"/>
    <w:rsid w:val="007A6375"/>
    <w:rsid w:val="007A63C9"/>
    <w:rsid w:val="007A6679"/>
    <w:rsid w:val="007A6CFC"/>
    <w:rsid w:val="007A6D10"/>
    <w:rsid w:val="007A6D52"/>
    <w:rsid w:val="007A70C5"/>
    <w:rsid w:val="007A71CE"/>
    <w:rsid w:val="007A7442"/>
    <w:rsid w:val="007A74D3"/>
    <w:rsid w:val="007A7823"/>
    <w:rsid w:val="007A7825"/>
    <w:rsid w:val="007A7925"/>
    <w:rsid w:val="007A7D4A"/>
    <w:rsid w:val="007A7E8C"/>
    <w:rsid w:val="007B08C9"/>
    <w:rsid w:val="007B0A01"/>
    <w:rsid w:val="007B0A22"/>
    <w:rsid w:val="007B0CAC"/>
    <w:rsid w:val="007B0D54"/>
    <w:rsid w:val="007B0E20"/>
    <w:rsid w:val="007B0EA8"/>
    <w:rsid w:val="007B14FD"/>
    <w:rsid w:val="007B15A6"/>
    <w:rsid w:val="007B18D5"/>
    <w:rsid w:val="007B19DD"/>
    <w:rsid w:val="007B1B6D"/>
    <w:rsid w:val="007B1BF7"/>
    <w:rsid w:val="007B1DA8"/>
    <w:rsid w:val="007B265A"/>
    <w:rsid w:val="007B269E"/>
    <w:rsid w:val="007B27BE"/>
    <w:rsid w:val="007B2892"/>
    <w:rsid w:val="007B29EA"/>
    <w:rsid w:val="007B2F13"/>
    <w:rsid w:val="007B2FD6"/>
    <w:rsid w:val="007B321C"/>
    <w:rsid w:val="007B33E5"/>
    <w:rsid w:val="007B3693"/>
    <w:rsid w:val="007B36BF"/>
    <w:rsid w:val="007B3C14"/>
    <w:rsid w:val="007B3D0B"/>
    <w:rsid w:val="007B414C"/>
    <w:rsid w:val="007B416E"/>
    <w:rsid w:val="007B454A"/>
    <w:rsid w:val="007B46A6"/>
    <w:rsid w:val="007B4A59"/>
    <w:rsid w:val="007B4B55"/>
    <w:rsid w:val="007B4D42"/>
    <w:rsid w:val="007B4F82"/>
    <w:rsid w:val="007B50E8"/>
    <w:rsid w:val="007B51AA"/>
    <w:rsid w:val="007B5502"/>
    <w:rsid w:val="007B577C"/>
    <w:rsid w:val="007B598C"/>
    <w:rsid w:val="007B5A2F"/>
    <w:rsid w:val="007B5B27"/>
    <w:rsid w:val="007B5B32"/>
    <w:rsid w:val="007B5C75"/>
    <w:rsid w:val="007B6053"/>
    <w:rsid w:val="007B610F"/>
    <w:rsid w:val="007B629E"/>
    <w:rsid w:val="007B6315"/>
    <w:rsid w:val="007B63CF"/>
    <w:rsid w:val="007B6AEE"/>
    <w:rsid w:val="007B6D97"/>
    <w:rsid w:val="007B6DF2"/>
    <w:rsid w:val="007B713D"/>
    <w:rsid w:val="007B745C"/>
    <w:rsid w:val="007B7472"/>
    <w:rsid w:val="007B7573"/>
    <w:rsid w:val="007B7A13"/>
    <w:rsid w:val="007B7AAB"/>
    <w:rsid w:val="007C03BB"/>
    <w:rsid w:val="007C0499"/>
    <w:rsid w:val="007C0608"/>
    <w:rsid w:val="007C06B2"/>
    <w:rsid w:val="007C124F"/>
    <w:rsid w:val="007C13FD"/>
    <w:rsid w:val="007C1417"/>
    <w:rsid w:val="007C1475"/>
    <w:rsid w:val="007C182C"/>
    <w:rsid w:val="007C191D"/>
    <w:rsid w:val="007C1D9D"/>
    <w:rsid w:val="007C1F85"/>
    <w:rsid w:val="007C229C"/>
    <w:rsid w:val="007C277B"/>
    <w:rsid w:val="007C2882"/>
    <w:rsid w:val="007C28CF"/>
    <w:rsid w:val="007C2941"/>
    <w:rsid w:val="007C29D7"/>
    <w:rsid w:val="007C2A4A"/>
    <w:rsid w:val="007C2A9E"/>
    <w:rsid w:val="007C2FC6"/>
    <w:rsid w:val="007C3215"/>
    <w:rsid w:val="007C3376"/>
    <w:rsid w:val="007C3477"/>
    <w:rsid w:val="007C34DE"/>
    <w:rsid w:val="007C3533"/>
    <w:rsid w:val="007C38B5"/>
    <w:rsid w:val="007C3D19"/>
    <w:rsid w:val="007C404B"/>
    <w:rsid w:val="007C4058"/>
    <w:rsid w:val="007C4187"/>
    <w:rsid w:val="007C41A0"/>
    <w:rsid w:val="007C43C8"/>
    <w:rsid w:val="007C4A68"/>
    <w:rsid w:val="007C4BAE"/>
    <w:rsid w:val="007C4BEE"/>
    <w:rsid w:val="007C4D64"/>
    <w:rsid w:val="007C4EF0"/>
    <w:rsid w:val="007C4F96"/>
    <w:rsid w:val="007C4FAC"/>
    <w:rsid w:val="007C4FAE"/>
    <w:rsid w:val="007C53A5"/>
    <w:rsid w:val="007C59E7"/>
    <w:rsid w:val="007C5A08"/>
    <w:rsid w:val="007C5BA9"/>
    <w:rsid w:val="007C62AC"/>
    <w:rsid w:val="007C667A"/>
    <w:rsid w:val="007C66B1"/>
    <w:rsid w:val="007C66D5"/>
    <w:rsid w:val="007C6A89"/>
    <w:rsid w:val="007C6D50"/>
    <w:rsid w:val="007C6EA7"/>
    <w:rsid w:val="007C6F2E"/>
    <w:rsid w:val="007C72BC"/>
    <w:rsid w:val="007C73CF"/>
    <w:rsid w:val="007C764E"/>
    <w:rsid w:val="007C77C5"/>
    <w:rsid w:val="007C7E37"/>
    <w:rsid w:val="007C7E5C"/>
    <w:rsid w:val="007C7EAD"/>
    <w:rsid w:val="007D00F9"/>
    <w:rsid w:val="007D01AF"/>
    <w:rsid w:val="007D044C"/>
    <w:rsid w:val="007D10C8"/>
    <w:rsid w:val="007D1269"/>
    <w:rsid w:val="007D12CD"/>
    <w:rsid w:val="007D1406"/>
    <w:rsid w:val="007D1A25"/>
    <w:rsid w:val="007D1D3B"/>
    <w:rsid w:val="007D1DF0"/>
    <w:rsid w:val="007D20B0"/>
    <w:rsid w:val="007D20FF"/>
    <w:rsid w:val="007D24CF"/>
    <w:rsid w:val="007D26A6"/>
    <w:rsid w:val="007D2A15"/>
    <w:rsid w:val="007D3165"/>
    <w:rsid w:val="007D32B3"/>
    <w:rsid w:val="007D350B"/>
    <w:rsid w:val="007D3560"/>
    <w:rsid w:val="007D3762"/>
    <w:rsid w:val="007D3DF2"/>
    <w:rsid w:val="007D3EAE"/>
    <w:rsid w:val="007D3EE7"/>
    <w:rsid w:val="007D3FC1"/>
    <w:rsid w:val="007D4068"/>
    <w:rsid w:val="007D4284"/>
    <w:rsid w:val="007D4621"/>
    <w:rsid w:val="007D4695"/>
    <w:rsid w:val="007D47A8"/>
    <w:rsid w:val="007D4982"/>
    <w:rsid w:val="007D4D87"/>
    <w:rsid w:val="007D4E55"/>
    <w:rsid w:val="007D5696"/>
    <w:rsid w:val="007D5787"/>
    <w:rsid w:val="007D5960"/>
    <w:rsid w:val="007D5A97"/>
    <w:rsid w:val="007D5F07"/>
    <w:rsid w:val="007D6002"/>
    <w:rsid w:val="007D606A"/>
    <w:rsid w:val="007D659B"/>
    <w:rsid w:val="007D65F6"/>
    <w:rsid w:val="007D6B2E"/>
    <w:rsid w:val="007D6BBE"/>
    <w:rsid w:val="007D6C0C"/>
    <w:rsid w:val="007D731C"/>
    <w:rsid w:val="007D7859"/>
    <w:rsid w:val="007D7882"/>
    <w:rsid w:val="007D79FC"/>
    <w:rsid w:val="007D7A1B"/>
    <w:rsid w:val="007D7C3C"/>
    <w:rsid w:val="007D7D31"/>
    <w:rsid w:val="007D7F35"/>
    <w:rsid w:val="007E025A"/>
    <w:rsid w:val="007E0521"/>
    <w:rsid w:val="007E0C07"/>
    <w:rsid w:val="007E0D25"/>
    <w:rsid w:val="007E114E"/>
    <w:rsid w:val="007E15F0"/>
    <w:rsid w:val="007E17FA"/>
    <w:rsid w:val="007E1CE8"/>
    <w:rsid w:val="007E2892"/>
    <w:rsid w:val="007E2916"/>
    <w:rsid w:val="007E2B82"/>
    <w:rsid w:val="007E2DD3"/>
    <w:rsid w:val="007E2F90"/>
    <w:rsid w:val="007E3317"/>
    <w:rsid w:val="007E33B9"/>
    <w:rsid w:val="007E3460"/>
    <w:rsid w:val="007E3588"/>
    <w:rsid w:val="007E36ED"/>
    <w:rsid w:val="007E378E"/>
    <w:rsid w:val="007E39B4"/>
    <w:rsid w:val="007E42E6"/>
    <w:rsid w:val="007E46BF"/>
    <w:rsid w:val="007E487F"/>
    <w:rsid w:val="007E4A0D"/>
    <w:rsid w:val="007E4B2D"/>
    <w:rsid w:val="007E4C3F"/>
    <w:rsid w:val="007E5388"/>
    <w:rsid w:val="007E53E1"/>
    <w:rsid w:val="007E54E0"/>
    <w:rsid w:val="007E587D"/>
    <w:rsid w:val="007E58C0"/>
    <w:rsid w:val="007E5A66"/>
    <w:rsid w:val="007E5CE8"/>
    <w:rsid w:val="007E6447"/>
    <w:rsid w:val="007E6518"/>
    <w:rsid w:val="007E6757"/>
    <w:rsid w:val="007E68C0"/>
    <w:rsid w:val="007E6D75"/>
    <w:rsid w:val="007E6D9B"/>
    <w:rsid w:val="007E6DE7"/>
    <w:rsid w:val="007E7124"/>
    <w:rsid w:val="007E71E9"/>
    <w:rsid w:val="007E71EC"/>
    <w:rsid w:val="007E74E3"/>
    <w:rsid w:val="007E76CB"/>
    <w:rsid w:val="007E7721"/>
    <w:rsid w:val="007E7B1C"/>
    <w:rsid w:val="007E7BD9"/>
    <w:rsid w:val="007E7C5C"/>
    <w:rsid w:val="007E7CB2"/>
    <w:rsid w:val="007E7CF2"/>
    <w:rsid w:val="007F02B2"/>
    <w:rsid w:val="007F02C7"/>
    <w:rsid w:val="007F032B"/>
    <w:rsid w:val="007F051D"/>
    <w:rsid w:val="007F0CBE"/>
    <w:rsid w:val="007F0D5C"/>
    <w:rsid w:val="007F10CC"/>
    <w:rsid w:val="007F12E0"/>
    <w:rsid w:val="007F160D"/>
    <w:rsid w:val="007F1873"/>
    <w:rsid w:val="007F1A50"/>
    <w:rsid w:val="007F1BFB"/>
    <w:rsid w:val="007F1D06"/>
    <w:rsid w:val="007F1E88"/>
    <w:rsid w:val="007F1ECD"/>
    <w:rsid w:val="007F1F46"/>
    <w:rsid w:val="007F222C"/>
    <w:rsid w:val="007F228C"/>
    <w:rsid w:val="007F2C72"/>
    <w:rsid w:val="007F2EB2"/>
    <w:rsid w:val="007F2F7E"/>
    <w:rsid w:val="007F3034"/>
    <w:rsid w:val="007F344C"/>
    <w:rsid w:val="007F3745"/>
    <w:rsid w:val="007F38D6"/>
    <w:rsid w:val="007F3CCC"/>
    <w:rsid w:val="007F42B9"/>
    <w:rsid w:val="007F4370"/>
    <w:rsid w:val="007F4A43"/>
    <w:rsid w:val="007F5064"/>
    <w:rsid w:val="007F50B9"/>
    <w:rsid w:val="007F5287"/>
    <w:rsid w:val="007F5799"/>
    <w:rsid w:val="007F58C9"/>
    <w:rsid w:val="007F5A11"/>
    <w:rsid w:val="007F5BF1"/>
    <w:rsid w:val="007F62F3"/>
    <w:rsid w:val="007F66F4"/>
    <w:rsid w:val="007F68DC"/>
    <w:rsid w:val="007F68DF"/>
    <w:rsid w:val="007F6B28"/>
    <w:rsid w:val="007F6D6C"/>
    <w:rsid w:val="007F70B9"/>
    <w:rsid w:val="007F7137"/>
    <w:rsid w:val="007F78F0"/>
    <w:rsid w:val="007F7A75"/>
    <w:rsid w:val="007F7C48"/>
    <w:rsid w:val="007F7CC1"/>
    <w:rsid w:val="007F7ECC"/>
    <w:rsid w:val="0080006E"/>
    <w:rsid w:val="00800462"/>
    <w:rsid w:val="0080048C"/>
    <w:rsid w:val="00800552"/>
    <w:rsid w:val="00800B8A"/>
    <w:rsid w:val="00800E62"/>
    <w:rsid w:val="00800F35"/>
    <w:rsid w:val="008010D7"/>
    <w:rsid w:val="00801100"/>
    <w:rsid w:val="0080128D"/>
    <w:rsid w:val="008012E5"/>
    <w:rsid w:val="0080147D"/>
    <w:rsid w:val="008016CA"/>
    <w:rsid w:val="008017B6"/>
    <w:rsid w:val="00801DB0"/>
    <w:rsid w:val="00801E12"/>
    <w:rsid w:val="00801F0E"/>
    <w:rsid w:val="008026E9"/>
    <w:rsid w:val="00802A65"/>
    <w:rsid w:val="00802DF1"/>
    <w:rsid w:val="00802E0A"/>
    <w:rsid w:val="00802FC1"/>
    <w:rsid w:val="00803349"/>
    <w:rsid w:val="00803432"/>
    <w:rsid w:val="00803443"/>
    <w:rsid w:val="0080350B"/>
    <w:rsid w:val="008036C0"/>
    <w:rsid w:val="00803743"/>
    <w:rsid w:val="00804131"/>
    <w:rsid w:val="00804144"/>
    <w:rsid w:val="008041DE"/>
    <w:rsid w:val="0080450E"/>
    <w:rsid w:val="00804530"/>
    <w:rsid w:val="008048F5"/>
    <w:rsid w:val="00804A6F"/>
    <w:rsid w:val="00804B1E"/>
    <w:rsid w:val="00804D52"/>
    <w:rsid w:val="00804DF7"/>
    <w:rsid w:val="00805159"/>
    <w:rsid w:val="0080516A"/>
    <w:rsid w:val="00805930"/>
    <w:rsid w:val="00805BAC"/>
    <w:rsid w:val="00805D9C"/>
    <w:rsid w:val="008061D6"/>
    <w:rsid w:val="00806347"/>
    <w:rsid w:val="0080646D"/>
    <w:rsid w:val="0080680D"/>
    <w:rsid w:val="00806B17"/>
    <w:rsid w:val="00807138"/>
    <w:rsid w:val="0080772B"/>
    <w:rsid w:val="0080786A"/>
    <w:rsid w:val="00807AA3"/>
    <w:rsid w:val="00807F10"/>
    <w:rsid w:val="00810094"/>
    <w:rsid w:val="00810139"/>
    <w:rsid w:val="00810287"/>
    <w:rsid w:val="00810552"/>
    <w:rsid w:val="008105B3"/>
    <w:rsid w:val="0081086E"/>
    <w:rsid w:val="008111CF"/>
    <w:rsid w:val="00811524"/>
    <w:rsid w:val="00811A42"/>
    <w:rsid w:val="00811CEA"/>
    <w:rsid w:val="00811D79"/>
    <w:rsid w:val="00812338"/>
    <w:rsid w:val="008127F9"/>
    <w:rsid w:val="00812A21"/>
    <w:rsid w:val="00812A4B"/>
    <w:rsid w:val="00812B80"/>
    <w:rsid w:val="00812C05"/>
    <w:rsid w:val="00812DF0"/>
    <w:rsid w:val="00812FA4"/>
    <w:rsid w:val="008130B3"/>
    <w:rsid w:val="008130C4"/>
    <w:rsid w:val="0081322A"/>
    <w:rsid w:val="0081367C"/>
    <w:rsid w:val="008137B6"/>
    <w:rsid w:val="00813A02"/>
    <w:rsid w:val="00813A17"/>
    <w:rsid w:val="00813B8D"/>
    <w:rsid w:val="00813C26"/>
    <w:rsid w:val="00813DC9"/>
    <w:rsid w:val="0081423C"/>
    <w:rsid w:val="008142AA"/>
    <w:rsid w:val="00814693"/>
    <w:rsid w:val="00814746"/>
    <w:rsid w:val="00814894"/>
    <w:rsid w:val="008148C2"/>
    <w:rsid w:val="00814D2B"/>
    <w:rsid w:val="00814EF2"/>
    <w:rsid w:val="00814F84"/>
    <w:rsid w:val="00814FFC"/>
    <w:rsid w:val="00815055"/>
    <w:rsid w:val="008151CC"/>
    <w:rsid w:val="0081521F"/>
    <w:rsid w:val="008153C9"/>
    <w:rsid w:val="00815617"/>
    <w:rsid w:val="00815666"/>
    <w:rsid w:val="00815E12"/>
    <w:rsid w:val="008162AB"/>
    <w:rsid w:val="0081636A"/>
    <w:rsid w:val="008164EB"/>
    <w:rsid w:val="008169C0"/>
    <w:rsid w:val="008169E7"/>
    <w:rsid w:val="00816E7C"/>
    <w:rsid w:val="00817116"/>
    <w:rsid w:val="00817279"/>
    <w:rsid w:val="0081766B"/>
    <w:rsid w:val="00817A08"/>
    <w:rsid w:val="00817A68"/>
    <w:rsid w:val="00817D9A"/>
    <w:rsid w:val="00820071"/>
    <w:rsid w:val="0082026B"/>
    <w:rsid w:val="00820281"/>
    <w:rsid w:val="008203C0"/>
    <w:rsid w:val="00820404"/>
    <w:rsid w:val="00820BC4"/>
    <w:rsid w:val="0082130A"/>
    <w:rsid w:val="0082130E"/>
    <w:rsid w:val="00821355"/>
    <w:rsid w:val="00821747"/>
    <w:rsid w:val="0082185D"/>
    <w:rsid w:val="00821B3B"/>
    <w:rsid w:val="00821C6A"/>
    <w:rsid w:val="00821EE3"/>
    <w:rsid w:val="00822048"/>
    <w:rsid w:val="00822157"/>
    <w:rsid w:val="00822285"/>
    <w:rsid w:val="00822494"/>
    <w:rsid w:val="00822518"/>
    <w:rsid w:val="0082253F"/>
    <w:rsid w:val="00822A84"/>
    <w:rsid w:val="00822C58"/>
    <w:rsid w:val="00822CC4"/>
    <w:rsid w:val="00822D96"/>
    <w:rsid w:val="008233CE"/>
    <w:rsid w:val="0082353F"/>
    <w:rsid w:val="00823AEB"/>
    <w:rsid w:val="00823C34"/>
    <w:rsid w:val="00823C4B"/>
    <w:rsid w:val="00823DE8"/>
    <w:rsid w:val="00823E43"/>
    <w:rsid w:val="00823F22"/>
    <w:rsid w:val="0082402B"/>
    <w:rsid w:val="0082423F"/>
    <w:rsid w:val="008248A3"/>
    <w:rsid w:val="008249A1"/>
    <w:rsid w:val="00824A7F"/>
    <w:rsid w:val="00824CC7"/>
    <w:rsid w:val="00824D1F"/>
    <w:rsid w:val="00824E21"/>
    <w:rsid w:val="00824E6D"/>
    <w:rsid w:val="008252C7"/>
    <w:rsid w:val="008253BF"/>
    <w:rsid w:val="00825933"/>
    <w:rsid w:val="0082604B"/>
    <w:rsid w:val="00826220"/>
    <w:rsid w:val="008264F4"/>
    <w:rsid w:val="008266B6"/>
    <w:rsid w:val="0082670F"/>
    <w:rsid w:val="00826747"/>
    <w:rsid w:val="008267DA"/>
    <w:rsid w:val="00826C83"/>
    <w:rsid w:val="00826D47"/>
    <w:rsid w:val="00826DC5"/>
    <w:rsid w:val="00827368"/>
    <w:rsid w:val="00827AAC"/>
    <w:rsid w:val="00827C83"/>
    <w:rsid w:val="00827D6E"/>
    <w:rsid w:val="00827DC0"/>
    <w:rsid w:val="00827DEF"/>
    <w:rsid w:val="00827F0B"/>
    <w:rsid w:val="00827F65"/>
    <w:rsid w:val="00830040"/>
    <w:rsid w:val="0083010F"/>
    <w:rsid w:val="008302B7"/>
    <w:rsid w:val="00830340"/>
    <w:rsid w:val="008303A5"/>
    <w:rsid w:val="008306DF"/>
    <w:rsid w:val="00830A36"/>
    <w:rsid w:val="00830DFD"/>
    <w:rsid w:val="00830F45"/>
    <w:rsid w:val="0083100F"/>
    <w:rsid w:val="0083115E"/>
    <w:rsid w:val="00831279"/>
    <w:rsid w:val="008313D2"/>
    <w:rsid w:val="00831422"/>
    <w:rsid w:val="00831864"/>
    <w:rsid w:val="00831C2C"/>
    <w:rsid w:val="00831F4B"/>
    <w:rsid w:val="00831FC2"/>
    <w:rsid w:val="0083236B"/>
    <w:rsid w:val="0083256E"/>
    <w:rsid w:val="0083269B"/>
    <w:rsid w:val="008327A7"/>
    <w:rsid w:val="008328E3"/>
    <w:rsid w:val="00832941"/>
    <w:rsid w:val="00832B42"/>
    <w:rsid w:val="00832B75"/>
    <w:rsid w:val="00832BB0"/>
    <w:rsid w:val="00832C45"/>
    <w:rsid w:val="00832D79"/>
    <w:rsid w:val="00832F98"/>
    <w:rsid w:val="008330FE"/>
    <w:rsid w:val="008331A3"/>
    <w:rsid w:val="008333AF"/>
    <w:rsid w:val="0083348B"/>
    <w:rsid w:val="008337D2"/>
    <w:rsid w:val="00833B23"/>
    <w:rsid w:val="00833DDB"/>
    <w:rsid w:val="00833E00"/>
    <w:rsid w:val="00833E6F"/>
    <w:rsid w:val="00833F3F"/>
    <w:rsid w:val="0083438F"/>
    <w:rsid w:val="00834608"/>
    <w:rsid w:val="008346F0"/>
    <w:rsid w:val="008349B6"/>
    <w:rsid w:val="00834C54"/>
    <w:rsid w:val="00834D59"/>
    <w:rsid w:val="00834FD1"/>
    <w:rsid w:val="00835002"/>
    <w:rsid w:val="0083508E"/>
    <w:rsid w:val="0083582D"/>
    <w:rsid w:val="00835B07"/>
    <w:rsid w:val="00835CA0"/>
    <w:rsid w:val="00835F6A"/>
    <w:rsid w:val="0083608A"/>
    <w:rsid w:val="0083639B"/>
    <w:rsid w:val="00836D5D"/>
    <w:rsid w:val="00836D98"/>
    <w:rsid w:val="00837435"/>
    <w:rsid w:val="008375FD"/>
    <w:rsid w:val="00837697"/>
    <w:rsid w:val="0083789E"/>
    <w:rsid w:val="0083793B"/>
    <w:rsid w:val="008379CF"/>
    <w:rsid w:val="00837AA4"/>
    <w:rsid w:val="00837FC6"/>
    <w:rsid w:val="00840148"/>
    <w:rsid w:val="00840A83"/>
    <w:rsid w:val="00840CA5"/>
    <w:rsid w:val="00840DDF"/>
    <w:rsid w:val="00840E48"/>
    <w:rsid w:val="00841533"/>
    <w:rsid w:val="00841A61"/>
    <w:rsid w:val="00841B13"/>
    <w:rsid w:val="00841E92"/>
    <w:rsid w:val="00842396"/>
    <w:rsid w:val="0084281F"/>
    <w:rsid w:val="00842A71"/>
    <w:rsid w:val="00842AB6"/>
    <w:rsid w:val="00842E09"/>
    <w:rsid w:val="00843016"/>
    <w:rsid w:val="00843074"/>
    <w:rsid w:val="00843577"/>
    <w:rsid w:val="00843E6F"/>
    <w:rsid w:val="008441CE"/>
    <w:rsid w:val="008443E7"/>
    <w:rsid w:val="00844483"/>
    <w:rsid w:val="00844746"/>
    <w:rsid w:val="0084485D"/>
    <w:rsid w:val="00844890"/>
    <w:rsid w:val="00844A90"/>
    <w:rsid w:val="00844E7A"/>
    <w:rsid w:val="00844F83"/>
    <w:rsid w:val="0084524A"/>
    <w:rsid w:val="008453EF"/>
    <w:rsid w:val="00845413"/>
    <w:rsid w:val="00845487"/>
    <w:rsid w:val="00845499"/>
    <w:rsid w:val="008456CE"/>
    <w:rsid w:val="00845881"/>
    <w:rsid w:val="008460D6"/>
    <w:rsid w:val="0084630E"/>
    <w:rsid w:val="00846632"/>
    <w:rsid w:val="00846828"/>
    <w:rsid w:val="0084690D"/>
    <w:rsid w:val="00846A14"/>
    <w:rsid w:val="00846C00"/>
    <w:rsid w:val="00846E05"/>
    <w:rsid w:val="00846E4A"/>
    <w:rsid w:val="008477B7"/>
    <w:rsid w:val="00847C2B"/>
    <w:rsid w:val="00850128"/>
    <w:rsid w:val="008503D0"/>
    <w:rsid w:val="00850441"/>
    <w:rsid w:val="00850581"/>
    <w:rsid w:val="008507F7"/>
    <w:rsid w:val="00850832"/>
    <w:rsid w:val="00851046"/>
    <w:rsid w:val="00851100"/>
    <w:rsid w:val="00851111"/>
    <w:rsid w:val="0085127C"/>
    <w:rsid w:val="00851654"/>
    <w:rsid w:val="00851AF5"/>
    <w:rsid w:val="00851C4B"/>
    <w:rsid w:val="00851DAA"/>
    <w:rsid w:val="00851E3A"/>
    <w:rsid w:val="00851EA9"/>
    <w:rsid w:val="00851FB5"/>
    <w:rsid w:val="008521DB"/>
    <w:rsid w:val="008522D5"/>
    <w:rsid w:val="0085239B"/>
    <w:rsid w:val="008523B5"/>
    <w:rsid w:val="00852677"/>
    <w:rsid w:val="00852766"/>
    <w:rsid w:val="008527D1"/>
    <w:rsid w:val="0085291A"/>
    <w:rsid w:val="00852A40"/>
    <w:rsid w:val="00852B97"/>
    <w:rsid w:val="00852CB3"/>
    <w:rsid w:val="00852DB9"/>
    <w:rsid w:val="00852EC6"/>
    <w:rsid w:val="00853013"/>
    <w:rsid w:val="008533EE"/>
    <w:rsid w:val="00853554"/>
    <w:rsid w:val="00853559"/>
    <w:rsid w:val="00853BAC"/>
    <w:rsid w:val="0085404C"/>
    <w:rsid w:val="00854332"/>
    <w:rsid w:val="008543AB"/>
    <w:rsid w:val="00854670"/>
    <w:rsid w:val="00854724"/>
    <w:rsid w:val="00854DAA"/>
    <w:rsid w:val="008550CB"/>
    <w:rsid w:val="00855133"/>
    <w:rsid w:val="00855513"/>
    <w:rsid w:val="00855761"/>
    <w:rsid w:val="00855B60"/>
    <w:rsid w:val="00855CF9"/>
    <w:rsid w:val="00855E0B"/>
    <w:rsid w:val="008560B9"/>
    <w:rsid w:val="00856100"/>
    <w:rsid w:val="008561E8"/>
    <w:rsid w:val="00856246"/>
    <w:rsid w:val="008565BC"/>
    <w:rsid w:val="00856A20"/>
    <w:rsid w:val="00856D81"/>
    <w:rsid w:val="00856D9F"/>
    <w:rsid w:val="00856DA9"/>
    <w:rsid w:val="008570DB"/>
    <w:rsid w:val="008570ED"/>
    <w:rsid w:val="0085710F"/>
    <w:rsid w:val="0085718B"/>
    <w:rsid w:val="008576C3"/>
    <w:rsid w:val="008577AD"/>
    <w:rsid w:val="00857897"/>
    <w:rsid w:val="00857A69"/>
    <w:rsid w:val="008603CB"/>
    <w:rsid w:val="00860793"/>
    <w:rsid w:val="008608A3"/>
    <w:rsid w:val="0086092E"/>
    <w:rsid w:val="00860A98"/>
    <w:rsid w:val="00860B4C"/>
    <w:rsid w:val="00860D6C"/>
    <w:rsid w:val="008612B7"/>
    <w:rsid w:val="0086169D"/>
    <w:rsid w:val="00861B3D"/>
    <w:rsid w:val="00861B8D"/>
    <w:rsid w:val="00861CB5"/>
    <w:rsid w:val="00861E7D"/>
    <w:rsid w:val="00861FD1"/>
    <w:rsid w:val="00862196"/>
    <w:rsid w:val="0086219C"/>
    <w:rsid w:val="008622BD"/>
    <w:rsid w:val="008622FB"/>
    <w:rsid w:val="0086242C"/>
    <w:rsid w:val="008626AC"/>
    <w:rsid w:val="008626B9"/>
    <w:rsid w:val="008626BA"/>
    <w:rsid w:val="00862721"/>
    <w:rsid w:val="00862B6A"/>
    <w:rsid w:val="00862B86"/>
    <w:rsid w:val="00862CCE"/>
    <w:rsid w:val="00863216"/>
    <w:rsid w:val="008632DC"/>
    <w:rsid w:val="0086362C"/>
    <w:rsid w:val="00863635"/>
    <w:rsid w:val="0086396F"/>
    <w:rsid w:val="00863A17"/>
    <w:rsid w:val="00863E30"/>
    <w:rsid w:val="0086447F"/>
    <w:rsid w:val="008647DE"/>
    <w:rsid w:val="00864A8A"/>
    <w:rsid w:val="00864B95"/>
    <w:rsid w:val="00864C31"/>
    <w:rsid w:val="00864DEB"/>
    <w:rsid w:val="00864E0D"/>
    <w:rsid w:val="00864E48"/>
    <w:rsid w:val="00864FBB"/>
    <w:rsid w:val="008651F6"/>
    <w:rsid w:val="0086549E"/>
    <w:rsid w:val="008656A2"/>
    <w:rsid w:val="00865737"/>
    <w:rsid w:val="0086588C"/>
    <w:rsid w:val="00865E72"/>
    <w:rsid w:val="00865F33"/>
    <w:rsid w:val="00866142"/>
    <w:rsid w:val="00866277"/>
    <w:rsid w:val="0086631B"/>
    <w:rsid w:val="008665CE"/>
    <w:rsid w:val="0086663F"/>
    <w:rsid w:val="00866788"/>
    <w:rsid w:val="008667AA"/>
    <w:rsid w:val="008667B8"/>
    <w:rsid w:val="008668F6"/>
    <w:rsid w:val="00866A85"/>
    <w:rsid w:val="00866EFA"/>
    <w:rsid w:val="00866F0D"/>
    <w:rsid w:val="00867003"/>
    <w:rsid w:val="00867240"/>
    <w:rsid w:val="00867488"/>
    <w:rsid w:val="00867BCC"/>
    <w:rsid w:val="00867DA2"/>
    <w:rsid w:val="00867DD0"/>
    <w:rsid w:val="00870122"/>
    <w:rsid w:val="00870343"/>
    <w:rsid w:val="0087051A"/>
    <w:rsid w:val="008705D6"/>
    <w:rsid w:val="00870614"/>
    <w:rsid w:val="00870AA0"/>
    <w:rsid w:val="00870AF4"/>
    <w:rsid w:val="00870BFB"/>
    <w:rsid w:val="00870C2B"/>
    <w:rsid w:val="008712E0"/>
    <w:rsid w:val="008713BA"/>
    <w:rsid w:val="00871C23"/>
    <w:rsid w:val="00871C8A"/>
    <w:rsid w:val="00871C8C"/>
    <w:rsid w:val="00871C95"/>
    <w:rsid w:val="00871DDA"/>
    <w:rsid w:val="00872175"/>
    <w:rsid w:val="00872295"/>
    <w:rsid w:val="008723B7"/>
    <w:rsid w:val="008727F1"/>
    <w:rsid w:val="0087291B"/>
    <w:rsid w:val="00872A7C"/>
    <w:rsid w:val="00873620"/>
    <w:rsid w:val="00873BDE"/>
    <w:rsid w:val="00873C67"/>
    <w:rsid w:val="00873EFF"/>
    <w:rsid w:val="00874159"/>
    <w:rsid w:val="008744BE"/>
    <w:rsid w:val="008747A6"/>
    <w:rsid w:val="00874ABD"/>
    <w:rsid w:val="00874B9B"/>
    <w:rsid w:val="00874DB0"/>
    <w:rsid w:val="00874E64"/>
    <w:rsid w:val="0087502B"/>
    <w:rsid w:val="008754F5"/>
    <w:rsid w:val="00875A5A"/>
    <w:rsid w:val="00875A72"/>
    <w:rsid w:val="00875CF3"/>
    <w:rsid w:val="008760EF"/>
    <w:rsid w:val="00876567"/>
    <w:rsid w:val="00876A98"/>
    <w:rsid w:val="00876B8D"/>
    <w:rsid w:val="00876F19"/>
    <w:rsid w:val="00877051"/>
    <w:rsid w:val="0087709C"/>
    <w:rsid w:val="008771EA"/>
    <w:rsid w:val="00877211"/>
    <w:rsid w:val="00877277"/>
    <w:rsid w:val="008773A1"/>
    <w:rsid w:val="00877727"/>
    <w:rsid w:val="0087789F"/>
    <w:rsid w:val="00877A31"/>
    <w:rsid w:val="00877B1A"/>
    <w:rsid w:val="00877E7E"/>
    <w:rsid w:val="00877E9C"/>
    <w:rsid w:val="00877F60"/>
    <w:rsid w:val="008800D3"/>
    <w:rsid w:val="00880159"/>
    <w:rsid w:val="00880C56"/>
    <w:rsid w:val="00880CC0"/>
    <w:rsid w:val="00880D8E"/>
    <w:rsid w:val="00880F1A"/>
    <w:rsid w:val="0088141F"/>
    <w:rsid w:val="008816A8"/>
    <w:rsid w:val="0088176A"/>
    <w:rsid w:val="00881ADB"/>
    <w:rsid w:val="00881B11"/>
    <w:rsid w:val="00881B16"/>
    <w:rsid w:val="00881C85"/>
    <w:rsid w:val="00881C9E"/>
    <w:rsid w:val="00882181"/>
    <w:rsid w:val="0088236F"/>
    <w:rsid w:val="00882748"/>
    <w:rsid w:val="00882D12"/>
    <w:rsid w:val="008831D1"/>
    <w:rsid w:val="00883B56"/>
    <w:rsid w:val="00883CA4"/>
    <w:rsid w:val="00883CF3"/>
    <w:rsid w:val="00883E2B"/>
    <w:rsid w:val="00883EC1"/>
    <w:rsid w:val="008841C5"/>
    <w:rsid w:val="00884EA2"/>
    <w:rsid w:val="008853B4"/>
    <w:rsid w:val="008853C7"/>
    <w:rsid w:val="00885825"/>
    <w:rsid w:val="00885B9B"/>
    <w:rsid w:val="00886030"/>
    <w:rsid w:val="00886501"/>
    <w:rsid w:val="00886531"/>
    <w:rsid w:val="00886837"/>
    <w:rsid w:val="00886CDD"/>
    <w:rsid w:val="00886F36"/>
    <w:rsid w:val="00886F38"/>
    <w:rsid w:val="00886F99"/>
    <w:rsid w:val="00886FF6"/>
    <w:rsid w:val="00887462"/>
    <w:rsid w:val="008875C9"/>
    <w:rsid w:val="008879A9"/>
    <w:rsid w:val="00887A37"/>
    <w:rsid w:val="00887E1E"/>
    <w:rsid w:val="00890348"/>
    <w:rsid w:val="00890C03"/>
    <w:rsid w:val="008914FB"/>
    <w:rsid w:val="008915B6"/>
    <w:rsid w:val="00891D47"/>
    <w:rsid w:val="00891DF9"/>
    <w:rsid w:val="0089214D"/>
    <w:rsid w:val="008922AD"/>
    <w:rsid w:val="008923B8"/>
    <w:rsid w:val="008924B5"/>
    <w:rsid w:val="00892B2D"/>
    <w:rsid w:val="00892D09"/>
    <w:rsid w:val="0089399C"/>
    <w:rsid w:val="00893C0D"/>
    <w:rsid w:val="00893D72"/>
    <w:rsid w:val="00894081"/>
    <w:rsid w:val="00894125"/>
    <w:rsid w:val="00894143"/>
    <w:rsid w:val="008941D5"/>
    <w:rsid w:val="00894328"/>
    <w:rsid w:val="0089435A"/>
    <w:rsid w:val="00894781"/>
    <w:rsid w:val="0089485F"/>
    <w:rsid w:val="00894A50"/>
    <w:rsid w:val="00894E3A"/>
    <w:rsid w:val="00894EBC"/>
    <w:rsid w:val="00895075"/>
    <w:rsid w:val="008950EF"/>
    <w:rsid w:val="008954F9"/>
    <w:rsid w:val="00895653"/>
    <w:rsid w:val="008957DD"/>
    <w:rsid w:val="00896302"/>
    <w:rsid w:val="00896449"/>
    <w:rsid w:val="0089671A"/>
    <w:rsid w:val="0089685C"/>
    <w:rsid w:val="00897194"/>
    <w:rsid w:val="0089724F"/>
    <w:rsid w:val="0089754C"/>
    <w:rsid w:val="0089763E"/>
    <w:rsid w:val="00897B50"/>
    <w:rsid w:val="00897B5E"/>
    <w:rsid w:val="00897BC6"/>
    <w:rsid w:val="00897D24"/>
    <w:rsid w:val="00897D8B"/>
    <w:rsid w:val="00897DC3"/>
    <w:rsid w:val="008A002A"/>
    <w:rsid w:val="008A014D"/>
    <w:rsid w:val="008A02EC"/>
    <w:rsid w:val="008A065A"/>
    <w:rsid w:val="008A0E11"/>
    <w:rsid w:val="008A1046"/>
    <w:rsid w:val="008A12ED"/>
    <w:rsid w:val="008A191D"/>
    <w:rsid w:val="008A1B0F"/>
    <w:rsid w:val="008A1F78"/>
    <w:rsid w:val="008A20DA"/>
    <w:rsid w:val="008A21C0"/>
    <w:rsid w:val="008A2575"/>
    <w:rsid w:val="008A28B1"/>
    <w:rsid w:val="008A298B"/>
    <w:rsid w:val="008A2AAF"/>
    <w:rsid w:val="008A2D0B"/>
    <w:rsid w:val="008A2D18"/>
    <w:rsid w:val="008A2FFE"/>
    <w:rsid w:val="008A3163"/>
    <w:rsid w:val="008A36C1"/>
    <w:rsid w:val="008A3CC4"/>
    <w:rsid w:val="008A3DAF"/>
    <w:rsid w:val="008A3F98"/>
    <w:rsid w:val="008A4019"/>
    <w:rsid w:val="008A436D"/>
    <w:rsid w:val="008A4424"/>
    <w:rsid w:val="008A4A94"/>
    <w:rsid w:val="008A4AB1"/>
    <w:rsid w:val="008A4C4A"/>
    <w:rsid w:val="008A4D27"/>
    <w:rsid w:val="008A5045"/>
    <w:rsid w:val="008A5101"/>
    <w:rsid w:val="008A534C"/>
    <w:rsid w:val="008A5616"/>
    <w:rsid w:val="008A581A"/>
    <w:rsid w:val="008A5FB5"/>
    <w:rsid w:val="008A612D"/>
    <w:rsid w:val="008A6395"/>
    <w:rsid w:val="008A6994"/>
    <w:rsid w:val="008A6B2C"/>
    <w:rsid w:val="008A6B43"/>
    <w:rsid w:val="008A6D58"/>
    <w:rsid w:val="008A6E6E"/>
    <w:rsid w:val="008A71FC"/>
    <w:rsid w:val="008A7329"/>
    <w:rsid w:val="008A7537"/>
    <w:rsid w:val="008A7571"/>
    <w:rsid w:val="008A7583"/>
    <w:rsid w:val="008A7878"/>
    <w:rsid w:val="008A7B80"/>
    <w:rsid w:val="008A7C16"/>
    <w:rsid w:val="008A7CA8"/>
    <w:rsid w:val="008A7EE8"/>
    <w:rsid w:val="008A7FE2"/>
    <w:rsid w:val="008B0164"/>
    <w:rsid w:val="008B0254"/>
    <w:rsid w:val="008B02FD"/>
    <w:rsid w:val="008B044E"/>
    <w:rsid w:val="008B0526"/>
    <w:rsid w:val="008B0C9A"/>
    <w:rsid w:val="008B0DAA"/>
    <w:rsid w:val="008B0F41"/>
    <w:rsid w:val="008B1ABF"/>
    <w:rsid w:val="008B1F63"/>
    <w:rsid w:val="008B20E3"/>
    <w:rsid w:val="008B22E8"/>
    <w:rsid w:val="008B239F"/>
    <w:rsid w:val="008B259C"/>
    <w:rsid w:val="008B261F"/>
    <w:rsid w:val="008B2636"/>
    <w:rsid w:val="008B2A0B"/>
    <w:rsid w:val="008B2B14"/>
    <w:rsid w:val="008B2BEE"/>
    <w:rsid w:val="008B3248"/>
    <w:rsid w:val="008B3309"/>
    <w:rsid w:val="008B33AC"/>
    <w:rsid w:val="008B35CC"/>
    <w:rsid w:val="008B3612"/>
    <w:rsid w:val="008B3745"/>
    <w:rsid w:val="008B3750"/>
    <w:rsid w:val="008B393F"/>
    <w:rsid w:val="008B3A67"/>
    <w:rsid w:val="008B3C5E"/>
    <w:rsid w:val="008B3EB7"/>
    <w:rsid w:val="008B3FC7"/>
    <w:rsid w:val="008B4026"/>
    <w:rsid w:val="008B406E"/>
    <w:rsid w:val="008B4093"/>
    <w:rsid w:val="008B40F2"/>
    <w:rsid w:val="008B5727"/>
    <w:rsid w:val="008B59EA"/>
    <w:rsid w:val="008B5C8F"/>
    <w:rsid w:val="008B5DD6"/>
    <w:rsid w:val="008B5F16"/>
    <w:rsid w:val="008B60BE"/>
    <w:rsid w:val="008B677A"/>
    <w:rsid w:val="008B6B1E"/>
    <w:rsid w:val="008B6BB0"/>
    <w:rsid w:val="008B6C51"/>
    <w:rsid w:val="008B6F7C"/>
    <w:rsid w:val="008B7183"/>
    <w:rsid w:val="008B7451"/>
    <w:rsid w:val="008B7519"/>
    <w:rsid w:val="008B7722"/>
    <w:rsid w:val="008B77CE"/>
    <w:rsid w:val="008B7868"/>
    <w:rsid w:val="008B786F"/>
    <w:rsid w:val="008B7924"/>
    <w:rsid w:val="008B792C"/>
    <w:rsid w:val="008B7EAB"/>
    <w:rsid w:val="008B7F9A"/>
    <w:rsid w:val="008C02BE"/>
    <w:rsid w:val="008C02E7"/>
    <w:rsid w:val="008C0475"/>
    <w:rsid w:val="008C07DA"/>
    <w:rsid w:val="008C0AFA"/>
    <w:rsid w:val="008C0DAB"/>
    <w:rsid w:val="008C0E5C"/>
    <w:rsid w:val="008C14CB"/>
    <w:rsid w:val="008C184B"/>
    <w:rsid w:val="008C18BC"/>
    <w:rsid w:val="008C1A96"/>
    <w:rsid w:val="008C1ADE"/>
    <w:rsid w:val="008C1B45"/>
    <w:rsid w:val="008C1E2C"/>
    <w:rsid w:val="008C235D"/>
    <w:rsid w:val="008C26ED"/>
    <w:rsid w:val="008C28D0"/>
    <w:rsid w:val="008C2BB5"/>
    <w:rsid w:val="008C343F"/>
    <w:rsid w:val="008C36BD"/>
    <w:rsid w:val="008C382D"/>
    <w:rsid w:val="008C39E1"/>
    <w:rsid w:val="008C3B3A"/>
    <w:rsid w:val="008C3C63"/>
    <w:rsid w:val="008C4206"/>
    <w:rsid w:val="008C4375"/>
    <w:rsid w:val="008C43E2"/>
    <w:rsid w:val="008C4581"/>
    <w:rsid w:val="008C489E"/>
    <w:rsid w:val="008C4AF6"/>
    <w:rsid w:val="008C4CF8"/>
    <w:rsid w:val="008C4FA9"/>
    <w:rsid w:val="008C504D"/>
    <w:rsid w:val="008C589A"/>
    <w:rsid w:val="008C59A2"/>
    <w:rsid w:val="008C59DF"/>
    <w:rsid w:val="008C5D76"/>
    <w:rsid w:val="008C5EE3"/>
    <w:rsid w:val="008C65A6"/>
    <w:rsid w:val="008C667F"/>
    <w:rsid w:val="008C6829"/>
    <w:rsid w:val="008C6B32"/>
    <w:rsid w:val="008C6C46"/>
    <w:rsid w:val="008C6E40"/>
    <w:rsid w:val="008C6F52"/>
    <w:rsid w:val="008C7138"/>
    <w:rsid w:val="008C73B9"/>
    <w:rsid w:val="008C7584"/>
    <w:rsid w:val="008C782C"/>
    <w:rsid w:val="008C79A1"/>
    <w:rsid w:val="008C7C57"/>
    <w:rsid w:val="008C7F7D"/>
    <w:rsid w:val="008D0228"/>
    <w:rsid w:val="008D02A3"/>
    <w:rsid w:val="008D0369"/>
    <w:rsid w:val="008D0519"/>
    <w:rsid w:val="008D0691"/>
    <w:rsid w:val="008D06E4"/>
    <w:rsid w:val="008D06FC"/>
    <w:rsid w:val="008D08AB"/>
    <w:rsid w:val="008D0902"/>
    <w:rsid w:val="008D0AB8"/>
    <w:rsid w:val="008D0ED4"/>
    <w:rsid w:val="008D100D"/>
    <w:rsid w:val="008D11A4"/>
    <w:rsid w:val="008D12A1"/>
    <w:rsid w:val="008D1497"/>
    <w:rsid w:val="008D1C1A"/>
    <w:rsid w:val="008D1FB9"/>
    <w:rsid w:val="008D2099"/>
    <w:rsid w:val="008D23EC"/>
    <w:rsid w:val="008D248E"/>
    <w:rsid w:val="008D264B"/>
    <w:rsid w:val="008D296A"/>
    <w:rsid w:val="008D29F2"/>
    <w:rsid w:val="008D32FC"/>
    <w:rsid w:val="008D335A"/>
    <w:rsid w:val="008D348B"/>
    <w:rsid w:val="008D3A3A"/>
    <w:rsid w:val="008D3C94"/>
    <w:rsid w:val="008D3F6B"/>
    <w:rsid w:val="008D3FF3"/>
    <w:rsid w:val="008D4269"/>
    <w:rsid w:val="008D4629"/>
    <w:rsid w:val="008D4658"/>
    <w:rsid w:val="008D46EE"/>
    <w:rsid w:val="008D474E"/>
    <w:rsid w:val="008D4A17"/>
    <w:rsid w:val="008D4E4C"/>
    <w:rsid w:val="008D4E5B"/>
    <w:rsid w:val="008D50E5"/>
    <w:rsid w:val="008D52A9"/>
    <w:rsid w:val="008D5493"/>
    <w:rsid w:val="008D55D1"/>
    <w:rsid w:val="008D560A"/>
    <w:rsid w:val="008D5705"/>
    <w:rsid w:val="008D5889"/>
    <w:rsid w:val="008D635F"/>
    <w:rsid w:val="008D6600"/>
    <w:rsid w:val="008D6782"/>
    <w:rsid w:val="008D6AD1"/>
    <w:rsid w:val="008D6C04"/>
    <w:rsid w:val="008D6D34"/>
    <w:rsid w:val="008D6F2B"/>
    <w:rsid w:val="008D797A"/>
    <w:rsid w:val="008D7CD8"/>
    <w:rsid w:val="008D7EE9"/>
    <w:rsid w:val="008E006C"/>
    <w:rsid w:val="008E00FE"/>
    <w:rsid w:val="008E027A"/>
    <w:rsid w:val="008E049C"/>
    <w:rsid w:val="008E04BA"/>
    <w:rsid w:val="008E04E4"/>
    <w:rsid w:val="008E0629"/>
    <w:rsid w:val="008E07EB"/>
    <w:rsid w:val="008E097D"/>
    <w:rsid w:val="008E0E5D"/>
    <w:rsid w:val="008E0E73"/>
    <w:rsid w:val="008E10DF"/>
    <w:rsid w:val="008E14F9"/>
    <w:rsid w:val="008E1619"/>
    <w:rsid w:val="008E18A2"/>
    <w:rsid w:val="008E1A1B"/>
    <w:rsid w:val="008E1B8E"/>
    <w:rsid w:val="008E1BF5"/>
    <w:rsid w:val="008E1D7A"/>
    <w:rsid w:val="008E1D88"/>
    <w:rsid w:val="008E1FC2"/>
    <w:rsid w:val="008E2136"/>
    <w:rsid w:val="008E230B"/>
    <w:rsid w:val="008E256C"/>
    <w:rsid w:val="008E2659"/>
    <w:rsid w:val="008E27A2"/>
    <w:rsid w:val="008E2BAD"/>
    <w:rsid w:val="008E2BE4"/>
    <w:rsid w:val="008E2CBC"/>
    <w:rsid w:val="008E2D39"/>
    <w:rsid w:val="008E2D87"/>
    <w:rsid w:val="008E2F87"/>
    <w:rsid w:val="008E3191"/>
    <w:rsid w:val="008E345C"/>
    <w:rsid w:val="008E3ADC"/>
    <w:rsid w:val="008E3B97"/>
    <w:rsid w:val="008E3ED5"/>
    <w:rsid w:val="008E41BE"/>
    <w:rsid w:val="008E4254"/>
    <w:rsid w:val="008E456A"/>
    <w:rsid w:val="008E456D"/>
    <w:rsid w:val="008E481C"/>
    <w:rsid w:val="008E49F3"/>
    <w:rsid w:val="008E4A5B"/>
    <w:rsid w:val="008E4FAE"/>
    <w:rsid w:val="008E5047"/>
    <w:rsid w:val="008E5167"/>
    <w:rsid w:val="008E5175"/>
    <w:rsid w:val="008E53A2"/>
    <w:rsid w:val="008E56AC"/>
    <w:rsid w:val="008E5786"/>
    <w:rsid w:val="008E579E"/>
    <w:rsid w:val="008E58F0"/>
    <w:rsid w:val="008E5A91"/>
    <w:rsid w:val="008E5A9C"/>
    <w:rsid w:val="008E5B20"/>
    <w:rsid w:val="008E5B34"/>
    <w:rsid w:val="008E62D2"/>
    <w:rsid w:val="008E64A9"/>
    <w:rsid w:val="008E66B3"/>
    <w:rsid w:val="008E67DD"/>
    <w:rsid w:val="008E68E5"/>
    <w:rsid w:val="008E6B4E"/>
    <w:rsid w:val="008E6B79"/>
    <w:rsid w:val="008E6CE6"/>
    <w:rsid w:val="008E6DC0"/>
    <w:rsid w:val="008E6F65"/>
    <w:rsid w:val="008E7064"/>
    <w:rsid w:val="008E72EE"/>
    <w:rsid w:val="008E7455"/>
    <w:rsid w:val="008E7931"/>
    <w:rsid w:val="008E7970"/>
    <w:rsid w:val="008E7B40"/>
    <w:rsid w:val="008E7C34"/>
    <w:rsid w:val="008E7F4A"/>
    <w:rsid w:val="008F0155"/>
    <w:rsid w:val="008F01BA"/>
    <w:rsid w:val="008F03A7"/>
    <w:rsid w:val="008F0B24"/>
    <w:rsid w:val="008F0B57"/>
    <w:rsid w:val="008F0C36"/>
    <w:rsid w:val="008F0EB2"/>
    <w:rsid w:val="008F1016"/>
    <w:rsid w:val="008F107F"/>
    <w:rsid w:val="008F10B3"/>
    <w:rsid w:val="008F10D9"/>
    <w:rsid w:val="008F10DD"/>
    <w:rsid w:val="008F1959"/>
    <w:rsid w:val="008F1BDA"/>
    <w:rsid w:val="008F1C38"/>
    <w:rsid w:val="008F2056"/>
    <w:rsid w:val="008F20F7"/>
    <w:rsid w:val="008F21B8"/>
    <w:rsid w:val="008F258F"/>
    <w:rsid w:val="008F2842"/>
    <w:rsid w:val="008F2847"/>
    <w:rsid w:val="008F2BB1"/>
    <w:rsid w:val="008F2F50"/>
    <w:rsid w:val="008F2F6F"/>
    <w:rsid w:val="008F2F7D"/>
    <w:rsid w:val="008F328D"/>
    <w:rsid w:val="008F344E"/>
    <w:rsid w:val="008F36E2"/>
    <w:rsid w:val="008F377B"/>
    <w:rsid w:val="008F38CD"/>
    <w:rsid w:val="008F3C4B"/>
    <w:rsid w:val="008F4312"/>
    <w:rsid w:val="008F43F5"/>
    <w:rsid w:val="008F4427"/>
    <w:rsid w:val="008F4823"/>
    <w:rsid w:val="008F4835"/>
    <w:rsid w:val="008F48F6"/>
    <w:rsid w:val="008F4E23"/>
    <w:rsid w:val="008F4FC9"/>
    <w:rsid w:val="008F50A6"/>
    <w:rsid w:val="008F51DA"/>
    <w:rsid w:val="008F52B2"/>
    <w:rsid w:val="008F5369"/>
    <w:rsid w:val="008F56DE"/>
    <w:rsid w:val="008F5BC3"/>
    <w:rsid w:val="008F5D89"/>
    <w:rsid w:val="008F5E4C"/>
    <w:rsid w:val="008F5F0C"/>
    <w:rsid w:val="008F5FD8"/>
    <w:rsid w:val="008F61A0"/>
    <w:rsid w:val="008F621C"/>
    <w:rsid w:val="008F67B2"/>
    <w:rsid w:val="008F67CC"/>
    <w:rsid w:val="008F68EA"/>
    <w:rsid w:val="008F6AD6"/>
    <w:rsid w:val="008F6BB7"/>
    <w:rsid w:val="008F73F9"/>
    <w:rsid w:val="008F7A03"/>
    <w:rsid w:val="008F7A68"/>
    <w:rsid w:val="00900210"/>
    <w:rsid w:val="00900259"/>
    <w:rsid w:val="0090057A"/>
    <w:rsid w:val="0090070F"/>
    <w:rsid w:val="009007E1"/>
    <w:rsid w:val="009007FC"/>
    <w:rsid w:val="00900ABC"/>
    <w:rsid w:val="00900B47"/>
    <w:rsid w:val="00900C35"/>
    <w:rsid w:val="00900E91"/>
    <w:rsid w:val="00901012"/>
    <w:rsid w:val="009011CE"/>
    <w:rsid w:val="00901544"/>
    <w:rsid w:val="009017A1"/>
    <w:rsid w:val="00901D41"/>
    <w:rsid w:val="00901DF1"/>
    <w:rsid w:val="0090252A"/>
    <w:rsid w:val="0090258C"/>
    <w:rsid w:val="009025AB"/>
    <w:rsid w:val="009027B1"/>
    <w:rsid w:val="00902959"/>
    <w:rsid w:val="00902C00"/>
    <w:rsid w:val="00902CA5"/>
    <w:rsid w:val="00902D4F"/>
    <w:rsid w:val="009030E3"/>
    <w:rsid w:val="009030FC"/>
    <w:rsid w:val="0090349C"/>
    <w:rsid w:val="009034B9"/>
    <w:rsid w:val="009035E3"/>
    <w:rsid w:val="009036BC"/>
    <w:rsid w:val="00903DD4"/>
    <w:rsid w:val="00903FB3"/>
    <w:rsid w:val="00904690"/>
    <w:rsid w:val="009046DE"/>
    <w:rsid w:val="00905336"/>
    <w:rsid w:val="00905E2E"/>
    <w:rsid w:val="009060FF"/>
    <w:rsid w:val="0090611D"/>
    <w:rsid w:val="009061BB"/>
    <w:rsid w:val="009066DC"/>
    <w:rsid w:val="00906DC4"/>
    <w:rsid w:val="00906E22"/>
    <w:rsid w:val="0090707E"/>
    <w:rsid w:val="00907129"/>
    <w:rsid w:val="0090728D"/>
    <w:rsid w:val="00907441"/>
    <w:rsid w:val="00907583"/>
    <w:rsid w:val="0090758F"/>
    <w:rsid w:val="0090766F"/>
    <w:rsid w:val="0090779A"/>
    <w:rsid w:val="009077E2"/>
    <w:rsid w:val="0090780A"/>
    <w:rsid w:val="00907959"/>
    <w:rsid w:val="00907C5A"/>
    <w:rsid w:val="00907D48"/>
    <w:rsid w:val="00907E5B"/>
    <w:rsid w:val="00907ECE"/>
    <w:rsid w:val="009102B4"/>
    <w:rsid w:val="0091052B"/>
    <w:rsid w:val="00910715"/>
    <w:rsid w:val="009107FF"/>
    <w:rsid w:val="00910829"/>
    <w:rsid w:val="0091091D"/>
    <w:rsid w:val="00910A2C"/>
    <w:rsid w:val="00911294"/>
    <w:rsid w:val="00911327"/>
    <w:rsid w:val="00911F7E"/>
    <w:rsid w:val="0091216C"/>
    <w:rsid w:val="009122DB"/>
    <w:rsid w:val="00912462"/>
    <w:rsid w:val="0091253D"/>
    <w:rsid w:val="00912794"/>
    <w:rsid w:val="00912848"/>
    <w:rsid w:val="00912B56"/>
    <w:rsid w:val="00912C10"/>
    <w:rsid w:val="00912C6F"/>
    <w:rsid w:val="00912E6B"/>
    <w:rsid w:val="00913077"/>
    <w:rsid w:val="009133D4"/>
    <w:rsid w:val="009136D9"/>
    <w:rsid w:val="00913836"/>
    <w:rsid w:val="00913F98"/>
    <w:rsid w:val="00914D25"/>
    <w:rsid w:val="00914D48"/>
    <w:rsid w:val="009152F2"/>
    <w:rsid w:val="00915512"/>
    <w:rsid w:val="00915C68"/>
    <w:rsid w:val="00915F0B"/>
    <w:rsid w:val="00916223"/>
    <w:rsid w:val="009163A0"/>
    <w:rsid w:val="009164F9"/>
    <w:rsid w:val="0091657E"/>
    <w:rsid w:val="009165A9"/>
    <w:rsid w:val="0091696F"/>
    <w:rsid w:val="00916AB0"/>
    <w:rsid w:val="00916C99"/>
    <w:rsid w:val="00916EE9"/>
    <w:rsid w:val="00917159"/>
    <w:rsid w:val="0091791D"/>
    <w:rsid w:val="00917C84"/>
    <w:rsid w:val="00917D6B"/>
    <w:rsid w:val="009205E4"/>
    <w:rsid w:val="0092089D"/>
    <w:rsid w:val="00920E6D"/>
    <w:rsid w:val="00920FCF"/>
    <w:rsid w:val="0092119F"/>
    <w:rsid w:val="009213D9"/>
    <w:rsid w:val="009218A2"/>
    <w:rsid w:val="0092191B"/>
    <w:rsid w:val="00921D86"/>
    <w:rsid w:val="00921FE8"/>
    <w:rsid w:val="0092241F"/>
    <w:rsid w:val="009224A3"/>
    <w:rsid w:val="009224B7"/>
    <w:rsid w:val="009225BF"/>
    <w:rsid w:val="0092261B"/>
    <w:rsid w:val="00922716"/>
    <w:rsid w:val="00922E3B"/>
    <w:rsid w:val="00922FD8"/>
    <w:rsid w:val="009230B4"/>
    <w:rsid w:val="00923261"/>
    <w:rsid w:val="009233CC"/>
    <w:rsid w:val="00923509"/>
    <w:rsid w:val="00923551"/>
    <w:rsid w:val="00923633"/>
    <w:rsid w:val="00923651"/>
    <w:rsid w:val="00923886"/>
    <w:rsid w:val="00923C11"/>
    <w:rsid w:val="009240D8"/>
    <w:rsid w:val="009240FF"/>
    <w:rsid w:val="00924502"/>
    <w:rsid w:val="00924AA7"/>
    <w:rsid w:val="00924BBA"/>
    <w:rsid w:val="00924EC9"/>
    <w:rsid w:val="00924EE8"/>
    <w:rsid w:val="0092500A"/>
    <w:rsid w:val="0092518C"/>
    <w:rsid w:val="0092523D"/>
    <w:rsid w:val="00925368"/>
    <w:rsid w:val="0092571D"/>
    <w:rsid w:val="0092586A"/>
    <w:rsid w:val="009259B7"/>
    <w:rsid w:val="00925E64"/>
    <w:rsid w:val="00925EF6"/>
    <w:rsid w:val="00925F7F"/>
    <w:rsid w:val="009260FB"/>
    <w:rsid w:val="00926354"/>
    <w:rsid w:val="009264CA"/>
    <w:rsid w:val="0092658C"/>
    <w:rsid w:val="00926F34"/>
    <w:rsid w:val="00927038"/>
    <w:rsid w:val="00927356"/>
    <w:rsid w:val="0092785A"/>
    <w:rsid w:val="0092789F"/>
    <w:rsid w:val="00927A08"/>
    <w:rsid w:val="00927F26"/>
    <w:rsid w:val="00927FCB"/>
    <w:rsid w:val="009301CD"/>
    <w:rsid w:val="0093022F"/>
    <w:rsid w:val="009303C3"/>
    <w:rsid w:val="009303C8"/>
    <w:rsid w:val="0093066B"/>
    <w:rsid w:val="0093069F"/>
    <w:rsid w:val="00930745"/>
    <w:rsid w:val="00930812"/>
    <w:rsid w:val="00930948"/>
    <w:rsid w:val="00930A39"/>
    <w:rsid w:val="00930A74"/>
    <w:rsid w:val="00930B0E"/>
    <w:rsid w:val="00930E1C"/>
    <w:rsid w:val="00930EA1"/>
    <w:rsid w:val="00931050"/>
    <w:rsid w:val="009310EB"/>
    <w:rsid w:val="00931112"/>
    <w:rsid w:val="00931338"/>
    <w:rsid w:val="009316A4"/>
    <w:rsid w:val="0093176E"/>
    <w:rsid w:val="00931852"/>
    <w:rsid w:val="00931A22"/>
    <w:rsid w:val="00931B5E"/>
    <w:rsid w:val="00931D53"/>
    <w:rsid w:val="00931D74"/>
    <w:rsid w:val="00931EA3"/>
    <w:rsid w:val="00932100"/>
    <w:rsid w:val="00932509"/>
    <w:rsid w:val="00932929"/>
    <w:rsid w:val="00932983"/>
    <w:rsid w:val="009329B0"/>
    <w:rsid w:val="009329B2"/>
    <w:rsid w:val="00932D04"/>
    <w:rsid w:val="009332E2"/>
    <w:rsid w:val="00933817"/>
    <w:rsid w:val="00933A35"/>
    <w:rsid w:val="00933C03"/>
    <w:rsid w:val="00933FE3"/>
    <w:rsid w:val="0093438E"/>
    <w:rsid w:val="0093441F"/>
    <w:rsid w:val="00934B9E"/>
    <w:rsid w:val="00934EAC"/>
    <w:rsid w:val="009350E4"/>
    <w:rsid w:val="0093513C"/>
    <w:rsid w:val="009354E5"/>
    <w:rsid w:val="00935708"/>
    <w:rsid w:val="00935753"/>
    <w:rsid w:val="009359DF"/>
    <w:rsid w:val="00935A11"/>
    <w:rsid w:val="00935A5A"/>
    <w:rsid w:val="0093603E"/>
    <w:rsid w:val="009360D7"/>
    <w:rsid w:val="009362C9"/>
    <w:rsid w:val="00936956"/>
    <w:rsid w:val="00937184"/>
    <w:rsid w:val="0093739C"/>
    <w:rsid w:val="0093743C"/>
    <w:rsid w:val="00937498"/>
    <w:rsid w:val="00937509"/>
    <w:rsid w:val="0093753F"/>
    <w:rsid w:val="0093775E"/>
    <w:rsid w:val="00937935"/>
    <w:rsid w:val="009379F7"/>
    <w:rsid w:val="00937E54"/>
    <w:rsid w:val="009404D7"/>
    <w:rsid w:val="009405A4"/>
    <w:rsid w:val="009407AA"/>
    <w:rsid w:val="00940A8E"/>
    <w:rsid w:val="00940AD1"/>
    <w:rsid w:val="00940E50"/>
    <w:rsid w:val="00941026"/>
    <w:rsid w:val="00941536"/>
    <w:rsid w:val="00941754"/>
    <w:rsid w:val="00941769"/>
    <w:rsid w:val="00941AFC"/>
    <w:rsid w:val="00941B1A"/>
    <w:rsid w:val="00941D13"/>
    <w:rsid w:val="00942058"/>
    <w:rsid w:val="0094218A"/>
    <w:rsid w:val="00942226"/>
    <w:rsid w:val="00942387"/>
    <w:rsid w:val="00942A1E"/>
    <w:rsid w:val="00942CD8"/>
    <w:rsid w:val="0094343A"/>
    <w:rsid w:val="00943607"/>
    <w:rsid w:val="0094361F"/>
    <w:rsid w:val="0094380C"/>
    <w:rsid w:val="0094385A"/>
    <w:rsid w:val="009438FE"/>
    <w:rsid w:val="00943AD9"/>
    <w:rsid w:val="00943AE3"/>
    <w:rsid w:val="00944236"/>
    <w:rsid w:val="00944614"/>
    <w:rsid w:val="00944959"/>
    <w:rsid w:val="00944EAE"/>
    <w:rsid w:val="00945052"/>
    <w:rsid w:val="0094505E"/>
    <w:rsid w:val="00945147"/>
    <w:rsid w:val="0094517F"/>
    <w:rsid w:val="009451A4"/>
    <w:rsid w:val="0094553C"/>
    <w:rsid w:val="00945613"/>
    <w:rsid w:val="009457B0"/>
    <w:rsid w:val="00945D86"/>
    <w:rsid w:val="00945EEB"/>
    <w:rsid w:val="00945EF3"/>
    <w:rsid w:val="00946019"/>
    <w:rsid w:val="0094626F"/>
    <w:rsid w:val="009462D2"/>
    <w:rsid w:val="0094669B"/>
    <w:rsid w:val="0094692B"/>
    <w:rsid w:val="00946A1D"/>
    <w:rsid w:val="00946A73"/>
    <w:rsid w:val="00946E28"/>
    <w:rsid w:val="00947087"/>
    <w:rsid w:val="009476AB"/>
    <w:rsid w:val="00947742"/>
    <w:rsid w:val="009479A6"/>
    <w:rsid w:val="00947C23"/>
    <w:rsid w:val="00947D51"/>
    <w:rsid w:val="00947E56"/>
    <w:rsid w:val="00950083"/>
    <w:rsid w:val="00950724"/>
    <w:rsid w:val="00950A20"/>
    <w:rsid w:val="00950CD5"/>
    <w:rsid w:val="00950D16"/>
    <w:rsid w:val="00951039"/>
    <w:rsid w:val="00951049"/>
    <w:rsid w:val="0095118D"/>
    <w:rsid w:val="0095144C"/>
    <w:rsid w:val="00951484"/>
    <w:rsid w:val="009515F4"/>
    <w:rsid w:val="0095165B"/>
    <w:rsid w:val="009517AE"/>
    <w:rsid w:val="00951B75"/>
    <w:rsid w:val="00951BD0"/>
    <w:rsid w:val="009523EA"/>
    <w:rsid w:val="00952548"/>
    <w:rsid w:val="00952844"/>
    <w:rsid w:val="00952DC1"/>
    <w:rsid w:val="00953103"/>
    <w:rsid w:val="009531B5"/>
    <w:rsid w:val="00953476"/>
    <w:rsid w:val="009536FF"/>
    <w:rsid w:val="00953825"/>
    <w:rsid w:val="009538C2"/>
    <w:rsid w:val="00953D79"/>
    <w:rsid w:val="00953D91"/>
    <w:rsid w:val="00953E0B"/>
    <w:rsid w:val="00953FF7"/>
    <w:rsid w:val="00954003"/>
    <w:rsid w:val="00954148"/>
    <w:rsid w:val="009542ED"/>
    <w:rsid w:val="0095434A"/>
    <w:rsid w:val="009546AD"/>
    <w:rsid w:val="009546FF"/>
    <w:rsid w:val="00954939"/>
    <w:rsid w:val="00954963"/>
    <w:rsid w:val="00954C5F"/>
    <w:rsid w:val="00954D40"/>
    <w:rsid w:val="009553DD"/>
    <w:rsid w:val="009553EC"/>
    <w:rsid w:val="00955449"/>
    <w:rsid w:val="0095554D"/>
    <w:rsid w:val="00955586"/>
    <w:rsid w:val="00955778"/>
    <w:rsid w:val="00955943"/>
    <w:rsid w:val="009559B8"/>
    <w:rsid w:val="00955AC4"/>
    <w:rsid w:val="00955DF3"/>
    <w:rsid w:val="0095602E"/>
    <w:rsid w:val="0095641B"/>
    <w:rsid w:val="009564F4"/>
    <w:rsid w:val="0095654C"/>
    <w:rsid w:val="0095686C"/>
    <w:rsid w:val="009568EE"/>
    <w:rsid w:val="009569F3"/>
    <w:rsid w:val="00956C4E"/>
    <w:rsid w:val="00956EAB"/>
    <w:rsid w:val="00957348"/>
    <w:rsid w:val="0095751D"/>
    <w:rsid w:val="00957569"/>
    <w:rsid w:val="00957A77"/>
    <w:rsid w:val="00957D5D"/>
    <w:rsid w:val="0096002A"/>
    <w:rsid w:val="009608B3"/>
    <w:rsid w:val="00960A9E"/>
    <w:rsid w:val="00961043"/>
    <w:rsid w:val="00961394"/>
    <w:rsid w:val="00961623"/>
    <w:rsid w:val="0096181D"/>
    <w:rsid w:val="009618C3"/>
    <w:rsid w:val="009619B3"/>
    <w:rsid w:val="00961F98"/>
    <w:rsid w:val="00961F9F"/>
    <w:rsid w:val="00961FF0"/>
    <w:rsid w:val="009620D0"/>
    <w:rsid w:val="0096231D"/>
    <w:rsid w:val="00962323"/>
    <w:rsid w:val="009626AC"/>
    <w:rsid w:val="00962860"/>
    <w:rsid w:val="0096297B"/>
    <w:rsid w:val="00962BA0"/>
    <w:rsid w:val="00962BE4"/>
    <w:rsid w:val="00962C57"/>
    <w:rsid w:val="00963002"/>
    <w:rsid w:val="00963341"/>
    <w:rsid w:val="009633D7"/>
    <w:rsid w:val="009637F5"/>
    <w:rsid w:val="00963810"/>
    <w:rsid w:val="00963ACD"/>
    <w:rsid w:val="00963B03"/>
    <w:rsid w:val="00963B85"/>
    <w:rsid w:val="00964632"/>
    <w:rsid w:val="00964696"/>
    <w:rsid w:val="00964723"/>
    <w:rsid w:val="00964A1C"/>
    <w:rsid w:val="00964A79"/>
    <w:rsid w:val="00964C14"/>
    <w:rsid w:val="00964CF1"/>
    <w:rsid w:val="00964F10"/>
    <w:rsid w:val="0096508E"/>
    <w:rsid w:val="009652D5"/>
    <w:rsid w:val="00965527"/>
    <w:rsid w:val="009659A8"/>
    <w:rsid w:val="00965A32"/>
    <w:rsid w:val="00966901"/>
    <w:rsid w:val="00966C16"/>
    <w:rsid w:val="00966D01"/>
    <w:rsid w:val="009673BF"/>
    <w:rsid w:val="0096761A"/>
    <w:rsid w:val="009677F8"/>
    <w:rsid w:val="00967C9D"/>
    <w:rsid w:val="00967D02"/>
    <w:rsid w:val="009702FA"/>
    <w:rsid w:val="0097036B"/>
    <w:rsid w:val="00970423"/>
    <w:rsid w:val="0097054C"/>
    <w:rsid w:val="009705FE"/>
    <w:rsid w:val="00970910"/>
    <w:rsid w:val="00970B8D"/>
    <w:rsid w:val="00970C35"/>
    <w:rsid w:val="00970C46"/>
    <w:rsid w:val="00970D1A"/>
    <w:rsid w:val="00970E55"/>
    <w:rsid w:val="00970EF1"/>
    <w:rsid w:val="00970F09"/>
    <w:rsid w:val="00970F7A"/>
    <w:rsid w:val="00971146"/>
    <w:rsid w:val="0097118D"/>
    <w:rsid w:val="009713B7"/>
    <w:rsid w:val="009713E2"/>
    <w:rsid w:val="009713EB"/>
    <w:rsid w:val="00971781"/>
    <w:rsid w:val="009717F0"/>
    <w:rsid w:val="0097197B"/>
    <w:rsid w:val="0097198B"/>
    <w:rsid w:val="00971AA1"/>
    <w:rsid w:val="00971C3A"/>
    <w:rsid w:val="00971DC0"/>
    <w:rsid w:val="00972278"/>
    <w:rsid w:val="009723EC"/>
    <w:rsid w:val="009725F2"/>
    <w:rsid w:val="00972636"/>
    <w:rsid w:val="0097269B"/>
    <w:rsid w:val="00972847"/>
    <w:rsid w:val="00972916"/>
    <w:rsid w:val="00972995"/>
    <w:rsid w:val="00972A9A"/>
    <w:rsid w:val="00972AFF"/>
    <w:rsid w:val="00972B99"/>
    <w:rsid w:val="00972F56"/>
    <w:rsid w:val="0097301F"/>
    <w:rsid w:val="0097315C"/>
    <w:rsid w:val="009733AB"/>
    <w:rsid w:val="009735FB"/>
    <w:rsid w:val="0097374B"/>
    <w:rsid w:val="00973ACE"/>
    <w:rsid w:val="00973C85"/>
    <w:rsid w:val="00973F54"/>
    <w:rsid w:val="0097429B"/>
    <w:rsid w:val="009743B8"/>
    <w:rsid w:val="009746C6"/>
    <w:rsid w:val="00974834"/>
    <w:rsid w:val="009749F7"/>
    <w:rsid w:val="009757B3"/>
    <w:rsid w:val="00975B8C"/>
    <w:rsid w:val="00975CA7"/>
    <w:rsid w:val="00975D61"/>
    <w:rsid w:val="0097600B"/>
    <w:rsid w:val="00976438"/>
    <w:rsid w:val="0097691F"/>
    <w:rsid w:val="00976958"/>
    <w:rsid w:val="009769C3"/>
    <w:rsid w:val="00976B23"/>
    <w:rsid w:val="00976FFD"/>
    <w:rsid w:val="009771D4"/>
    <w:rsid w:val="00977263"/>
    <w:rsid w:val="00977685"/>
    <w:rsid w:val="00977A34"/>
    <w:rsid w:val="00977D75"/>
    <w:rsid w:val="00980653"/>
    <w:rsid w:val="00980910"/>
    <w:rsid w:val="009809AD"/>
    <w:rsid w:val="009809DC"/>
    <w:rsid w:val="009809EC"/>
    <w:rsid w:val="00981126"/>
    <w:rsid w:val="009812E4"/>
    <w:rsid w:val="009815EB"/>
    <w:rsid w:val="00981797"/>
    <w:rsid w:val="0098193C"/>
    <w:rsid w:val="00981B7F"/>
    <w:rsid w:val="00981C05"/>
    <w:rsid w:val="00981E75"/>
    <w:rsid w:val="00981EC7"/>
    <w:rsid w:val="009821F9"/>
    <w:rsid w:val="00982435"/>
    <w:rsid w:val="00982559"/>
    <w:rsid w:val="00982627"/>
    <w:rsid w:val="009826AF"/>
    <w:rsid w:val="00982719"/>
    <w:rsid w:val="00982745"/>
    <w:rsid w:val="00982BC6"/>
    <w:rsid w:val="00982C59"/>
    <w:rsid w:val="0098307E"/>
    <w:rsid w:val="00983096"/>
    <w:rsid w:val="0098338D"/>
    <w:rsid w:val="009838B1"/>
    <w:rsid w:val="00983A07"/>
    <w:rsid w:val="00983A0F"/>
    <w:rsid w:val="00983B77"/>
    <w:rsid w:val="00983C31"/>
    <w:rsid w:val="00983DFB"/>
    <w:rsid w:val="00983E7E"/>
    <w:rsid w:val="00983EF1"/>
    <w:rsid w:val="0098401C"/>
    <w:rsid w:val="009841C1"/>
    <w:rsid w:val="0098461A"/>
    <w:rsid w:val="0098499C"/>
    <w:rsid w:val="00984A1E"/>
    <w:rsid w:val="00984CDC"/>
    <w:rsid w:val="00984E8C"/>
    <w:rsid w:val="00985121"/>
    <w:rsid w:val="0098513A"/>
    <w:rsid w:val="009856EC"/>
    <w:rsid w:val="00985989"/>
    <w:rsid w:val="00985E04"/>
    <w:rsid w:val="00985EA1"/>
    <w:rsid w:val="009861D2"/>
    <w:rsid w:val="00986203"/>
    <w:rsid w:val="009865DA"/>
    <w:rsid w:val="009866A4"/>
    <w:rsid w:val="00986E2E"/>
    <w:rsid w:val="00987008"/>
    <w:rsid w:val="0098716E"/>
    <w:rsid w:val="00987347"/>
    <w:rsid w:val="009874D7"/>
    <w:rsid w:val="0098752E"/>
    <w:rsid w:val="0098765E"/>
    <w:rsid w:val="00987A6D"/>
    <w:rsid w:val="00987AAC"/>
    <w:rsid w:val="00987BAC"/>
    <w:rsid w:val="00987BB1"/>
    <w:rsid w:val="00987C3D"/>
    <w:rsid w:val="00987C50"/>
    <w:rsid w:val="00987F7B"/>
    <w:rsid w:val="00990066"/>
    <w:rsid w:val="00990169"/>
    <w:rsid w:val="009902D3"/>
    <w:rsid w:val="009902F9"/>
    <w:rsid w:val="009905FF"/>
    <w:rsid w:val="00990672"/>
    <w:rsid w:val="00990C48"/>
    <w:rsid w:val="00990CF1"/>
    <w:rsid w:val="00990D40"/>
    <w:rsid w:val="00990F98"/>
    <w:rsid w:val="00991066"/>
    <w:rsid w:val="0099144B"/>
    <w:rsid w:val="009915B8"/>
    <w:rsid w:val="00991675"/>
    <w:rsid w:val="009919BF"/>
    <w:rsid w:val="00992008"/>
    <w:rsid w:val="00992281"/>
    <w:rsid w:val="009922A1"/>
    <w:rsid w:val="0099244D"/>
    <w:rsid w:val="00992839"/>
    <w:rsid w:val="009928FE"/>
    <w:rsid w:val="00992A0D"/>
    <w:rsid w:val="00992B05"/>
    <w:rsid w:val="00992BBD"/>
    <w:rsid w:val="00992BC7"/>
    <w:rsid w:val="00993387"/>
    <w:rsid w:val="00993B5E"/>
    <w:rsid w:val="00993EC9"/>
    <w:rsid w:val="00993F9C"/>
    <w:rsid w:val="00994540"/>
    <w:rsid w:val="0099478E"/>
    <w:rsid w:val="0099499F"/>
    <w:rsid w:val="00994B8D"/>
    <w:rsid w:val="0099513F"/>
    <w:rsid w:val="00995142"/>
    <w:rsid w:val="00995563"/>
    <w:rsid w:val="0099566F"/>
    <w:rsid w:val="00995C08"/>
    <w:rsid w:val="00995D8B"/>
    <w:rsid w:val="00995F67"/>
    <w:rsid w:val="0099606C"/>
    <w:rsid w:val="009961D9"/>
    <w:rsid w:val="00996409"/>
    <w:rsid w:val="00996499"/>
    <w:rsid w:val="009965BC"/>
    <w:rsid w:val="00996750"/>
    <w:rsid w:val="0099699D"/>
    <w:rsid w:val="009969D4"/>
    <w:rsid w:val="00996ACD"/>
    <w:rsid w:val="00996B15"/>
    <w:rsid w:val="00996BB0"/>
    <w:rsid w:val="00996D00"/>
    <w:rsid w:val="00996D57"/>
    <w:rsid w:val="00996DD7"/>
    <w:rsid w:val="0099752F"/>
    <w:rsid w:val="00997AB6"/>
    <w:rsid w:val="00997B48"/>
    <w:rsid w:val="009A016A"/>
    <w:rsid w:val="009A0382"/>
    <w:rsid w:val="009A03DC"/>
    <w:rsid w:val="009A044F"/>
    <w:rsid w:val="009A0481"/>
    <w:rsid w:val="009A058D"/>
    <w:rsid w:val="009A096A"/>
    <w:rsid w:val="009A0FD4"/>
    <w:rsid w:val="009A1683"/>
    <w:rsid w:val="009A16C3"/>
    <w:rsid w:val="009A187C"/>
    <w:rsid w:val="009A2217"/>
    <w:rsid w:val="009A228E"/>
    <w:rsid w:val="009A2368"/>
    <w:rsid w:val="009A2700"/>
    <w:rsid w:val="009A2C92"/>
    <w:rsid w:val="009A3215"/>
    <w:rsid w:val="009A32CF"/>
    <w:rsid w:val="009A34D9"/>
    <w:rsid w:val="009A35F7"/>
    <w:rsid w:val="009A3B5B"/>
    <w:rsid w:val="009A3D6B"/>
    <w:rsid w:val="009A417D"/>
    <w:rsid w:val="009A41A1"/>
    <w:rsid w:val="009A47CE"/>
    <w:rsid w:val="009A48BF"/>
    <w:rsid w:val="009A567A"/>
    <w:rsid w:val="009A5EAA"/>
    <w:rsid w:val="009A652C"/>
    <w:rsid w:val="009A6CF3"/>
    <w:rsid w:val="009A7199"/>
    <w:rsid w:val="009A73C3"/>
    <w:rsid w:val="009A74E4"/>
    <w:rsid w:val="009A76F7"/>
    <w:rsid w:val="009A7999"/>
    <w:rsid w:val="009B0134"/>
    <w:rsid w:val="009B0462"/>
    <w:rsid w:val="009B0655"/>
    <w:rsid w:val="009B0801"/>
    <w:rsid w:val="009B08A0"/>
    <w:rsid w:val="009B0E88"/>
    <w:rsid w:val="009B1284"/>
    <w:rsid w:val="009B128D"/>
    <w:rsid w:val="009B132E"/>
    <w:rsid w:val="009B1A42"/>
    <w:rsid w:val="009B1A48"/>
    <w:rsid w:val="009B1A57"/>
    <w:rsid w:val="009B1C51"/>
    <w:rsid w:val="009B2020"/>
    <w:rsid w:val="009B202B"/>
    <w:rsid w:val="009B22D8"/>
    <w:rsid w:val="009B24F2"/>
    <w:rsid w:val="009B252F"/>
    <w:rsid w:val="009B2785"/>
    <w:rsid w:val="009B2DBA"/>
    <w:rsid w:val="009B2E6E"/>
    <w:rsid w:val="009B3133"/>
    <w:rsid w:val="009B3504"/>
    <w:rsid w:val="009B3575"/>
    <w:rsid w:val="009B366F"/>
    <w:rsid w:val="009B3857"/>
    <w:rsid w:val="009B38BC"/>
    <w:rsid w:val="009B42DD"/>
    <w:rsid w:val="009B43BF"/>
    <w:rsid w:val="009B43EE"/>
    <w:rsid w:val="009B449D"/>
    <w:rsid w:val="009B4693"/>
    <w:rsid w:val="009B470A"/>
    <w:rsid w:val="009B4A2D"/>
    <w:rsid w:val="009B4A90"/>
    <w:rsid w:val="009B540B"/>
    <w:rsid w:val="009B54E0"/>
    <w:rsid w:val="009B56F9"/>
    <w:rsid w:val="009B591D"/>
    <w:rsid w:val="009B5A07"/>
    <w:rsid w:val="009B5CD6"/>
    <w:rsid w:val="009B5FDB"/>
    <w:rsid w:val="009B613D"/>
    <w:rsid w:val="009B624C"/>
    <w:rsid w:val="009B64D1"/>
    <w:rsid w:val="009B6558"/>
    <w:rsid w:val="009B655D"/>
    <w:rsid w:val="009B6884"/>
    <w:rsid w:val="009B6BC6"/>
    <w:rsid w:val="009B6D36"/>
    <w:rsid w:val="009B6EAB"/>
    <w:rsid w:val="009B6F8A"/>
    <w:rsid w:val="009B733F"/>
    <w:rsid w:val="009B74D3"/>
    <w:rsid w:val="009B757A"/>
    <w:rsid w:val="009B786C"/>
    <w:rsid w:val="009B7F4D"/>
    <w:rsid w:val="009C0020"/>
    <w:rsid w:val="009C017E"/>
    <w:rsid w:val="009C0589"/>
    <w:rsid w:val="009C065D"/>
    <w:rsid w:val="009C09C4"/>
    <w:rsid w:val="009C0D78"/>
    <w:rsid w:val="009C0DFB"/>
    <w:rsid w:val="009C1363"/>
    <w:rsid w:val="009C14A4"/>
    <w:rsid w:val="009C16B9"/>
    <w:rsid w:val="009C18B8"/>
    <w:rsid w:val="009C1942"/>
    <w:rsid w:val="009C1B3C"/>
    <w:rsid w:val="009C1B99"/>
    <w:rsid w:val="009C1E01"/>
    <w:rsid w:val="009C1E0B"/>
    <w:rsid w:val="009C1F26"/>
    <w:rsid w:val="009C2259"/>
    <w:rsid w:val="009C231B"/>
    <w:rsid w:val="009C26C9"/>
    <w:rsid w:val="009C2871"/>
    <w:rsid w:val="009C28F8"/>
    <w:rsid w:val="009C2EC7"/>
    <w:rsid w:val="009C2F02"/>
    <w:rsid w:val="009C303B"/>
    <w:rsid w:val="009C3251"/>
    <w:rsid w:val="009C33F6"/>
    <w:rsid w:val="009C34CC"/>
    <w:rsid w:val="009C3B35"/>
    <w:rsid w:val="009C3CC3"/>
    <w:rsid w:val="009C3E70"/>
    <w:rsid w:val="009C3ED3"/>
    <w:rsid w:val="009C4152"/>
    <w:rsid w:val="009C41F4"/>
    <w:rsid w:val="009C442C"/>
    <w:rsid w:val="009C4677"/>
    <w:rsid w:val="009C482D"/>
    <w:rsid w:val="009C4851"/>
    <w:rsid w:val="009C4884"/>
    <w:rsid w:val="009C48A6"/>
    <w:rsid w:val="009C48B2"/>
    <w:rsid w:val="009C4A9D"/>
    <w:rsid w:val="009C4AD3"/>
    <w:rsid w:val="009C4D40"/>
    <w:rsid w:val="009C52A7"/>
    <w:rsid w:val="009C5421"/>
    <w:rsid w:val="009C56C2"/>
    <w:rsid w:val="009C57A4"/>
    <w:rsid w:val="009C5A11"/>
    <w:rsid w:val="009C5AFF"/>
    <w:rsid w:val="009C601F"/>
    <w:rsid w:val="009C62F8"/>
    <w:rsid w:val="009C63DF"/>
    <w:rsid w:val="009C6ACA"/>
    <w:rsid w:val="009C7262"/>
    <w:rsid w:val="009C73CB"/>
    <w:rsid w:val="009C7951"/>
    <w:rsid w:val="009C7B7D"/>
    <w:rsid w:val="009D03E1"/>
    <w:rsid w:val="009D050C"/>
    <w:rsid w:val="009D057F"/>
    <w:rsid w:val="009D0581"/>
    <w:rsid w:val="009D07C3"/>
    <w:rsid w:val="009D0946"/>
    <w:rsid w:val="009D097D"/>
    <w:rsid w:val="009D09FF"/>
    <w:rsid w:val="009D0D3A"/>
    <w:rsid w:val="009D0F03"/>
    <w:rsid w:val="009D110F"/>
    <w:rsid w:val="009D15C6"/>
    <w:rsid w:val="009D15D1"/>
    <w:rsid w:val="009D17B9"/>
    <w:rsid w:val="009D1A67"/>
    <w:rsid w:val="009D1C46"/>
    <w:rsid w:val="009D1D13"/>
    <w:rsid w:val="009D1ED1"/>
    <w:rsid w:val="009D1F69"/>
    <w:rsid w:val="009D234C"/>
    <w:rsid w:val="009D2362"/>
    <w:rsid w:val="009D23BF"/>
    <w:rsid w:val="009D23F9"/>
    <w:rsid w:val="009D2788"/>
    <w:rsid w:val="009D2EDE"/>
    <w:rsid w:val="009D2EE9"/>
    <w:rsid w:val="009D2FA1"/>
    <w:rsid w:val="009D3320"/>
    <w:rsid w:val="009D377F"/>
    <w:rsid w:val="009D38F7"/>
    <w:rsid w:val="009D3DD0"/>
    <w:rsid w:val="009D406F"/>
    <w:rsid w:val="009D4743"/>
    <w:rsid w:val="009D4C24"/>
    <w:rsid w:val="009D545A"/>
    <w:rsid w:val="009D558A"/>
    <w:rsid w:val="009D5A0E"/>
    <w:rsid w:val="009D5BCD"/>
    <w:rsid w:val="009D5BF0"/>
    <w:rsid w:val="009D5CE5"/>
    <w:rsid w:val="009D5E81"/>
    <w:rsid w:val="009D6055"/>
    <w:rsid w:val="009D6321"/>
    <w:rsid w:val="009D6606"/>
    <w:rsid w:val="009D663E"/>
    <w:rsid w:val="009D669A"/>
    <w:rsid w:val="009D6B83"/>
    <w:rsid w:val="009D6B9B"/>
    <w:rsid w:val="009D6CDA"/>
    <w:rsid w:val="009D6D44"/>
    <w:rsid w:val="009D71A9"/>
    <w:rsid w:val="009D7225"/>
    <w:rsid w:val="009D745C"/>
    <w:rsid w:val="009D7548"/>
    <w:rsid w:val="009D7FB2"/>
    <w:rsid w:val="009E00EA"/>
    <w:rsid w:val="009E01D7"/>
    <w:rsid w:val="009E02E3"/>
    <w:rsid w:val="009E037D"/>
    <w:rsid w:val="009E0593"/>
    <w:rsid w:val="009E0CC9"/>
    <w:rsid w:val="009E0F4D"/>
    <w:rsid w:val="009E10D6"/>
    <w:rsid w:val="009E11B2"/>
    <w:rsid w:val="009E11F6"/>
    <w:rsid w:val="009E165F"/>
    <w:rsid w:val="009E19CC"/>
    <w:rsid w:val="009E1CCF"/>
    <w:rsid w:val="009E1F4C"/>
    <w:rsid w:val="009E1F85"/>
    <w:rsid w:val="009E22FA"/>
    <w:rsid w:val="009E26DE"/>
    <w:rsid w:val="009E27BE"/>
    <w:rsid w:val="009E27E8"/>
    <w:rsid w:val="009E2A02"/>
    <w:rsid w:val="009E2D9C"/>
    <w:rsid w:val="009E2E6B"/>
    <w:rsid w:val="009E317B"/>
    <w:rsid w:val="009E3A3B"/>
    <w:rsid w:val="009E3E8A"/>
    <w:rsid w:val="009E3F46"/>
    <w:rsid w:val="009E3F5E"/>
    <w:rsid w:val="009E3FA9"/>
    <w:rsid w:val="009E42C4"/>
    <w:rsid w:val="009E43D8"/>
    <w:rsid w:val="009E44DA"/>
    <w:rsid w:val="009E451D"/>
    <w:rsid w:val="009E4744"/>
    <w:rsid w:val="009E47E0"/>
    <w:rsid w:val="009E4878"/>
    <w:rsid w:val="009E4C7B"/>
    <w:rsid w:val="009E4CB5"/>
    <w:rsid w:val="009E4CBA"/>
    <w:rsid w:val="009E4EC9"/>
    <w:rsid w:val="009E4FA3"/>
    <w:rsid w:val="009E52EE"/>
    <w:rsid w:val="009E5542"/>
    <w:rsid w:val="009E58B0"/>
    <w:rsid w:val="009E5D00"/>
    <w:rsid w:val="009E5D5A"/>
    <w:rsid w:val="009E630A"/>
    <w:rsid w:val="009E67F6"/>
    <w:rsid w:val="009E6876"/>
    <w:rsid w:val="009E6D30"/>
    <w:rsid w:val="009E6DB6"/>
    <w:rsid w:val="009E7808"/>
    <w:rsid w:val="009E784E"/>
    <w:rsid w:val="009E797A"/>
    <w:rsid w:val="009E7F68"/>
    <w:rsid w:val="009F0630"/>
    <w:rsid w:val="009F078B"/>
    <w:rsid w:val="009F0984"/>
    <w:rsid w:val="009F0B36"/>
    <w:rsid w:val="009F1180"/>
    <w:rsid w:val="009F1758"/>
    <w:rsid w:val="009F1775"/>
    <w:rsid w:val="009F1A26"/>
    <w:rsid w:val="009F1C84"/>
    <w:rsid w:val="009F2037"/>
    <w:rsid w:val="009F2114"/>
    <w:rsid w:val="009F2262"/>
    <w:rsid w:val="009F269B"/>
    <w:rsid w:val="009F28E2"/>
    <w:rsid w:val="009F291E"/>
    <w:rsid w:val="009F299F"/>
    <w:rsid w:val="009F2C2D"/>
    <w:rsid w:val="009F2DD0"/>
    <w:rsid w:val="009F3315"/>
    <w:rsid w:val="009F3377"/>
    <w:rsid w:val="009F3BCC"/>
    <w:rsid w:val="009F4171"/>
    <w:rsid w:val="009F42E8"/>
    <w:rsid w:val="009F441E"/>
    <w:rsid w:val="009F4583"/>
    <w:rsid w:val="009F47CE"/>
    <w:rsid w:val="009F495C"/>
    <w:rsid w:val="009F4A66"/>
    <w:rsid w:val="009F4ADA"/>
    <w:rsid w:val="009F4BA8"/>
    <w:rsid w:val="009F4D04"/>
    <w:rsid w:val="009F5367"/>
    <w:rsid w:val="009F5858"/>
    <w:rsid w:val="009F5BED"/>
    <w:rsid w:val="009F5FCA"/>
    <w:rsid w:val="009F6239"/>
    <w:rsid w:val="009F6658"/>
    <w:rsid w:val="009F67B2"/>
    <w:rsid w:val="009F6A01"/>
    <w:rsid w:val="009F6A0D"/>
    <w:rsid w:val="009F6BF2"/>
    <w:rsid w:val="009F6C05"/>
    <w:rsid w:val="009F70E8"/>
    <w:rsid w:val="009F7100"/>
    <w:rsid w:val="009F7274"/>
    <w:rsid w:val="009F7294"/>
    <w:rsid w:val="009F734C"/>
    <w:rsid w:val="009F746A"/>
    <w:rsid w:val="009F7C9B"/>
    <w:rsid w:val="009F7E8C"/>
    <w:rsid w:val="009F7FB3"/>
    <w:rsid w:val="00A0005A"/>
    <w:rsid w:val="00A000F3"/>
    <w:rsid w:val="00A008E1"/>
    <w:rsid w:val="00A00BA5"/>
    <w:rsid w:val="00A00C7C"/>
    <w:rsid w:val="00A01432"/>
    <w:rsid w:val="00A017A8"/>
    <w:rsid w:val="00A017C0"/>
    <w:rsid w:val="00A0190D"/>
    <w:rsid w:val="00A01AAD"/>
    <w:rsid w:val="00A01B15"/>
    <w:rsid w:val="00A01BA3"/>
    <w:rsid w:val="00A01EAA"/>
    <w:rsid w:val="00A01EDB"/>
    <w:rsid w:val="00A01FA4"/>
    <w:rsid w:val="00A0248A"/>
    <w:rsid w:val="00A0272C"/>
    <w:rsid w:val="00A028E5"/>
    <w:rsid w:val="00A02AFA"/>
    <w:rsid w:val="00A02F04"/>
    <w:rsid w:val="00A02FD1"/>
    <w:rsid w:val="00A0313B"/>
    <w:rsid w:val="00A035F7"/>
    <w:rsid w:val="00A03D76"/>
    <w:rsid w:val="00A03F67"/>
    <w:rsid w:val="00A041B5"/>
    <w:rsid w:val="00A0466C"/>
    <w:rsid w:val="00A04712"/>
    <w:rsid w:val="00A04B91"/>
    <w:rsid w:val="00A04CFA"/>
    <w:rsid w:val="00A04D9F"/>
    <w:rsid w:val="00A05069"/>
    <w:rsid w:val="00A050D7"/>
    <w:rsid w:val="00A0534B"/>
    <w:rsid w:val="00A06069"/>
    <w:rsid w:val="00A061DE"/>
    <w:rsid w:val="00A0638A"/>
    <w:rsid w:val="00A06635"/>
    <w:rsid w:val="00A069CE"/>
    <w:rsid w:val="00A069D1"/>
    <w:rsid w:val="00A06E2E"/>
    <w:rsid w:val="00A070B7"/>
    <w:rsid w:val="00A071EE"/>
    <w:rsid w:val="00A074B7"/>
    <w:rsid w:val="00A074E7"/>
    <w:rsid w:val="00A078CA"/>
    <w:rsid w:val="00A07991"/>
    <w:rsid w:val="00A079A5"/>
    <w:rsid w:val="00A07ACD"/>
    <w:rsid w:val="00A07B27"/>
    <w:rsid w:val="00A07F1F"/>
    <w:rsid w:val="00A1008B"/>
    <w:rsid w:val="00A10280"/>
    <w:rsid w:val="00A1041F"/>
    <w:rsid w:val="00A104CE"/>
    <w:rsid w:val="00A106AC"/>
    <w:rsid w:val="00A1092B"/>
    <w:rsid w:val="00A10A95"/>
    <w:rsid w:val="00A10CDE"/>
    <w:rsid w:val="00A10F23"/>
    <w:rsid w:val="00A11045"/>
    <w:rsid w:val="00A11082"/>
    <w:rsid w:val="00A1135A"/>
    <w:rsid w:val="00A11523"/>
    <w:rsid w:val="00A11545"/>
    <w:rsid w:val="00A1161A"/>
    <w:rsid w:val="00A11AD8"/>
    <w:rsid w:val="00A11CF0"/>
    <w:rsid w:val="00A11EAA"/>
    <w:rsid w:val="00A12847"/>
    <w:rsid w:val="00A1291F"/>
    <w:rsid w:val="00A12DE8"/>
    <w:rsid w:val="00A12F1D"/>
    <w:rsid w:val="00A12FE0"/>
    <w:rsid w:val="00A1327C"/>
    <w:rsid w:val="00A139FC"/>
    <w:rsid w:val="00A13A89"/>
    <w:rsid w:val="00A13E74"/>
    <w:rsid w:val="00A13E76"/>
    <w:rsid w:val="00A13F8D"/>
    <w:rsid w:val="00A14072"/>
    <w:rsid w:val="00A143E1"/>
    <w:rsid w:val="00A143F0"/>
    <w:rsid w:val="00A14598"/>
    <w:rsid w:val="00A14748"/>
    <w:rsid w:val="00A14887"/>
    <w:rsid w:val="00A14C91"/>
    <w:rsid w:val="00A14CDB"/>
    <w:rsid w:val="00A14DE8"/>
    <w:rsid w:val="00A150BE"/>
    <w:rsid w:val="00A152E5"/>
    <w:rsid w:val="00A15575"/>
    <w:rsid w:val="00A15685"/>
    <w:rsid w:val="00A15896"/>
    <w:rsid w:val="00A15A22"/>
    <w:rsid w:val="00A15BD1"/>
    <w:rsid w:val="00A15CF0"/>
    <w:rsid w:val="00A15F04"/>
    <w:rsid w:val="00A15F6E"/>
    <w:rsid w:val="00A160A9"/>
    <w:rsid w:val="00A164EF"/>
    <w:rsid w:val="00A165A3"/>
    <w:rsid w:val="00A1680D"/>
    <w:rsid w:val="00A168D9"/>
    <w:rsid w:val="00A16CA1"/>
    <w:rsid w:val="00A16EA7"/>
    <w:rsid w:val="00A1716C"/>
    <w:rsid w:val="00A1749D"/>
    <w:rsid w:val="00A176FF"/>
    <w:rsid w:val="00A17962"/>
    <w:rsid w:val="00A17CC1"/>
    <w:rsid w:val="00A2087E"/>
    <w:rsid w:val="00A208DB"/>
    <w:rsid w:val="00A20E06"/>
    <w:rsid w:val="00A2104E"/>
    <w:rsid w:val="00A212CF"/>
    <w:rsid w:val="00A212D0"/>
    <w:rsid w:val="00A2190F"/>
    <w:rsid w:val="00A21962"/>
    <w:rsid w:val="00A21A00"/>
    <w:rsid w:val="00A21B20"/>
    <w:rsid w:val="00A21D6F"/>
    <w:rsid w:val="00A21DA9"/>
    <w:rsid w:val="00A21DDD"/>
    <w:rsid w:val="00A21EDD"/>
    <w:rsid w:val="00A22037"/>
    <w:rsid w:val="00A22182"/>
    <w:rsid w:val="00A222AF"/>
    <w:rsid w:val="00A222CC"/>
    <w:rsid w:val="00A22544"/>
    <w:rsid w:val="00A22BA1"/>
    <w:rsid w:val="00A23718"/>
    <w:rsid w:val="00A23764"/>
    <w:rsid w:val="00A238F3"/>
    <w:rsid w:val="00A23AB0"/>
    <w:rsid w:val="00A241A2"/>
    <w:rsid w:val="00A2451E"/>
    <w:rsid w:val="00A24889"/>
    <w:rsid w:val="00A24949"/>
    <w:rsid w:val="00A2507A"/>
    <w:rsid w:val="00A25B52"/>
    <w:rsid w:val="00A25D3B"/>
    <w:rsid w:val="00A25E50"/>
    <w:rsid w:val="00A266C5"/>
    <w:rsid w:val="00A26704"/>
    <w:rsid w:val="00A26996"/>
    <w:rsid w:val="00A26999"/>
    <w:rsid w:val="00A26B02"/>
    <w:rsid w:val="00A26B03"/>
    <w:rsid w:val="00A26C43"/>
    <w:rsid w:val="00A26D60"/>
    <w:rsid w:val="00A26E70"/>
    <w:rsid w:val="00A26F67"/>
    <w:rsid w:val="00A2712F"/>
    <w:rsid w:val="00A27303"/>
    <w:rsid w:val="00A27448"/>
    <w:rsid w:val="00A278DB"/>
    <w:rsid w:val="00A279E9"/>
    <w:rsid w:val="00A27B6A"/>
    <w:rsid w:val="00A27BC6"/>
    <w:rsid w:val="00A3020D"/>
    <w:rsid w:val="00A304A6"/>
    <w:rsid w:val="00A3052D"/>
    <w:rsid w:val="00A308B2"/>
    <w:rsid w:val="00A3093C"/>
    <w:rsid w:val="00A309C6"/>
    <w:rsid w:val="00A30BC0"/>
    <w:rsid w:val="00A30C55"/>
    <w:rsid w:val="00A30F98"/>
    <w:rsid w:val="00A3115A"/>
    <w:rsid w:val="00A313F8"/>
    <w:rsid w:val="00A31657"/>
    <w:rsid w:val="00A31734"/>
    <w:rsid w:val="00A31778"/>
    <w:rsid w:val="00A317A3"/>
    <w:rsid w:val="00A3187D"/>
    <w:rsid w:val="00A31A8D"/>
    <w:rsid w:val="00A31C8F"/>
    <w:rsid w:val="00A3227D"/>
    <w:rsid w:val="00A323A7"/>
    <w:rsid w:val="00A3262F"/>
    <w:rsid w:val="00A326AE"/>
    <w:rsid w:val="00A326F2"/>
    <w:rsid w:val="00A3277F"/>
    <w:rsid w:val="00A32AFC"/>
    <w:rsid w:val="00A32BEC"/>
    <w:rsid w:val="00A32D04"/>
    <w:rsid w:val="00A32E4E"/>
    <w:rsid w:val="00A33019"/>
    <w:rsid w:val="00A3301F"/>
    <w:rsid w:val="00A333F6"/>
    <w:rsid w:val="00A3362B"/>
    <w:rsid w:val="00A336E7"/>
    <w:rsid w:val="00A337E4"/>
    <w:rsid w:val="00A33BAE"/>
    <w:rsid w:val="00A33D3C"/>
    <w:rsid w:val="00A3430F"/>
    <w:rsid w:val="00A34385"/>
    <w:rsid w:val="00A3443F"/>
    <w:rsid w:val="00A34538"/>
    <w:rsid w:val="00A347CC"/>
    <w:rsid w:val="00A34882"/>
    <w:rsid w:val="00A3496C"/>
    <w:rsid w:val="00A349DD"/>
    <w:rsid w:val="00A34C67"/>
    <w:rsid w:val="00A34D12"/>
    <w:rsid w:val="00A34EE7"/>
    <w:rsid w:val="00A354E8"/>
    <w:rsid w:val="00A3553E"/>
    <w:rsid w:val="00A3576F"/>
    <w:rsid w:val="00A357C1"/>
    <w:rsid w:val="00A358C4"/>
    <w:rsid w:val="00A35ACA"/>
    <w:rsid w:val="00A35B65"/>
    <w:rsid w:val="00A36373"/>
    <w:rsid w:val="00A363FE"/>
    <w:rsid w:val="00A36400"/>
    <w:rsid w:val="00A3647F"/>
    <w:rsid w:val="00A36493"/>
    <w:rsid w:val="00A3654A"/>
    <w:rsid w:val="00A36800"/>
    <w:rsid w:val="00A36842"/>
    <w:rsid w:val="00A36C43"/>
    <w:rsid w:val="00A36C9C"/>
    <w:rsid w:val="00A37136"/>
    <w:rsid w:val="00A372A5"/>
    <w:rsid w:val="00A3751F"/>
    <w:rsid w:val="00A37574"/>
    <w:rsid w:val="00A37A3B"/>
    <w:rsid w:val="00A37E80"/>
    <w:rsid w:val="00A37E89"/>
    <w:rsid w:val="00A4024B"/>
    <w:rsid w:val="00A40325"/>
    <w:rsid w:val="00A40711"/>
    <w:rsid w:val="00A4089E"/>
    <w:rsid w:val="00A40C01"/>
    <w:rsid w:val="00A40FE5"/>
    <w:rsid w:val="00A4103C"/>
    <w:rsid w:val="00A4109C"/>
    <w:rsid w:val="00A41399"/>
    <w:rsid w:val="00A415E6"/>
    <w:rsid w:val="00A4162E"/>
    <w:rsid w:val="00A41726"/>
    <w:rsid w:val="00A41B00"/>
    <w:rsid w:val="00A41D03"/>
    <w:rsid w:val="00A41F8C"/>
    <w:rsid w:val="00A42026"/>
    <w:rsid w:val="00A421B4"/>
    <w:rsid w:val="00A4240A"/>
    <w:rsid w:val="00A4241A"/>
    <w:rsid w:val="00A427D6"/>
    <w:rsid w:val="00A42AF7"/>
    <w:rsid w:val="00A42BED"/>
    <w:rsid w:val="00A42C66"/>
    <w:rsid w:val="00A42D5C"/>
    <w:rsid w:val="00A42D88"/>
    <w:rsid w:val="00A42EFE"/>
    <w:rsid w:val="00A42FB4"/>
    <w:rsid w:val="00A4327B"/>
    <w:rsid w:val="00A43E39"/>
    <w:rsid w:val="00A43EF4"/>
    <w:rsid w:val="00A44066"/>
    <w:rsid w:val="00A44435"/>
    <w:rsid w:val="00A445E5"/>
    <w:rsid w:val="00A44625"/>
    <w:rsid w:val="00A44C91"/>
    <w:rsid w:val="00A44EA7"/>
    <w:rsid w:val="00A451A0"/>
    <w:rsid w:val="00A4542B"/>
    <w:rsid w:val="00A45B86"/>
    <w:rsid w:val="00A45BC8"/>
    <w:rsid w:val="00A45CF5"/>
    <w:rsid w:val="00A45D10"/>
    <w:rsid w:val="00A45FF3"/>
    <w:rsid w:val="00A464C8"/>
    <w:rsid w:val="00A46773"/>
    <w:rsid w:val="00A467AB"/>
    <w:rsid w:val="00A4700D"/>
    <w:rsid w:val="00A47025"/>
    <w:rsid w:val="00A47281"/>
    <w:rsid w:val="00A4765F"/>
    <w:rsid w:val="00A47861"/>
    <w:rsid w:val="00A47868"/>
    <w:rsid w:val="00A478AE"/>
    <w:rsid w:val="00A4793B"/>
    <w:rsid w:val="00A47B26"/>
    <w:rsid w:val="00A47D63"/>
    <w:rsid w:val="00A47ECE"/>
    <w:rsid w:val="00A47F10"/>
    <w:rsid w:val="00A50328"/>
    <w:rsid w:val="00A504C0"/>
    <w:rsid w:val="00A505DE"/>
    <w:rsid w:val="00A50CDF"/>
    <w:rsid w:val="00A50D3F"/>
    <w:rsid w:val="00A50D81"/>
    <w:rsid w:val="00A50D97"/>
    <w:rsid w:val="00A50DBB"/>
    <w:rsid w:val="00A5102B"/>
    <w:rsid w:val="00A51164"/>
    <w:rsid w:val="00A51818"/>
    <w:rsid w:val="00A51A3F"/>
    <w:rsid w:val="00A51B35"/>
    <w:rsid w:val="00A51E7D"/>
    <w:rsid w:val="00A51EBA"/>
    <w:rsid w:val="00A52021"/>
    <w:rsid w:val="00A520F7"/>
    <w:rsid w:val="00A525F4"/>
    <w:rsid w:val="00A52857"/>
    <w:rsid w:val="00A529E8"/>
    <w:rsid w:val="00A52CCB"/>
    <w:rsid w:val="00A52D19"/>
    <w:rsid w:val="00A52E09"/>
    <w:rsid w:val="00A52EC0"/>
    <w:rsid w:val="00A5314F"/>
    <w:rsid w:val="00A531BB"/>
    <w:rsid w:val="00A5327C"/>
    <w:rsid w:val="00A534B4"/>
    <w:rsid w:val="00A535AA"/>
    <w:rsid w:val="00A53948"/>
    <w:rsid w:val="00A53A7F"/>
    <w:rsid w:val="00A53AE7"/>
    <w:rsid w:val="00A53BB0"/>
    <w:rsid w:val="00A53D52"/>
    <w:rsid w:val="00A53F6A"/>
    <w:rsid w:val="00A54056"/>
    <w:rsid w:val="00A54119"/>
    <w:rsid w:val="00A54289"/>
    <w:rsid w:val="00A54439"/>
    <w:rsid w:val="00A54862"/>
    <w:rsid w:val="00A549DA"/>
    <w:rsid w:val="00A549FE"/>
    <w:rsid w:val="00A552D0"/>
    <w:rsid w:val="00A553D1"/>
    <w:rsid w:val="00A55611"/>
    <w:rsid w:val="00A558F9"/>
    <w:rsid w:val="00A559C7"/>
    <w:rsid w:val="00A55A7F"/>
    <w:rsid w:val="00A55B2C"/>
    <w:rsid w:val="00A55E31"/>
    <w:rsid w:val="00A56277"/>
    <w:rsid w:val="00A564DC"/>
    <w:rsid w:val="00A56AC9"/>
    <w:rsid w:val="00A56C71"/>
    <w:rsid w:val="00A57106"/>
    <w:rsid w:val="00A5721C"/>
    <w:rsid w:val="00A57434"/>
    <w:rsid w:val="00A574FA"/>
    <w:rsid w:val="00A57EB4"/>
    <w:rsid w:val="00A60563"/>
    <w:rsid w:val="00A60889"/>
    <w:rsid w:val="00A609ED"/>
    <w:rsid w:val="00A60A26"/>
    <w:rsid w:val="00A60AB8"/>
    <w:rsid w:val="00A60B7F"/>
    <w:rsid w:val="00A60BB9"/>
    <w:rsid w:val="00A60CF4"/>
    <w:rsid w:val="00A60F81"/>
    <w:rsid w:val="00A611D9"/>
    <w:rsid w:val="00A61239"/>
    <w:rsid w:val="00A61446"/>
    <w:rsid w:val="00A6146C"/>
    <w:rsid w:val="00A614EB"/>
    <w:rsid w:val="00A614EC"/>
    <w:rsid w:val="00A614F7"/>
    <w:rsid w:val="00A6165A"/>
    <w:rsid w:val="00A61705"/>
    <w:rsid w:val="00A61C5C"/>
    <w:rsid w:val="00A61E0F"/>
    <w:rsid w:val="00A61E6C"/>
    <w:rsid w:val="00A61F47"/>
    <w:rsid w:val="00A6200B"/>
    <w:rsid w:val="00A62293"/>
    <w:rsid w:val="00A626BD"/>
    <w:rsid w:val="00A62781"/>
    <w:rsid w:val="00A62A51"/>
    <w:rsid w:val="00A62D5D"/>
    <w:rsid w:val="00A62E43"/>
    <w:rsid w:val="00A62FC9"/>
    <w:rsid w:val="00A6304E"/>
    <w:rsid w:val="00A63410"/>
    <w:rsid w:val="00A63772"/>
    <w:rsid w:val="00A63CCC"/>
    <w:rsid w:val="00A63D22"/>
    <w:rsid w:val="00A63F85"/>
    <w:rsid w:val="00A64769"/>
    <w:rsid w:val="00A6494C"/>
    <w:rsid w:val="00A64A92"/>
    <w:rsid w:val="00A64E2C"/>
    <w:rsid w:val="00A65106"/>
    <w:rsid w:val="00A654E7"/>
    <w:rsid w:val="00A657D9"/>
    <w:rsid w:val="00A658CC"/>
    <w:rsid w:val="00A6591E"/>
    <w:rsid w:val="00A65C97"/>
    <w:rsid w:val="00A65DAD"/>
    <w:rsid w:val="00A65E23"/>
    <w:rsid w:val="00A6608F"/>
    <w:rsid w:val="00A661CC"/>
    <w:rsid w:val="00A66234"/>
    <w:rsid w:val="00A6633A"/>
    <w:rsid w:val="00A6635A"/>
    <w:rsid w:val="00A66381"/>
    <w:rsid w:val="00A66C65"/>
    <w:rsid w:val="00A66D34"/>
    <w:rsid w:val="00A66DE4"/>
    <w:rsid w:val="00A67215"/>
    <w:rsid w:val="00A67229"/>
    <w:rsid w:val="00A67913"/>
    <w:rsid w:val="00A67946"/>
    <w:rsid w:val="00A67969"/>
    <w:rsid w:val="00A67A73"/>
    <w:rsid w:val="00A67B22"/>
    <w:rsid w:val="00A67B4B"/>
    <w:rsid w:val="00A67DAB"/>
    <w:rsid w:val="00A67F80"/>
    <w:rsid w:val="00A70007"/>
    <w:rsid w:val="00A7051D"/>
    <w:rsid w:val="00A707F5"/>
    <w:rsid w:val="00A70D18"/>
    <w:rsid w:val="00A70E1A"/>
    <w:rsid w:val="00A71002"/>
    <w:rsid w:val="00A7113E"/>
    <w:rsid w:val="00A714FB"/>
    <w:rsid w:val="00A716BA"/>
    <w:rsid w:val="00A71A6C"/>
    <w:rsid w:val="00A722A2"/>
    <w:rsid w:val="00A72432"/>
    <w:rsid w:val="00A72A09"/>
    <w:rsid w:val="00A72BEC"/>
    <w:rsid w:val="00A7304F"/>
    <w:rsid w:val="00A731A8"/>
    <w:rsid w:val="00A73429"/>
    <w:rsid w:val="00A73448"/>
    <w:rsid w:val="00A73704"/>
    <w:rsid w:val="00A73E86"/>
    <w:rsid w:val="00A74064"/>
    <w:rsid w:val="00A74260"/>
    <w:rsid w:val="00A743F8"/>
    <w:rsid w:val="00A74599"/>
    <w:rsid w:val="00A7483E"/>
    <w:rsid w:val="00A748F0"/>
    <w:rsid w:val="00A74934"/>
    <w:rsid w:val="00A74B9B"/>
    <w:rsid w:val="00A74F50"/>
    <w:rsid w:val="00A750EE"/>
    <w:rsid w:val="00A75892"/>
    <w:rsid w:val="00A75931"/>
    <w:rsid w:val="00A759D5"/>
    <w:rsid w:val="00A75A1F"/>
    <w:rsid w:val="00A766E4"/>
    <w:rsid w:val="00A766FF"/>
    <w:rsid w:val="00A76BFF"/>
    <w:rsid w:val="00A76C18"/>
    <w:rsid w:val="00A76D22"/>
    <w:rsid w:val="00A76E2C"/>
    <w:rsid w:val="00A773D5"/>
    <w:rsid w:val="00A77C21"/>
    <w:rsid w:val="00A77D6D"/>
    <w:rsid w:val="00A8014C"/>
    <w:rsid w:val="00A808DB"/>
    <w:rsid w:val="00A80B2C"/>
    <w:rsid w:val="00A80B3C"/>
    <w:rsid w:val="00A80EAE"/>
    <w:rsid w:val="00A80EBF"/>
    <w:rsid w:val="00A80FF2"/>
    <w:rsid w:val="00A81252"/>
    <w:rsid w:val="00A81255"/>
    <w:rsid w:val="00A81A94"/>
    <w:rsid w:val="00A81D28"/>
    <w:rsid w:val="00A81D45"/>
    <w:rsid w:val="00A8223B"/>
    <w:rsid w:val="00A82534"/>
    <w:rsid w:val="00A82948"/>
    <w:rsid w:val="00A82B52"/>
    <w:rsid w:val="00A82BA1"/>
    <w:rsid w:val="00A82C5B"/>
    <w:rsid w:val="00A8329D"/>
    <w:rsid w:val="00A8364E"/>
    <w:rsid w:val="00A83ACF"/>
    <w:rsid w:val="00A843C4"/>
    <w:rsid w:val="00A845F6"/>
    <w:rsid w:val="00A848C9"/>
    <w:rsid w:val="00A84D50"/>
    <w:rsid w:val="00A84E12"/>
    <w:rsid w:val="00A85346"/>
    <w:rsid w:val="00A859BE"/>
    <w:rsid w:val="00A85D0F"/>
    <w:rsid w:val="00A85EDA"/>
    <w:rsid w:val="00A86039"/>
    <w:rsid w:val="00A860BF"/>
    <w:rsid w:val="00A860F3"/>
    <w:rsid w:val="00A86400"/>
    <w:rsid w:val="00A86907"/>
    <w:rsid w:val="00A86BA3"/>
    <w:rsid w:val="00A86C7B"/>
    <w:rsid w:val="00A86E2E"/>
    <w:rsid w:val="00A8702E"/>
    <w:rsid w:val="00A87332"/>
    <w:rsid w:val="00A87842"/>
    <w:rsid w:val="00A878B9"/>
    <w:rsid w:val="00A87AB6"/>
    <w:rsid w:val="00A87D03"/>
    <w:rsid w:val="00A87DD8"/>
    <w:rsid w:val="00A87FF6"/>
    <w:rsid w:val="00A90503"/>
    <w:rsid w:val="00A90B83"/>
    <w:rsid w:val="00A90E77"/>
    <w:rsid w:val="00A91054"/>
    <w:rsid w:val="00A9108B"/>
    <w:rsid w:val="00A9119A"/>
    <w:rsid w:val="00A911F3"/>
    <w:rsid w:val="00A91667"/>
    <w:rsid w:val="00A916CA"/>
    <w:rsid w:val="00A9173B"/>
    <w:rsid w:val="00A92037"/>
    <w:rsid w:val="00A9211F"/>
    <w:rsid w:val="00A9212E"/>
    <w:rsid w:val="00A92237"/>
    <w:rsid w:val="00A927C2"/>
    <w:rsid w:val="00A9289C"/>
    <w:rsid w:val="00A9289F"/>
    <w:rsid w:val="00A92A30"/>
    <w:rsid w:val="00A93036"/>
    <w:rsid w:val="00A93636"/>
    <w:rsid w:val="00A93749"/>
    <w:rsid w:val="00A9396C"/>
    <w:rsid w:val="00A93D87"/>
    <w:rsid w:val="00A93DAA"/>
    <w:rsid w:val="00A93EC6"/>
    <w:rsid w:val="00A9453E"/>
    <w:rsid w:val="00A945A8"/>
    <w:rsid w:val="00A945EC"/>
    <w:rsid w:val="00A949AE"/>
    <w:rsid w:val="00A94C15"/>
    <w:rsid w:val="00A94F21"/>
    <w:rsid w:val="00A94F3E"/>
    <w:rsid w:val="00A9501B"/>
    <w:rsid w:val="00A951CD"/>
    <w:rsid w:val="00A9522D"/>
    <w:rsid w:val="00A95300"/>
    <w:rsid w:val="00A956B1"/>
    <w:rsid w:val="00A95811"/>
    <w:rsid w:val="00A95932"/>
    <w:rsid w:val="00A95A19"/>
    <w:rsid w:val="00A95A4B"/>
    <w:rsid w:val="00A95C8E"/>
    <w:rsid w:val="00A95D13"/>
    <w:rsid w:val="00A95DED"/>
    <w:rsid w:val="00A95F2D"/>
    <w:rsid w:val="00A961DE"/>
    <w:rsid w:val="00A962F1"/>
    <w:rsid w:val="00A963C9"/>
    <w:rsid w:val="00A9663C"/>
    <w:rsid w:val="00A9681E"/>
    <w:rsid w:val="00A96A38"/>
    <w:rsid w:val="00A96AD8"/>
    <w:rsid w:val="00A96C79"/>
    <w:rsid w:val="00A96E4B"/>
    <w:rsid w:val="00A9764B"/>
    <w:rsid w:val="00A97670"/>
    <w:rsid w:val="00A97948"/>
    <w:rsid w:val="00A97B74"/>
    <w:rsid w:val="00A97E96"/>
    <w:rsid w:val="00AA007A"/>
    <w:rsid w:val="00AA0235"/>
    <w:rsid w:val="00AA02FE"/>
    <w:rsid w:val="00AA0D6A"/>
    <w:rsid w:val="00AA0E8A"/>
    <w:rsid w:val="00AA12B3"/>
    <w:rsid w:val="00AA12C5"/>
    <w:rsid w:val="00AA12EB"/>
    <w:rsid w:val="00AA18ED"/>
    <w:rsid w:val="00AA1C89"/>
    <w:rsid w:val="00AA1E89"/>
    <w:rsid w:val="00AA2386"/>
    <w:rsid w:val="00AA255D"/>
    <w:rsid w:val="00AA274B"/>
    <w:rsid w:val="00AA2A6D"/>
    <w:rsid w:val="00AA2A87"/>
    <w:rsid w:val="00AA353F"/>
    <w:rsid w:val="00AA35B4"/>
    <w:rsid w:val="00AA3603"/>
    <w:rsid w:val="00AA378B"/>
    <w:rsid w:val="00AA3B49"/>
    <w:rsid w:val="00AA3B57"/>
    <w:rsid w:val="00AA4068"/>
    <w:rsid w:val="00AA4540"/>
    <w:rsid w:val="00AA46F0"/>
    <w:rsid w:val="00AA4DB7"/>
    <w:rsid w:val="00AA4DD2"/>
    <w:rsid w:val="00AA4E64"/>
    <w:rsid w:val="00AA5069"/>
    <w:rsid w:val="00AA5106"/>
    <w:rsid w:val="00AA5352"/>
    <w:rsid w:val="00AA5443"/>
    <w:rsid w:val="00AA56F5"/>
    <w:rsid w:val="00AA5AB9"/>
    <w:rsid w:val="00AA5CF6"/>
    <w:rsid w:val="00AA5F1A"/>
    <w:rsid w:val="00AA607B"/>
    <w:rsid w:val="00AA6586"/>
    <w:rsid w:val="00AA685A"/>
    <w:rsid w:val="00AA6C3C"/>
    <w:rsid w:val="00AA6C70"/>
    <w:rsid w:val="00AA6CF3"/>
    <w:rsid w:val="00AA6F6C"/>
    <w:rsid w:val="00AA7225"/>
    <w:rsid w:val="00AA73C3"/>
    <w:rsid w:val="00AA7502"/>
    <w:rsid w:val="00AA756E"/>
    <w:rsid w:val="00AA75F7"/>
    <w:rsid w:val="00AA7713"/>
    <w:rsid w:val="00AA7DB5"/>
    <w:rsid w:val="00AA7DEE"/>
    <w:rsid w:val="00AA7E3A"/>
    <w:rsid w:val="00AB0505"/>
    <w:rsid w:val="00AB067C"/>
    <w:rsid w:val="00AB073E"/>
    <w:rsid w:val="00AB0950"/>
    <w:rsid w:val="00AB0989"/>
    <w:rsid w:val="00AB0A41"/>
    <w:rsid w:val="00AB0AAB"/>
    <w:rsid w:val="00AB0B9D"/>
    <w:rsid w:val="00AB0DBA"/>
    <w:rsid w:val="00AB13AF"/>
    <w:rsid w:val="00AB14AE"/>
    <w:rsid w:val="00AB14D7"/>
    <w:rsid w:val="00AB14F0"/>
    <w:rsid w:val="00AB164D"/>
    <w:rsid w:val="00AB16B0"/>
    <w:rsid w:val="00AB1A13"/>
    <w:rsid w:val="00AB1C91"/>
    <w:rsid w:val="00AB1D66"/>
    <w:rsid w:val="00AB1DAF"/>
    <w:rsid w:val="00AB23C6"/>
    <w:rsid w:val="00AB240C"/>
    <w:rsid w:val="00AB24C5"/>
    <w:rsid w:val="00AB25BF"/>
    <w:rsid w:val="00AB268F"/>
    <w:rsid w:val="00AB29E8"/>
    <w:rsid w:val="00AB2BB7"/>
    <w:rsid w:val="00AB2E87"/>
    <w:rsid w:val="00AB3173"/>
    <w:rsid w:val="00AB31BC"/>
    <w:rsid w:val="00AB39BD"/>
    <w:rsid w:val="00AB3D7C"/>
    <w:rsid w:val="00AB3FBA"/>
    <w:rsid w:val="00AB424B"/>
    <w:rsid w:val="00AB45D4"/>
    <w:rsid w:val="00AB46AE"/>
    <w:rsid w:val="00AB47DC"/>
    <w:rsid w:val="00AB4B8C"/>
    <w:rsid w:val="00AB4E79"/>
    <w:rsid w:val="00AB4E9F"/>
    <w:rsid w:val="00AB506E"/>
    <w:rsid w:val="00AB5424"/>
    <w:rsid w:val="00AB5493"/>
    <w:rsid w:val="00AB54D6"/>
    <w:rsid w:val="00AB5666"/>
    <w:rsid w:val="00AB5711"/>
    <w:rsid w:val="00AB5870"/>
    <w:rsid w:val="00AB5CDF"/>
    <w:rsid w:val="00AB5E5E"/>
    <w:rsid w:val="00AB60E2"/>
    <w:rsid w:val="00AB614D"/>
    <w:rsid w:val="00AB6292"/>
    <w:rsid w:val="00AB63B3"/>
    <w:rsid w:val="00AB6B3F"/>
    <w:rsid w:val="00AB6D82"/>
    <w:rsid w:val="00AB6E55"/>
    <w:rsid w:val="00AB6E87"/>
    <w:rsid w:val="00AB6FFE"/>
    <w:rsid w:val="00AB7A2F"/>
    <w:rsid w:val="00AB7B8A"/>
    <w:rsid w:val="00AB7C0F"/>
    <w:rsid w:val="00AC00C4"/>
    <w:rsid w:val="00AC032E"/>
    <w:rsid w:val="00AC0529"/>
    <w:rsid w:val="00AC0690"/>
    <w:rsid w:val="00AC06AB"/>
    <w:rsid w:val="00AC07DD"/>
    <w:rsid w:val="00AC090D"/>
    <w:rsid w:val="00AC09FF"/>
    <w:rsid w:val="00AC0A1D"/>
    <w:rsid w:val="00AC0B0B"/>
    <w:rsid w:val="00AC0B5E"/>
    <w:rsid w:val="00AC0CE2"/>
    <w:rsid w:val="00AC126F"/>
    <w:rsid w:val="00AC1736"/>
    <w:rsid w:val="00AC190C"/>
    <w:rsid w:val="00AC1C55"/>
    <w:rsid w:val="00AC1D2B"/>
    <w:rsid w:val="00AC1FC9"/>
    <w:rsid w:val="00AC210F"/>
    <w:rsid w:val="00AC23A0"/>
    <w:rsid w:val="00AC27FF"/>
    <w:rsid w:val="00AC28CB"/>
    <w:rsid w:val="00AC2A31"/>
    <w:rsid w:val="00AC2AD1"/>
    <w:rsid w:val="00AC2F92"/>
    <w:rsid w:val="00AC3010"/>
    <w:rsid w:val="00AC315E"/>
    <w:rsid w:val="00AC319E"/>
    <w:rsid w:val="00AC31BC"/>
    <w:rsid w:val="00AC328F"/>
    <w:rsid w:val="00AC35FD"/>
    <w:rsid w:val="00AC3685"/>
    <w:rsid w:val="00AC3D80"/>
    <w:rsid w:val="00AC3F70"/>
    <w:rsid w:val="00AC42ED"/>
    <w:rsid w:val="00AC446F"/>
    <w:rsid w:val="00AC447A"/>
    <w:rsid w:val="00AC44AB"/>
    <w:rsid w:val="00AC4659"/>
    <w:rsid w:val="00AC48B8"/>
    <w:rsid w:val="00AC4A18"/>
    <w:rsid w:val="00AC4BB9"/>
    <w:rsid w:val="00AC4C1B"/>
    <w:rsid w:val="00AC4CAF"/>
    <w:rsid w:val="00AC57F8"/>
    <w:rsid w:val="00AC597E"/>
    <w:rsid w:val="00AC5B1B"/>
    <w:rsid w:val="00AC5D0B"/>
    <w:rsid w:val="00AC5D5A"/>
    <w:rsid w:val="00AC5D6E"/>
    <w:rsid w:val="00AC600B"/>
    <w:rsid w:val="00AC624F"/>
    <w:rsid w:val="00AC637A"/>
    <w:rsid w:val="00AC679A"/>
    <w:rsid w:val="00AC6BCD"/>
    <w:rsid w:val="00AC6C7E"/>
    <w:rsid w:val="00AC6F02"/>
    <w:rsid w:val="00AC6F7A"/>
    <w:rsid w:val="00AC71D8"/>
    <w:rsid w:val="00AC7665"/>
    <w:rsid w:val="00AC76F4"/>
    <w:rsid w:val="00AC7812"/>
    <w:rsid w:val="00AC79CC"/>
    <w:rsid w:val="00AC7D5E"/>
    <w:rsid w:val="00AC7D89"/>
    <w:rsid w:val="00AC7E17"/>
    <w:rsid w:val="00AD026D"/>
    <w:rsid w:val="00AD0326"/>
    <w:rsid w:val="00AD0619"/>
    <w:rsid w:val="00AD06BC"/>
    <w:rsid w:val="00AD082E"/>
    <w:rsid w:val="00AD09B3"/>
    <w:rsid w:val="00AD0CF7"/>
    <w:rsid w:val="00AD0E3F"/>
    <w:rsid w:val="00AD129A"/>
    <w:rsid w:val="00AD1592"/>
    <w:rsid w:val="00AD19C7"/>
    <w:rsid w:val="00AD1C47"/>
    <w:rsid w:val="00AD2054"/>
    <w:rsid w:val="00AD21A1"/>
    <w:rsid w:val="00AD222C"/>
    <w:rsid w:val="00AD2294"/>
    <w:rsid w:val="00AD2AC9"/>
    <w:rsid w:val="00AD2C18"/>
    <w:rsid w:val="00AD30A0"/>
    <w:rsid w:val="00AD34F4"/>
    <w:rsid w:val="00AD353F"/>
    <w:rsid w:val="00AD363D"/>
    <w:rsid w:val="00AD386C"/>
    <w:rsid w:val="00AD3892"/>
    <w:rsid w:val="00AD3A0C"/>
    <w:rsid w:val="00AD3CAC"/>
    <w:rsid w:val="00AD3F5E"/>
    <w:rsid w:val="00AD3FC6"/>
    <w:rsid w:val="00AD43B3"/>
    <w:rsid w:val="00AD46AA"/>
    <w:rsid w:val="00AD47E6"/>
    <w:rsid w:val="00AD494E"/>
    <w:rsid w:val="00AD4BE5"/>
    <w:rsid w:val="00AD4E1E"/>
    <w:rsid w:val="00AD4ED4"/>
    <w:rsid w:val="00AD50AD"/>
    <w:rsid w:val="00AD53D4"/>
    <w:rsid w:val="00AD596A"/>
    <w:rsid w:val="00AD5A30"/>
    <w:rsid w:val="00AD5BE1"/>
    <w:rsid w:val="00AD5EEC"/>
    <w:rsid w:val="00AD5F24"/>
    <w:rsid w:val="00AD5FE2"/>
    <w:rsid w:val="00AD607C"/>
    <w:rsid w:val="00AD6131"/>
    <w:rsid w:val="00AD6250"/>
    <w:rsid w:val="00AD66BE"/>
    <w:rsid w:val="00AD675E"/>
    <w:rsid w:val="00AD67B5"/>
    <w:rsid w:val="00AD6AD3"/>
    <w:rsid w:val="00AD6D52"/>
    <w:rsid w:val="00AD6E42"/>
    <w:rsid w:val="00AD722A"/>
    <w:rsid w:val="00AD7286"/>
    <w:rsid w:val="00AD75CC"/>
    <w:rsid w:val="00AD75DB"/>
    <w:rsid w:val="00AD7F4A"/>
    <w:rsid w:val="00AD7FE9"/>
    <w:rsid w:val="00AE00A7"/>
    <w:rsid w:val="00AE0356"/>
    <w:rsid w:val="00AE04BC"/>
    <w:rsid w:val="00AE0961"/>
    <w:rsid w:val="00AE09FB"/>
    <w:rsid w:val="00AE0A2D"/>
    <w:rsid w:val="00AE0B90"/>
    <w:rsid w:val="00AE0F86"/>
    <w:rsid w:val="00AE10C9"/>
    <w:rsid w:val="00AE150A"/>
    <w:rsid w:val="00AE150C"/>
    <w:rsid w:val="00AE1529"/>
    <w:rsid w:val="00AE17FE"/>
    <w:rsid w:val="00AE19EC"/>
    <w:rsid w:val="00AE1B01"/>
    <w:rsid w:val="00AE1C8F"/>
    <w:rsid w:val="00AE2885"/>
    <w:rsid w:val="00AE28E4"/>
    <w:rsid w:val="00AE2AF7"/>
    <w:rsid w:val="00AE2B5B"/>
    <w:rsid w:val="00AE309D"/>
    <w:rsid w:val="00AE313D"/>
    <w:rsid w:val="00AE3455"/>
    <w:rsid w:val="00AE3739"/>
    <w:rsid w:val="00AE3A1E"/>
    <w:rsid w:val="00AE3AA3"/>
    <w:rsid w:val="00AE3D16"/>
    <w:rsid w:val="00AE3D37"/>
    <w:rsid w:val="00AE3E66"/>
    <w:rsid w:val="00AE4395"/>
    <w:rsid w:val="00AE4673"/>
    <w:rsid w:val="00AE48C9"/>
    <w:rsid w:val="00AE4AC3"/>
    <w:rsid w:val="00AE503A"/>
    <w:rsid w:val="00AE543B"/>
    <w:rsid w:val="00AE578C"/>
    <w:rsid w:val="00AE5BF9"/>
    <w:rsid w:val="00AE5F28"/>
    <w:rsid w:val="00AE5F32"/>
    <w:rsid w:val="00AE5F4E"/>
    <w:rsid w:val="00AE6898"/>
    <w:rsid w:val="00AE68F7"/>
    <w:rsid w:val="00AE69A7"/>
    <w:rsid w:val="00AE69E3"/>
    <w:rsid w:val="00AE6CD0"/>
    <w:rsid w:val="00AE734F"/>
    <w:rsid w:val="00AE7661"/>
    <w:rsid w:val="00AE7759"/>
    <w:rsid w:val="00AE7F77"/>
    <w:rsid w:val="00AE7FA5"/>
    <w:rsid w:val="00AF01C1"/>
    <w:rsid w:val="00AF0308"/>
    <w:rsid w:val="00AF067A"/>
    <w:rsid w:val="00AF07B2"/>
    <w:rsid w:val="00AF0EDB"/>
    <w:rsid w:val="00AF109E"/>
    <w:rsid w:val="00AF12C6"/>
    <w:rsid w:val="00AF13E3"/>
    <w:rsid w:val="00AF173E"/>
    <w:rsid w:val="00AF18AB"/>
    <w:rsid w:val="00AF1A2D"/>
    <w:rsid w:val="00AF24CA"/>
    <w:rsid w:val="00AF2656"/>
    <w:rsid w:val="00AF276B"/>
    <w:rsid w:val="00AF294A"/>
    <w:rsid w:val="00AF2C0B"/>
    <w:rsid w:val="00AF2DBC"/>
    <w:rsid w:val="00AF2FCC"/>
    <w:rsid w:val="00AF300E"/>
    <w:rsid w:val="00AF3824"/>
    <w:rsid w:val="00AF3D60"/>
    <w:rsid w:val="00AF3DFE"/>
    <w:rsid w:val="00AF3E8F"/>
    <w:rsid w:val="00AF4019"/>
    <w:rsid w:val="00AF4170"/>
    <w:rsid w:val="00AF423B"/>
    <w:rsid w:val="00AF44F8"/>
    <w:rsid w:val="00AF477F"/>
    <w:rsid w:val="00AF4CAF"/>
    <w:rsid w:val="00AF4DBF"/>
    <w:rsid w:val="00AF4FD5"/>
    <w:rsid w:val="00AF4FEA"/>
    <w:rsid w:val="00AF5754"/>
    <w:rsid w:val="00AF57E0"/>
    <w:rsid w:val="00AF584A"/>
    <w:rsid w:val="00AF5A7E"/>
    <w:rsid w:val="00AF5ACD"/>
    <w:rsid w:val="00AF5BE8"/>
    <w:rsid w:val="00AF60DE"/>
    <w:rsid w:val="00AF6110"/>
    <w:rsid w:val="00AF6226"/>
    <w:rsid w:val="00AF6393"/>
    <w:rsid w:val="00AF63E9"/>
    <w:rsid w:val="00AF6425"/>
    <w:rsid w:val="00AF646E"/>
    <w:rsid w:val="00AF685D"/>
    <w:rsid w:val="00AF686C"/>
    <w:rsid w:val="00AF6AC6"/>
    <w:rsid w:val="00AF7095"/>
    <w:rsid w:val="00AF70D8"/>
    <w:rsid w:val="00AF719C"/>
    <w:rsid w:val="00AF71C9"/>
    <w:rsid w:val="00AF72E9"/>
    <w:rsid w:val="00AF73AC"/>
    <w:rsid w:val="00AF7528"/>
    <w:rsid w:val="00AF7D99"/>
    <w:rsid w:val="00AF7E82"/>
    <w:rsid w:val="00B00014"/>
    <w:rsid w:val="00B00611"/>
    <w:rsid w:val="00B00A3D"/>
    <w:rsid w:val="00B013E3"/>
    <w:rsid w:val="00B016B7"/>
    <w:rsid w:val="00B018A1"/>
    <w:rsid w:val="00B01F1F"/>
    <w:rsid w:val="00B02141"/>
    <w:rsid w:val="00B02B88"/>
    <w:rsid w:val="00B02DD8"/>
    <w:rsid w:val="00B03037"/>
    <w:rsid w:val="00B0334E"/>
    <w:rsid w:val="00B03475"/>
    <w:rsid w:val="00B03484"/>
    <w:rsid w:val="00B03719"/>
    <w:rsid w:val="00B03720"/>
    <w:rsid w:val="00B037F3"/>
    <w:rsid w:val="00B03838"/>
    <w:rsid w:val="00B03A5A"/>
    <w:rsid w:val="00B03A82"/>
    <w:rsid w:val="00B03CED"/>
    <w:rsid w:val="00B03D16"/>
    <w:rsid w:val="00B04354"/>
    <w:rsid w:val="00B0461C"/>
    <w:rsid w:val="00B04663"/>
    <w:rsid w:val="00B048DB"/>
    <w:rsid w:val="00B049C5"/>
    <w:rsid w:val="00B04FD7"/>
    <w:rsid w:val="00B050CB"/>
    <w:rsid w:val="00B05316"/>
    <w:rsid w:val="00B054DE"/>
    <w:rsid w:val="00B05598"/>
    <w:rsid w:val="00B05686"/>
    <w:rsid w:val="00B05D70"/>
    <w:rsid w:val="00B06224"/>
    <w:rsid w:val="00B065B9"/>
    <w:rsid w:val="00B067F1"/>
    <w:rsid w:val="00B0684A"/>
    <w:rsid w:val="00B06909"/>
    <w:rsid w:val="00B06BA4"/>
    <w:rsid w:val="00B06BDC"/>
    <w:rsid w:val="00B06C45"/>
    <w:rsid w:val="00B06C9E"/>
    <w:rsid w:val="00B06FA2"/>
    <w:rsid w:val="00B071E8"/>
    <w:rsid w:val="00B0770C"/>
    <w:rsid w:val="00B07D14"/>
    <w:rsid w:val="00B07DB8"/>
    <w:rsid w:val="00B100A8"/>
    <w:rsid w:val="00B10118"/>
    <w:rsid w:val="00B101C7"/>
    <w:rsid w:val="00B101E6"/>
    <w:rsid w:val="00B10367"/>
    <w:rsid w:val="00B1044F"/>
    <w:rsid w:val="00B104BD"/>
    <w:rsid w:val="00B1069F"/>
    <w:rsid w:val="00B10737"/>
    <w:rsid w:val="00B108D4"/>
    <w:rsid w:val="00B109C0"/>
    <w:rsid w:val="00B10D0C"/>
    <w:rsid w:val="00B10D51"/>
    <w:rsid w:val="00B10D6B"/>
    <w:rsid w:val="00B10DEA"/>
    <w:rsid w:val="00B113DF"/>
    <w:rsid w:val="00B115AA"/>
    <w:rsid w:val="00B116F3"/>
    <w:rsid w:val="00B11706"/>
    <w:rsid w:val="00B11A85"/>
    <w:rsid w:val="00B11B47"/>
    <w:rsid w:val="00B11B7E"/>
    <w:rsid w:val="00B11BAA"/>
    <w:rsid w:val="00B11BCB"/>
    <w:rsid w:val="00B11D09"/>
    <w:rsid w:val="00B11E11"/>
    <w:rsid w:val="00B11E5A"/>
    <w:rsid w:val="00B11FC6"/>
    <w:rsid w:val="00B1232A"/>
    <w:rsid w:val="00B123A8"/>
    <w:rsid w:val="00B123D0"/>
    <w:rsid w:val="00B126BA"/>
    <w:rsid w:val="00B12777"/>
    <w:rsid w:val="00B12D67"/>
    <w:rsid w:val="00B13013"/>
    <w:rsid w:val="00B130FC"/>
    <w:rsid w:val="00B1325A"/>
    <w:rsid w:val="00B13489"/>
    <w:rsid w:val="00B1372B"/>
    <w:rsid w:val="00B13C94"/>
    <w:rsid w:val="00B13DCB"/>
    <w:rsid w:val="00B1470A"/>
    <w:rsid w:val="00B14BB1"/>
    <w:rsid w:val="00B150DB"/>
    <w:rsid w:val="00B154F0"/>
    <w:rsid w:val="00B157A5"/>
    <w:rsid w:val="00B157B6"/>
    <w:rsid w:val="00B159C7"/>
    <w:rsid w:val="00B15B1B"/>
    <w:rsid w:val="00B15BA3"/>
    <w:rsid w:val="00B15BAF"/>
    <w:rsid w:val="00B15DFC"/>
    <w:rsid w:val="00B15ED6"/>
    <w:rsid w:val="00B160CA"/>
    <w:rsid w:val="00B16126"/>
    <w:rsid w:val="00B16420"/>
    <w:rsid w:val="00B164E0"/>
    <w:rsid w:val="00B169DA"/>
    <w:rsid w:val="00B16BCB"/>
    <w:rsid w:val="00B16D7F"/>
    <w:rsid w:val="00B17505"/>
    <w:rsid w:val="00B17865"/>
    <w:rsid w:val="00B17D28"/>
    <w:rsid w:val="00B17FBC"/>
    <w:rsid w:val="00B20911"/>
    <w:rsid w:val="00B20995"/>
    <w:rsid w:val="00B20C13"/>
    <w:rsid w:val="00B20CCB"/>
    <w:rsid w:val="00B216D9"/>
    <w:rsid w:val="00B2197A"/>
    <w:rsid w:val="00B22173"/>
    <w:rsid w:val="00B221B5"/>
    <w:rsid w:val="00B2234B"/>
    <w:rsid w:val="00B223EF"/>
    <w:rsid w:val="00B2283A"/>
    <w:rsid w:val="00B22A41"/>
    <w:rsid w:val="00B22F4B"/>
    <w:rsid w:val="00B2324E"/>
    <w:rsid w:val="00B238E4"/>
    <w:rsid w:val="00B23A6B"/>
    <w:rsid w:val="00B23C92"/>
    <w:rsid w:val="00B243B0"/>
    <w:rsid w:val="00B24550"/>
    <w:rsid w:val="00B2462E"/>
    <w:rsid w:val="00B2484E"/>
    <w:rsid w:val="00B249FC"/>
    <w:rsid w:val="00B24CE9"/>
    <w:rsid w:val="00B25010"/>
    <w:rsid w:val="00B25147"/>
    <w:rsid w:val="00B2523A"/>
    <w:rsid w:val="00B254B8"/>
    <w:rsid w:val="00B25522"/>
    <w:rsid w:val="00B258EF"/>
    <w:rsid w:val="00B259DE"/>
    <w:rsid w:val="00B25A16"/>
    <w:rsid w:val="00B25C8C"/>
    <w:rsid w:val="00B25E36"/>
    <w:rsid w:val="00B2634E"/>
    <w:rsid w:val="00B264AF"/>
    <w:rsid w:val="00B268A9"/>
    <w:rsid w:val="00B26EBF"/>
    <w:rsid w:val="00B27212"/>
    <w:rsid w:val="00B27740"/>
    <w:rsid w:val="00B277C0"/>
    <w:rsid w:val="00B27975"/>
    <w:rsid w:val="00B27DE9"/>
    <w:rsid w:val="00B27FC2"/>
    <w:rsid w:val="00B31035"/>
    <w:rsid w:val="00B31526"/>
    <w:rsid w:val="00B31552"/>
    <w:rsid w:val="00B317E7"/>
    <w:rsid w:val="00B31A96"/>
    <w:rsid w:val="00B31C0F"/>
    <w:rsid w:val="00B3227C"/>
    <w:rsid w:val="00B328AA"/>
    <w:rsid w:val="00B32B55"/>
    <w:rsid w:val="00B32B64"/>
    <w:rsid w:val="00B32E0F"/>
    <w:rsid w:val="00B32FB1"/>
    <w:rsid w:val="00B33468"/>
    <w:rsid w:val="00B338FB"/>
    <w:rsid w:val="00B33A0F"/>
    <w:rsid w:val="00B33A57"/>
    <w:rsid w:val="00B33F18"/>
    <w:rsid w:val="00B34083"/>
    <w:rsid w:val="00B34226"/>
    <w:rsid w:val="00B34744"/>
    <w:rsid w:val="00B34809"/>
    <w:rsid w:val="00B34883"/>
    <w:rsid w:val="00B34BB8"/>
    <w:rsid w:val="00B34BD6"/>
    <w:rsid w:val="00B34C57"/>
    <w:rsid w:val="00B34F90"/>
    <w:rsid w:val="00B34FFF"/>
    <w:rsid w:val="00B3503D"/>
    <w:rsid w:val="00B35056"/>
    <w:rsid w:val="00B3512A"/>
    <w:rsid w:val="00B3514C"/>
    <w:rsid w:val="00B35392"/>
    <w:rsid w:val="00B353EE"/>
    <w:rsid w:val="00B357EE"/>
    <w:rsid w:val="00B35B4B"/>
    <w:rsid w:val="00B35BC4"/>
    <w:rsid w:val="00B35C29"/>
    <w:rsid w:val="00B3667E"/>
    <w:rsid w:val="00B36704"/>
    <w:rsid w:val="00B3678D"/>
    <w:rsid w:val="00B3693B"/>
    <w:rsid w:val="00B36C36"/>
    <w:rsid w:val="00B3717D"/>
    <w:rsid w:val="00B37322"/>
    <w:rsid w:val="00B37514"/>
    <w:rsid w:val="00B37728"/>
    <w:rsid w:val="00B3776A"/>
    <w:rsid w:val="00B37935"/>
    <w:rsid w:val="00B37E37"/>
    <w:rsid w:val="00B37E88"/>
    <w:rsid w:val="00B4020A"/>
    <w:rsid w:val="00B404C4"/>
    <w:rsid w:val="00B40593"/>
    <w:rsid w:val="00B40949"/>
    <w:rsid w:val="00B40BAC"/>
    <w:rsid w:val="00B40C37"/>
    <w:rsid w:val="00B41288"/>
    <w:rsid w:val="00B41318"/>
    <w:rsid w:val="00B418DF"/>
    <w:rsid w:val="00B41984"/>
    <w:rsid w:val="00B41B52"/>
    <w:rsid w:val="00B41DEB"/>
    <w:rsid w:val="00B41F57"/>
    <w:rsid w:val="00B426BF"/>
    <w:rsid w:val="00B4291E"/>
    <w:rsid w:val="00B42A38"/>
    <w:rsid w:val="00B42ADE"/>
    <w:rsid w:val="00B42EA7"/>
    <w:rsid w:val="00B43277"/>
    <w:rsid w:val="00B432C6"/>
    <w:rsid w:val="00B4338B"/>
    <w:rsid w:val="00B435E3"/>
    <w:rsid w:val="00B43827"/>
    <w:rsid w:val="00B43C7F"/>
    <w:rsid w:val="00B43CF1"/>
    <w:rsid w:val="00B43E60"/>
    <w:rsid w:val="00B43EEA"/>
    <w:rsid w:val="00B43F09"/>
    <w:rsid w:val="00B43F60"/>
    <w:rsid w:val="00B44205"/>
    <w:rsid w:val="00B444AF"/>
    <w:rsid w:val="00B449C8"/>
    <w:rsid w:val="00B449E9"/>
    <w:rsid w:val="00B44F50"/>
    <w:rsid w:val="00B44F9C"/>
    <w:rsid w:val="00B4505E"/>
    <w:rsid w:val="00B450AB"/>
    <w:rsid w:val="00B45373"/>
    <w:rsid w:val="00B4541C"/>
    <w:rsid w:val="00B45702"/>
    <w:rsid w:val="00B458E7"/>
    <w:rsid w:val="00B45A78"/>
    <w:rsid w:val="00B45C64"/>
    <w:rsid w:val="00B45DB8"/>
    <w:rsid w:val="00B46207"/>
    <w:rsid w:val="00B466F6"/>
    <w:rsid w:val="00B4678F"/>
    <w:rsid w:val="00B467CE"/>
    <w:rsid w:val="00B46A32"/>
    <w:rsid w:val="00B46A60"/>
    <w:rsid w:val="00B46B29"/>
    <w:rsid w:val="00B46CD0"/>
    <w:rsid w:val="00B46D6D"/>
    <w:rsid w:val="00B46EF4"/>
    <w:rsid w:val="00B46F85"/>
    <w:rsid w:val="00B46FE3"/>
    <w:rsid w:val="00B47298"/>
    <w:rsid w:val="00B472E9"/>
    <w:rsid w:val="00B476E0"/>
    <w:rsid w:val="00B47746"/>
    <w:rsid w:val="00B4785A"/>
    <w:rsid w:val="00B47896"/>
    <w:rsid w:val="00B47954"/>
    <w:rsid w:val="00B47BF7"/>
    <w:rsid w:val="00B47C01"/>
    <w:rsid w:val="00B50125"/>
    <w:rsid w:val="00B502B3"/>
    <w:rsid w:val="00B5034A"/>
    <w:rsid w:val="00B50765"/>
    <w:rsid w:val="00B50A40"/>
    <w:rsid w:val="00B50E9E"/>
    <w:rsid w:val="00B50EE3"/>
    <w:rsid w:val="00B51177"/>
    <w:rsid w:val="00B51437"/>
    <w:rsid w:val="00B51657"/>
    <w:rsid w:val="00B51B18"/>
    <w:rsid w:val="00B51D59"/>
    <w:rsid w:val="00B51EBB"/>
    <w:rsid w:val="00B51F27"/>
    <w:rsid w:val="00B5209E"/>
    <w:rsid w:val="00B520D2"/>
    <w:rsid w:val="00B5230B"/>
    <w:rsid w:val="00B525E6"/>
    <w:rsid w:val="00B52648"/>
    <w:rsid w:val="00B528DF"/>
    <w:rsid w:val="00B529FF"/>
    <w:rsid w:val="00B52ABC"/>
    <w:rsid w:val="00B52BE4"/>
    <w:rsid w:val="00B52E18"/>
    <w:rsid w:val="00B53547"/>
    <w:rsid w:val="00B53597"/>
    <w:rsid w:val="00B53784"/>
    <w:rsid w:val="00B537EF"/>
    <w:rsid w:val="00B53918"/>
    <w:rsid w:val="00B542FF"/>
    <w:rsid w:val="00B54690"/>
    <w:rsid w:val="00B548EB"/>
    <w:rsid w:val="00B5494B"/>
    <w:rsid w:val="00B54A2D"/>
    <w:rsid w:val="00B54C75"/>
    <w:rsid w:val="00B54E69"/>
    <w:rsid w:val="00B550D8"/>
    <w:rsid w:val="00B55114"/>
    <w:rsid w:val="00B5524F"/>
    <w:rsid w:val="00B55322"/>
    <w:rsid w:val="00B556E4"/>
    <w:rsid w:val="00B55834"/>
    <w:rsid w:val="00B55B1D"/>
    <w:rsid w:val="00B55C8D"/>
    <w:rsid w:val="00B55D3E"/>
    <w:rsid w:val="00B565E5"/>
    <w:rsid w:val="00B56F38"/>
    <w:rsid w:val="00B5711C"/>
    <w:rsid w:val="00B57642"/>
    <w:rsid w:val="00B5791A"/>
    <w:rsid w:val="00B57921"/>
    <w:rsid w:val="00B57938"/>
    <w:rsid w:val="00B57B8D"/>
    <w:rsid w:val="00B57CE6"/>
    <w:rsid w:val="00B57F29"/>
    <w:rsid w:val="00B57F41"/>
    <w:rsid w:val="00B60119"/>
    <w:rsid w:val="00B60122"/>
    <w:rsid w:val="00B6042B"/>
    <w:rsid w:val="00B60725"/>
    <w:rsid w:val="00B60BF9"/>
    <w:rsid w:val="00B60E64"/>
    <w:rsid w:val="00B610F4"/>
    <w:rsid w:val="00B61100"/>
    <w:rsid w:val="00B6141E"/>
    <w:rsid w:val="00B61502"/>
    <w:rsid w:val="00B61509"/>
    <w:rsid w:val="00B61619"/>
    <w:rsid w:val="00B6182A"/>
    <w:rsid w:val="00B619F4"/>
    <w:rsid w:val="00B61A01"/>
    <w:rsid w:val="00B61E84"/>
    <w:rsid w:val="00B61F4E"/>
    <w:rsid w:val="00B62197"/>
    <w:rsid w:val="00B6243D"/>
    <w:rsid w:val="00B62590"/>
    <w:rsid w:val="00B626C0"/>
    <w:rsid w:val="00B62700"/>
    <w:rsid w:val="00B62C7B"/>
    <w:rsid w:val="00B62F20"/>
    <w:rsid w:val="00B62FC8"/>
    <w:rsid w:val="00B6327D"/>
    <w:rsid w:val="00B632FF"/>
    <w:rsid w:val="00B63408"/>
    <w:rsid w:val="00B638DF"/>
    <w:rsid w:val="00B6393A"/>
    <w:rsid w:val="00B63970"/>
    <w:rsid w:val="00B640BD"/>
    <w:rsid w:val="00B6416E"/>
    <w:rsid w:val="00B64372"/>
    <w:rsid w:val="00B646A9"/>
    <w:rsid w:val="00B64AA0"/>
    <w:rsid w:val="00B64C7F"/>
    <w:rsid w:val="00B651B5"/>
    <w:rsid w:val="00B6531A"/>
    <w:rsid w:val="00B6566A"/>
    <w:rsid w:val="00B65AF3"/>
    <w:rsid w:val="00B6634B"/>
    <w:rsid w:val="00B66381"/>
    <w:rsid w:val="00B663F1"/>
    <w:rsid w:val="00B66400"/>
    <w:rsid w:val="00B665F0"/>
    <w:rsid w:val="00B6684C"/>
    <w:rsid w:val="00B66E5E"/>
    <w:rsid w:val="00B66FA2"/>
    <w:rsid w:val="00B670BA"/>
    <w:rsid w:val="00B67271"/>
    <w:rsid w:val="00B6729F"/>
    <w:rsid w:val="00B676A3"/>
    <w:rsid w:val="00B676E1"/>
    <w:rsid w:val="00B67987"/>
    <w:rsid w:val="00B7006C"/>
    <w:rsid w:val="00B706E2"/>
    <w:rsid w:val="00B70A8C"/>
    <w:rsid w:val="00B71942"/>
    <w:rsid w:val="00B720D4"/>
    <w:rsid w:val="00B721B4"/>
    <w:rsid w:val="00B7222D"/>
    <w:rsid w:val="00B7267A"/>
    <w:rsid w:val="00B72755"/>
    <w:rsid w:val="00B72988"/>
    <w:rsid w:val="00B72EDE"/>
    <w:rsid w:val="00B72F6C"/>
    <w:rsid w:val="00B72FEF"/>
    <w:rsid w:val="00B7307F"/>
    <w:rsid w:val="00B730C2"/>
    <w:rsid w:val="00B7353A"/>
    <w:rsid w:val="00B7361F"/>
    <w:rsid w:val="00B73788"/>
    <w:rsid w:val="00B73B14"/>
    <w:rsid w:val="00B742DF"/>
    <w:rsid w:val="00B744FE"/>
    <w:rsid w:val="00B74BA0"/>
    <w:rsid w:val="00B74D60"/>
    <w:rsid w:val="00B74E9A"/>
    <w:rsid w:val="00B74F9A"/>
    <w:rsid w:val="00B754A4"/>
    <w:rsid w:val="00B754C1"/>
    <w:rsid w:val="00B755ED"/>
    <w:rsid w:val="00B75608"/>
    <w:rsid w:val="00B75682"/>
    <w:rsid w:val="00B757F1"/>
    <w:rsid w:val="00B7594E"/>
    <w:rsid w:val="00B759AA"/>
    <w:rsid w:val="00B75B4F"/>
    <w:rsid w:val="00B75C4A"/>
    <w:rsid w:val="00B75DB8"/>
    <w:rsid w:val="00B760B4"/>
    <w:rsid w:val="00B76292"/>
    <w:rsid w:val="00B768C2"/>
    <w:rsid w:val="00B76BDD"/>
    <w:rsid w:val="00B76C3E"/>
    <w:rsid w:val="00B76C7B"/>
    <w:rsid w:val="00B76D3B"/>
    <w:rsid w:val="00B76DBB"/>
    <w:rsid w:val="00B7778F"/>
    <w:rsid w:val="00B77A73"/>
    <w:rsid w:val="00B77B49"/>
    <w:rsid w:val="00B77BBF"/>
    <w:rsid w:val="00B77D2C"/>
    <w:rsid w:val="00B77D47"/>
    <w:rsid w:val="00B77DAE"/>
    <w:rsid w:val="00B77F1D"/>
    <w:rsid w:val="00B77F57"/>
    <w:rsid w:val="00B80135"/>
    <w:rsid w:val="00B8020C"/>
    <w:rsid w:val="00B804A4"/>
    <w:rsid w:val="00B80772"/>
    <w:rsid w:val="00B808D1"/>
    <w:rsid w:val="00B80B50"/>
    <w:rsid w:val="00B80D29"/>
    <w:rsid w:val="00B80E20"/>
    <w:rsid w:val="00B812BB"/>
    <w:rsid w:val="00B81389"/>
    <w:rsid w:val="00B81AA6"/>
    <w:rsid w:val="00B81BB9"/>
    <w:rsid w:val="00B81C48"/>
    <w:rsid w:val="00B81E73"/>
    <w:rsid w:val="00B81F24"/>
    <w:rsid w:val="00B823A7"/>
    <w:rsid w:val="00B82567"/>
    <w:rsid w:val="00B82627"/>
    <w:rsid w:val="00B82D02"/>
    <w:rsid w:val="00B82F1A"/>
    <w:rsid w:val="00B82F90"/>
    <w:rsid w:val="00B83233"/>
    <w:rsid w:val="00B83298"/>
    <w:rsid w:val="00B83403"/>
    <w:rsid w:val="00B8358F"/>
    <w:rsid w:val="00B83A4B"/>
    <w:rsid w:val="00B84331"/>
    <w:rsid w:val="00B84913"/>
    <w:rsid w:val="00B84A8E"/>
    <w:rsid w:val="00B84B30"/>
    <w:rsid w:val="00B84B6C"/>
    <w:rsid w:val="00B84BD6"/>
    <w:rsid w:val="00B84DB6"/>
    <w:rsid w:val="00B84EED"/>
    <w:rsid w:val="00B84F29"/>
    <w:rsid w:val="00B85195"/>
    <w:rsid w:val="00B85271"/>
    <w:rsid w:val="00B8528E"/>
    <w:rsid w:val="00B85CC7"/>
    <w:rsid w:val="00B8604F"/>
    <w:rsid w:val="00B8624B"/>
    <w:rsid w:val="00B863FC"/>
    <w:rsid w:val="00B86804"/>
    <w:rsid w:val="00B8693B"/>
    <w:rsid w:val="00B86978"/>
    <w:rsid w:val="00B86AF9"/>
    <w:rsid w:val="00B86DB3"/>
    <w:rsid w:val="00B871F0"/>
    <w:rsid w:val="00B8727B"/>
    <w:rsid w:val="00B87403"/>
    <w:rsid w:val="00B8751C"/>
    <w:rsid w:val="00B87802"/>
    <w:rsid w:val="00B878A7"/>
    <w:rsid w:val="00B878BC"/>
    <w:rsid w:val="00B87951"/>
    <w:rsid w:val="00B879CE"/>
    <w:rsid w:val="00B87A7D"/>
    <w:rsid w:val="00B87BCE"/>
    <w:rsid w:val="00B87D8E"/>
    <w:rsid w:val="00B900D4"/>
    <w:rsid w:val="00B902F1"/>
    <w:rsid w:val="00B9089D"/>
    <w:rsid w:val="00B90A0B"/>
    <w:rsid w:val="00B90AA7"/>
    <w:rsid w:val="00B90D03"/>
    <w:rsid w:val="00B90E63"/>
    <w:rsid w:val="00B911F2"/>
    <w:rsid w:val="00B9127A"/>
    <w:rsid w:val="00B9137B"/>
    <w:rsid w:val="00B91453"/>
    <w:rsid w:val="00B9164E"/>
    <w:rsid w:val="00B91A26"/>
    <w:rsid w:val="00B9230E"/>
    <w:rsid w:val="00B9230F"/>
    <w:rsid w:val="00B923CA"/>
    <w:rsid w:val="00B925CD"/>
    <w:rsid w:val="00B92825"/>
    <w:rsid w:val="00B928C4"/>
    <w:rsid w:val="00B92AB6"/>
    <w:rsid w:val="00B92B39"/>
    <w:rsid w:val="00B92FA9"/>
    <w:rsid w:val="00B93311"/>
    <w:rsid w:val="00B93798"/>
    <w:rsid w:val="00B937A5"/>
    <w:rsid w:val="00B937BA"/>
    <w:rsid w:val="00B93809"/>
    <w:rsid w:val="00B93868"/>
    <w:rsid w:val="00B938DC"/>
    <w:rsid w:val="00B939A2"/>
    <w:rsid w:val="00B93C1B"/>
    <w:rsid w:val="00B93CFF"/>
    <w:rsid w:val="00B940D0"/>
    <w:rsid w:val="00B941ED"/>
    <w:rsid w:val="00B9426F"/>
    <w:rsid w:val="00B94335"/>
    <w:rsid w:val="00B9443B"/>
    <w:rsid w:val="00B944A0"/>
    <w:rsid w:val="00B944B6"/>
    <w:rsid w:val="00B94569"/>
    <w:rsid w:val="00B9484A"/>
    <w:rsid w:val="00B94879"/>
    <w:rsid w:val="00B94887"/>
    <w:rsid w:val="00B94D92"/>
    <w:rsid w:val="00B95273"/>
    <w:rsid w:val="00B95429"/>
    <w:rsid w:val="00B95530"/>
    <w:rsid w:val="00B957B9"/>
    <w:rsid w:val="00B95855"/>
    <w:rsid w:val="00B95AD0"/>
    <w:rsid w:val="00B95BE2"/>
    <w:rsid w:val="00B95D96"/>
    <w:rsid w:val="00B95F11"/>
    <w:rsid w:val="00B95FBC"/>
    <w:rsid w:val="00B9655A"/>
    <w:rsid w:val="00B96777"/>
    <w:rsid w:val="00B96A15"/>
    <w:rsid w:val="00B96B5C"/>
    <w:rsid w:val="00B96CDE"/>
    <w:rsid w:val="00B96E12"/>
    <w:rsid w:val="00B972F0"/>
    <w:rsid w:val="00B97943"/>
    <w:rsid w:val="00B979EE"/>
    <w:rsid w:val="00B97A8A"/>
    <w:rsid w:val="00B97ACA"/>
    <w:rsid w:val="00B97AD7"/>
    <w:rsid w:val="00B97B96"/>
    <w:rsid w:val="00B97F5C"/>
    <w:rsid w:val="00BA0002"/>
    <w:rsid w:val="00BA0033"/>
    <w:rsid w:val="00BA012A"/>
    <w:rsid w:val="00BA0152"/>
    <w:rsid w:val="00BA019E"/>
    <w:rsid w:val="00BA05EC"/>
    <w:rsid w:val="00BA0B59"/>
    <w:rsid w:val="00BA0D13"/>
    <w:rsid w:val="00BA0FC7"/>
    <w:rsid w:val="00BA12A2"/>
    <w:rsid w:val="00BA1360"/>
    <w:rsid w:val="00BA168B"/>
    <w:rsid w:val="00BA17DE"/>
    <w:rsid w:val="00BA1810"/>
    <w:rsid w:val="00BA18C8"/>
    <w:rsid w:val="00BA206E"/>
    <w:rsid w:val="00BA2191"/>
    <w:rsid w:val="00BA230D"/>
    <w:rsid w:val="00BA23CC"/>
    <w:rsid w:val="00BA24E0"/>
    <w:rsid w:val="00BA24EC"/>
    <w:rsid w:val="00BA2837"/>
    <w:rsid w:val="00BA2952"/>
    <w:rsid w:val="00BA2C95"/>
    <w:rsid w:val="00BA2D91"/>
    <w:rsid w:val="00BA2F9B"/>
    <w:rsid w:val="00BA303A"/>
    <w:rsid w:val="00BA32B2"/>
    <w:rsid w:val="00BA3359"/>
    <w:rsid w:val="00BA35C7"/>
    <w:rsid w:val="00BA35E8"/>
    <w:rsid w:val="00BA36B0"/>
    <w:rsid w:val="00BA3717"/>
    <w:rsid w:val="00BA386D"/>
    <w:rsid w:val="00BA38F6"/>
    <w:rsid w:val="00BA3DA3"/>
    <w:rsid w:val="00BA3DAC"/>
    <w:rsid w:val="00BA40EA"/>
    <w:rsid w:val="00BA4716"/>
    <w:rsid w:val="00BA4800"/>
    <w:rsid w:val="00BA4B10"/>
    <w:rsid w:val="00BA4B7E"/>
    <w:rsid w:val="00BA4C59"/>
    <w:rsid w:val="00BA4C9E"/>
    <w:rsid w:val="00BA4D9D"/>
    <w:rsid w:val="00BA4EC4"/>
    <w:rsid w:val="00BA4F83"/>
    <w:rsid w:val="00BA53D4"/>
    <w:rsid w:val="00BA55A6"/>
    <w:rsid w:val="00BA56C3"/>
    <w:rsid w:val="00BA57D4"/>
    <w:rsid w:val="00BA60C8"/>
    <w:rsid w:val="00BA624A"/>
    <w:rsid w:val="00BA659D"/>
    <w:rsid w:val="00BA65E5"/>
    <w:rsid w:val="00BA68D1"/>
    <w:rsid w:val="00BA6C65"/>
    <w:rsid w:val="00BA6CEE"/>
    <w:rsid w:val="00BA70B4"/>
    <w:rsid w:val="00BA710F"/>
    <w:rsid w:val="00BA752C"/>
    <w:rsid w:val="00BA75E4"/>
    <w:rsid w:val="00BA7903"/>
    <w:rsid w:val="00BA7A62"/>
    <w:rsid w:val="00BA7D37"/>
    <w:rsid w:val="00BA7DB3"/>
    <w:rsid w:val="00BB0386"/>
    <w:rsid w:val="00BB09DF"/>
    <w:rsid w:val="00BB0D58"/>
    <w:rsid w:val="00BB0E7F"/>
    <w:rsid w:val="00BB0F75"/>
    <w:rsid w:val="00BB0F98"/>
    <w:rsid w:val="00BB128A"/>
    <w:rsid w:val="00BB13D3"/>
    <w:rsid w:val="00BB1816"/>
    <w:rsid w:val="00BB1A79"/>
    <w:rsid w:val="00BB1B43"/>
    <w:rsid w:val="00BB1B4C"/>
    <w:rsid w:val="00BB1E4B"/>
    <w:rsid w:val="00BB2028"/>
    <w:rsid w:val="00BB210A"/>
    <w:rsid w:val="00BB21C7"/>
    <w:rsid w:val="00BB2642"/>
    <w:rsid w:val="00BB2ACB"/>
    <w:rsid w:val="00BB2B29"/>
    <w:rsid w:val="00BB2BBC"/>
    <w:rsid w:val="00BB2C79"/>
    <w:rsid w:val="00BB34D1"/>
    <w:rsid w:val="00BB36E3"/>
    <w:rsid w:val="00BB3ED9"/>
    <w:rsid w:val="00BB3FC5"/>
    <w:rsid w:val="00BB405D"/>
    <w:rsid w:val="00BB40AB"/>
    <w:rsid w:val="00BB4226"/>
    <w:rsid w:val="00BB43D7"/>
    <w:rsid w:val="00BB4456"/>
    <w:rsid w:val="00BB4627"/>
    <w:rsid w:val="00BB4645"/>
    <w:rsid w:val="00BB4860"/>
    <w:rsid w:val="00BB48D2"/>
    <w:rsid w:val="00BB4A61"/>
    <w:rsid w:val="00BB4BCA"/>
    <w:rsid w:val="00BB4C11"/>
    <w:rsid w:val="00BB551D"/>
    <w:rsid w:val="00BB5C2F"/>
    <w:rsid w:val="00BB5D8E"/>
    <w:rsid w:val="00BB60A2"/>
    <w:rsid w:val="00BB6281"/>
    <w:rsid w:val="00BB6372"/>
    <w:rsid w:val="00BB63F0"/>
    <w:rsid w:val="00BB64D6"/>
    <w:rsid w:val="00BB68CE"/>
    <w:rsid w:val="00BB6B54"/>
    <w:rsid w:val="00BB702E"/>
    <w:rsid w:val="00BB7751"/>
    <w:rsid w:val="00BB7B9C"/>
    <w:rsid w:val="00BC0101"/>
    <w:rsid w:val="00BC01D8"/>
    <w:rsid w:val="00BC047C"/>
    <w:rsid w:val="00BC09FB"/>
    <w:rsid w:val="00BC0A2C"/>
    <w:rsid w:val="00BC0A61"/>
    <w:rsid w:val="00BC0B2E"/>
    <w:rsid w:val="00BC0DA4"/>
    <w:rsid w:val="00BC0F67"/>
    <w:rsid w:val="00BC1C86"/>
    <w:rsid w:val="00BC1E27"/>
    <w:rsid w:val="00BC1EF5"/>
    <w:rsid w:val="00BC2098"/>
    <w:rsid w:val="00BC20C8"/>
    <w:rsid w:val="00BC24D8"/>
    <w:rsid w:val="00BC253C"/>
    <w:rsid w:val="00BC2605"/>
    <w:rsid w:val="00BC2790"/>
    <w:rsid w:val="00BC28D1"/>
    <w:rsid w:val="00BC2B3B"/>
    <w:rsid w:val="00BC2B7D"/>
    <w:rsid w:val="00BC2BC9"/>
    <w:rsid w:val="00BC2EFC"/>
    <w:rsid w:val="00BC31AA"/>
    <w:rsid w:val="00BC3232"/>
    <w:rsid w:val="00BC36A7"/>
    <w:rsid w:val="00BC39FC"/>
    <w:rsid w:val="00BC3A6A"/>
    <w:rsid w:val="00BC4008"/>
    <w:rsid w:val="00BC404D"/>
    <w:rsid w:val="00BC4198"/>
    <w:rsid w:val="00BC453F"/>
    <w:rsid w:val="00BC4579"/>
    <w:rsid w:val="00BC463D"/>
    <w:rsid w:val="00BC4661"/>
    <w:rsid w:val="00BC47AE"/>
    <w:rsid w:val="00BC49B1"/>
    <w:rsid w:val="00BC4A8D"/>
    <w:rsid w:val="00BC4ABD"/>
    <w:rsid w:val="00BC4ACA"/>
    <w:rsid w:val="00BC4C08"/>
    <w:rsid w:val="00BC4D34"/>
    <w:rsid w:val="00BC4F8B"/>
    <w:rsid w:val="00BC520B"/>
    <w:rsid w:val="00BC5799"/>
    <w:rsid w:val="00BC5983"/>
    <w:rsid w:val="00BC60F9"/>
    <w:rsid w:val="00BC6254"/>
    <w:rsid w:val="00BC62C2"/>
    <w:rsid w:val="00BC6517"/>
    <w:rsid w:val="00BC65C6"/>
    <w:rsid w:val="00BC695E"/>
    <w:rsid w:val="00BC6E8B"/>
    <w:rsid w:val="00BC6EBC"/>
    <w:rsid w:val="00BC70FE"/>
    <w:rsid w:val="00BC72DD"/>
    <w:rsid w:val="00BC7606"/>
    <w:rsid w:val="00BC79D1"/>
    <w:rsid w:val="00BC7D96"/>
    <w:rsid w:val="00BC7E46"/>
    <w:rsid w:val="00BC7E70"/>
    <w:rsid w:val="00BD01BF"/>
    <w:rsid w:val="00BD076C"/>
    <w:rsid w:val="00BD0955"/>
    <w:rsid w:val="00BD0A08"/>
    <w:rsid w:val="00BD0B1B"/>
    <w:rsid w:val="00BD0BB6"/>
    <w:rsid w:val="00BD11D4"/>
    <w:rsid w:val="00BD13E7"/>
    <w:rsid w:val="00BD1464"/>
    <w:rsid w:val="00BD165F"/>
    <w:rsid w:val="00BD1940"/>
    <w:rsid w:val="00BD1BDE"/>
    <w:rsid w:val="00BD1E9F"/>
    <w:rsid w:val="00BD1EFC"/>
    <w:rsid w:val="00BD21B0"/>
    <w:rsid w:val="00BD2853"/>
    <w:rsid w:val="00BD2C45"/>
    <w:rsid w:val="00BD2CDA"/>
    <w:rsid w:val="00BD2F79"/>
    <w:rsid w:val="00BD333E"/>
    <w:rsid w:val="00BD3438"/>
    <w:rsid w:val="00BD3D24"/>
    <w:rsid w:val="00BD4645"/>
    <w:rsid w:val="00BD469D"/>
    <w:rsid w:val="00BD49FD"/>
    <w:rsid w:val="00BD4A85"/>
    <w:rsid w:val="00BD4B1A"/>
    <w:rsid w:val="00BD4EB9"/>
    <w:rsid w:val="00BD58DC"/>
    <w:rsid w:val="00BD5C5C"/>
    <w:rsid w:val="00BD5EE5"/>
    <w:rsid w:val="00BD609E"/>
    <w:rsid w:val="00BD62E0"/>
    <w:rsid w:val="00BD6373"/>
    <w:rsid w:val="00BD640F"/>
    <w:rsid w:val="00BD6551"/>
    <w:rsid w:val="00BD67FF"/>
    <w:rsid w:val="00BD6A77"/>
    <w:rsid w:val="00BD6C77"/>
    <w:rsid w:val="00BD6C86"/>
    <w:rsid w:val="00BD6D22"/>
    <w:rsid w:val="00BD6D7E"/>
    <w:rsid w:val="00BD6EBA"/>
    <w:rsid w:val="00BD6EEE"/>
    <w:rsid w:val="00BD7B2F"/>
    <w:rsid w:val="00BD7B3E"/>
    <w:rsid w:val="00BD7C26"/>
    <w:rsid w:val="00BD7D75"/>
    <w:rsid w:val="00BD7DD8"/>
    <w:rsid w:val="00BD7ECF"/>
    <w:rsid w:val="00BE0358"/>
    <w:rsid w:val="00BE0854"/>
    <w:rsid w:val="00BE0AAC"/>
    <w:rsid w:val="00BE0C60"/>
    <w:rsid w:val="00BE0CA9"/>
    <w:rsid w:val="00BE0D4A"/>
    <w:rsid w:val="00BE158A"/>
    <w:rsid w:val="00BE1650"/>
    <w:rsid w:val="00BE1BA4"/>
    <w:rsid w:val="00BE1FDD"/>
    <w:rsid w:val="00BE206D"/>
    <w:rsid w:val="00BE2344"/>
    <w:rsid w:val="00BE24E5"/>
    <w:rsid w:val="00BE27F2"/>
    <w:rsid w:val="00BE2855"/>
    <w:rsid w:val="00BE2ACF"/>
    <w:rsid w:val="00BE2ADC"/>
    <w:rsid w:val="00BE2AE5"/>
    <w:rsid w:val="00BE2FE9"/>
    <w:rsid w:val="00BE35B0"/>
    <w:rsid w:val="00BE36E0"/>
    <w:rsid w:val="00BE38A2"/>
    <w:rsid w:val="00BE3CCE"/>
    <w:rsid w:val="00BE3E6B"/>
    <w:rsid w:val="00BE409A"/>
    <w:rsid w:val="00BE4768"/>
    <w:rsid w:val="00BE48AD"/>
    <w:rsid w:val="00BE491C"/>
    <w:rsid w:val="00BE4945"/>
    <w:rsid w:val="00BE49A1"/>
    <w:rsid w:val="00BE4D48"/>
    <w:rsid w:val="00BE536D"/>
    <w:rsid w:val="00BE5447"/>
    <w:rsid w:val="00BE55AE"/>
    <w:rsid w:val="00BE5960"/>
    <w:rsid w:val="00BE59A1"/>
    <w:rsid w:val="00BE5A5F"/>
    <w:rsid w:val="00BE6000"/>
    <w:rsid w:val="00BE602B"/>
    <w:rsid w:val="00BE63AF"/>
    <w:rsid w:val="00BE6B6F"/>
    <w:rsid w:val="00BE6EC8"/>
    <w:rsid w:val="00BE6FA7"/>
    <w:rsid w:val="00BE71AE"/>
    <w:rsid w:val="00BE71BD"/>
    <w:rsid w:val="00BE7238"/>
    <w:rsid w:val="00BE7398"/>
    <w:rsid w:val="00BE7465"/>
    <w:rsid w:val="00BE769B"/>
    <w:rsid w:val="00BE77DD"/>
    <w:rsid w:val="00BE7C40"/>
    <w:rsid w:val="00BE7E8A"/>
    <w:rsid w:val="00BF00AA"/>
    <w:rsid w:val="00BF00D1"/>
    <w:rsid w:val="00BF0128"/>
    <w:rsid w:val="00BF01CB"/>
    <w:rsid w:val="00BF02A3"/>
    <w:rsid w:val="00BF0BA7"/>
    <w:rsid w:val="00BF0BD7"/>
    <w:rsid w:val="00BF0C46"/>
    <w:rsid w:val="00BF0CD1"/>
    <w:rsid w:val="00BF0D9D"/>
    <w:rsid w:val="00BF1224"/>
    <w:rsid w:val="00BF1710"/>
    <w:rsid w:val="00BF178F"/>
    <w:rsid w:val="00BF183C"/>
    <w:rsid w:val="00BF1AF1"/>
    <w:rsid w:val="00BF1CBD"/>
    <w:rsid w:val="00BF1FD8"/>
    <w:rsid w:val="00BF1FFA"/>
    <w:rsid w:val="00BF20E8"/>
    <w:rsid w:val="00BF2C44"/>
    <w:rsid w:val="00BF2D81"/>
    <w:rsid w:val="00BF3782"/>
    <w:rsid w:val="00BF38CD"/>
    <w:rsid w:val="00BF38DC"/>
    <w:rsid w:val="00BF3957"/>
    <w:rsid w:val="00BF3BCA"/>
    <w:rsid w:val="00BF4380"/>
    <w:rsid w:val="00BF43A0"/>
    <w:rsid w:val="00BF441F"/>
    <w:rsid w:val="00BF4844"/>
    <w:rsid w:val="00BF5997"/>
    <w:rsid w:val="00BF59CA"/>
    <w:rsid w:val="00BF5BDD"/>
    <w:rsid w:val="00BF5C2B"/>
    <w:rsid w:val="00BF5C35"/>
    <w:rsid w:val="00BF5C7E"/>
    <w:rsid w:val="00BF6050"/>
    <w:rsid w:val="00BF635A"/>
    <w:rsid w:val="00BF63B6"/>
    <w:rsid w:val="00BF66EE"/>
    <w:rsid w:val="00BF684A"/>
    <w:rsid w:val="00BF7001"/>
    <w:rsid w:val="00BF71A3"/>
    <w:rsid w:val="00BF75A1"/>
    <w:rsid w:val="00BF7680"/>
    <w:rsid w:val="00BF76D6"/>
    <w:rsid w:val="00BF796C"/>
    <w:rsid w:val="00BF7A2C"/>
    <w:rsid w:val="00BF7A2E"/>
    <w:rsid w:val="00BF7A78"/>
    <w:rsid w:val="00BF7E8C"/>
    <w:rsid w:val="00C0018A"/>
    <w:rsid w:val="00C00375"/>
    <w:rsid w:val="00C0037D"/>
    <w:rsid w:val="00C003B9"/>
    <w:rsid w:val="00C00905"/>
    <w:rsid w:val="00C00A7C"/>
    <w:rsid w:val="00C00B72"/>
    <w:rsid w:val="00C00E12"/>
    <w:rsid w:val="00C0104C"/>
    <w:rsid w:val="00C0111B"/>
    <w:rsid w:val="00C01170"/>
    <w:rsid w:val="00C0156D"/>
    <w:rsid w:val="00C01892"/>
    <w:rsid w:val="00C01BBB"/>
    <w:rsid w:val="00C01FD1"/>
    <w:rsid w:val="00C024A5"/>
    <w:rsid w:val="00C025AF"/>
    <w:rsid w:val="00C02CE1"/>
    <w:rsid w:val="00C02D1E"/>
    <w:rsid w:val="00C03096"/>
    <w:rsid w:val="00C0314D"/>
    <w:rsid w:val="00C0331F"/>
    <w:rsid w:val="00C035B5"/>
    <w:rsid w:val="00C036AC"/>
    <w:rsid w:val="00C03865"/>
    <w:rsid w:val="00C03D5A"/>
    <w:rsid w:val="00C04124"/>
    <w:rsid w:val="00C048CE"/>
    <w:rsid w:val="00C049B2"/>
    <w:rsid w:val="00C04A19"/>
    <w:rsid w:val="00C04B91"/>
    <w:rsid w:val="00C04C7E"/>
    <w:rsid w:val="00C05276"/>
    <w:rsid w:val="00C054A3"/>
    <w:rsid w:val="00C055A6"/>
    <w:rsid w:val="00C05622"/>
    <w:rsid w:val="00C0584E"/>
    <w:rsid w:val="00C05851"/>
    <w:rsid w:val="00C05ECD"/>
    <w:rsid w:val="00C0623B"/>
    <w:rsid w:val="00C06293"/>
    <w:rsid w:val="00C06356"/>
    <w:rsid w:val="00C06827"/>
    <w:rsid w:val="00C0697C"/>
    <w:rsid w:val="00C06BEC"/>
    <w:rsid w:val="00C070C3"/>
    <w:rsid w:val="00C07282"/>
    <w:rsid w:val="00C07620"/>
    <w:rsid w:val="00C07AB6"/>
    <w:rsid w:val="00C07ACB"/>
    <w:rsid w:val="00C102F3"/>
    <w:rsid w:val="00C106B8"/>
    <w:rsid w:val="00C10AFD"/>
    <w:rsid w:val="00C10B22"/>
    <w:rsid w:val="00C10C3F"/>
    <w:rsid w:val="00C10C52"/>
    <w:rsid w:val="00C10F00"/>
    <w:rsid w:val="00C10FFB"/>
    <w:rsid w:val="00C11244"/>
    <w:rsid w:val="00C11623"/>
    <w:rsid w:val="00C1172F"/>
    <w:rsid w:val="00C119A0"/>
    <w:rsid w:val="00C11A92"/>
    <w:rsid w:val="00C11ABD"/>
    <w:rsid w:val="00C11B0B"/>
    <w:rsid w:val="00C11F86"/>
    <w:rsid w:val="00C122C9"/>
    <w:rsid w:val="00C12823"/>
    <w:rsid w:val="00C129D9"/>
    <w:rsid w:val="00C12A29"/>
    <w:rsid w:val="00C12CF6"/>
    <w:rsid w:val="00C12E78"/>
    <w:rsid w:val="00C13089"/>
    <w:rsid w:val="00C134DA"/>
    <w:rsid w:val="00C13C06"/>
    <w:rsid w:val="00C13C90"/>
    <w:rsid w:val="00C13CF2"/>
    <w:rsid w:val="00C14258"/>
    <w:rsid w:val="00C14821"/>
    <w:rsid w:val="00C14A90"/>
    <w:rsid w:val="00C14F19"/>
    <w:rsid w:val="00C14FB2"/>
    <w:rsid w:val="00C15205"/>
    <w:rsid w:val="00C155E6"/>
    <w:rsid w:val="00C1575F"/>
    <w:rsid w:val="00C15B0C"/>
    <w:rsid w:val="00C15DE5"/>
    <w:rsid w:val="00C1606E"/>
    <w:rsid w:val="00C16621"/>
    <w:rsid w:val="00C168CF"/>
    <w:rsid w:val="00C16912"/>
    <w:rsid w:val="00C17007"/>
    <w:rsid w:val="00C17204"/>
    <w:rsid w:val="00C17304"/>
    <w:rsid w:val="00C1748F"/>
    <w:rsid w:val="00C17657"/>
    <w:rsid w:val="00C176AC"/>
    <w:rsid w:val="00C17854"/>
    <w:rsid w:val="00C17CE1"/>
    <w:rsid w:val="00C17FE5"/>
    <w:rsid w:val="00C202D0"/>
    <w:rsid w:val="00C2058B"/>
    <w:rsid w:val="00C20668"/>
    <w:rsid w:val="00C208B8"/>
    <w:rsid w:val="00C208D7"/>
    <w:rsid w:val="00C209AD"/>
    <w:rsid w:val="00C20A74"/>
    <w:rsid w:val="00C20B13"/>
    <w:rsid w:val="00C20F92"/>
    <w:rsid w:val="00C2103A"/>
    <w:rsid w:val="00C211ED"/>
    <w:rsid w:val="00C2164B"/>
    <w:rsid w:val="00C218D0"/>
    <w:rsid w:val="00C21DA3"/>
    <w:rsid w:val="00C21EF9"/>
    <w:rsid w:val="00C21FE6"/>
    <w:rsid w:val="00C221C0"/>
    <w:rsid w:val="00C222A1"/>
    <w:rsid w:val="00C222F7"/>
    <w:rsid w:val="00C22397"/>
    <w:rsid w:val="00C224E3"/>
    <w:rsid w:val="00C22712"/>
    <w:rsid w:val="00C22AAB"/>
    <w:rsid w:val="00C22ECB"/>
    <w:rsid w:val="00C236D4"/>
    <w:rsid w:val="00C236E9"/>
    <w:rsid w:val="00C23BB4"/>
    <w:rsid w:val="00C23BE6"/>
    <w:rsid w:val="00C23F47"/>
    <w:rsid w:val="00C242C1"/>
    <w:rsid w:val="00C2447A"/>
    <w:rsid w:val="00C24589"/>
    <w:rsid w:val="00C2460E"/>
    <w:rsid w:val="00C24707"/>
    <w:rsid w:val="00C24792"/>
    <w:rsid w:val="00C24839"/>
    <w:rsid w:val="00C24D35"/>
    <w:rsid w:val="00C250D5"/>
    <w:rsid w:val="00C2525E"/>
    <w:rsid w:val="00C25480"/>
    <w:rsid w:val="00C2584D"/>
    <w:rsid w:val="00C25C27"/>
    <w:rsid w:val="00C25EB0"/>
    <w:rsid w:val="00C25EB6"/>
    <w:rsid w:val="00C25F77"/>
    <w:rsid w:val="00C26159"/>
    <w:rsid w:val="00C2629C"/>
    <w:rsid w:val="00C262ED"/>
    <w:rsid w:val="00C264E7"/>
    <w:rsid w:val="00C265C9"/>
    <w:rsid w:val="00C26968"/>
    <w:rsid w:val="00C26A69"/>
    <w:rsid w:val="00C27037"/>
    <w:rsid w:val="00C270AE"/>
    <w:rsid w:val="00C27C23"/>
    <w:rsid w:val="00C30019"/>
    <w:rsid w:val="00C3016E"/>
    <w:rsid w:val="00C301CF"/>
    <w:rsid w:val="00C306CD"/>
    <w:rsid w:val="00C306E6"/>
    <w:rsid w:val="00C309CF"/>
    <w:rsid w:val="00C309E6"/>
    <w:rsid w:val="00C30B6D"/>
    <w:rsid w:val="00C30C46"/>
    <w:rsid w:val="00C310CD"/>
    <w:rsid w:val="00C31161"/>
    <w:rsid w:val="00C311E2"/>
    <w:rsid w:val="00C31439"/>
    <w:rsid w:val="00C31460"/>
    <w:rsid w:val="00C31808"/>
    <w:rsid w:val="00C31A6C"/>
    <w:rsid w:val="00C31ACA"/>
    <w:rsid w:val="00C31D03"/>
    <w:rsid w:val="00C31D26"/>
    <w:rsid w:val="00C31E1D"/>
    <w:rsid w:val="00C31EE2"/>
    <w:rsid w:val="00C32064"/>
    <w:rsid w:val="00C3223A"/>
    <w:rsid w:val="00C32486"/>
    <w:rsid w:val="00C32CA7"/>
    <w:rsid w:val="00C32D03"/>
    <w:rsid w:val="00C32DBD"/>
    <w:rsid w:val="00C32E58"/>
    <w:rsid w:val="00C32F55"/>
    <w:rsid w:val="00C32FFC"/>
    <w:rsid w:val="00C330B7"/>
    <w:rsid w:val="00C33183"/>
    <w:rsid w:val="00C334EE"/>
    <w:rsid w:val="00C33706"/>
    <w:rsid w:val="00C33A05"/>
    <w:rsid w:val="00C33B39"/>
    <w:rsid w:val="00C33DC9"/>
    <w:rsid w:val="00C33F14"/>
    <w:rsid w:val="00C34111"/>
    <w:rsid w:val="00C34760"/>
    <w:rsid w:val="00C34BA0"/>
    <w:rsid w:val="00C34D0A"/>
    <w:rsid w:val="00C35028"/>
    <w:rsid w:val="00C350E0"/>
    <w:rsid w:val="00C357EA"/>
    <w:rsid w:val="00C35941"/>
    <w:rsid w:val="00C35A3D"/>
    <w:rsid w:val="00C35BCA"/>
    <w:rsid w:val="00C3603A"/>
    <w:rsid w:val="00C3616F"/>
    <w:rsid w:val="00C36691"/>
    <w:rsid w:val="00C366C6"/>
    <w:rsid w:val="00C36A9F"/>
    <w:rsid w:val="00C36CA3"/>
    <w:rsid w:val="00C374C1"/>
    <w:rsid w:val="00C37611"/>
    <w:rsid w:val="00C37666"/>
    <w:rsid w:val="00C37B9E"/>
    <w:rsid w:val="00C37CF3"/>
    <w:rsid w:val="00C40013"/>
    <w:rsid w:val="00C401CC"/>
    <w:rsid w:val="00C4041F"/>
    <w:rsid w:val="00C40EBF"/>
    <w:rsid w:val="00C411E9"/>
    <w:rsid w:val="00C4130C"/>
    <w:rsid w:val="00C416FD"/>
    <w:rsid w:val="00C417CC"/>
    <w:rsid w:val="00C417F5"/>
    <w:rsid w:val="00C41851"/>
    <w:rsid w:val="00C41A00"/>
    <w:rsid w:val="00C41AFB"/>
    <w:rsid w:val="00C41B78"/>
    <w:rsid w:val="00C41C84"/>
    <w:rsid w:val="00C41DF7"/>
    <w:rsid w:val="00C41E33"/>
    <w:rsid w:val="00C41F79"/>
    <w:rsid w:val="00C424DF"/>
    <w:rsid w:val="00C426CE"/>
    <w:rsid w:val="00C42764"/>
    <w:rsid w:val="00C428D5"/>
    <w:rsid w:val="00C428FF"/>
    <w:rsid w:val="00C42C84"/>
    <w:rsid w:val="00C42FAA"/>
    <w:rsid w:val="00C43051"/>
    <w:rsid w:val="00C430AA"/>
    <w:rsid w:val="00C43314"/>
    <w:rsid w:val="00C43A88"/>
    <w:rsid w:val="00C43E3C"/>
    <w:rsid w:val="00C43EA9"/>
    <w:rsid w:val="00C43EF2"/>
    <w:rsid w:val="00C4410A"/>
    <w:rsid w:val="00C4465E"/>
    <w:rsid w:val="00C4473A"/>
    <w:rsid w:val="00C44D46"/>
    <w:rsid w:val="00C44DED"/>
    <w:rsid w:val="00C45289"/>
    <w:rsid w:val="00C452CB"/>
    <w:rsid w:val="00C454D9"/>
    <w:rsid w:val="00C45525"/>
    <w:rsid w:val="00C45537"/>
    <w:rsid w:val="00C45779"/>
    <w:rsid w:val="00C45893"/>
    <w:rsid w:val="00C45C60"/>
    <w:rsid w:val="00C46272"/>
    <w:rsid w:val="00C4684C"/>
    <w:rsid w:val="00C469F2"/>
    <w:rsid w:val="00C46D29"/>
    <w:rsid w:val="00C46DAD"/>
    <w:rsid w:val="00C46E19"/>
    <w:rsid w:val="00C47490"/>
    <w:rsid w:val="00C47498"/>
    <w:rsid w:val="00C47541"/>
    <w:rsid w:val="00C475C7"/>
    <w:rsid w:val="00C47601"/>
    <w:rsid w:val="00C4775E"/>
    <w:rsid w:val="00C47DF2"/>
    <w:rsid w:val="00C500CD"/>
    <w:rsid w:val="00C5041F"/>
    <w:rsid w:val="00C509A6"/>
    <w:rsid w:val="00C50AAE"/>
    <w:rsid w:val="00C50E65"/>
    <w:rsid w:val="00C510EB"/>
    <w:rsid w:val="00C5119C"/>
    <w:rsid w:val="00C51591"/>
    <w:rsid w:val="00C515B0"/>
    <w:rsid w:val="00C51702"/>
    <w:rsid w:val="00C5171D"/>
    <w:rsid w:val="00C51759"/>
    <w:rsid w:val="00C517ED"/>
    <w:rsid w:val="00C51B08"/>
    <w:rsid w:val="00C51BA8"/>
    <w:rsid w:val="00C51C23"/>
    <w:rsid w:val="00C51C57"/>
    <w:rsid w:val="00C51DB8"/>
    <w:rsid w:val="00C51FF9"/>
    <w:rsid w:val="00C521E6"/>
    <w:rsid w:val="00C522CC"/>
    <w:rsid w:val="00C5298A"/>
    <w:rsid w:val="00C52AD8"/>
    <w:rsid w:val="00C5304F"/>
    <w:rsid w:val="00C530AD"/>
    <w:rsid w:val="00C53513"/>
    <w:rsid w:val="00C53573"/>
    <w:rsid w:val="00C53730"/>
    <w:rsid w:val="00C53E49"/>
    <w:rsid w:val="00C540B9"/>
    <w:rsid w:val="00C54398"/>
    <w:rsid w:val="00C54411"/>
    <w:rsid w:val="00C5442F"/>
    <w:rsid w:val="00C54CC3"/>
    <w:rsid w:val="00C54D6E"/>
    <w:rsid w:val="00C54D79"/>
    <w:rsid w:val="00C54EE3"/>
    <w:rsid w:val="00C5505D"/>
    <w:rsid w:val="00C552F9"/>
    <w:rsid w:val="00C554D4"/>
    <w:rsid w:val="00C554D5"/>
    <w:rsid w:val="00C554D9"/>
    <w:rsid w:val="00C55674"/>
    <w:rsid w:val="00C5584E"/>
    <w:rsid w:val="00C55E49"/>
    <w:rsid w:val="00C55FBA"/>
    <w:rsid w:val="00C560B3"/>
    <w:rsid w:val="00C560DB"/>
    <w:rsid w:val="00C56532"/>
    <w:rsid w:val="00C56A52"/>
    <w:rsid w:val="00C56D39"/>
    <w:rsid w:val="00C56DF1"/>
    <w:rsid w:val="00C570F7"/>
    <w:rsid w:val="00C57155"/>
    <w:rsid w:val="00C5715C"/>
    <w:rsid w:val="00C57A92"/>
    <w:rsid w:val="00C57C0D"/>
    <w:rsid w:val="00C57E63"/>
    <w:rsid w:val="00C6006D"/>
    <w:rsid w:val="00C6069B"/>
    <w:rsid w:val="00C606B4"/>
    <w:rsid w:val="00C607D1"/>
    <w:rsid w:val="00C60A86"/>
    <w:rsid w:val="00C60CB5"/>
    <w:rsid w:val="00C60D11"/>
    <w:rsid w:val="00C60FBF"/>
    <w:rsid w:val="00C61109"/>
    <w:rsid w:val="00C61299"/>
    <w:rsid w:val="00C61324"/>
    <w:rsid w:val="00C6183D"/>
    <w:rsid w:val="00C61AB2"/>
    <w:rsid w:val="00C61B02"/>
    <w:rsid w:val="00C61B82"/>
    <w:rsid w:val="00C61B84"/>
    <w:rsid w:val="00C61E90"/>
    <w:rsid w:val="00C61F1C"/>
    <w:rsid w:val="00C61FD2"/>
    <w:rsid w:val="00C620B2"/>
    <w:rsid w:val="00C620D4"/>
    <w:rsid w:val="00C6219D"/>
    <w:rsid w:val="00C6222B"/>
    <w:rsid w:val="00C6276A"/>
    <w:rsid w:val="00C6277F"/>
    <w:rsid w:val="00C62798"/>
    <w:rsid w:val="00C6297B"/>
    <w:rsid w:val="00C62A2E"/>
    <w:rsid w:val="00C62AB4"/>
    <w:rsid w:val="00C62C49"/>
    <w:rsid w:val="00C63BFA"/>
    <w:rsid w:val="00C63E5D"/>
    <w:rsid w:val="00C64208"/>
    <w:rsid w:val="00C643EB"/>
    <w:rsid w:val="00C644C4"/>
    <w:rsid w:val="00C644F2"/>
    <w:rsid w:val="00C64544"/>
    <w:rsid w:val="00C645FD"/>
    <w:rsid w:val="00C64868"/>
    <w:rsid w:val="00C64DA3"/>
    <w:rsid w:val="00C64E8C"/>
    <w:rsid w:val="00C6539B"/>
    <w:rsid w:val="00C6540F"/>
    <w:rsid w:val="00C65416"/>
    <w:rsid w:val="00C6544E"/>
    <w:rsid w:val="00C655F2"/>
    <w:rsid w:val="00C65840"/>
    <w:rsid w:val="00C65C4B"/>
    <w:rsid w:val="00C65D6D"/>
    <w:rsid w:val="00C65FF3"/>
    <w:rsid w:val="00C663F6"/>
    <w:rsid w:val="00C6642E"/>
    <w:rsid w:val="00C66494"/>
    <w:rsid w:val="00C66544"/>
    <w:rsid w:val="00C66676"/>
    <w:rsid w:val="00C666B9"/>
    <w:rsid w:val="00C667CD"/>
    <w:rsid w:val="00C66E98"/>
    <w:rsid w:val="00C66F52"/>
    <w:rsid w:val="00C670FC"/>
    <w:rsid w:val="00C674F4"/>
    <w:rsid w:val="00C675F0"/>
    <w:rsid w:val="00C67D31"/>
    <w:rsid w:val="00C67E12"/>
    <w:rsid w:val="00C70037"/>
    <w:rsid w:val="00C70072"/>
    <w:rsid w:val="00C702A2"/>
    <w:rsid w:val="00C702FE"/>
    <w:rsid w:val="00C70370"/>
    <w:rsid w:val="00C70585"/>
    <w:rsid w:val="00C70625"/>
    <w:rsid w:val="00C7074C"/>
    <w:rsid w:val="00C70975"/>
    <w:rsid w:val="00C709F0"/>
    <w:rsid w:val="00C71490"/>
    <w:rsid w:val="00C71783"/>
    <w:rsid w:val="00C719A2"/>
    <w:rsid w:val="00C71BE6"/>
    <w:rsid w:val="00C71DC7"/>
    <w:rsid w:val="00C71F6D"/>
    <w:rsid w:val="00C72143"/>
    <w:rsid w:val="00C72165"/>
    <w:rsid w:val="00C72184"/>
    <w:rsid w:val="00C722CA"/>
    <w:rsid w:val="00C72773"/>
    <w:rsid w:val="00C72833"/>
    <w:rsid w:val="00C72A19"/>
    <w:rsid w:val="00C72B8E"/>
    <w:rsid w:val="00C72D7B"/>
    <w:rsid w:val="00C735EC"/>
    <w:rsid w:val="00C739A9"/>
    <w:rsid w:val="00C73AB0"/>
    <w:rsid w:val="00C73CDA"/>
    <w:rsid w:val="00C73D66"/>
    <w:rsid w:val="00C73FAD"/>
    <w:rsid w:val="00C73FC8"/>
    <w:rsid w:val="00C74167"/>
    <w:rsid w:val="00C741D2"/>
    <w:rsid w:val="00C7486E"/>
    <w:rsid w:val="00C74929"/>
    <w:rsid w:val="00C74D98"/>
    <w:rsid w:val="00C74DCD"/>
    <w:rsid w:val="00C75357"/>
    <w:rsid w:val="00C756F9"/>
    <w:rsid w:val="00C7574B"/>
    <w:rsid w:val="00C757AE"/>
    <w:rsid w:val="00C758BD"/>
    <w:rsid w:val="00C75A6D"/>
    <w:rsid w:val="00C75CDA"/>
    <w:rsid w:val="00C75CEB"/>
    <w:rsid w:val="00C75D4C"/>
    <w:rsid w:val="00C76268"/>
    <w:rsid w:val="00C764E7"/>
    <w:rsid w:val="00C765EF"/>
    <w:rsid w:val="00C76624"/>
    <w:rsid w:val="00C76661"/>
    <w:rsid w:val="00C7692D"/>
    <w:rsid w:val="00C76AAF"/>
    <w:rsid w:val="00C76C46"/>
    <w:rsid w:val="00C76E35"/>
    <w:rsid w:val="00C77478"/>
    <w:rsid w:val="00C774A1"/>
    <w:rsid w:val="00C775A0"/>
    <w:rsid w:val="00C775C2"/>
    <w:rsid w:val="00C77AFF"/>
    <w:rsid w:val="00C77E0E"/>
    <w:rsid w:val="00C77E57"/>
    <w:rsid w:val="00C800CE"/>
    <w:rsid w:val="00C80545"/>
    <w:rsid w:val="00C80C41"/>
    <w:rsid w:val="00C80C4B"/>
    <w:rsid w:val="00C80C55"/>
    <w:rsid w:val="00C80CEF"/>
    <w:rsid w:val="00C80E40"/>
    <w:rsid w:val="00C81120"/>
    <w:rsid w:val="00C811FE"/>
    <w:rsid w:val="00C81331"/>
    <w:rsid w:val="00C813A2"/>
    <w:rsid w:val="00C81432"/>
    <w:rsid w:val="00C819A1"/>
    <w:rsid w:val="00C81A44"/>
    <w:rsid w:val="00C81AE3"/>
    <w:rsid w:val="00C82755"/>
    <w:rsid w:val="00C828B8"/>
    <w:rsid w:val="00C82994"/>
    <w:rsid w:val="00C82C3E"/>
    <w:rsid w:val="00C82E07"/>
    <w:rsid w:val="00C82EC5"/>
    <w:rsid w:val="00C83041"/>
    <w:rsid w:val="00C83544"/>
    <w:rsid w:val="00C83771"/>
    <w:rsid w:val="00C838C3"/>
    <w:rsid w:val="00C8452A"/>
    <w:rsid w:val="00C848A7"/>
    <w:rsid w:val="00C849C0"/>
    <w:rsid w:val="00C84F2E"/>
    <w:rsid w:val="00C85035"/>
    <w:rsid w:val="00C851F6"/>
    <w:rsid w:val="00C85709"/>
    <w:rsid w:val="00C8586A"/>
    <w:rsid w:val="00C8587A"/>
    <w:rsid w:val="00C858FF"/>
    <w:rsid w:val="00C85AE0"/>
    <w:rsid w:val="00C85E30"/>
    <w:rsid w:val="00C8627D"/>
    <w:rsid w:val="00C866D5"/>
    <w:rsid w:val="00C86BFA"/>
    <w:rsid w:val="00C86C00"/>
    <w:rsid w:val="00C86E8E"/>
    <w:rsid w:val="00C8712F"/>
    <w:rsid w:val="00C876A0"/>
    <w:rsid w:val="00C878CA"/>
    <w:rsid w:val="00C87AB5"/>
    <w:rsid w:val="00C87AF2"/>
    <w:rsid w:val="00C87B57"/>
    <w:rsid w:val="00C87FC6"/>
    <w:rsid w:val="00C87FF6"/>
    <w:rsid w:val="00C9076A"/>
    <w:rsid w:val="00C90895"/>
    <w:rsid w:val="00C908C6"/>
    <w:rsid w:val="00C90AC1"/>
    <w:rsid w:val="00C90B41"/>
    <w:rsid w:val="00C90B42"/>
    <w:rsid w:val="00C91074"/>
    <w:rsid w:val="00C91594"/>
    <w:rsid w:val="00C91678"/>
    <w:rsid w:val="00C9182B"/>
    <w:rsid w:val="00C91C5F"/>
    <w:rsid w:val="00C91D38"/>
    <w:rsid w:val="00C920A9"/>
    <w:rsid w:val="00C9213E"/>
    <w:rsid w:val="00C924A4"/>
    <w:rsid w:val="00C9255D"/>
    <w:rsid w:val="00C9296C"/>
    <w:rsid w:val="00C92DF9"/>
    <w:rsid w:val="00C92DFF"/>
    <w:rsid w:val="00C93384"/>
    <w:rsid w:val="00C939DA"/>
    <w:rsid w:val="00C93FD8"/>
    <w:rsid w:val="00C94170"/>
    <w:rsid w:val="00C942F1"/>
    <w:rsid w:val="00C945C2"/>
    <w:rsid w:val="00C946B2"/>
    <w:rsid w:val="00C946F6"/>
    <w:rsid w:val="00C9475D"/>
    <w:rsid w:val="00C94B1E"/>
    <w:rsid w:val="00C94D6B"/>
    <w:rsid w:val="00C95056"/>
    <w:rsid w:val="00C95115"/>
    <w:rsid w:val="00C951FD"/>
    <w:rsid w:val="00C952C3"/>
    <w:rsid w:val="00C952FD"/>
    <w:rsid w:val="00C9536E"/>
    <w:rsid w:val="00C95A15"/>
    <w:rsid w:val="00C95A37"/>
    <w:rsid w:val="00C95C69"/>
    <w:rsid w:val="00C95D21"/>
    <w:rsid w:val="00C95E92"/>
    <w:rsid w:val="00C96085"/>
    <w:rsid w:val="00C961DD"/>
    <w:rsid w:val="00C962F3"/>
    <w:rsid w:val="00C963BF"/>
    <w:rsid w:val="00C96516"/>
    <w:rsid w:val="00C970A1"/>
    <w:rsid w:val="00C97397"/>
    <w:rsid w:val="00C975E6"/>
    <w:rsid w:val="00C978CB"/>
    <w:rsid w:val="00C978FE"/>
    <w:rsid w:val="00C97D48"/>
    <w:rsid w:val="00C97EAC"/>
    <w:rsid w:val="00C97FDC"/>
    <w:rsid w:val="00CA0C2D"/>
    <w:rsid w:val="00CA0E9B"/>
    <w:rsid w:val="00CA10D0"/>
    <w:rsid w:val="00CA1114"/>
    <w:rsid w:val="00CA12DD"/>
    <w:rsid w:val="00CA1333"/>
    <w:rsid w:val="00CA13DE"/>
    <w:rsid w:val="00CA1458"/>
    <w:rsid w:val="00CA14BE"/>
    <w:rsid w:val="00CA175E"/>
    <w:rsid w:val="00CA19A9"/>
    <w:rsid w:val="00CA1B16"/>
    <w:rsid w:val="00CA1C2C"/>
    <w:rsid w:val="00CA1DE6"/>
    <w:rsid w:val="00CA1E51"/>
    <w:rsid w:val="00CA21A9"/>
    <w:rsid w:val="00CA3114"/>
    <w:rsid w:val="00CA362C"/>
    <w:rsid w:val="00CA3B6E"/>
    <w:rsid w:val="00CA3EBB"/>
    <w:rsid w:val="00CA43F9"/>
    <w:rsid w:val="00CA4458"/>
    <w:rsid w:val="00CA45FC"/>
    <w:rsid w:val="00CA481F"/>
    <w:rsid w:val="00CA487E"/>
    <w:rsid w:val="00CA4ACF"/>
    <w:rsid w:val="00CA4ED6"/>
    <w:rsid w:val="00CA516C"/>
    <w:rsid w:val="00CA5298"/>
    <w:rsid w:val="00CA52B2"/>
    <w:rsid w:val="00CA56C5"/>
    <w:rsid w:val="00CA59C2"/>
    <w:rsid w:val="00CA5A68"/>
    <w:rsid w:val="00CA5B6F"/>
    <w:rsid w:val="00CA5C47"/>
    <w:rsid w:val="00CA5C82"/>
    <w:rsid w:val="00CA62EE"/>
    <w:rsid w:val="00CA633F"/>
    <w:rsid w:val="00CA649A"/>
    <w:rsid w:val="00CA65EF"/>
    <w:rsid w:val="00CA6647"/>
    <w:rsid w:val="00CA679A"/>
    <w:rsid w:val="00CA71E2"/>
    <w:rsid w:val="00CA7414"/>
    <w:rsid w:val="00CA75AB"/>
    <w:rsid w:val="00CA7632"/>
    <w:rsid w:val="00CA7682"/>
    <w:rsid w:val="00CA7854"/>
    <w:rsid w:val="00CA7A75"/>
    <w:rsid w:val="00CA7E03"/>
    <w:rsid w:val="00CA7F28"/>
    <w:rsid w:val="00CA7F39"/>
    <w:rsid w:val="00CB00EA"/>
    <w:rsid w:val="00CB0125"/>
    <w:rsid w:val="00CB01EF"/>
    <w:rsid w:val="00CB01F6"/>
    <w:rsid w:val="00CB029E"/>
    <w:rsid w:val="00CB0768"/>
    <w:rsid w:val="00CB0A1F"/>
    <w:rsid w:val="00CB0CE9"/>
    <w:rsid w:val="00CB10DB"/>
    <w:rsid w:val="00CB1249"/>
    <w:rsid w:val="00CB131F"/>
    <w:rsid w:val="00CB1320"/>
    <w:rsid w:val="00CB164C"/>
    <w:rsid w:val="00CB16C4"/>
    <w:rsid w:val="00CB1703"/>
    <w:rsid w:val="00CB1A00"/>
    <w:rsid w:val="00CB1B81"/>
    <w:rsid w:val="00CB2121"/>
    <w:rsid w:val="00CB21AF"/>
    <w:rsid w:val="00CB221C"/>
    <w:rsid w:val="00CB2476"/>
    <w:rsid w:val="00CB2694"/>
    <w:rsid w:val="00CB2918"/>
    <w:rsid w:val="00CB295A"/>
    <w:rsid w:val="00CB2A70"/>
    <w:rsid w:val="00CB2E15"/>
    <w:rsid w:val="00CB33D0"/>
    <w:rsid w:val="00CB3555"/>
    <w:rsid w:val="00CB3693"/>
    <w:rsid w:val="00CB372C"/>
    <w:rsid w:val="00CB3E69"/>
    <w:rsid w:val="00CB434C"/>
    <w:rsid w:val="00CB439C"/>
    <w:rsid w:val="00CB452B"/>
    <w:rsid w:val="00CB4900"/>
    <w:rsid w:val="00CB4AD2"/>
    <w:rsid w:val="00CB4C80"/>
    <w:rsid w:val="00CB4DC2"/>
    <w:rsid w:val="00CB4DCD"/>
    <w:rsid w:val="00CB4E4B"/>
    <w:rsid w:val="00CB4F2D"/>
    <w:rsid w:val="00CB53F8"/>
    <w:rsid w:val="00CB544A"/>
    <w:rsid w:val="00CB5E10"/>
    <w:rsid w:val="00CB5E59"/>
    <w:rsid w:val="00CB5FF4"/>
    <w:rsid w:val="00CB603C"/>
    <w:rsid w:val="00CB6272"/>
    <w:rsid w:val="00CB6B3F"/>
    <w:rsid w:val="00CB6C9D"/>
    <w:rsid w:val="00CB7418"/>
    <w:rsid w:val="00CB7685"/>
    <w:rsid w:val="00CB7A7D"/>
    <w:rsid w:val="00CB7C49"/>
    <w:rsid w:val="00CB7EC4"/>
    <w:rsid w:val="00CC01EB"/>
    <w:rsid w:val="00CC032A"/>
    <w:rsid w:val="00CC03D4"/>
    <w:rsid w:val="00CC0670"/>
    <w:rsid w:val="00CC0743"/>
    <w:rsid w:val="00CC08E4"/>
    <w:rsid w:val="00CC0BBE"/>
    <w:rsid w:val="00CC100B"/>
    <w:rsid w:val="00CC10DE"/>
    <w:rsid w:val="00CC1311"/>
    <w:rsid w:val="00CC1690"/>
    <w:rsid w:val="00CC1969"/>
    <w:rsid w:val="00CC19DE"/>
    <w:rsid w:val="00CC1C0F"/>
    <w:rsid w:val="00CC2199"/>
    <w:rsid w:val="00CC21CD"/>
    <w:rsid w:val="00CC2213"/>
    <w:rsid w:val="00CC2221"/>
    <w:rsid w:val="00CC23B3"/>
    <w:rsid w:val="00CC2616"/>
    <w:rsid w:val="00CC27FE"/>
    <w:rsid w:val="00CC28D3"/>
    <w:rsid w:val="00CC2A78"/>
    <w:rsid w:val="00CC2BA3"/>
    <w:rsid w:val="00CC2BF8"/>
    <w:rsid w:val="00CC2D98"/>
    <w:rsid w:val="00CC2E06"/>
    <w:rsid w:val="00CC3066"/>
    <w:rsid w:val="00CC367D"/>
    <w:rsid w:val="00CC3A33"/>
    <w:rsid w:val="00CC3D09"/>
    <w:rsid w:val="00CC3D23"/>
    <w:rsid w:val="00CC3DC7"/>
    <w:rsid w:val="00CC3FEF"/>
    <w:rsid w:val="00CC4210"/>
    <w:rsid w:val="00CC4238"/>
    <w:rsid w:val="00CC433D"/>
    <w:rsid w:val="00CC4459"/>
    <w:rsid w:val="00CC44A5"/>
    <w:rsid w:val="00CC44F1"/>
    <w:rsid w:val="00CC44FE"/>
    <w:rsid w:val="00CC4556"/>
    <w:rsid w:val="00CC4921"/>
    <w:rsid w:val="00CC4CDF"/>
    <w:rsid w:val="00CC4DD8"/>
    <w:rsid w:val="00CC4E08"/>
    <w:rsid w:val="00CC5431"/>
    <w:rsid w:val="00CC63E5"/>
    <w:rsid w:val="00CC644D"/>
    <w:rsid w:val="00CC658D"/>
    <w:rsid w:val="00CC665A"/>
    <w:rsid w:val="00CC67EC"/>
    <w:rsid w:val="00CC689D"/>
    <w:rsid w:val="00CC6FB8"/>
    <w:rsid w:val="00CC718D"/>
    <w:rsid w:val="00CC7210"/>
    <w:rsid w:val="00CC74A2"/>
    <w:rsid w:val="00CC779C"/>
    <w:rsid w:val="00CC7826"/>
    <w:rsid w:val="00CC7C42"/>
    <w:rsid w:val="00CC7F36"/>
    <w:rsid w:val="00CD0492"/>
    <w:rsid w:val="00CD0518"/>
    <w:rsid w:val="00CD0593"/>
    <w:rsid w:val="00CD07CA"/>
    <w:rsid w:val="00CD07DE"/>
    <w:rsid w:val="00CD107A"/>
    <w:rsid w:val="00CD1184"/>
    <w:rsid w:val="00CD11B4"/>
    <w:rsid w:val="00CD128B"/>
    <w:rsid w:val="00CD1311"/>
    <w:rsid w:val="00CD146B"/>
    <w:rsid w:val="00CD155B"/>
    <w:rsid w:val="00CD1A3E"/>
    <w:rsid w:val="00CD1B84"/>
    <w:rsid w:val="00CD1E08"/>
    <w:rsid w:val="00CD1FD1"/>
    <w:rsid w:val="00CD20D4"/>
    <w:rsid w:val="00CD2187"/>
    <w:rsid w:val="00CD246B"/>
    <w:rsid w:val="00CD2519"/>
    <w:rsid w:val="00CD251C"/>
    <w:rsid w:val="00CD2C94"/>
    <w:rsid w:val="00CD2CDC"/>
    <w:rsid w:val="00CD2F34"/>
    <w:rsid w:val="00CD3714"/>
    <w:rsid w:val="00CD3AE9"/>
    <w:rsid w:val="00CD3B66"/>
    <w:rsid w:val="00CD4294"/>
    <w:rsid w:val="00CD4384"/>
    <w:rsid w:val="00CD4561"/>
    <w:rsid w:val="00CD4817"/>
    <w:rsid w:val="00CD4CB3"/>
    <w:rsid w:val="00CD4F23"/>
    <w:rsid w:val="00CD4FC6"/>
    <w:rsid w:val="00CD520E"/>
    <w:rsid w:val="00CD5217"/>
    <w:rsid w:val="00CD5253"/>
    <w:rsid w:val="00CD52F3"/>
    <w:rsid w:val="00CD5562"/>
    <w:rsid w:val="00CD558B"/>
    <w:rsid w:val="00CD55AE"/>
    <w:rsid w:val="00CD55B3"/>
    <w:rsid w:val="00CD59D9"/>
    <w:rsid w:val="00CD5A05"/>
    <w:rsid w:val="00CD5B49"/>
    <w:rsid w:val="00CD5B7D"/>
    <w:rsid w:val="00CD5CD6"/>
    <w:rsid w:val="00CD5D9A"/>
    <w:rsid w:val="00CD5F3B"/>
    <w:rsid w:val="00CD640D"/>
    <w:rsid w:val="00CD695B"/>
    <w:rsid w:val="00CD6ABC"/>
    <w:rsid w:val="00CD6AED"/>
    <w:rsid w:val="00CD6F1E"/>
    <w:rsid w:val="00CD73DE"/>
    <w:rsid w:val="00CD750A"/>
    <w:rsid w:val="00CD7534"/>
    <w:rsid w:val="00CD75F3"/>
    <w:rsid w:val="00CD7980"/>
    <w:rsid w:val="00CD79CD"/>
    <w:rsid w:val="00CD7CD0"/>
    <w:rsid w:val="00CD7E16"/>
    <w:rsid w:val="00CD7EE5"/>
    <w:rsid w:val="00CD7FD7"/>
    <w:rsid w:val="00CE0097"/>
    <w:rsid w:val="00CE04A0"/>
    <w:rsid w:val="00CE04BA"/>
    <w:rsid w:val="00CE06BD"/>
    <w:rsid w:val="00CE07A2"/>
    <w:rsid w:val="00CE0855"/>
    <w:rsid w:val="00CE0F72"/>
    <w:rsid w:val="00CE1115"/>
    <w:rsid w:val="00CE1AAD"/>
    <w:rsid w:val="00CE1CA5"/>
    <w:rsid w:val="00CE21E6"/>
    <w:rsid w:val="00CE23B9"/>
    <w:rsid w:val="00CE2505"/>
    <w:rsid w:val="00CE252C"/>
    <w:rsid w:val="00CE2A2B"/>
    <w:rsid w:val="00CE3042"/>
    <w:rsid w:val="00CE30A7"/>
    <w:rsid w:val="00CE30B0"/>
    <w:rsid w:val="00CE30E6"/>
    <w:rsid w:val="00CE333D"/>
    <w:rsid w:val="00CE341F"/>
    <w:rsid w:val="00CE345F"/>
    <w:rsid w:val="00CE34A3"/>
    <w:rsid w:val="00CE34DC"/>
    <w:rsid w:val="00CE368B"/>
    <w:rsid w:val="00CE36DD"/>
    <w:rsid w:val="00CE3782"/>
    <w:rsid w:val="00CE3A0D"/>
    <w:rsid w:val="00CE3BF2"/>
    <w:rsid w:val="00CE3C3F"/>
    <w:rsid w:val="00CE3D28"/>
    <w:rsid w:val="00CE3F11"/>
    <w:rsid w:val="00CE4662"/>
    <w:rsid w:val="00CE4856"/>
    <w:rsid w:val="00CE4BBB"/>
    <w:rsid w:val="00CE4C4E"/>
    <w:rsid w:val="00CE4D3C"/>
    <w:rsid w:val="00CE57C5"/>
    <w:rsid w:val="00CE5899"/>
    <w:rsid w:val="00CE5924"/>
    <w:rsid w:val="00CE5932"/>
    <w:rsid w:val="00CE593C"/>
    <w:rsid w:val="00CE5AD8"/>
    <w:rsid w:val="00CE5E98"/>
    <w:rsid w:val="00CE5F30"/>
    <w:rsid w:val="00CE60CD"/>
    <w:rsid w:val="00CE62FF"/>
    <w:rsid w:val="00CE6821"/>
    <w:rsid w:val="00CE69FC"/>
    <w:rsid w:val="00CE6CC6"/>
    <w:rsid w:val="00CE6E7E"/>
    <w:rsid w:val="00CE6E81"/>
    <w:rsid w:val="00CE74A5"/>
    <w:rsid w:val="00CF0219"/>
    <w:rsid w:val="00CF04B4"/>
    <w:rsid w:val="00CF05DB"/>
    <w:rsid w:val="00CF0739"/>
    <w:rsid w:val="00CF0ACF"/>
    <w:rsid w:val="00CF0B33"/>
    <w:rsid w:val="00CF0B8C"/>
    <w:rsid w:val="00CF0FC4"/>
    <w:rsid w:val="00CF1089"/>
    <w:rsid w:val="00CF162F"/>
    <w:rsid w:val="00CF1684"/>
    <w:rsid w:val="00CF19C7"/>
    <w:rsid w:val="00CF1C79"/>
    <w:rsid w:val="00CF1D89"/>
    <w:rsid w:val="00CF1DD3"/>
    <w:rsid w:val="00CF2157"/>
    <w:rsid w:val="00CF21FD"/>
    <w:rsid w:val="00CF2350"/>
    <w:rsid w:val="00CF26C2"/>
    <w:rsid w:val="00CF2708"/>
    <w:rsid w:val="00CF2723"/>
    <w:rsid w:val="00CF28B4"/>
    <w:rsid w:val="00CF2C08"/>
    <w:rsid w:val="00CF2C97"/>
    <w:rsid w:val="00CF2F3B"/>
    <w:rsid w:val="00CF2F64"/>
    <w:rsid w:val="00CF311A"/>
    <w:rsid w:val="00CF31D6"/>
    <w:rsid w:val="00CF3359"/>
    <w:rsid w:val="00CF3400"/>
    <w:rsid w:val="00CF379F"/>
    <w:rsid w:val="00CF390C"/>
    <w:rsid w:val="00CF392A"/>
    <w:rsid w:val="00CF42DF"/>
    <w:rsid w:val="00CF4307"/>
    <w:rsid w:val="00CF47AC"/>
    <w:rsid w:val="00CF4937"/>
    <w:rsid w:val="00CF4B9D"/>
    <w:rsid w:val="00CF4E06"/>
    <w:rsid w:val="00CF5395"/>
    <w:rsid w:val="00CF554D"/>
    <w:rsid w:val="00CF5639"/>
    <w:rsid w:val="00CF570D"/>
    <w:rsid w:val="00CF57B4"/>
    <w:rsid w:val="00CF5C62"/>
    <w:rsid w:val="00CF5CC7"/>
    <w:rsid w:val="00CF5E5D"/>
    <w:rsid w:val="00CF76B5"/>
    <w:rsid w:val="00CF7756"/>
    <w:rsid w:val="00CF7818"/>
    <w:rsid w:val="00CF7D5E"/>
    <w:rsid w:val="00CF7FAF"/>
    <w:rsid w:val="00D0008E"/>
    <w:rsid w:val="00D0058D"/>
    <w:rsid w:val="00D007CD"/>
    <w:rsid w:val="00D0085B"/>
    <w:rsid w:val="00D009E6"/>
    <w:rsid w:val="00D00EEC"/>
    <w:rsid w:val="00D00EF0"/>
    <w:rsid w:val="00D01453"/>
    <w:rsid w:val="00D018FE"/>
    <w:rsid w:val="00D01954"/>
    <w:rsid w:val="00D01ED5"/>
    <w:rsid w:val="00D021F0"/>
    <w:rsid w:val="00D02271"/>
    <w:rsid w:val="00D02456"/>
    <w:rsid w:val="00D0247E"/>
    <w:rsid w:val="00D026BC"/>
    <w:rsid w:val="00D0278D"/>
    <w:rsid w:val="00D029BD"/>
    <w:rsid w:val="00D02AD7"/>
    <w:rsid w:val="00D02C47"/>
    <w:rsid w:val="00D03034"/>
    <w:rsid w:val="00D03458"/>
    <w:rsid w:val="00D03464"/>
    <w:rsid w:val="00D03E7A"/>
    <w:rsid w:val="00D04214"/>
    <w:rsid w:val="00D04371"/>
    <w:rsid w:val="00D04577"/>
    <w:rsid w:val="00D04827"/>
    <w:rsid w:val="00D04EFF"/>
    <w:rsid w:val="00D050B7"/>
    <w:rsid w:val="00D051A6"/>
    <w:rsid w:val="00D051E5"/>
    <w:rsid w:val="00D05245"/>
    <w:rsid w:val="00D052C9"/>
    <w:rsid w:val="00D05307"/>
    <w:rsid w:val="00D053EA"/>
    <w:rsid w:val="00D054AF"/>
    <w:rsid w:val="00D0557D"/>
    <w:rsid w:val="00D05669"/>
    <w:rsid w:val="00D05BD0"/>
    <w:rsid w:val="00D05D8C"/>
    <w:rsid w:val="00D0607D"/>
    <w:rsid w:val="00D06235"/>
    <w:rsid w:val="00D0665E"/>
    <w:rsid w:val="00D06878"/>
    <w:rsid w:val="00D06A55"/>
    <w:rsid w:val="00D06CBF"/>
    <w:rsid w:val="00D06CC3"/>
    <w:rsid w:val="00D0713C"/>
    <w:rsid w:val="00D0729D"/>
    <w:rsid w:val="00D072C0"/>
    <w:rsid w:val="00D077E2"/>
    <w:rsid w:val="00D07831"/>
    <w:rsid w:val="00D078C6"/>
    <w:rsid w:val="00D07FB4"/>
    <w:rsid w:val="00D1036E"/>
    <w:rsid w:val="00D1060A"/>
    <w:rsid w:val="00D107E7"/>
    <w:rsid w:val="00D10D0E"/>
    <w:rsid w:val="00D10E7B"/>
    <w:rsid w:val="00D10E91"/>
    <w:rsid w:val="00D1105A"/>
    <w:rsid w:val="00D1137B"/>
    <w:rsid w:val="00D11C08"/>
    <w:rsid w:val="00D11DB6"/>
    <w:rsid w:val="00D12111"/>
    <w:rsid w:val="00D12161"/>
    <w:rsid w:val="00D12482"/>
    <w:rsid w:val="00D12700"/>
    <w:rsid w:val="00D12835"/>
    <w:rsid w:val="00D1298F"/>
    <w:rsid w:val="00D12BB7"/>
    <w:rsid w:val="00D12F2F"/>
    <w:rsid w:val="00D132D5"/>
    <w:rsid w:val="00D13621"/>
    <w:rsid w:val="00D13A0D"/>
    <w:rsid w:val="00D13A31"/>
    <w:rsid w:val="00D13E53"/>
    <w:rsid w:val="00D1440F"/>
    <w:rsid w:val="00D149BC"/>
    <w:rsid w:val="00D14F70"/>
    <w:rsid w:val="00D151EA"/>
    <w:rsid w:val="00D1521B"/>
    <w:rsid w:val="00D15303"/>
    <w:rsid w:val="00D16051"/>
    <w:rsid w:val="00D160F7"/>
    <w:rsid w:val="00D16297"/>
    <w:rsid w:val="00D16392"/>
    <w:rsid w:val="00D1658F"/>
    <w:rsid w:val="00D165D8"/>
    <w:rsid w:val="00D168DB"/>
    <w:rsid w:val="00D16E98"/>
    <w:rsid w:val="00D16EF2"/>
    <w:rsid w:val="00D1741B"/>
    <w:rsid w:val="00D17788"/>
    <w:rsid w:val="00D17870"/>
    <w:rsid w:val="00D17C59"/>
    <w:rsid w:val="00D20039"/>
    <w:rsid w:val="00D20461"/>
    <w:rsid w:val="00D204D5"/>
    <w:rsid w:val="00D20931"/>
    <w:rsid w:val="00D20B75"/>
    <w:rsid w:val="00D20D04"/>
    <w:rsid w:val="00D20EB0"/>
    <w:rsid w:val="00D21163"/>
    <w:rsid w:val="00D2148E"/>
    <w:rsid w:val="00D218BB"/>
    <w:rsid w:val="00D21A6E"/>
    <w:rsid w:val="00D21B92"/>
    <w:rsid w:val="00D21E99"/>
    <w:rsid w:val="00D21FA8"/>
    <w:rsid w:val="00D220EF"/>
    <w:rsid w:val="00D22166"/>
    <w:rsid w:val="00D22675"/>
    <w:rsid w:val="00D22B80"/>
    <w:rsid w:val="00D22B8A"/>
    <w:rsid w:val="00D230E1"/>
    <w:rsid w:val="00D236B7"/>
    <w:rsid w:val="00D23BE3"/>
    <w:rsid w:val="00D23E48"/>
    <w:rsid w:val="00D2425B"/>
    <w:rsid w:val="00D244BE"/>
    <w:rsid w:val="00D244CE"/>
    <w:rsid w:val="00D24537"/>
    <w:rsid w:val="00D24640"/>
    <w:rsid w:val="00D247D0"/>
    <w:rsid w:val="00D247E9"/>
    <w:rsid w:val="00D2482F"/>
    <w:rsid w:val="00D24B50"/>
    <w:rsid w:val="00D24B54"/>
    <w:rsid w:val="00D24BF8"/>
    <w:rsid w:val="00D25352"/>
    <w:rsid w:val="00D25410"/>
    <w:rsid w:val="00D25960"/>
    <w:rsid w:val="00D25964"/>
    <w:rsid w:val="00D25AA3"/>
    <w:rsid w:val="00D25EC9"/>
    <w:rsid w:val="00D25FED"/>
    <w:rsid w:val="00D263D5"/>
    <w:rsid w:val="00D263FE"/>
    <w:rsid w:val="00D268D9"/>
    <w:rsid w:val="00D2692A"/>
    <w:rsid w:val="00D26A66"/>
    <w:rsid w:val="00D26A83"/>
    <w:rsid w:val="00D26D2F"/>
    <w:rsid w:val="00D26F36"/>
    <w:rsid w:val="00D27232"/>
    <w:rsid w:val="00D276AB"/>
    <w:rsid w:val="00D278E5"/>
    <w:rsid w:val="00D278F4"/>
    <w:rsid w:val="00D27B83"/>
    <w:rsid w:val="00D27E75"/>
    <w:rsid w:val="00D27F2D"/>
    <w:rsid w:val="00D300CA"/>
    <w:rsid w:val="00D300E9"/>
    <w:rsid w:val="00D30118"/>
    <w:rsid w:val="00D30206"/>
    <w:rsid w:val="00D30334"/>
    <w:rsid w:val="00D304CA"/>
    <w:rsid w:val="00D304CF"/>
    <w:rsid w:val="00D30563"/>
    <w:rsid w:val="00D30626"/>
    <w:rsid w:val="00D3072E"/>
    <w:rsid w:val="00D3090A"/>
    <w:rsid w:val="00D310F3"/>
    <w:rsid w:val="00D3111E"/>
    <w:rsid w:val="00D31221"/>
    <w:rsid w:val="00D31318"/>
    <w:rsid w:val="00D31614"/>
    <w:rsid w:val="00D316DF"/>
    <w:rsid w:val="00D31700"/>
    <w:rsid w:val="00D31851"/>
    <w:rsid w:val="00D31A05"/>
    <w:rsid w:val="00D31F8D"/>
    <w:rsid w:val="00D31FD5"/>
    <w:rsid w:val="00D3223F"/>
    <w:rsid w:val="00D323F9"/>
    <w:rsid w:val="00D32449"/>
    <w:rsid w:val="00D32664"/>
    <w:rsid w:val="00D3269F"/>
    <w:rsid w:val="00D326D0"/>
    <w:rsid w:val="00D32BCD"/>
    <w:rsid w:val="00D32D36"/>
    <w:rsid w:val="00D32FA5"/>
    <w:rsid w:val="00D3300B"/>
    <w:rsid w:val="00D336AD"/>
    <w:rsid w:val="00D33C32"/>
    <w:rsid w:val="00D33EBE"/>
    <w:rsid w:val="00D34058"/>
    <w:rsid w:val="00D34284"/>
    <w:rsid w:val="00D34376"/>
    <w:rsid w:val="00D34615"/>
    <w:rsid w:val="00D347AE"/>
    <w:rsid w:val="00D34A89"/>
    <w:rsid w:val="00D35044"/>
    <w:rsid w:val="00D35357"/>
    <w:rsid w:val="00D353B4"/>
    <w:rsid w:val="00D353D2"/>
    <w:rsid w:val="00D35755"/>
    <w:rsid w:val="00D359EC"/>
    <w:rsid w:val="00D35CE6"/>
    <w:rsid w:val="00D35E91"/>
    <w:rsid w:val="00D35FE9"/>
    <w:rsid w:val="00D361D9"/>
    <w:rsid w:val="00D363FC"/>
    <w:rsid w:val="00D365AE"/>
    <w:rsid w:val="00D368DA"/>
    <w:rsid w:val="00D36CB6"/>
    <w:rsid w:val="00D36CFB"/>
    <w:rsid w:val="00D36DFC"/>
    <w:rsid w:val="00D370B2"/>
    <w:rsid w:val="00D373FF"/>
    <w:rsid w:val="00D375EF"/>
    <w:rsid w:val="00D37ECC"/>
    <w:rsid w:val="00D401AB"/>
    <w:rsid w:val="00D401C6"/>
    <w:rsid w:val="00D403E2"/>
    <w:rsid w:val="00D4049E"/>
    <w:rsid w:val="00D40508"/>
    <w:rsid w:val="00D406B2"/>
    <w:rsid w:val="00D40AB7"/>
    <w:rsid w:val="00D40B95"/>
    <w:rsid w:val="00D40EAE"/>
    <w:rsid w:val="00D4111E"/>
    <w:rsid w:val="00D41300"/>
    <w:rsid w:val="00D414C7"/>
    <w:rsid w:val="00D41A59"/>
    <w:rsid w:val="00D41B70"/>
    <w:rsid w:val="00D41CF9"/>
    <w:rsid w:val="00D41E77"/>
    <w:rsid w:val="00D41F90"/>
    <w:rsid w:val="00D4281E"/>
    <w:rsid w:val="00D42B97"/>
    <w:rsid w:val="00D42CB9"/>
    <w:rsid w:val="00D43096"/>
    <w:rsid w:val="00D43286"/>
    <w:rsid w:val="00D43B5E"/>
    <w:rsid w:val="00D43BC4"/>
    <w:rsid w:val="00D43D89"/>
    <w:rsid w:val="00D43DE4"/>
    <w:rsid w:val="00D43F3F"/>
    <w:rsid w:val="00D43F83"/>
    <w:rsid w:val="00D446B8"/>
    <w:rsid w:val="00D44715"/>
    <w:rsid w:val="00D44782"/>
    <w:rsid w:val="00D44C5B"/>
    <w:rsid w:val="00D44DDB"/>
    <w:rsid w:val="00D44DEF"/>
    <w:rsid w:val="00D44FC7"/>
    <w:rsid w:val="00D45001"/>
    <w:rsid w:val="00D45750"/>
    <w:rsid w:val="00D458E5"/>
    <w:rsid w:val="00D45A7A"/>
    <w:rsid w:val="00D45DA9"/>
    <w:rsid w:val="00D45DEB"/>
    <w:rsid w:val="00D45FB0"/>
    <w:rsid w:val="00D4610D"/>
    <w:rsid w:val="00D462D5"/>
    <w:rsid w:val="00D463A2"/>
    <w:rsid w:val="00D46593"/>
    <w:rsid w:val="00D46852"/>
    <w:rsid w:val="00D469D9"/>
    <w:rsid w:val="00D46AB2"/>
    <w:rsid w:val="00D46C90"/>
    <w:rsid w:val="00D46D50"/>
    <w:rsid w:val="00D47059"/>
    <w:rsid w:val="00D471ED"/>
    <w:rsid w:val="00D472D9"/>
    <w:rsid w:val="00D47331"/>
    <w:rsid w:val="00D47815"/>
    <w:rsid w:val="00D47A4F"/>
    <w:rsid w:val="00D47D2C"/>
    <w:rsid w:val="00D500D3"/>
    <w:rsid w:val="00D501AA"/>
    <w:rsid w:val="00D501FA"/>
    <w:rsid w:val="00D50344"/>
    <w:rsid w:val="00D503A5"/>
    <w:rsid w:val="00D5050B"/>
    <w:rsid w:val="00D5069A"/>
    <w:rsid w:val="00D50996"/>
    <w:rsid w:val="00D509C5"/>
    <w:rsid w:val="00D5109F"/>
    <w:rsid w:val="00D51477"/>
    <w:rsid w:val="00D51647"/>
    <w:rsid w:val="00D516BD"/>
    <w:rsid w:val="00D51759"/>
    <w:rsid w:val="00D518A7"/>
    <w:rsid w:val="00D51A34"/>
    <w:rsid w:val="00D51F0F"/>
    <w:rsid w:val="00D51F49"/>
    <w:rsid w:val="00D52283"/>
    <w:rsid w:val="00D525AC"/>
    <w:rsid w:val="00D526F8"/>
    <w:rsid w:val="00D5276E"/>
    <w:rsid w:val="00D527C8"/>
    <w:rsid w:val="00D5287C"/>
    <w:rsid w:val="00D52B7E"/>
    <w:rsid w:val="00D52BBB"/>
    <w:rsid w:val="00D52C18"/>
    <w:rsid w:val="00D52E6A"/>
    <w:rsid w:val="00D53509"/>
    <w:rsid w:val="00D53637"/>
    <w:rsid w:val="00D5376F"/>
    <w:rsid w:val="00D5392D"/>
    <w:rsid w:val="00D53953"/>
    <w:rsid w:val="00D53968"/>
    <w:rsid w:val="00D5396D"/>
    <w:rsid w:val="00D53BC0"/>
    <w:rsid w:val="00D53CE6"/>
    <w:rsid w:val="00D54163"/>
    <w:rsid w:val="00D54840"/>
    <w:rsid w:val="00D54B50"/>
    <w:rsid w:val="00D54C2E"/>
    <w:rsid w:val="00D54D06"/>
    <w:rsid w:val="00D550FD"/>
    <w:rsid w:val="00D552EE"/>
    <w:rsid w:val="00D5567E"/>
    <w:rsid w:val="00D557DD"/>
    <w:rsid w:val="00D557F0"/>
    <w:rsid w:val="00D55928"/>
    <w:rsid w:val="00D55AF0"/>
    <w:rsid w:val="00D55B2E"/>
    <w:rsid w:val="00D55F0F"/>
    <w:rsid w:val="00D56037"/>
    <w:rsid w:val="00D5632E"/>
    <w:rsid w:val="00D5648E"/>
    <w:rsid w:val="00D565D4"/>
    <w:rsid w:val="00D567A6"/>
    <w:rsid w:val="00D56B70"/>
    <w:rsid w:val="00D56E02"/>
    <w:rsid w:val="00D56F15"/>
    <w:rsid w:val="00D5713D"/>
    <w:rsid w:val="00D57180"/>
    <w:rsid w:val="00D573EC"/>
    <w:rsid w:val="00D576DD"/>
    <w:rsid w:val="00D57795"/>
    <w:rsid w:val="00D577B7"/>
    <w:rsid w:val="00D578F0"/>
    <w:rsid w:val="00D57AB1"/>
    <w:rsid w:val="00D57B11"/>
    <w:rsid w:val="00D57BF1"/>
    <w:rsid w:val="00D60157"/>
    <w:rsid w:val="00D60805"/>
    <w:rsid w:val="00D60A6A"/>
    <w:rsid w:val="00D60A87"/>
    <w:rsid w:val="00D60BE9"/>
    <w:rsid w:val="00D6100D"/>
    <w:rsid w:val="00D61217"/>
    <w:rsid w:val="00D614B7"/>
    <w:rsid w:val="00D6173B"/>
    <w:rsid w:val="00D61981"/>
    <w:rsid w:val="00D619FD"/>
    <w:rsid w:val="00D61ABE"/>
    <w:rsid w:val="00D6247A"/>
    <w:rsid w:val="00D6279C"/>
    <w:rsid w:val="00D62DB6"/>
    <w:rsid w:val="00D62F7C"/>
    <w:rsid w:val="00D631F0"/>
    <w:rsid w:val="00D63447"/>
    <w:rsid w:val="00D6347A"/>
    <w:rsid w:val="00D6356D"/>
    <w:rsid w:val="00D635CE"/>
    <w:rsid w:val="00D636D3"/>
    <w:rsid w:val="00D637BB"/>
    <w:rsid w:val="00D63934"/>
    <w:rsid w:val="00D63B98"/>
    <w:rsid w:val="00D63E85"/>
    <w:rsid w:val="00D64059"/>
    <w:rsid w:val="00D6428D"/>
    <w:rsid w:val="00D6437F"/>
    <w:rsid w:val="00D6448B"/>
    <w:rsid w:val="00D644C2"/>
    <w:rsid w:val="00D64667"/>
    <w:rsid w:val="00D64833"/>
    <w:rsid w:val="00D64A3A"/>
    <w:rsid w:val="00D64E9F"/>
    <w:rsid w:val="00D65111"/>
    <w:rsid w:val="00D6522B"/>
    <w:rsid w:val="00D65425"/>
    <w:rsid w:val="00D6553D"/>
    <w:rsid w:val="00D655E5"/>
    <w:rsid w:val="00D656EB"/>
    <w:rsid w:val="00D65D96"/>
    <w:rsid w:val="00D65F20"/>
    <w:rsid w:val="00D66181"/>
    <w:rsid w:val="00D6686E"/>
    <w:rsid w:val="00D66BA4"/>
    <w:rsid w:val="00D66CFF"/>
    <w:rsid w:val="00D66E76"/>
    <w:rsid w:val="00D6739B"/>
    <w:rsid w:val="00D674A9"/>
    <w:rsid w:val="00D679FD"/>
    <w:rsid w:val="00D67E48"/>
    <w:rsid w:val="00D7002C"/>
    <w:rsid w:val="00D70116"/>
    <w:rsid w:val="00D70164"/>
    <w:rsid w:val="00D701E8"/>
    <w:rsid w:val="00D70222"/>
    <w:rsid w:val="00D703B9"/>
    <w:rsid w:val="00D707A9"/>
    <w:rsid w:val="00D708B6"/>
    <w:rsid w:val="00D708E9"/>
    <w:rsid w:val="00D70E66"/>
    <w:rsid w:val="00D71026"/>
    <w:rsid w:val="00D7149A"/>
    <w:rsid w:val="00D71528"/>
    <w:rsid w:val="00D715B2"/>
    <w:rsid w:val="00D716F8"/>
    <w:rsid w:val="00D71AF3"/>
    <w:rsid w:val="00D71B42"/>
    <w:rsid w:val="00D720DF"/>
    <w:rsid w:val="00D721E0"/>
    <w:rsid w:val="00D72389"/>
    <w:rsid w:val="00D7250F"/>
    <w:rsid w:val="00D72544"/>
    <w:rsid w:val="00D72A83"/>
    <w:rsid w:val="00D72BF1"/>
    <w:rsid w:val="00D72CBF"/>
    <w:rsid w:val="00D72FDC"/>
    <w:rsid w:val="00D730B0"/>
    <w:rsid w:val="00D730CC"/>
    <w:rsid w:val="00D73385"/>
    <w:rsid w:val="00D735D0"/>
    <w:rsid w:val="00D73744"/>
    <w:rsid w:val="00D7376D"/>
    <w:rsid w:val="00D73A4C"/>
    <w:rsid w:val="00D7415D"/>
    <w:rsid w:val="00D74204"/>
    <w:rsid w:val="00D749C1"/>
    <w:rsid w:val="00D74D67"/>
    <w:rsid w:val="00D74ED2"/>
    <w:rsid w:val="00D7506D"/>
    <w:rsid w:val="00D753AA"/>
    <w:rsid w:val="00D7563F"/>
    <w:rsid w:val="00D75B70"/>
    <w:rsid w:val="00D75C9B"/>
    <w:rsid w:val="00D75E44"/>
    <w:rsid w:val="00D76032"/>
    <w:rsid w:val="00D76269"/>
    <w:rsid w:val="00D765A0"/>
    <w:rsid w:val="00D76684"/>
    <w:rsid w:val="00D766AA"/>
    <w:rsid w:val="00D7686F"/>
    <w:rsid w:val="00D76872"/>
    <w:rsid w:val="00D76998"/>
    <w:rsid w:val="00D76AB5"/>
    <w:rsid w:val="00D771FD"/>
    <w:rsid w:val="00D775B8"/>
    <w:rsid w:val="00D77779"/>
    <w:rsid w:val="00D777CA"/>
    <w:rsid w:val="00D778BC"/>
    <w:rsid w:val="00D7796D"/>
    <w:rsid w:val="00D77FDB"/>
    <w:rsid w:val="00D800F7"/>
    <w:rsid w:val="00D80531"/>
    <w:rsid w:val="00D80855"/>
    <w:rsid w:val="00D8097F"/>
    <w:rsid w:val="00D80B1A"/>
    <w:rsid w:val="00D80C06"/>
    <w:rsid w:val="00D80FF1"/>
    <w:rsid w:val="00D8111F"/>
    <w:rsid w:val="00D811CC"/>
    <w:rsid w:val="00D811FD"/>
    <w:rsid w:val="00D812C7"/>
    <w:rsid w:val="00D81457"/>
    <w:rsid w:val="00D8165D"/>
    <w:rsid w:val="00D8192A"/>
    <w:rsid w:val="00D8198F"/>
    <w:rsid w:val="00D8199E"/>
    <w:rsid w:val="00D81B18"/>
    <w:rsid w:val="00D82059"/>
    <w:rsid w:val="00D82253"/>
    <w:rsid w:val="00D8247C"/>
    <w:rsid w:val="00D825C6"/>
    <w:rsid w:val="00D82666"/>
    <w:rsid w:val="00D82E45"/>
    <w:rsid w:val="00D831DB"/>
    <w:rsid w:val="00D8327F"/>
    <w:rsid w:val="00D83541"/>
    <w:rsid w:val="00D836EA"/>
    <w:rsid w:val="00D836F8"/>
    <w:rsid w:val="00D8372B"/>
    <w:rsid w:val="00D83768"/>
    <w:rsid w:val="00D8435E"/>
    <w:rsid w:val="00D8466B"/>
    <w:rsid w:val="00D846F3"/>
    <w:rsid w:val="00D8483C"/>
    <w:rsid w:val="00D8487E"/>
    <w:rsid w:val="00D84923"/>
    <w:rsid w:val="00D84B4D"/>
    <w:rsid w:val="00D84CCC"/>
    <w:rsid w:val="00D84D05"/>
    <w:rsid w:val="00D84DDF"/>
    <w:rsid w:val="00D8501A"/>
    <w:rsid w:val="00D850FE"/>
    <w:rsid w:val="00D854DA"/>
    <w:rsid w:val="00D856AF"/>
    <w:rsid w:val="00D858F8"/>
    <w:rsid w:val="00D85B7E"/>
    <w:rsid w:val="00D85F1D"/>
    <w:rsid w:val="00D86281"/>
    <w:rsid w:val="00D86421"/>
    <w:rsid w:val="00D86451"/>
    <w:rsid w:val="00D865F5"/>
    <w:rsid w:val="00D866A4"/>
    <w:rsid w:val="00D86757"/>
    <w:rsid w:val="00D867F6"/>
    <w:rsid w:val="00D86A21"/>
    <w:rsid w:val="00D86BED"/>
    <w:rsid w:val="00D86F9B"/>
    <w:rsid w:val="00D871D2"/>
    <w:rsid w:val="00D873DC"/>
    <w:rsid w:val="00D87453"/>
    <w:rsid w:val="00D8745C"/>
    <w:rsid w:val="00D874C7"/>
    <w:rsid w:val="00D8794E"/>
    <w:rsid w:val="00D87C14"/>
    <w:rsid w:val="00D901AD"/>
    <w:rsid w:val="00D903DE"/>
    <w:rsid w:val="00D906D9"/>
    <w:rsid w:val="00D90924"/>
    <w:rsid w:val="00D90B5B"/>
    <w:rsid w:val="00D91390"/>
    <w:rsid w:val="00D91540"/>
    <w:rsid w:val="00D91B3E"/>
    <w:rsid w:val="00D91BFA"/>
    <w:rsid w:val="00D91D99"/>
    <w:rsid w:val="00D91F6E"/>
    <w:rsid w:val="00D92148"/>
    <w:rsid w:val="00D9223B"/>
    <w:rsid w:val="00D922E4"/>
    <w:rsid w:val="00D927AC"/>
    <w:rsid w:val="00D92832"/>
    <w:rsid w:val="00D92A3A"/>
    <w:rsid w:val="00D92D5A"/>
    <w:rsid w:val="00D9312E"/>
    <w:rsid w:val="00D933BE"/>
    <w:rsid w:val="00D9355C"/>
    <w:rsid w:val="00D939A2"/>
    <w:rsid w:val="00D93A16"/>
    <w:rsid w:val="00D93A94"/>
    <w:rsid w:val="00D93B28"/>
    <w:rsid w:val="00D93B3D"/>
    <w:rsid w:val="00D93B87"/>
    <w:rsid w:val="00D93B89"/>
    <w:rsid w:val="00D93C1B"/>
    <w:rsid w:val="00D93CD5"/>
    <w:rsid w:val="00D93CF4"/>
    <w:rsid w:val="00D93D3D"/>
    <w:rsid w:val="00D93D55"/>
    <w:rsid w:val="00D93E19"/>
    <w:rsid w:val="00D94187"/>
    <w:rsid w:val="00D945AB"/>
    <w:rsid w:val="00D9496D"/>
    <w:rsid w:val="00D94E49"/>
    <w:rsid w:val="00D9500A"/>
    <w:rsid w:val="00D95D85"/>
    <w:rsid w:val="00D96288"/>
    <w:rsid w:val="00D96356"/>
    <w:rsid w:val="00D96699"/>
    <w:rsid w:val="00D96B84"/>
    <w:rsid w:val="00D96DBC"/>
    <w:rsid w:val="00D96DCC"/>
    <w:rsid w:val="00D96E5F"/>
    <w:rsid w:val="00D96ED8"/>
    <w:rsid w:val="00D97252"/>
    <w:rsid w:val="00D9747A"/>
    <w:rsid w:val="00D975AB"/>
    <w:rsid w:val="00D97BEF"/>
    <w:rsid w:val="00D97CAF"/>
    <w:rsid w:val="00D97F8B"/>
    <w:rsid w:val="00D97F9A"/>
    <w:rsid w:val="00DA004C"/>
    <w:rsid w:val="00DA00F3"/>
    <w:rsid w:val="00DA05D8"/>
    <w:rsid w:val="00DA0768"/>
    <w:rsid w:val="00DA076C"/>
    <w:rsid w:val="00DA0C37"/>
    <w:rsid w:val="00DA0E91"/>
    <w:rsid w:val="00DA10D1"/>
    <w:rsid w:val="00DA13B5"/>
    <w:rsid w:val="00DA161A"/>
    <w:rsid w:val="00DA1CD0"/>
    <w:rsid w:val="00DA20A3"/>
    <w:rsid w:val="00DA2220"/>
    <w:rsid w:val="00DA2386"/>
    <w:rsid w:val="00DA2474"/>
    <w:rsid w:val="00DA2886"/>
    <w:rsid w:val="00DA2C18"/>
    <w:rsid w:val="00DA2C43"/>
    <w:rsid w:val="00DA2EC8"/>
    <w:rsid w:val="00DA32A5"/>
    <w:rsid w:val="00DA344D"/>
    <w:rsid w:val="00DA3492"/>
    <w:rsid w:val="00DA3494"/>
    <w:rsid w:val="00DA3633"/>
    <w:rsid w:val="00DA3880"/>
    <w:rsid w:val="00DA3A39"/>
    <w:rsid w:val="00DA3CC7"/>
    <w:rsid w:val="00DA3E2F"/>
    <w:rsid w:val="00DA3EEE"/>
    <w:rsid w:val="00DA4039"/>
    <w:rsid w:val="00DA4092"/>
    <w:rsid w:val="00DA40E2"/>
    <w:rsid w:val="00DA4258"/>
    <w:rsid w:val="00DA43A0"/>
    <w:rsid w:val="00DA46CD"/>
    <w:rsid w:val="00DA475F"/>
    <w:rsid w:val="00DA4850"/>
    <w:rsid w:val="00DA4968"/>
    <w:rsid w:val="00DA4DE1"/>
    <w:rsid w:val="00DA4F0C"/>
    <w:rsid w:val="00DA4F7F"/>
    <w:rsid w:val="00DA53D7"/>
    <w:rsid w:val="00DA566B"/>
    <w:rsid w:val="00DA5A94"/>
    <w:rsid w:val="00DA63D0"/>
    <w:rsid w:val="00DA6514"/>
    <w:rsid w:val="00DA6824"/>
    <w:rsid w:val="00DA6A04"/>
    <w:rsid w:val="00DA6C16"/>
    <w:rsid w:val="00DA7191"/>
    <w:rsid w:val="00DA752A"/>
    <w:rsid w:val="00DA7597"/>
    <w:rsid w:val="00DA7634"/>
    <w:rsid w:val="00DA7727"/>
    <w:rsid w:val="00DA7863"/>
    <w:rsid w:val="00DA7953"/>
    <w:rsid w:val="00DA7A46"/>
    <w:rsid w:val="00DA7A60"/>
    <w:rsid w:val="00DA7C81"/>
    <w:rsid w:val="00DA7EFD"/>
    <w:rsid w:val="00DA7F1B"/>
    <w:rsid w:val="00DB012F"/>
    <w:rsid w:val="00DB01D1"/>
    <w:rsid w:val="00DB031B"/>
    <w:rsid w:val="00DB0324"/>
    <w:rsid w:val="00DB052C"/>
    <w:rsid w:val="00DB05B7"/>
    <w:rsid w:val="00DB05BD"/>
    <w:rsid w:val="00DB061A"/>
    <w:rsid w:val="00DB0757"/>
    <w:rsid w:val="00DB07E0"/>
    <w:rsid w:val="00DB0867"/>
    <w:rsid w:val="00DB0944"/>
    <w:rsid w:val="00DB101D"/>
    <w:rsid w:val="00DB1044"/>
    <w:rsid w:val="00DB1144"/>
    <w:rsid w:val="00DB14EB"/>
    <w:rsid w:val="00DB1B4A"/>
    <w:rsid w:val="00DB1C73"/>
    <w:rsid w:val="00DB1FCF"/>
    <w:rsid w:val="00DB2355"/>
    <w:rsid w:val="00DB27F8"/>
    <w:rsid w:val="00DB2914"/>
    <w:rsid w:val="00DB2CF9"/>
    <w:rsid w:val="00DB2E7C"/>
    <w:rsid w:val="00DB2F1E"/>
    <w:rsid w:val="00DB2F36"/>
    <w:rsid w:val="00DB3108"/>
    <w:rsid w:val="00DB316D"/>
    <w:rsid w:val="00DB35FF"/>
    <w:rsid w:val="00DB38DC"/>
    <w:rsid w:val="00DB3BB4"/>
    <w:rsid w:val="00DB3BF6"/>
    <w:rsid w:val="00DB3EA6"/>
    <w:rsid w:val="00DB40E4"/>
    <w:rsid w:val="00DB43B7"/>
    <w:rsid w:val="00DB43EF"/>
    <w:rsid w:val="00DB4403"/>
    <w:rsid w:val="00DB45AB"/>
    <w:rsid w:val="00DB4717"/>
    <w:rsid w:val="00DB473E"/>
    <w:rsid w:val="00DB4F77"/>
    <w:rsid w:val="00DB52C6"/>
    <w:rsid w:val="00DB5415"/>
    <w:rsid w:val="00DB541B"/>
    <w:rsid w:val="00DB5620"/>
    <w:rsid w:val="00DB5777"/>
    <w:rsid w:val="00DB5889"/>
    <w:rsid w:val="00DB5B8E"/>
    <w:rsid w:val="00DB5F47"/>
    <w:rsid w:val="00DB5F6C"/>
    <w:rsid w:val="00DB631D"/>
    <w:rsid w:val="00DB6699"/>
    <w:rsid w:val="00DB6F15"/>
    <w:rsid w:val="00DB72A2"/>
    <w:rsid w:val="00DB74B3"/>
    <w:rsid w:val="00DB762B"/>
    <w:rsid w:val="00DB7797"/>
    <w:rsid w:val="00DB7A2E"/>
    <w:rsid w:val="00DB7CF1"/>
    <w:rsid w:val="00DB7F56"/>
    <w:rsid w:val="00DB7FDD"/>
    <w:rsid w:val="00DC0015"/>
    <w:rsid w:val="00DC023A"/>
    <w:rsid w:val="00DC055C"/>
    <w:rsid w:val="00DC0707"/>
    <w:rsid w:val="00DC07A1"/>
    <w:rsid w:val="00DC0BFE"/>
    <w:rsid w:val="00DC0DB1"/>
    <w:rsid w:val="00DC0F02"/>
    <w:rsid w:val="00DC0F8D"/>
    <w:rsid w:val="00DC1325"/>
    <w:rsid w:val="00DC13E5"/>
    <w:rsid w:val="00DC1672"/>
    <w:rsid w:val="00DC1757"/>
    <w:rsid w:val="00DC1E69"/>
    <w:rsid w:val="00DC1EAA"/>
    <w:rsid w:val="00DC1EAB"/>
    <w:rsid w:val="00DC1FBF"/>
    <w:rsid w:val="00DC2132"/>
    <w:rsid w:val="00DC2284"/>
    <w:rsid w:val="00DC2483"/>
    <w:rsid w:val="00DC24F1"/>
    <w:rsid w:val="00DC2541"/>
    <w:rsid w:val="00DC2956"/>
    <w:rsid w:val="00DC298B"/>
    <w:rsid w:val="00DC2D04"/>
    <w:rsid w:val="00DC2DED"/>
    <w:rsid w:val="00DC2E98"/>
    <w:rsid w:val="00DC2EB4"/>
    <w:rsid w:val="00DC33FF"/>
    <w:rsid w:val="00DC341D"/>
    <w:rsid w:val="00DC34F2"/>
    <w:rsid w:val="00DC3589"/>
    <w:rsid w:val="00DC364C"/>
    <w:rsid w:val="00DC3718"/>
    <w:rsid w:val="00DC3896"/>
    <w:rsid w:val="00DC38AC"/>
    <w:rsid w:val="00DC38DA"/>
    <w:rsid w:val="00DC3CA4"/>
    <w:rsid w:val="00DC3E76"/>
    <w:rsid w:val="00DC40D2"/>
    <w:rsid w:val="00DC410B"/>
    <w:rsid w:val="00DC420E"/>
    <w:rsid w:val="00DC4239"/>
    <w:rsid w:val="00DC4304"/>
    <w:rsid w:val="00DC44B4"/>
    <w:rsid w:val="00DC49F5"/>
    <w:rsid w:val="00DC4FAF"/>
    <w:rsid w:val="00DC5201"/>
    <w:rsid w:val="00DC52EF"/>
    <w:rsid w:val="00DC53B8"/>
    <w:rsid w:val="00DC556C"/>
    <w:rsid w:val="00DC5AD1"/>
    <w:rsid w:val="00DC5B96"/>
    <w:rsid w:val="00DC5C0D"/>
    <w:rsid w:val="00DC6158"/>
    <w:rsid w:val="00DC6D70"/>
    <w:rsid w:val="00DC6DC7"/>
    <w:rsid w:val="00DC6F0F"/>
    <w:rsid w:val="00DC7032"/>
    <w:rsid w:val="00DC72A4"/>
    <w:rsid w:val="00DC72D1"/>
    <w:rsid w:val="00DC746E"/>
    <w:rsid w:val="00DC76EE"/>
    <w:rsid w:val="00DC7CED"/>
    <w:rsid w:val="00DC7D95"/>
    <w:rsid w:val="00DC7DDD"/>
    <w:rsid w:val="00DD01CA"/>
    <w:rsid w:val="00DD02F4"/>
    <w:rsid w:val="00DD043A"/>
    <w:rsid w:val="00DD069E"/>
    <w:rsid w:val="00DD1176"/>
    <w:rsid w:val="00DD1A7E"/>
    <w:rsid w:val="00DD1AB6"/>
    <w:rsid w:val="00DD1B4E"/>
    <w:rsid w:val="00DD21F7"/>
    <w:rsid w:val="00DD245C"/>
    <w:rsid w:val="00DD2484"/>
    <w:rsid w:val="00DD25EB"/>
    <w:rsid w:val="00DD279B"/>
    <w:rsid w:val="00DD285A"/>
    <w:rsid w:val="00DD295D"/>
    <w:rsid w:val="00DD2A4C"/>
    <w:rsid w:val="00DD2D2D"/>
    <w:rsid w:val="00DD2E0D"/>
    <w:rsid w:val="00DD2E0E"/>
    <w:rsid w:val="00DD304A"/>
    <w:rsid w:val="00DD32B7"/>
    <w:rsid w:val="00DD36D5"/>
    <w:rsid w:val="00DD399A"/>
    <w:rsid w:val="00DD3A13"/>
    <w:rsid w:val="00DD3BDC"/>
    <w:rsid w:val="00DD3CA5"/>
    <w:rsid w:val="00DD40ED"/>
    <w:rsid w:val="00DD4A0E"/>
    <w:rsid w:val="00DD4C48"/>
    <w:rsid w:val="00DD4D92"/>
    <w:rsid w:val="00DD5527"/>
    <w:rsid w:val="00DD552F"/>
    <w:rsid w:val="00DD5A48"/>
    <w:rsid w:val="00DD5A72"/>
    <w:rsid w:val="00DD5B5A"/>
    <w:rsid w:val="00DD5BF3"/>
    <w:rsid w:val="00DD6330"/>
    <w:rsid w:val="00DD6621"/>
    <w:rsid w:val="00DD6705"/>
    <w:rsid w:val="00DD6AB5"/>
    <w:rsid w:val="00DD6B1E"/>
    <w:rsid w:val="00DD6C24"/>
    <w:rsid w:val="00DD6D1F"/>
    <w:rsid w:val="00DD6E9C"/>
    <w:rsid w:val="00DD727E"/>
    <w:rsid w:val="00DD72B0"/>
    <w:rsid w:val="00DD742C"/>
    <w:rsid w:val="00DD75C0"/>
    <w:rsid w:val="00DD75EF"/>
    <w:rsid w:val="00DD7963"/>
    <w:rsid w:val="00DD7A31"/>
    <w:rsid w:val="00DD7A74"/>
    <w:rsid w:val="00DD7CB3"/>
    <w:rsid w:val="00DE0277"/>
    <w:rsid w:val="00DE03A0"/>
    <w:rsid w:val="00DE077F"/>
    <w:rsid w:val="00DE0B17"/>
    <w:rsid w:val="00DE1255"/>
    <w:rsid w:val="00DE1376"/>
    <w:rsid w:val="00DE1C0E"/>
    <w:rsid w:val="00DE1CF4"/>
    <w:rsid w:val="00DE20FA"/>
    <w:rsid w:val="00DE2193"/>
    <w:rsid w:val="00DE228D"/>
    <w:rsid w:val="00DE2293"/>
    <w:rsid w:val="00DE23D4"/>
    <w:rsid w:val="00DE2417"/>
    <w:rsid w:val="00DE246B"/>
    <w:rsid w:val="00DE24CE"/>
    <w:rsid w:val="00DE2953"/>
    <w:rsid w:val="00DE2A56"/>
    <w:rsid w:val="00DE2D56"/>
    <w:rsid w:val="00DE2DB1"/>
    <w:rsid w:val="00DE2E9D"/>
    <w:rsid w:val="00DE2ED6"/>
    <w:rsid w:val="00DE3440"/>
    <w:rsid w:val="00DE36A9"/>
    <w:rsid w:val="00DE374E"/>
    <w:rsid w:val="00DE37BE"/>
    <w:rsid w:val="00DE38A3"/>
    <w:rsid w:val="00DE4103"/>
    <w:rsid w:val="00DE4210"/>
    <w:rsid w:val="00DE428A"/>
    <w:rsid w:val="00DE42F6"/>
    <w:rsid w:val="00DE4578"/>
    <w:rsid w:val="00DE4807"/>
    <w:rsid w:val="00DE4812"/>
    <w:rsid w:val="00DE4A7A"/>
    <w:rsid w:val="00DE4C5E"/>
    <w:rsid w:val="00DE4CD1"/>
    <w:rsid w:val="00DE4DA8"/>
    <w:rsid w:val="00DE4FA3"/>
    <w:rsid w:val="00DE51B4"/>
    <w:rsid w:val="00DE53DB"/>
    <w:rsid w:val="00DE5403"/>
    <w:rsid w:val="00DE55CB"/>
    <w:rsid w:val="00DE57C5"/>
    <w:rsid w:val="00DE58E6"/>
    <w:rsid w:val="00DE591A"/>
    <w:rsid w:val="00DE5D49"/>
    <w:rsid w:val="00DE5E6A"/>
    <w:rsid w:val="00DE5F6D"/>
    <w:rsid w:val="00DE650F"/>
    <w:rsid w:val="00DE675C"/>
    <w:rsid w:val="00DE70FC"/>
    <w:rsid w:val="00DE7572"/>
    <w:rsid w:val="00DE7B41"/>
    <w:rsid w:val="00DE7CE0"/>
    <w:rsid w:val="00DE7F22"/>
    <w:rsid w:val="00DF005A"/>
    <w:rsid w:val="00DF010F"/>
    <w:rsid w:val="00DF0155"/>
    <w:rsid w:val="00DF04EE"/>
    <w:rsid w:val="00DF086A"/>
    <w:rsid w:val="00DF08AE"/>
    <w:rsid w:val="00DF0D8B"/>
    <w:rsid w:val="00DF0DDD"/>
    <w:rsid w:val="00DF1794"/>
    <w:rsid w:val="00DF1879"/>
    <w:rsid w:val="00DF198F"/>
    <w:rsid w:val="00DF1A23"/>
    <w:rsid w:val="00DF1A8F"/>
    <w:rsid w:val="00DF1CFF"/>
    <w:rsid w:val="00DF1E48"/>
    <w:rsid w:val="00DF1E89"/>
    <w:rsid w:val="00DF1F1E"/>
    <w:rsid w:val="00DF229B"/>
    <w:rsid w:val="00DF23CA"/>
    <w:rsid w:val="00DF2549"/>
    <w:rsid w:val="00DF26FF"/>
    <w:rsid w:val="00DF2741"/>
    <w:rsid w:val="00DF2BD1"/>
    <w:rsid w:val="00DF2EED"/>
    <w:rsid w:val="00DF3038"/>
    <w:rsid w:val="00DF32E7"/>
    <w:rsid w:val="00DF33DD"/>
    <w:rsid w:val="00DF3467"/>
    <w:rsid w:val="00DF34EF"/>
    <w:rsid w:val="00DF3743"/>
    <w:rsid w:val="00DF3757"/>
    <w:rsid w:val="00DF3DE2"/>
    <w:rsid w:val="00DF3E35"/>
    <w:rsid w:val="00DF40FE"/>
    <w:rsid w:val="00DF42E0"/>
    <w:rsid w:val="00DF441A"/>
    <w:rsid w:val="00DF450D"/>
    <w:rsid w:val="00DF4742"/>
    <w:rsid w:val="00DF5036"/>
    <w:rsid w:val="00DF53A0"/>
    <w:rsid w:val="00DF5408"/>
    <w:rsid w:val="00DF5B56"/>
    <w:rsid w:val="00DF6076"/>
    <w:rsid w:val="00DF620E"/>
    <w:rsid w:val="00DF6326"/>
    <w:rsid w:val="00DF66E4"/>
    <w:rsid w:val="00DF6959"/>
    <w:rsid w:val="00DF6A9A"/>
    <w:rsid w:val="00DF6C04"/>
    <w:rsid w:val="00DF6DC0"/>
    <w:rsid w:val="00DF718E"/>
    <w:rsid w:val="00DF7249"/>
    <w:rsid w:val="00DF736A"/>
    <w:rsid w:val="00DF73FC"/>
    <w:rsid w:val="00DF79C5"/>
    <w:rsid w:val="00DF7D84"/>
    <w:rsid w:val="00DF7DF8"/>
    <w:rsid w:val="00DF7FC3"/>
    <w:rsid w:val="00E0025C"/>
    <w:rsid w:val="00E00460"/>
    <w:rsid w:val="00E004BA"/>
    <w:rsid w:val="00E006E9"/>
    <w:rsid w:val="00E00844"/>
    <w:rsid w:val="00E00932"/>
    <w:rsid w:val="00E00C71"/>
    <w:rsid w:val="00E00D11"/>
    <w:rsid w:val="00E00E07"/>
    <w:rsid w:val="00E00EAA"/>
    <w:rsid w:val="00E01034"/>
    <w:rsid w:val="00E0103C"/>
    <w:rsid w:val="00E0140F"/>
    <w:rsid w:val="00E01934"/>
    <w:rsid w:val="00E01CE6"/>
    <w:rsid w:val="00E01ECD"/>
    <w:rsid w:val="00E01F08"/>
    <w:rsid w:val="00E0220F"/>
    <w:rsid w:val="00E02399"/>
    <w:rsid w:val="00E0240A"/>
    <w:rsid w:val="00E0274F"/>
    <w:rsid w:val="00E02814"/>
    <w:rsid w:val="00E028E0"/>
    <w:rsid w:val="00E02D39"/>
    <w:rsid w:val="00E02D97"/>
    <w:rsid w:val="00E02FD4"/>
    <w:rsid w:val="00E0338D"/>
    <w:rsid w:val="00E0339C"/>
    <w:rsid w:val="00E03532"/>
    <w:rsid w:val="00E036F3"/>
    <w:rsid w:val="00E0386A"/>
    <w:rsid w:val="00E038DC"/>
    <w:rsid w:val="00E03ED5"/>
    <w:rsid w:val="00E03F68"/>
    <w:rsid w:val="00E04119"/>
    <w:rsid w:val="00E0443B"/>
    <w:rsid w:val="00E04491"/>
    <w:rsid w:val="00E044AB"/>
    <w:rsid w:val="00E04669"/>
    <w:rsid w:val="00E0472D"/>
    <w:rsid w:val="00E047E5"/>
    <w:rsid w:val="00E04AE7"/>
    <w:rsid w:val="00E04C97"/>
    <w:rsid w:val="00E050A8"/>
    <w:rsid w:val="00E05118"/>
    <w:rsid w:val="00E05508"/>
    <w:rsid w:val="00E05916"/>
    <w:rsid w:val="00E05A10"/>
    <w:rsid w:val="00E05C21"/>
    <w:rsid w:val="00E05E2B"/>
    <w:rsid w:val="00E061CB"/>
    <w:rsid w:val="00E0623D"/>
    <w:rsid w:val="00E06243"/>
    <w:rsid w:val="00E062B6"/>
    <w:rsid w:val="00E0632A"/>
    <w:rsid w:val="00E065DF"/>
    <w:rsid w:val="00E06853"/>
    <w:rsid w:val="00E068D6"/>
    <w:rsid w:val="00E068ED"/>
    <w:rsid w:val="00E06E3E"/>
    <w:rsid w:val="00E07169"/>
    <w:rsid w:val="00E071D5"/>
    <w:rsid w:val="00E0722D"/>
    <w:rsid w:val="00E072F7"/>
    <w:rsid w:val="00E07358"/>
    <w:rsid w:val="00E075E6"/>
    <w:rsid w:val="00E075F5"/>
    <w:rsid w:val="00E07828"/>
    <w:rsid w:val="00E0783F"/>
    <w:rsid w:val="00E07A69"/>
    <w:rsid w:val="00E07ABA"/>
    <w:rsid w:val="00E10454"/>
    <w:rsid w:val="00E109C1"/>
    <w:rsid w:val="00E10A28"/>
    <w:rsid w:val="00E10F9C"/>
    <w:rsid w:val="00E1114D"/>
    <w:rsid w:val="00E11277"/>
    <w:rsid w:val="00E11282"/>
    <w:rsid w:val="00E1144B"/>
    <w:rsid w:val="00E11807"/>
    <w:rsid w:val="00E11863"/>
    <w:rsid w:val="00E11BA4"/>
    <w:rsid w:val="00E11C65"/>
    <w:rsid w:val="00E11CD1"/>
    <w:rsid w:val="00E11D0F"/>
    <w:rsid w:val="00E11DF4"/>
    <w:rsid w:val="00E12185"/>
    <w:rsid w:val="00E12378"/>
    <w:rsid w:val="00E123C6"/>
    <w:rsid w:val="00E124AF"/>
    <w:rsid w:val="00E1253B"/>
    <w:rsid w:val="00E128FF"/>
    <w:rsid w:val="00E12F0C"/>
    <w:rsid w:val="00E130AD"/>
    <w:rsid w:val="00E13187"/>
    <w:rsid w:val="00E132E3"/>
    <w:rsid w:val="00E13601"/>
    <w:rsid w:val="00E136BF"/>
    <w:rsid w:val="00E13C52"/>
    <w:rsid w:val="00E13F7A"/>
    <w:rsid w:val="00E13FCA"/>
    <w:rsid w:val="00E140F4"/>
    <w:rsid w:val="00E146CF"/>
    <w:rsid w:val="00E146ED"/>
    <w:rsid w:val="00E14A5B"/>
    <w:rsid w:val="00E14BC7"/>
    <w:rsid w:val="00E14C1F"/>
    <w:rsid w:val="00E14E5F"/>
    <w:rsid w:val="00E14E6A"/>
    <w:rsid w:val="00E15026"/>
    <w:rsid w:val="00E156C1"/>
    <w:rsid w:val="00E157D3"/>
    <w:rsid w:val="00E15A4F"/>
    <w:rsid w:val="00E15D54"/>
    <w:rsid w:val="00E15D97"/>
    <w:rsid w:val="00E15E7A"/>
    <w:rsid w:val="00E15FCB"/>
    <w:rsid w:val="00E16015"/>
    <w:rsid w:val="00E162A4"/>
    <w:rsid w:val="00E162D7"/>
    <w:rsid w:val="00E16569"/>
    <w:rsid w:val="00E165BB"/>
    <w:rsid w:val="00E16717"/>
    <w:rsid w:val="00E16851"/>
    <w:rsid w:val="00E16869"/>
    <w:rsid w:val="00E16888"/>
    <w:rsid w:val="00E1688C"/>
    <w:rsid w:val="00E16D7A"/>
    <w:rsid w:val="00E16EAF"/>
    <w:rsid w:val="00E170D2"/>
    <w:rsid w:val="00E1713B"/>
    <w:rsid w:val="00E1725C"/>
    <w:rsid w:val="00E172C5"/>
    <w:rsid w:val="00E1787D"/>
    <w:rsid w:val="00E17ABC"/>
    <w:rsid w:val="00E17CFF"/>
    <w:rsid w:val="00E17E8E"/>
    <w:rsid w:val="00E2006F"/>
    <w:rsid w:val="00E20955"/>
    <w:rsid w:val="00E20995"/>
    <w:rsid w:val="00E20DCA"/>
    <w:rsid w:val="00E20E33"/>
    <w:rsid w:val="00E20F0C"/>
    <w:rsid w:val="00E21877"/>
    <w:rsid w:val="00E219B4"/>
    <w:rsid w:val="00E21AD0"/>
    <w:rsid w:val="00E21E97"/>
    <w:rsid w:val="00E21F72"/>
    <w:rsid w:val="00E2201B"/>
    <w:rsid w:val="00E220C6"/>
    <w:rsid w:val="00E2249F"/>
    <w:rsid w:val="00E22665"/>
    <w:rsid w:val="00E227AE"/>
    <w:rsid w:val="00E23185"/>
    <w:rsid w:val="00E233E7"/>
    <w:rsid w:val="00E23526"/>
    <w:rsid w:val="00E23CFD"/>
    <w:rsid w:val="00E23D56"/>
    <w:rsid w:val="00E23F4E"/>
    <w:rsid w:val="00E24469"/>
    <w:rsid w:val="00E24799"/>
    <w:rsid w:val="00E2482D"/>
    <w:rsid w:val="00E2486C"/>
    <w:rsid w:val="00E24906"/>
    <w:rsid w:val="00E24AF1"/>
    <w:rsid w:val="00E24B28"/>
    <w:rsid w:val="00E24B6F"/>
    <w:rsid w:val="00E24C10"/>
    <w:rsid w:val="00E24C6A"/>
    <w:rsid w:val="00E24FB5"/>
    <w:rsid w:val="00E25221"/>
    <w:rsid w:val="00E25365"/>
    <w:rsid w:val="00E25C54"/>
    <w:rsid w:val="00E25E05"/>
    <w:rsid w:val="00E2604D"/>
    <w:rsid w:val="00E26495"/>
    <w:rsid w:val="00E26810"/>
    <w:rsid w:val="00E2682C"/>
    <w:rsid w:val="00E268B3"/>
    <w:rsid w:val="00E269D9"/>
    <w:rsid w:val="00E26C1F"/>
    <w:rsid w:val="00E26DCA"/>
    <w:rsid w:val="00E26F1C"/>
    <w:rsid w:val="00E276A9"/>
    <w:rsid w:val="00E278AB"/>
    <w:rsid w:val="00E30029"/>
    <w:rsid w:val="00E30033"/>
    <w:rsid w:val="00E30037"/>
    <w:rsid w:val="00E30499"/>
    <w:rsid w:val="00E30A80"/>
    <w:rsid w:val="00E30B51"/>
    <w:rsid w:val="00E30B8E"/>
    <w:rsid w:val="00E3102A"/>
    <w:rsid w:val="00E31116"/>
    <w:rsid w:val="00E31290"/>
    <w:rsid w:val="00E313EF"/>
    <w:rsid w:val="00E31767"/>
    <w:rsid w:val="00E324BB"/>
    <w:rsid w:val="00E32710"/>
    <w:rsid w:val="00E3275F"/>
    <w:rsid w:val="00E32A7A"/>
    <w:rsid w:val="00E32AF5"/>
    <w:rsid w:val="00E32B08"/>
    <w:rsid w:val="00E32ECD"/>
    <w:rsid w:val="00E33134"/>
    <w:rsid w:val="00E338C4"/>
    <w:rsid w:val="00E339F0"/>
    <w:rsid w:val="00E33DE8"/>
    <w:rsid w:val="00E341F5"/>
    <w:rsid w:val="00E34287"/>
    <w:rsid w:val="00E34324"/>
    <w:rsid w:val="00E344CB"/>
    <w:rsid w:val="00E345D4"/>
    <w:rsid w:val="00E345EC"/>
    <w:rsid w:val="00E34796"/>
    <w:rsid w:val="00E347A0"/>
    <w:rsid w:val="00E34884"/>
    <w:rsid w:val="00E34B1D"/>
    <w:rsid w:val="00E34B7A"/>
    <w:rsid w:val="00E34CD7"/>
    <w:rsid w:val="00E34D8C"/>
    <w:rsid w:val="00E35181"/>
    <w:rsid w:val="00E35182"/>
    <w:rsid w:val="00E35427"/>
    <w:rsid w:val="00E35559"/>
    <w:rsid w:val="00E35718"/>
    <w:rsid w:val="00E35A48"/>
    <w:rsid w:val="00E35D0C"/>
    <w:rsid w:val="00E35E8B"/>
    <w:rsid w:val="00E36A58"/>
    <w:rsid w:val="00E36CE6"/>
    <w:rsid w:val="00E36E0A"/>
    <w:rsid w:val="00E37017"/>
    <w:rsid w:val="00E37084"/>
    <w:rsid w:val="00E373AC"/>
    <w:rsid w:val="00E37424"/>
    <w:rsid w:val="00E375C1"/>
    <w:rsid w:val="00E377E8"/>
    <w:rsid w:val="00E37821"/>
    <w:rsid w:val="00E37980"/>
    <w:rsid w:val="00E37AB2"/>
    <w:rsid w:val="00E37B7F"/>
    <w:rsid w:val="00E37C98"/>
    <w:rsid w:val="00E37E42"/>
    <w:rsid w:val="00E37E88"/>
    <w:rsid w:val="00E37F12"/>
    <w:rsid w:val="00E37FAB"/>
    <w:rsid w:val="00E40283"/>
    <w:rsid w:val="00E40371"/>
    <w:rsid w:val="00E40444"/>
    <w:rsid w:val="00E40986"/>
    <w:rsid w:val="00E40A86"/>
    <w:rsid w:val="00E40F22"/>
    <w:rsid w:val="00E412EC"/>
    <w:rsid w:val="00E415B1"/>
    <w:rsid w:val="00E416FC"/>
    <w:rsid w:val="00E41711"/>
    <w:rsid w:val="00E41722"/>
    <w:rsid w:val="00E41C77"/>
    <w:rsid w:val="00E41CA3"/>
    <w:rsid w:val="00E41E0A"/>
    <w:rsid w:val="00E41E2D"/>
    <w:rsid w:val="00E41F74"/>
    <w:rsid w:val="00E41FB9"/>
    <w:rsid w:val="00E427F0"/>
    <w:rsid w:val="00E42BE9"/>
    <w:rsid w:val="00E42C72"/>
    <w:rsid w:val="00E42EDF"/>
    <w:rsid w:val="00E42F13"/>
    <w:rsid w:val="00E43055"/>
    <w:rsid w:val="00E43464"/>
    <w:rsid w:val="00E43542"/>
    <w:rsid w:val="00E4364C"/>
    <w:rsid w:val="00E4394A"/>
    <w:rsid w:val="00E43A9B"/>
    <w:rsid w:val="00E43AED"/>
    <w:rsid w:val="00E43C11"/>
    <w:rsid w:val="00E43C62"/>
    <w:rsid w:val="00E43D44"/>
    <w:rsid w:val="00E44270"/>
    <w:rsid w:val="00E44414"/>
    <w:rsid w:val="00E44472"/>
    <w:rsid w:val="00E4475F"/>
    <w:rsid w:val="00E44AD2"/>
    <w:rsid w:val="00E44F02"/>
    <w:rsid w:val="00E450FD"/>
    <w:rsid w:val="00E451BE"/>
    <w:rsid w:val="00E4564D"/>
    <w:rsid w:val="00E456B4"/>
    <w:rsid w:val="00E4591E"/>
    <w:rsid w:val="00E45D80"/>
    <w:rsid w:val="00E45E6E"/>
    <w:rsid w:val="00E45EF9"/>
    <w:rsid w:val="00E45F36"/>
    <w:rsid w:val="00E45F4C"/>
    <w:rsid w:val="00E46181"/>
    <w:rsid w:val="00E4695B"/>
    <w:rsid w:val="00E46C40"/>
    <w:rsid w:val="00E471D4"/>
    <w:rsid w:val="00E4767B"/>
    <w:rsid w:val="00E477EE"/>
    <w:rsid w:val="00E47A69"/>
    <w:rsid w:val="00E47C85"/>
    <w:rsid w:val="00E47D20"/>
    <w:rsid w:val="00E50089"/>
    <w:rsid w:val="00E501F9"/>
    <w:rsid w:val="00E50A52"/>
    <w:rsid w:val="00E50B87"/>
    <w:rsid w:val="00E50C35"/>
    <w:rsid w:val="00E511FB"/>
    <w:rsid w:val="00E51444"/>
    <w:rsid w:val="00E51472"/>
    <w:rsid w:val="00E516C0"/>
    <w:rsid w:val="00E518D2"/>
    <w:rsid w:val="00E51919"/>
    <w:rsid w:val="00E51AB6"/>
    <w:rsid w:val="00E51BAC"/>
    <w:rsid w:val="00E51E3A"/>
    <w:rsid w:val="00E51EAD"/>
    <w:rsid w:val="00E521A6"/>
    <w:rsid w:val="00E523E2"/>
    <w:rsid w:val="00E5275D"/>
    <w:rsid w:val="00E52CF0"/>
    <w:rsid w:val="00E52DE7"/>
    <w:rsid w:val="00E52F27"/>
    <w:rsid w:val="00E532C7"/>
    <w:rsid w:val="00E5330C"/>
    <w:rsid w:val="00E534A9"/>
    <w:rsid w:val="00E534C6"/>
    <w:rsid w:val="00E53883"/>
    <w:rsid w:val="00E53967"/>
    <w:rsid w:val="00E53F10"/>
    <w:rsid w:val="00E53F73"/>
    <w:rsid w:val="00E53FA4"/>
    <w:rsid w:val="00E546DA"/>
    <w:rsid w:val="00E548F5"/>
    <w:rsid w:val="00E55430"/>
    <w:rsid w:val="00E5545A"/>
    <w:rsid w:val="00E55681"/>
    <w:rsid w:val="00E55696"/>
    <w:rsid w:val="00E556F7"/>
    <w:rsid w:val="00E5578F"/>
    <w:rsid w:val="00E55854"/>
    <w:rsid w:val="00E55D5A"/>
    <w:rsid w:val="00E560DD"/>
    <w:rsid w:val="00E561DE"/>
    <w:rsid w:val="00E56347"/>
    <w:rsid w:val="00E56410"/>
    <w:rsid w:val="00E564DD"/>
    <w:rsid w:val="00E5650C"/>
    <w:rsid w:val="00E56C8F"/>
    <w:rsid w:val="00E56DAC"/>
    <w:rsid w:val="00E56E0A"/>
    <w:rsid w:val="00E5706E"/>
    <w:rsid w:val="00E571BB"/>
    <w:rsid w:val="00E577C9"/>
    <w:rsid w:val="00E578B3"/>
    <w:rsid w:val="00E57A56"/>
    <w:rsid w:val="00E60147"/>
    <w:rsid w:val="00E60164"/>
    <w:rsid w:val="00E603B9"/>
    <w:rsid w:val="00E60430"/>
    <w:rsid w:val="00E60439"/>
    <w:rsid w:val="00E604D7"/>
    <w:rsid w:val="00E60774"/>
    <w:rsid w:val="00E6086D"/>
    <w:rsid w:val="00E6092E"/>
    <w:rsid w:val="00E60A84"/>
    <w:rsid w:val="00E60B92"/>
    <w:rsid w:val="00E61404"/>
    <w:rsid w:val="00E615CB"/>
    <w:rsid w:val="00E61990"/>
    <w:rsid w:val="00E61F08"/>
    <w:rsid w:val="00E620F9"/>
    <w:rsid w:val="00E62740"/>
    <w:rsid w:val="00E62C15"/>
    <w:rsid w:val="00E62D70"/>
    <w:rsid w:val="00E62DFB"/>
    <w:rsid w:val="00E631AB"/>
    <w:rsid w:val="00E6361A"/>
    <w:rsid w:val="00E63760"/>
    <w:rsid w:val="00E637D7"/>
    <w:rsid w:val="00E6383D"/>
    <w:rsid w:val="00E638A3"/>
    <w:rsid w:val="00E63C93"/>
    <w:rsid w:val="00E63E86"/>
    <w:rsid w:val="00E6410F"/>
    <w:rsid w:val="00E6435E"/>
    <w:rsid w:val="00E643C6"/>
    <w:rsid w:val="00E645FC"/>
    <w:rsid w:val="00E64957"/>
    <w:rsid w:val="00E64AAF"/>
    <w:rsid w:val="00E64B24"/>
    <w:rsid w:val="00E64D19"/>
    <w:rsid w:val="00E64DF4"/>
    <w:rsid w:val="00E6505D"/>
    <w:rsid w:val="00E65145"/>
    <w:rsid w:val="00E652D3"/>
    <w:rsid w:val="00E6530B"/>
    <w:rsid w:val="00E65370"/>
    <w:rsid w:val="00E655E8"/>
    <w:rsid w:val="00E65A6B"/>
    <w:rsid w:val="00E65D81"/>
    <w:rsid w:val="00E6657E"/>
    <w:rsid w:val="00E665F9"/>
    <w:rsid w:val="00E666B9"/>
    <w:rsid w:val="00E668D2"/>
    <w:rsid w:val="00E6697E"/>
    <w:rsid w:val="00E66F79"/>
    <w:rsid w:val="00E670B3"/>
    <w:rsid w:val="00E670C0"/>
    <w:rsid w:val="00E67128"/>
    <w:rsid w:val="00E675E0"/>
    <w:rsid w:val="00E67A21"/>
    <w:rsid w:val="00E67C1D"/>
    <w:rsid w:val="00E70202"/>
    <w:rsid w:val="00E702CE"/>
    <w:rsid w:val="00E706CF"/>
    <w:rsid w:val="00E70957"/>
    <w:rsid w:val="00E70BF2"/>
    <w:rsid w:val="00E71C50"/>
    <w:rsid w:val="00E71C63"/>
    <w:rsid w:val="00E71DDF"/>
    <w:rsid w:val="00E71EE0"/>
    <w:rsid w:val="00E7229E"/>
    <w:rsid w:val="00E7261B"/>
    <w:rsid w:val="00E72A82"/>
    <w:rsid w:val="00E72BBD"/>
    <w:rsid w:val="00E72C15"/>
    <w:rsid w:val="00E72CE4"/>
    <w:rsid w:val="00E7323E"/>
    <w:rsid w:val="00E73434"/>
    <w:rsid w:val="00E73A54"/>
    <w:rsid w:val="00E73B44"/>
    <w:rsid w:val="00E73BE1"/>
    <w:rsid w:val="00E73CBD"/>
    <w:rsid w:val="00E73E16"/>
    <w:rsid w:val="00E742D4"/>
    <w:rsid w:val="00E742F5"/>
    <w:rsid w:val="00E74435"/>
    <w:rsid w:val="00E7444B"/>
    <w:rsid w:val="00E746B7"/>
    <w:rsid w:val="00E74860"/>
    <w:rsid w:val="00E74A0E"/>
    <w:rsid w:val="00E74B5D"/>
    <w:rsid w:val="00E74E72"/>
    <w:rsid w:val="00E74F46"/>
    <w:rsid w:val="00E74F92"/>
    <w:rsid w:val="00E75236"/>
    <w:rsid w:val="00E7546F"/>
    <w:rsid w:val="00E754D6"/>
    <w:rsid w:val="00E7566E"/>
    <w:rsid w:val="00E7571F"/>
    <w:rsid w:val="00E75866"/>
    <w:rsid w:val="00E758AD"/>
    <w:rsid w:val="00E75F53"/>
    <w:rsid w:val="00E76430"/>
    <w:rsid w:val="00E766B6"/>
    <w:rsid w:val="00E7691E"/>
    <w:rsid w:val="00E76A86"/>
    <w:rsid w:val="00E76DAC"/>
    <w:rsid w:val="00E76E17"/>
    <w:rsid w:val="00E774A2"/>
    <w:rsid w:val="00E77679"/>
    <w:rsid w:val="00E778CB"/>
    <w:rsid w:val="00E77A79"/>
    <w:rsid w:val="00E77D4E"/>
    <w:rsid w:val="00E801BC"/>
    <w:rsid w:val="00E805F3"/>
    <w:rsid w:val="00E80898"/>
    <w:rsid w:val="00E80A1F"/>
    <w:rsid w:val="00E80AF8"/>
    <w:rsid w:val="00E81119"/>
    <w:rsid w:val="00E816B3"/>
    <w:rsid w:val="00E81714"/>
    <w:rsid w:val="00E817E4"/>
    <w:rsid w:val="00E81B1A"/>
    <w:rsid w:val="00E82704"/>
    <w:rsid w:val="00E82880"/>
    <w:rsid w:val="00E82958"/>
    <w:rsid w:val="00E829CA"/>
    <w:rsid w:val="00E82AF1"/>
    <w:rsid w:val="00E82B73"/>
    <w:rsid w:val="00E831E5"/>
    <w:rsid w:val="00E83650"/>
    <w:rsid w:val="00E83680"/>
    <w:rsid w:val="00E838ED"/>
    <w:rsid w:val="00E8397F"/>
    <w:rsid w:val="00E848C5"/>
    <w:rsid w:val="00E84B9A"/>
    <w:rsid w:val="00E8509A"/>
    <w:rsid w:val="00E8529E"/>
    <w:rsid w:val="00E85A5D"/>
    <w:rsid w:val="00E85AE3"/>
    <w:rsid w:val="00E85DF2"/>
    <w:rsid w:val="00E85EF5"/>
    <w:rsid w:val="00E85FCD"/>
    <w:rsid w:val="00E860BF"/>
    <w:rsid w:val="00E864A7"/>
    <w:rsid w:val="00E86AB7"/>
    <w:rsid w:val="00E86B7B"/>
    <w:rsid w:val="00E86BE6"/>
    <w:rsid w:val="00E86EA2"/>
    <w:rsid w:val="00E86F06"/>
    <w:rsid w:val="00E874B0"/>
    <w:rsid w:val="00E874FA"/>
    <w:rsid w:val="00E87908"/>
    <w:rsid w:val="00E87D7D"/>
    <w:rsid w:val="00E87EC5"/>
    <w:rsid w:val="00E900F1"/>
    <w:rsid w:val="00E90457"/>
    <w:rsid w:val="00E90533"/>
    <w:rsid w:val="00E90685"/>
    <w:rsid w:val="00E90B49"/>
    <w:rsid w:val="00E90B9C"/>
    <w:rsid w:val="00E90D4C"/>
    <w:rsid w:val="00E90E19"/>
    <w:rsid w:val="00E90F92"/>
    <w:rsid w:val="00E91860"/>
    <w:rsid w:val="00E91C12"/>
    <w:rsid w:val="00E91E5B"/>
    <w:rsid w:val="00E92395"/>
    <w:rsid w:val="00E92446"/>
    <w:rsid w:val="00E92557"/>
    <w:rsid w:val="00E9256D"/>
    <w:rsid w:val="00E9283C"/>
    <w:rsid w:val="00E92AC9"/>
    <w:rsid w:val="00E92B67"/>
    <w:rsid w:val="00E92BE4"/>
    <w:rsid w:val="00E92C15"/>
    <w:rsid w:val="00E92E0A"/>
    <w:rsid w:val="00E932AE"/>
    <w:rsid w:val="00E937DD"/>
    <w:rsid w:val="00E93D55"/>
    <w:rsid w:val="00E9431A"/>
    <w:rsid w:val="00E9460B"/>
    <w:rsid w:val="00E9498C"/>
    <w:rsid w:val="00E94FBB"/>
    <w:rsid w:val="00E9505D"/>
    <w:rsid w:val="00E954B7"/>
    <w:rsid w:val="00E95CEB"/>
    <w:rsid w:val="00E95EDC"/>
    <w:rsid w:val="00E9627C"/>
    <w:rsid w:val="00E96768"/>
    <w:rsid w:val="00E96CCA"/>
    <w:rsid w:val="00E96E58"/>
    <w:rsid w:val="00E96E6C"/>
    <w:rsid w:val="00E96FC3"/>
    <w:rsid w:val="00E96FDB"/>
    <w:rsid w:val="00E97013"/>
    <w:rsid w:val="00E973E1"/>
    <w:rsid w:val="00E9758E"/>
    <w:rsid w:val="00E976AC"/>
    <w:rsid w:val="00E97706"/>
    <w:rsid w:val="00E977A7"/>
    <w:rsid w:val="00E9794E"/>
    <w:rsid w:val="00E97C3D"/>
    <w:rsid w:val="00E97CF8"/>
    <w:rsid w:val="00E97D35"/>
    <w:rsid w:val="00E97E43"/>
    <w:rsid w:val="00EA0075"/>
    <w:rsid w:val="00EA00B0"/>
    <w:rsid w:val="00EA00F9"/>
    <w:rsid w:val="00EA031F"/>
    <w:rsid w:val="00EA032A"/>
    <w:rsid w:val="00EA03F6"/>
    <w:rsid w:val="00EA059C"/>
    <w:rsid w:val="00EA074A"/>
    <w:rsid w:val="00EA0D29"/>
    <w:rsid w:val="00EA101E"/>
    <w:rsid w:val="00EA107B"/>
    <w:rsid w:val="00EA1186"/>
    <w:rsid w:val="00EA17B0"/>
    <w:rsid w:val="00EA1A0B"/>
    <w:rsid w:val="00EA205B"/>
    <w:rsid w:val="00EA212F"/>
    <w:rsid w:val="00EA2165"/>
    <w:rsid w:val="00EA2328"/>
    <w:rsid w:val="00EA23F6"/>
    <w:rsid w:val="00EA2A96"/>
    <w:rsid w:val="00EA2DE1"/>
    <w:rsid w:val="00EA2E80"/>
    <w:rsid w:val="00EA30BB"/>
    <w:rsid w:val="00EA33F9"/>
    <w:rsid w:val="00EA34D0"/>
    <w:rsid w:val="00EA3575"/>
    <w:rsid w:val="00EA3BC8"/>
    <w:rsid w:val="00EA3CA9"/>
    <w:rsid w:val="00EA3CF7"/>
    <w:rsid w:val="00EA3CF8"/>
    <w:rsid w:val="00EA3E54"/>
    <w:rsid w:val="00EA3ED8"/>
    <w:rsid w:val="00EA40A6"/>
    <w:rsid w:val="00EA4232"/>
    <w:rsid w:val="00EA43AA"/>
    <w:rsid w:val="00EA43EE"/>
    <w:rsid w:val="00EA44D4"/>
    <w:rsid w:val="00EA453F"/>
    <w:rsid w:val="00EA4645"/>
    <w:rsid w:val="00EA478E"/>
    <w:rsid w:val="00EA4B5D"/>
    <w:rsid w:val="00EA4D40"/>
    <w:rsid w:val="00EA5816"/>
    <w:rsid w:val="00EA59C6"/>
    <w:rsid w:val="00EA5D51"/>
    <w:rsid w:val="00EA63C3"/>
    <w:rsid w:val="00EA64A8"/>
    <w:rsid w:val="00EA6BA8"/>
    <w:rsid w:val="00EA6D62"/>
    <w:rsid w:val="00EA7237"/>
    <w:rsid w:val="00EA7531"/>
    <w:rsid w:val="00EA75E0"/>
    <w:rsid w:val="00EA76EE"/>
    <w:rsid w:val="00EA7870"/>
    <w:rsid w:val="00EA79F7"/>
    <w:rsid w:val="00EA7AEE"/>
    <w:rsid w:val="00EA7D72"/>
    <w:rsid w:val="00EA7F09"/>
    <w:rsid w:val="00EB0096"/>
    <w:rsid w:val="00EB0BE2"/>
    <w:rsid w:val="00EB0DF4"/>
    <w:rsid w:val="00EB0E5A"/>
    <w:rsid w:val="00EB1029"/>
    <w:rsid w:val="00EB1098"/>
    <w:rsid w:val="00EB10AC"/>
    <w:rsid w:val="00EB13D5"/>
    <w:rsid w:val="00EB196D"/>
    <w:rsid w:val="00EB196F"/>
    <w:rsid w:val="00EB2012"/>
    <w:rsid w:val="00EB2100"/>
    <w:rsid w:val="00EB3295"/>
    <w:rsid w:val="00EB3442"/>
    <w:rsid w:val="00EB356D"/>
    <w:rsid w:val="00EB3CE5"/>
    <w:rsid w:val="00EB3D5C"/>
    <w:rsid w:val="00EB3F40"/>
    <w:rsid w:val="00EB476F"/>
    <w:rsid w:val="00EB47C0"/>
    <w:rsid w:val="00EB4A21"/>
    <w:rsid w:val="00EB4A93"/>
    <w:rsid w:val="00EB4BB6"/>
    <w:rsid w:val="00EB4C29"/>
    <w:rsid w:val="00EB506B"/>
    <w:rsid w:val="00EB50A1"/>
    <w:rsid w:val="00EB5975"/>
    <w:rsid w:val="00EB5A97"/>
    <w:rsid w:val="00EB5C8A"/>
    <w:rsid w:val="00EB5CDF"/>
    <w:rsid w:val="00EB6009"/>
    <w:rsid w:val="00EB641F"/>
    <w:rsid w:val="00EB64EA"/>
    <w:rsid w:val="00EB6750"/>
    <w:rsid w:val="00EB67A9"/>
    <w:rsid w:val="00EB6889"/>
    <w:rsid w:val="00EB69A1"/>
    <w:rsid w:val="00EB6AB9"/>
    <w:rsid w:val="00EB6D31"/>
    <w:rsid w:val="00EB70EF"/>
    <w:rsid w:val="00EB73E4"/>
    <w:rsid w:val="00EB745E"/>
    <w:rsid w:val="00EB76DC"/>
    <w:rsid w:val="00EB784E"/>
    <w:rsid w:val="00EB7A93"/>
    <w:rsid w:val="00EC03E3"/>
    <w:rsid w:val="00EC06CC"/>
    <w:rsid w:val="00EC0B99"/>
    <w:rsid w:val="00EC0DFD"/>
    <w:rsid w:val="00EC10A0"/>
    <w:rsid w:val="00EC1195"/>
    <w:rsid w:val="00EC1307"/>
    <w:rsid w:val="00EC1383"/>
    <w:rsid w:val="00EC13A5"/>
    <w:rsid w:val="00EC13D0"/>
    <w:rsid w:val="00EC1591"/>
    <w:rsid w:val="00EC16C6"/>
    <w:rsid w:val="00EC16F1"/>
    <w:rsid w:val="00EC1B00"/>
    <w:rsid w:val="00EC1C8A"/>
    <w:rsid w:val="00EC1DFD"/>
    <w:rsid w:val="00EC20D8"/>
    <w:rsid w:val="00EC2699"/>
    <w:rsid w:val="00EC282D"/>
    <w:rsid w:val="00EC2840"/>
    <w:rsid w:val="00EC2B0D"/>
    <w:rsid w:val="00EC2EC6"/>
    <w:rsid w:val="00EC356A"/>
    <w:rsid w:val="00EC3573"/>
    <w:rsid w:val="00EC406D"/>
    <w:rsid w:val="00EC419F"/>
    <w:rsid w:val="00EC49A0"/>
    <w:rsid w:val="00EC4CE5"/>
    <w:rsid w:val="00EC50A2"/>
    <w:rsid w:val="00EC518D"/>
    <w:rsid w:val="00EC52B8"/>
    <w:rsid w:val="00EC531C"/>
    <w:rsid w:val="00EC5380"/>
    <w:rsid w:val="00EC54F8"/>
    <w:rsid w:val="00EC56A6"/>
    <w:rsid w:val="00EC5791"/>
    <w:rsid w:val="00EC57C6"/>
    <w:rsid w:val="00EC5948"/>
    <w:rsid w:val="00EC5F0B"/>
    <w:rsid w:val="00EC5FB8"/>
    <w:rsid w:val="00EC628D"/>
    <w:rsid w:val="00EC6315"/>
    <w:rsid w:val="00EC6763"/>
    <w:rsid w:val="00EC68BE"/>
    <w:rsid w:val="00EC6C28"/>
    <w:rsid w:val="00EC6D0E"/>
    <w:rsid w:val="00EC6DFD"/>
    <w:rsid w:val="00EC6EF3"/>
    <w:rsid w:val="00EC7048"/>
    <w:rsid w:val="00EC71CB"/>
    <w:rsid w:val="00EC71D1"/>
    <w:rsid w:val="00EC769C"/>
    <w:rsid w:val="00EC76F3"/>
    <w:rsid w:val="00EC7797"/>
    <w:rsid w:val="00EC78BC"/>
    <w:rsid w:val="00EC7A22"/>
    <w:rsid w:val="00EC7D87"/>
    <w:rsid w:val="00EC7E17"/>
    <w:rsid w:val="00ED014D"/>
    <w:rsid w:val="00ED0436"/>
    <w:rsid w:val="00ED05D6"/>
    <w:rsid w:val="00ED060E"/>
    <w:rsid w:val="00ED07C1"/>
    <w:rsid w:val="00ED0C6F"/>
    <w:rsid w:val="00ED0D88"/>
    <w:rsid w:val="00ED0DE6"/>
    <w:rsid w:val="00ED13D1"/>
    <w:rsid w:val="00ED1AA8"/>
    <w:rsid w:val="00ED1D87"/>
    <w:rsid w:val="00ED227D"/>
    <w:rsid w:val="00ED233E"/>
    <w:rsid w:val="00ED2460"/>
    <w:rsid w:val="00ED296E"/>
    <w:rsid w:val="00ED29F2"/>
    <w:rsid w:val="00ED2D2D"/>
    <w:rsid w:val="00ED2D3B"/>
    <w:rsid w:val="00ED2DF7"/>
    <w:rsid w:val="00ED2FCC"/>
    <w:rsid w:val="00ED3028"/>
    <w:rsid w:val="00ED3255"/>
    <w:rsid w:val="00ED3354"/>
    <w:rsid w:val="00ED3A81"/>
    <w:rsid w:val="00ED3F32"/>
    <w:rsid w:val="00ED4967"/>
    <w:rsid w:val="00ED4C12"/>
    <w:rsid w:val="00ED4E12"/>
    <w:rsid w:val="00ED4EDA"/>
    <w:rsid w:val="00ED50D8"/>
    <w:rsid w:val="00ED53B0"/>
    <w:rsid w:val="00ED5646"/>
    <w:rsid w:val="00ED5FA2"/>
    <w:rsid w:val="00ED67CE"/>
    <w:rsid w:val="00ED7559"/>
    <w:rsid w:val="00ED7637"/>
    <w:rsid w:val="00ED7A84"/>
    <w:rsid w:val="00EE00F6"/>
    <w:rsid w:val="00EE0279"/>
    <w:rsid w:val="00EE0422"/>
    <w:rsid w:val="00EE044B"/>
    <w:rsid w:val="00EE0538"/>
    <w:rsid w:val="00EE05EC"/>
    <w:rsid w:val="00EE0625"/>
    <w:rsid w:val="00EE0A4C"/>
    <w:rsid w:val="00EE0B6E"/>
    <w:rsid w:val="00EE0D58"/>
    <w:rsid w:val="00EE0F57"/>
    <w:rsid w:val="00EE0F97"/>
    <w:rsid w:val="00EE1046"/>
    <w:rsid w:val="00EE13B6"/>
    <w:rsid w:val="00EE1B10"/>
    <w:rsid w:val="00EE1F65"/>
    <w:rsid w:val="00EE2160"/>
    <w:rsid w:val="00EE2371"/>
    <w:rsid w:val="00EE28A4"/>
    <w:rsid w:val="00EE28CE"/>
    <w:rsid w:val="00EE28F4"/>
    <w:rsid w:val="00EE29F2"/>
    <w:rsid w:val="00EE2AC3"/>
    <w:rsid w:val="00EE2D19"/>
    <w:rsid w:val="00EE3327"/>
    <w:rsid w:val="00EE343F"/>
    <w:rsid w:val="00EE3728"/>
    <w:rsid w:val="00EE37B6"/>
    <w:rsid w:val="00EE3856"/>
    <w:rsid w:val="00EE38B6"/>
    <w:rsid w:val="00EE3B60"/>
    <w:rsid w:val="00EE3BDE"/>
    <w:rsid w:val="00EE3CDC"/>
    <w:rsid w:val="00EE3E7B"/>
    <w:rsid w:val="00EE3E83"/>
    <w:rsid w:val="00EE4261"/>
    <w:rsid w:val="00EE4379"/>
    <w:rsid w:val="00EE43AF"/>
    <w:rsid w:val="00EE4493"/>
    <w:rsid w:val="00EE45C5"/>
    <w:rsid w:val="00EE4ADF"/>
    <w:rsid w:val="00EE4B3E"/>
    <w:rsid w:val="00EE4D86"/>
    <w:rsid w:val="00EE5044"/>
    <w:rsid w:val="00EE5722"/>
    <w:rsid w:val="00EE575F"/>
    <w:rsid w:val="00EE5A6B"/>
    <w:rsid w:val="00EE5B3C"/>
    <w:rsid w:val="00EE5F75"/>
    <w:rsid w:val="00EE61CF"/>
    <w:rsid w:val="00EE6379"/>
    <w:rsid w:val="00EE63BE"/>
    <w:rsid w:val="00EE63CB"/>
    <w:rsid w:val="00EE67F0"/>
    <w:rsid w:val="00EE6972"/>
    <w:rsid w:val="00EE6A2B"/>
    <w:rsid w:val="00EE6B04"/>
    <w:rsid w:val="00EE6B89"/>
    <w:rsid w:val="00EE7107"/>
    <w:rsid w:val="00EE712F"/>
    <w:rsid w:val="00EE714D"/>
    <w:rsid w:val="00EE73B5"/>
    <w:rsid w:val="00EE79AF"/>
    <w:rsid w:val="00EE7CED"/>
    <w:rsid w:val="00EE7DC6"/>
    <w:rsid w:val="00EE7EF6"/>
    <w:rsid w:val="00EF0024"/>
    <w:rsid w:val="00EF02A2"/>
    <w:rsid w:val="00EF0550"/>
    <w:rsid w:val="00EF0799"/>
    <w:rsid w:val="00EF0942"/>
    <w:rsid w:val="00EF09CD"/>
    <w:rsid w:val="00EF0DAF"/>
    <w:rsid w:val="00EF10CC"/>
    <w:rsid w:val="00EF10DB"/>
    <w:rsid w:val="00EF1140"/>
    <w:rsid w:val="00EF12C5"/>
    <w:rsid w:val="00EF15F5"/>
    <w:rsid w:val="00EF1C75"/>
    <w:rsid w:val="00EF1D25"/>
    <w:rsid w:val="00EF1EB2"/>
    <w:rsid w:val="00EF2006"/>
    <w:rsid w:val="00EF21AF"/>
    <w:rsid w:val="00EF2354"/>
    <w:rsid w:val="00EF24F7"/>
    <w:rsid w:val="00EF2713"/>
    <w:rsid w:val="00EF2722"/>
    <w:rsid w:val="00EF2A21"/>
    <w:rsid w:val="00EF2A35"/>
    <w:rsid w:val="00EF2B93"/>
    <w:rsid w:val="00EF2CAC"/>
    <w:rsid w:val="00EF2DB3"/>
    <w:rsid w:val="00EF363D"/>
    <w:rsid w:val="00EF3850"/>
    <w:rsid w:val="00EF40A5"/>
    <w:rsid w:val="00EF40BE"/>
    <w:rsid w:val="00EF416B"/>
    <w:rsid w:val="00EF41D3"/>
    <w:rsid w:val="00EF4469"/>
    <w:rsid w:val="00EF4AE4"/>
    <w:rsid w:val="00EF4BA6"/>
    <w:rsid w:val="00EF50AA"/>
    <w:rsid w:val="00EF5107"/>
    <w:rsid w:val="00EF596C"/>
    <w:rsid w:val="00EF5B55"/>
    <w:rsid w:val="00EF5CE4"/>
    <w:rsid w:val="00EF5E9A"/>
    <w:rsid w:val="00EF5EA0"/>
    <w:rsid w:val="00EF5EEA"/>
    <w:rsid w:val="00EF6225"/>
    <w:rsid w:val="00EF6294"/>
    <w:rsid w:val="00EF6584"/>
    <w:rsid w:val="00EF6601"/>
    <w:rsid w:val="00EF6805"/>
    <w:rsid w:val="00EF696D"/>
    <w:rsid w:val="00EF69E5"/>
    <w:rsid w:val="00EF6D9B"/>
    <w:rsid w:val="00EF6EAE"/>
    <w:rsid w:val="00EF6F49"/>
    <w:rsid w:val="00EF711F"/>
    <w:rsid w:val="00EF730B"/>
    <w:rsid w:val="00EF768F"/>
    <w:rsid w:val="00EF78A0"/>
    <w:rsid w:val="00EF7CF2"/>
    <w:rsid w:val="00EF7D85"/>
    <w:rsid w:val="00EF7F31"/>
    <w:rsid w:val="00F00508"/>
    <w:rsid w:val="00F006AB"/>
    <w:rsid w:val="00F0078E"/>
    <w:rsid w:val="00F0084D"/>
    <w:rsid w:val="00F0086D"/>
    <w:rsid w:val="00F008AC"/>
    <w:rsid w:val="00F00B2E"/>
    <w:rsid w:val="00F00CB8"/>
    <w:rsid w:val="00F0148F"/>
    <w:rsid w:val="00F01490"/>
    <w:rsid w:val="00F016E8"/>
    <w:rsid w:val="00F01820"/>
    <w:rsid w:val="00F0193F"/>
    <w:rsid w:val="00F01C5B"/>
    <w:rsid w:val="00F01E52"/>
    <w:rsid w:val="00F02473"/>
    <w:rsid w:val="00F0256E"/>
    <w:rsid w:val="00F02873"/>
    <w:rsid w:val="00F02DCB"/>
    <w:rsid w:val="00F0319D"/>
    <w:rsid w:val="00F03503"/>
    <w:rsid w:val="00F0389E"/>
    <w:rsid w:val="00F03957"/>
    <w:rsid w:val="00F03C25"/>
    <w:rsid w:val="00F03F6D"/>
    <w:rsid w:val="00F041EB"/>
    <w:rsid w:val="00F04286"/>
    <w:rsid w:val="00F042DC"/>
    <w:rsid w:val="00F042FB"/>
    <w:rsid w:val="00F04309"/>
    <w:rsid w:val="00F0448B"/>
    <w:rsid w:val="00F0463B"/>
    <w:rsid w:val="00F046BD"/>
    <w:rsid w:val="00F04D63"/>
    <w:rsid w:val="00F04E40"/>
    <w:rsid w:val="00F04E72"/>
    <w:rsid w:val="00F050BD"/>
    <w:rsid w:val="00F0526B"/>
    <w:rsid w:val="00F052C4"/>
    <w:rsid w:val="00F0553A"/>
    <w:rsid w:val="00F0576E"/>
    <w:rsid w:val="00F057C2"/>
    <w:rsid w:val="00F0584D"/>
    <w:rsid w:val="00F05999"/>
    <w:rsid w:val="00F059AB"/>
    <w:rsid w:val="00F05AAF"/>
    <w:rsid w:val="00F05B05"/>
    <w:rsid w:val="00F0609A"/>
    <w:rsid w:val="00F06167"/>
    <w:rsid w:val="00F06322"/>
    <w:rsid w:val="00F06894"/>
    <w:rsid w:val="00F06906"/>
    <w:rsid w:val="00F06A83"/>
    <w:rsid w:val="00F06C35"/>
    <w:rsid w:val="00F06DDD"/>
    <w:rsid w:val="00F0708C"/>
    <w:rsid w:val="00F07099"/>
    <w:rsid w:val="00F0739F"/>
    <w:rsid w:val="00F074FA"/>
    <w:rsid w:val="00F07A90"/>
    <w:rsid w:val="00F07B75"/>
    <w:rsid w:val="00F10029"/>
    <w:rsid w:val="00F102A7"/>
    <w:rsid w:val="00F105EA"/>
    <w:rsid w:val="00F107E1"/>
    <w:rsid w:val="00F10971"/>
    <w:rsid w:val="00F10B8A"/>
    <w:rsid w:val="00F10F10"/>
    <w:rsid w:val="00F1106A"/>
    <w:rsid w:val="00F1109A"/>
    <w:rsid w:val="00F11117"/>
    <w:rsid w:val="00F111B8"/>
    <w:rsid w:val="00F112B0"/>
    <w:rsid w:val="00F11304"/>
    <w:rsid w:val="00F11768"/>
    <w:rsid w:val="00F11869"/>
    <w:rsid w:val="00F11D55"/>
    <w:rsid w:val="00F11DC7"/>
    <w:rsid w:val="00F11FA7"/>
    <w:rsid w:val="00F12203"/>
    <w:rsid w:val="00F12517"/>
    <w:rsid w:val="00F12541"/>
    <w:rsid w:val="00F12578"/>
    <w:rsid w:val="00F12F54"/>
    <w:rsid w:val="00F1319A"/>
    <w:rsid w:val="00F131B7"/>
    <w:rsid w:val="00F1346A"/>
    <w:rsid w:val="00F13580"/>
    <w:rsid w:val="00F13586"/>
    <w:rsid w:val="00F14011"/>
    <w:rsid w:val="00F143EE"/>
    <w:rsid w:val="00F14435"/>
    <w:rsid w:val="00F14C45"/>
    <w:rsid w:val="00F1510D"/>
    <w:rsid w:val="00F15233"/>
    <w:rsid w:val="00F1529E"/>
    <w:rsid w:val="00F15618"/>
    <w:rsid w:val="00F159CF"/>
    <w:rsid w:val="00F15A72"/>
    <w:rsid w:val="00F15E91"/>
    <w:rsid w:val="00F16246"/>
    <w:rsid w:val="00F164D2"/>
    <w:rsid w:val="00F1654B"/>
    <w:rsid w:val="00F16B91"/>
    <w:rsid w:val="00F16E72"/>
    <w:rsid w:val="00F16F98"/>
    <w:rsid w:val="00F1735C"/>
    <w:rsid w:val="00F17473"/>
    <w:rsid w:val="00F174C2"/>
    <w:rsid w:val="00F178FF"/>
    <w:rsid w:val="00F1792A"/>
    <w:rsid w:val="00F1795A"/>
    <w:rsid w:val="00F1799B"/>
    <w:rsid w:val="00F17C97"/>
    <w:rsid w:val="00F17F93"/>
    <w:rsid w:val="00F2027E"/>
    <w:rsid w:val="00F20533"/>
    <w:rsid w:val="00F2061A"/>
    <w:rsid w:val="00F2064C"/>
    <w:rsid w:val="00F2079A"/>
    <w:rsid w:val="00F207C1"/>
    <w:rsid w:val="00F209AA"/>
    <w:rsid w:val="00F20B53"/>
    <w:rsid w:val="00F20B5F"/>
    <w:rsid w:val="00F20C6B"/>
    <w:rsid w:val="00F21056"/>
    <w:rsid w:val="00F217E2"/>
    <w:rsid w:val="00F21961"/>
    <w:rsid w:val="00F21A42"/>
    <w:rsid w:val="00F21B1C"/>
    <w:rsid w:val="00F21BA6"/>
    <w:rsid w:val="00F21C71"/>
    <w:rsid w:val="00F21CCC"/>
    <w:rsid w:val="00F21CF1"/>
    <w:rsid w:val="00F21D12"/>
    <w:rsid w:val="00F21FB3"/>
    <w:rsid w:val="00F22035"/>
    <w:rsid w:val="00F22201"/>
    <w:rsid w:val="00F22727"/>
    <w:rsid w:val="00F2291C"/>
    <w:rsid w:val="00F2299A"/>
    <w:rsid w:val="00F22A18"/>
    <w:rsid w:val="00F22C19"/>
    <w:rsid w:val="00F22D18"/>
    <w:rsid w:val="00F22FD6"/>
    <w:rsid w:val="00F2300F"/>
    <w:rsid w:val="00F23307"/>
    <w:rsid w:val="00F23350"/>
    <w:rsid w:val="00F23434"/>
    <w:rsid w:val="00F235FB"/>
    <w:rsid w:val="00F23664"/>
    <w:rsid w:val="00F2367A"/>
    <w:rsid w:val="00F23880"/>
    <w:rsid w:val="00F23F3C"/>
    <w:rsid w:val="00F24136"/>
    <w:rsid w:val="00F24154"/>
    <w:rsid w:val="00F24450"/>
    <w:rsid w:val="00F24B44"/>
    <w:rsid w:val="00F2521E"/>
    <w:rsid w:val="00F253DE"/>
    <w:rsid w:val="00F25B50"/>
    <w:rsid w:val="00F25D28"/>
    <w:rsid w:val="00F26073"/>
    <w:rsid w:val="00F26137"/>
    <w:rsid w:val="00F26270"/>
    <w:rsid w:val="00F26385"/>
    <w:rsid w:val="00F2678A"/>
    <w:rsid w:val="00F267AE"/>
    <w:rsid w:val="00F26915"/>
    <w:rsid w:val="00F26A4A"/>
    <w:rsid w:val="00F26AA8"/>
    <w:rsid w:val="00F26AF2"/>
    <w:rsid w:val="00F26B6B"/>
    <w:rsid w:val="00F279C2"/>
    <w:rsid w:val="00F27A1B"/>
    <w:rsid w:val="00F27D48"/>
    <w:rsid w:val="00F3026A"/>
    <w:rsid w:val="00F3039A"/>
    <w:rsid w:val="00F307B3"/>
    <w:rsid w:val="00F30A58"/>
    <w:rsid w:val="00F30A91"/>
    <w:rsid w:val="00F30BB4"/>
    <w:rsid w:val="00F30C18"/>
    <w:rsid w:val="00F30C36"/>
    <w:rsid w:val="00F30F8A"/>
    <w:rsid w:val="00F312B5"/>
    <w:rsid w:val="00F313C9"/>
    <w:rsid w:val="00F3174C"/>
    <w:rsid w:val="00F31837"/>
    <w:rsid w:val="00F31C12"/>
    <w:rsid w:val="00F31DD9"/>
    <w:rsid w:val="00F31E7F"/>
    <w:rsid w:val="00F31EC4"/>
    <w:rsid w:val="00F32557"/>
    <w:rsid w:val="00F327CC"/>
    <w:rsid w:val="00F3295E"/>
    <w:rsid w:val="00F32A89"/>
    <w:rsid w:val="00F32F13"/>
    <w:rsid w:val="00F332E2"/>
    <w:rsid w:val="00F33697"/>
    <w:rsid w:val="00F337C8"/>
    <w:rsid w:val="00F33867"/>
    <w:rsid w:val="00F33F9F"/>
    <w:rsid w:val="00F34042"/>
    <w:rsid w:val="00F341E0"/>
    <w:rsid w:val="00F34BD5"/>
    <w:rsid w:val="00F34C6C"/>
    <w:rsid w:val="00F34F9F"/>
    <w:rsid w:val="00F34FC3"/>
    <w:rsid w:val="00F356ED"/>
    <w:rsid w:val="00F3576C"/>
    <w:rsid w:val="00F357BC"/>
    <w:rsid w:val="00F358EE"/>
    <w:rsid w:val="00F3593C"/>
    <w:rsid w:val="00F35A2F"/>
    <w:rsid w:val="00F35E64"/>
    <w:rsid w:val="00F3611F"/>
    <w:rsid w:val="00F361D0"/>
    <w:rsid w:val="00F36366"/>
    <w:rsid w:val="00F368E6"/>
    <w:rsid w:val="00F369C2"/>
    <w:rsid w:val="00F36AAC"/>
    <w:rsid w:val="00F36C87"/>
    <w:rsid w:val="00F36E5C"/>
    <w:rsid w:val="00F376F4"/>
    <w:rsid w:val="00F377A1"/>
    <w:rsid w:val="00F37AAC"/>
    <w:rsid w:val="00F37C04"/>
    <w:rsid w:val="00F37C53"/>
    <w:rsid w:val="00F37C7E"/>
    <w:rsid w:val="00F37D6F"/>
    <w:rsid w:val="00F400C8"/>
    <w:rsid w:val="00F40460"/>
    <w:rsid w:val="00F40485"/>
    <w:rsid w:val="00F40C02"/>
    <w:rsid w:val="00F4118A"/>
    <w:rsid w:val="00F4165C"/>
    <w:rsid w:val="00F41869"/>
    <w:rsid w:val="00F41A52"/>
    <w:rsid w:val="00F41B34"/>
    <w:rsid w:val="00F41B5F"/>
    <w:rsid w:val="00F41E2A"/>
    <w:rsid w:val="00F420C8"/>
    <w:rsid w:val="00F4256F"/>
    <w:rsid w:val="00F427F0"/>
    <w:rsid w:val="00F42C4B"/>
    <w:rsid w:val="00F4325B"/>
    <w:rsid w:val="00F4348E"/>
    <w:rsid w:val="00F439C9"/>
    <w:rsid w:val="00F43A38"/>
    <w:rsid w:val="00F43DE0"/>
    <w:rsid w:val="00F44339"/>
    <w:rsid w:val="00F4433B"/>
    <w:rsid w:val="00F4438C"/>
    <w:rsid w:val="00F44A07"/>
    <w:rsid w:val="00F44EC9"/>
    <w:rsid w:val="00F45218"/>
    <w:rsid w:val="00F45573"/>
    <w:rsid w:val="00F4572E"/>
    <w:rsid w:val="00F45731"/>
    <w:rsid w:val="00F4649F"/>
    <w:rsid w:val="00F4680E"/>
    <w:rsid w:val="00F468D3"/>
    <w:rsid w:val="00F46927"/>
    <w:rsid w:val="00F47062"/>
    <w:rsid w:val="00F473AE"/>
    <w:rsid w:val="00F476CD"/>
    <w:rsid w:val="00F4771A"/>
    <w:rsid w:val="00F4778A"/>
    <w:rsid w:val="00F47A3F"/>
    <w:rsid w:val="00F47F69"/>
    <w:rsid w:val="00F50285"/>
    <w:rsid w:val="00F504F3"/>
    <w:rsid w:val="00F504FF"/>
    <w:rsid w:val="00F508D4"/>
    <w:rsid w:val="00F50999"/>
    <w:rsid w:val="00F51129"/>
    <w:rsid w:val="00F5115A"/>
    <w:rsid w:val="00F51302"/>
    <w:rsid w:val="00F51396"/>
    <w:rsid w:val="00F515AF"/>
    <w:rsid w:val="00F516DA"/>
    <w:rsid w:val="00F519EF"/>
    <w:rsid w:val="00F51AA5"/>
    <w:rsid w:val="00F51C6A"/>
    <w:rsid w:val="00F51C8A"/>
    <w:rsid w:val="00F51C95"/>
    <w:rsid w:val="00F51D13"/>
    <w:rsid w:val="00F5206B"/>
    <w:rsid w:val="00F5236F"/>
    <w:rsid w:val="00F52406"/>
    <w:rsid w:val="00F52A30"/>
    <w:rsid w:val="00F52AF9"/>
    <w:rsid w:val="00F52C92"/>
    <w:rsid w:val="00F53237"/>
    <w:rsid w:val="00F5354F"/>
    <w:rsid w:val="00F5385F"/>
    <w:rsid w:val="00F538BE"/>
    <w:rsid w:val="00F539A2"/>
    <w:rsid w:val="00F53B88"/>
    <w:rsid w:val="00F53CC4"/>
    <w:rsid w:val="00F53DA7"/>
    <w:rsid w:val="00F540E1"/>
    <w:rsid w:val="00F543CC"/>
    <w:rsid w:val="00F54498"/>
    <w:rsid w:val="00F5484C"/>
    <w:rsid w:val="00F5493B"/>
    <w:rsid w:val="00F54A29"/>
    <w:rsid w:val="00F54D0E"/>
    <w:rsid w:val="00F55008"/>
    <w:rsid w:val="00F55097"/>
    <w:rsid w:val="00F55854"/>
    <w:rsid w:val="00F55A50"/>
    <w:rsid w:val="00F55A97"/>
    <w:rsid w:val="00F55AED"/>
    <w:rsid w:val="00F55CEC"/>
    <w:rsid w:val="00F55CF8"/>
    <w:rsid w:val="00F55F20"/>
    <w:rsid w:val="00F5609A"/>
    <w:rsid w:val="00F56168"/>
    <w:rsid w:val="00F5634E"/>
    <w:rsid w:val="00F564FF"/>
    <w:rsid w:val="00F565D1"/>
    <w:rsid w:val="00F56813"/>
    <w:rsid w:val="00F5686F"/>
    <w:rsid w:val="00F56CCF"/>
    <w:rsid w:val="00F56FAE"/>
    <w:rsid w:val="00F56FFA"/>
    <w:rsid w:val="00F57845"/>
    <w:rsid w:val="00F57BEC"/>
    <w:rsid w:val="00F57E97"/>
    <w:rsid w:val="00F57F4B"/>
    <w:rsid w:val="00F600BC"/>
    <w:rsid w:val="00F60257"/>
    <w:rsid w:val="00F60B7C"/>
    <w:rsid w:val="00F60B8D"/>
    <w:rsid w:val="00F60CA1"/>
    <w:rsid w:val="00F60F15"/>
    <w:rsid w:val="00F60F6F"/>
    <w:rsid w:val="00F6169C"/>
    <w:rsid w:val="00F6180A"/>
    <w:rsid w:val="00F61FA0"/>
    <w:rsid w:val="00F620BB"/>
    <w:rsid w:val="00F62347"/>
    <w:rsid w:val="00F627EF"/>
    <w:rsid w:val="00F62D42"/>
    <w:rsid w:val="00F62DDB"/>
    <w:rsid w:val="00F62EDF"/>
    <w:rsid w:val="00F63515"/>
    <w:rsid w:val="00F63565"/>
    <w:rsid w:val="00F636AC"/>
    <w:rsid w:val="00F63B8F"/>
    <w:rsid w:val="00F63C8D"/>
    <w:rsid w:val="00F63DC4"/>
    <w:rsid w:val="00F63F59"/>
    <w:rsid w:val="00F6422C"/>
    <w:rsid w:val="00F644BB"/>
    <w:rsid w:val="00F64584"/>
    <w:rsid w:val="00F64A79"/>
    <w:rsid w:val="00F64B3B"/>
    <w:rsid w:val="00F64BB5"/>
    <w:rsid w:val="00F64FA9"/>
    <w:rsid w:val="00F64FB9"/>
    <w:rsid w:val="00F6534F"/>
    <w:rsid w:val="00F65413"/>
    <w:rsid w:val="00F656A6"/>
    <w:rsid w:val="00F656E3"/>
    <w:rsid w:val="00F65A32"/>
    <w:rsid w:val="00F65CFF"/>
    <w:rsid w:val="00F65F47"/>
    <w:rsid w:val="00F6600A"/>
    <w:rsid w:val="00F661E7"/>
    <w:rsid w:val="00F66298"/>
    <w:rsid w:val="00F663EB"/>
    <w:rsid w:val="00F66617"/>
    <w:rsid w:val="00F6684F"/>
    <w:rsid w:val="00F67053"/>
    <w:rsid w:val="00F67054"/>
    <w:rsid w:val="00F673E6"/>
    <w:rsid w:val="00F6751D"/>
    <w:rsid w:val="00F70110"/>
    <w:rsid w:val="00F7011F"/>
    <w:rsid w:val="00F7051D"/>
    <w:rsid w:val="00F707C2"/>
    <w:rsid w:val="00F707C5"/>
    <w:rsid w:val="00F70BC5"/>
    <w:rsid w:val="00F711DA"/>
    <w:rsid w:val="00F71457"/>
    <w:rsid w:val="00F7156C"/>
    <w:rsid w:val="00F718A1"/>
    <w:rsid w:val="00F71A2D"/>
    <w:rsid w:val="00F71B9E"/>
    <w:rsid w:val="00F71E9A"/>
    <w:rsid w:val="00F71F49"/>
    <w:rsid w:val="00F720CA"/>
    <w:rsid w:val="00F721A0"/>
    <w:rsid w:val="00F723BB"/>
    <w:rsid w:val="00F72478"/>
    <w:rsid w:val="00F72587"/>
    <w:rsid w:val="00F72959"/>
    <w:rsid w:val="00F72A80"/>
    <w:rsid w:val="00F72B70"/>
    <w:rsid w:val="00F72C93"/>
    <w:rsid w:val="00F72E5B"/>
    <w:rsid w:val="00F731F4"/>
    <w:rsid w:val="00F7329B"/>
    <w:rsid w:val="00F732F8"/>
    <w:rsid w:val="00F733EB"/>
    <w:rsid w:val="00F735AD"/>
    <w:rsid w:val="00F73671"/>
    <w:rsid w:val="00F736F7"/>
    <w:rsid w:val="00F73A7F"/>
    <w:rsid w:val="00F73AAB"/>
    <w:rsid w:val="00F73B49"/>
    <w:rsid w:val="00F74288"/>
    <w:rsid w:val="00F746B3"/>
    <w:rsid w:val="00F74A58"/>
    <w:rsid w:val="00F74AB9"/>
    <w:rsid w:val="00F74B22"/>
    <w:rsid w:val="00F74B4B"/>
    <w:rsid w:val="00F74C70"/>
    <w:rsid w:val="00F74CB4"/>
    <w:rsid w:val="00F754C2"/>
    <w:rsid w:val="00F75843"/>
    <w:rsid w:val="00F75A5A"/>
    <w:rsid w:val="00F76756"/>
    <w:rsid w:val="00F76877"/>
    <w:rsid w:val="00F772CD"/>
    <w:rsid w:val="00F77498"/>
    <w:rsid w:val="00F77B79"/>
    <w:rsid w:val="00F77D42"/>
    <w:rsid w:val="00F77EE2"/>
    <w:rsid w:val="00F800AD"/>
    <w:rsid w:val="00F800B8"/>
    <w:rsid w:val="00F80131"/>
    <w:rsid w:val="00F8031E"/>
    <w:rsid w:val="00F80496"/>
    <w:rsid w:val="00F80662"/>
    <w:rsid w:val="00F80866"/>
    <w:rsid w:val="00F80A88"/>
    <w:rsid w:val="00F80B4E"/>
    <w:rsid w:val="00F80F5A"/>
    <w:rsid w:val="00F80F6B"/>
    <w:rsid w:val="00F81002"/>
    <w:rsid w:val="00F8100D"/>
    <w:rsid w:val="00F81498"/>
    <w:rsid w:val="00F81839"/>
    <w:rsid w:val="00F81858"/>
    <w:rsid w:val="00F81DCC"/>
    <w:rsid w:val="00F81F72"/>
    <w:rsid w:val="00F82338"/>
    <w:rsid w:val="00F823F5"/>
    <w:rsid w:val="00F824BE"/>
    <w:rsid w:val="00F825DB"/>
    <w:rsid w:val="00F82623"/>
    <w:rsid w:val="00F826A2"/>
    <w:rsid w:val="00F82AB4"/>
    <w:rsid w:val="00F82D07"/>
    <w:rsid w:val="00F82D98"/>
    <w:rsid w:val="00F82EE9"/>
    <w:rsid w:val="00F8312A"/>
    <w:rsid w:val="00F83195"/>
    <w:rsid w:val="00F837A3"/>
    <w:rsid w:val="00F8386F"/>
    <w:rsid w:val="00F8399B"/>
    <w:rsid w:val="00F83B2A"/>
    <w:rsid w:val="00F83D29"/>
    <w:rsid w:val="00F83D92"/>
    <w:rsid w:val="00F83EB1"/>
    <w:rsid w:val="00F840E9"/>
    <w:rsid w:val="00F84207"/>
    <w:rsid w:val="00F847FE"/>
    <w:rsid w:val="00F848F9"/>
    <w:rsid w:val="00F84AB5"/>
    <w:rsid w:val="00F8519C"/>
    <w:rsid w:val="00F85348"/>
    <w:rsid w:val="00F85389"/>
    <w:rsid w:val="00F856CB"/>
    <w:rsid w:val="00F856E2"/>
    <w:rsid w:val="00F85721"/>
    <w:rsid w:val="00F85B1B"/>
    <w:rsid w:val="00F85EB7"/>
    <w:rsid w:val="00F85F5C"/>
    <w:rsid w:val="00F85F71"/>
    <w:rsid w:val="00F86028"/>
    <w:rsid w:val="00F860DC"/>
    <w:rsid w:val="00F8626D"/>
    <w:rsid w:val="00F863A8"/>
    <w:rsid w:val="00F86519"/>
    <w:rsid w:val="00F86799"/>
    <w:rsid w:val="00F86903"/>
    <w:rsid w:val="00F86B66"/>
    <w:rsid w:val="00F86ED1"/>
    <w:rsid w:val="00F86F78"/>
    <w:rsid w:val="00F8725C"/>
    <w:rsid w:val="00F875AA"/>
    <w:rsid w:val="00F87691"/>
    <w:rsid w:val="00F876AC"/>
    <w:rsid w:val="00F877FF"/>
    <w:rsid w:val="00F87802"/>
    <w:rsid w:val="00F879DA"/>
    <w:rsid w:val="00F87AF8"/>
    <w:rsid w:val="00F87CCC"/>
    <w:rsid w:val="00F90062"/>
    <w:rsid w:val="00F902DB"/>
    <w:rsid w:val="00F90311"/>
    <w:rsid w:val="00F90BCF"/>
    <w:rsid w:val="00F91011"/>
    <w:rsid w:val="00F9102F"/>
    <w:rsid w:val="00F9170D"/>
    <w:rsid w:val="00F91AD1"/>
    <w:rsid w:val="00F920C9"/>
    <w:rsid w:val="00F926E2"/>
    <w:rsid w:val="00F92734"/>
    <w:rsid w:val="00F932D3"/>
    <w:rsid w:val="00F935A7"/>
    <w:rsid w:val="00F93824"/>
    <w:rsid w:val="00F93B52"/>
    <w:rsid w:val="00F93D18"/>
    <w:rsid w:val="00F93D8D"/>
    <w:rsid w:val="00F93F47"/>
    <w:rsid w:val="00F9410C"/>
    <w:rsid w:val="00F942D3"/>
    <w:rsid w:val="00F94368"/>
    <w:rsid w:val="00F94423"/>
    <w:rsid w:val="00F945EB"/>
    <w:rsid w:val="00F9472E"/>
    <w:rsid w:val="00F947C9"/>
    <w:rsid w:val="00F9494C"/>
    <w:rsid w:val="00F94A0E"/>
    <w:rsid w:val="00F94C8B"/>
    <w:rsid w:val="00F94E42"/>
    <w:rsid w:val="00F94E7B"/>
    <w:rsid w:val="00F94EC4"/>
    <w:rsid w:val="00F955D1"/>
    <w:rsid w:val="00F95678"/>
    <w:rsid w:val="00F958D7"/>
    <w:rsid w:val="00F95A03"/>
    <w:rsid w:val="00F95A3D"/>
    <w:rsid w:val="00F95B2F"/>
    <w:rsid w:val="00F96156"/>
    <w:rsid w:val="00F962C0"/>
    <w:rsid w:val="00F96540"/>
    <w:rsid w:val="00F965D3"/>
    <w:rsid w:val="00F9677B"/>
    <w:rsid w:val="00F96E89"/>
    <w:rsid w:val="00F971B0"/>
    <w:rsid w:val="00F9733D"/>
    <w:rsid w:val="00F973B8"/>
    <w:rsid w:val="00F97691"/>
    <w:rsid w:val="00F97734"/>
    <w:rsid w:val="00F97A46"/>
    <w:rsid w:val="00F97A61"/>
    <w:rsid w:val="00F97CB8"/>
    <w:rsid w:val="00FA0597"/>
    <w:rsid w:val="00FA0840"/>
    <w:rsid w:val="00FA0CBC"/>
    <w:rsid w:val="00FA0EA9"/>
    <w:rsid w:val="00FA0F9B"/>
    <w:rsid w:val="00FA15C8"/>
    <w:rsid w:val="00FA1640"/>
    <w:rsid w:val="00FA1CB2"/>
    <w:rsid w:val="00FA21D5"/>
    <w:rsid w:val="00FA2C5D"/>
    <w:rsid w:val="00FA2D38"/>
    <w:rsid w:val="00FA2D86"/>
    <w:rsid w:val="00FA348C"/>
    <w:rsid w:val="00FA39D5"/>
    <w:rsid w:val="00FA3D87"/>
    <w:rsid w:val="00FA3EBD"/>
    <w:rsid w:val="00FA4042"/>
    <w:rsid w:val="00FA463F"/>
    <w:rsid w:val="00FA48ED"/>
    <w:rsid w:val="00FA4A0F"/>
    <w:rsid w:val="00FA4AED"/>
    <w:rsid w:val="00FA4C57"/>
    <w:rsid w:val="00FA4F25"/>
    <w:rsid w:val="00FA4FE9"/>
    <w:rsid w:val="00FA5055"/>
    <w:rsid w:val="00FA515B"/>
    <w:rsid w:val="00FA53D8"/>
    <w:rsid w:val="00FA5646"/>
    <w:rsid w:val="00FA5721"/>
    <w:rsid w:val="00FA6201"/>
    <w:rsid w:val="00FA645E"/>
    <w:rsid w:val="00FA6549"/>
    <w:rsid w:val="00FA6674"/>
    <w:rsid w:val="00FA6792"/>
    <w:rsid w:val="00FA679E"/>
    <w:rsid w:val="00FA6961"/>
    <w:rsid w:val="00FA6A7C"/>
    <w:rsid w:val="00FA6C29"/>
    <w:rsid w:val="00FA765F"/>
    <w:rsid w:val="00FA769B"/>
    <w:rsid w:val="00FA7D0A"/>
    <w:rsid w:val="00FA7EB1"/>
    <w:rsid w:val="00FB0185"/>
    <w:rsid w:val="00FB027A"/>
    <w:rsid w:val="00FB045F"/>
    <w:rsid w:val="00FB0A85"/>
    <w:rsid w:val="00FB0AD8"/>
    <w:rsid w:val="00FB0C38"/>
    <w:rsid w:val="00FB0E05"/>
    <w:rsid w:val="00FB0F84"/>
    <w:rsid w:val="00FB12DE"/>
    <w:rsid w:val="00FB15EF"/>
    <w:rsid w:val="00FB16A9"/>
    <w:rsid w:val="00FB180E"/>
    <w:rsid w:val="00FB1A3B"/>
    <w:rsid w:val="00FB20E7"/>
    <w:rsid w:val="00FB2371"/>
    <w:rsid w:val="00FB23FB"/>
    <w:rsid w:val="00FB2690"/>
    <w:rsid w:val="00FB28E6"/>
    <w:rsid w:val="00FB2AC3"/>
    <w:rsid w:val="00FB2E17"/>
    <w:rsid w:val="00FB2E26"/>
    <w:rsid w:val="00FB2E47"/>
    <w:rsid w:val="00FB2EE9"/>
    <w:rsid w:val="00FB32B7"/>
    <w:rsid w:val="00FB363C"/>
    <w:rsid w:val="00FB3802"/>
    <w:rsid w:val="00FB39F1"/>
    <w:rsid w:val="00FB3C0C"/>
    <w:rsid w:val="00FB3D71"/>
    <w:rsid w:val="00FB404B"/>
    <w:rsid w:val="00FB448C"/>
    <w:rsid w:val="00FB45E7"/>
    <w:rsid w:val="00FB470A"/>
    <w:rsid w:val="00FB4A29"/>
    <w:rsid w:val="00FB4BD2"/>
    <w:rsid w:val="00FB4C1F"/>
    <w:rsid w:val="00FB4C99"/>
    <w:rsid w:val="00FB4D6C"/>
    <w:rsid w:val="00FB4DBB"/>
    <w:rsid w:val="00FB53E0"/>
    <w:rsid w:val="00FB5526"/>
    <w:rsid w:val="00FB552F"/>
    <w:rsid w:val="00FB5753"/>
    <w:rsid w:val="00FB58C0"/>
    <w:rsid w:val="00FB59C2"/>
    <w:rsid w:val="00FB5E1E"/>
    <w:rsid w:val="00FB5F97"/>
    <w:rsid w:val="00FB626E"/>
    <w:rsid w:val="00FB64FC"/>
    <w:rsid w:val="00FB6644"/>
    <w:rsid w:val="00FB664F"/>
    <w:rsid w:val="00FB66E4"/>
    <w:rsid w:val="00FB67B1"/>
    <w:rsid w:val="00FB6C5B"/>
    <w:rsid w:val="00FB6E68"/>
    <w:rsid w:val="00FB7337"/>
    <w:rsid w:val="00FB748F"/>
    <w:rsid w:val="00FB7622"/>
    <w:rsid w:val="00FB792A"/>
    <w:rsid w:val="00FB7A57"/>
    <w:rsid w:val="00FB7B0F"/>
    <w:rsid w:val="00FB7D3F"/>
    <w:rsid w:val="00FC0093"/>
    <w:rsid w:val="00FC023D"/>
    <w:rsid w:val="00FC0BFA"/>
    <w:rsid w:val="00FC1044"/>
    <w:rsid w:val="00FC13AD"/>
    <w:rsid w:val="00FC13E5"/>
    <w:rsid w:val="00FC1510"/>
    <w:rsid w:val="00FC1717"/>
    <w:rsid w:val="00FC195C"/>
    <w:rsid w:val="00FC1A06"/>
    <w:rsid w:val="00FC1B86"/>
    <w:rsid w:val="00FC1C38"/>
    <w:rsid w:val="00FC1D33"/>
    <w:rsid w:val="00FC1FFE"/>
    <w:rsid w:val="00FC2007"/>
    <w:rsid w:val="00FC21E3"/>
    <w:rsid w:val="00FC244B"/>
    <w:rsid w:val="00FC244D"/>
    <w:rsid w:val="00FC28B1"/>
    <w:rsid w:val="00FC2974"/>
    <w:rsid w:val="00FC2AC3"/>
    <w:rsid w:val="00FC2D76"/>
    <w:rsid w:val="00FC2F93"/>
    <w:rsid w:val="00FC33DE"/>
    <w:rsid w:val="00FC3557"/>
    <w:rsid w:val="00FC3687"/>
    <w:rsid w:val="00FC36EE"/>
    <w:rsid w:val="00FC39CB"/>
    <w:rsid w:val="00FC3A39"/>
    <w:rsid w:val="00FC3BED"/>
    <w:rsid w:val="00FC423F"/>
    <w:rsid w:val="00FC42C9"/>
    <w:rsid w:val="00FC43D1"/>
    <w:rsid w:val="00FC45A5"/>
    <w:rsid w:val="00FC46B2"/>
    <w:rsid w:val="00FC46CA"/>
    <w:rsid w:val="00FC4AB7"/>
    <w:rsid w:val="00FC4B7E"/>
    <w:rsid w:val="00FC4CF8"/>
    <w:rsid w:val="00FC4E36"/>
    <w:rsid w:val="00FC5233"/>
    <w:rsid w:val="00FC52E0"/>
    <w:rsid w:val="00FC531B"/>
    <w:rsid w:val="00FC56C2"/>
    <w:rsid w:val="00FC5701"/>
    <w:rsid w:val="00FC5757"/>
    <w:rsid w:val="00FC59AD"/>
    <w:rsid w:val="00FC5CE9"/>
    <w:rsid w:val="00FC6423"/>
    <w:rsid w:val="00FC677E"/>
    <w:rsid w:val="00FC6B73"/>
    <w:rsid w:val="00FC7206"/>
    <w:rsid w:val="00FC743E"/>
    <w:rsid w:val="00FC7740"/>
    <w:rsid w:val="00FC7D7A"/>
    <w:rsid w:val="00FC7D7D"/>
    <w:rsid w:val="00FD00AA"/>
    <w:rsid w:val="00FD0147"/>
    <w:rsid w:val="00FD019D"/>
    <w:rsid w:val="00FD0423"/>
    <w:rsid w:val="00FD05BA"/>
    <w:rsid w:val="00FD08D4"/>
    <w:rsid w:val="00FD0A1A"/>
    <w:rsid w:val="00FD0C68"/>
    <w:rsid w:val="00FD104E"/>
    <w:rsid w:val="00FD1065"/>
    <w:rsid w:val="00FD10FE"/>
    <w:rsid w:val="00FD12CA"/>
    <w:rsid w:val="00FD13B8"/>
    <w:rsid w:val="00FD1689"/>
    <w:rsid w:val="00FD1749"/>
    <w:rsid w:val="00FD1954"/>
    <w:rsid w:val="00FD1C2B"/>
    <w:rsid w:val="00FD1F3C"/>
    <w:rsid w:val="00FD2050"/>
    <w:rsid w:val="00FD20DF"/>
    <w:rsid w:val="00FD2393"/>
    <w:rsid w:val="00FD24DE"/>
    <w:rsid w:val="00FD260F"/>
    <w:rsid w:val="00FD2870"/>
    <w:rsid w:val="00FD3352"/>
    <w:rsid w:val="00FD3440"/>
    <w:rsid w:val="00FD34C8"/>
    <w:rsid w:val="00FD37BC"/>
    <w:rsid w:val="00FD45BD"/>
    <w:rsid w:val="00FD461E"/>
    <w:rsid w:val="00FD489A"/>
    <w:rsid w:val="00FD51F3"/>
    <w:rsid w:val="00FD5907"/>
    <w:rsid w:val="00FD592E"/>
    <w:rsid w:val="00FD597E"/>
    <w:rsid w:val="00FD5A53"/>
    <w:rsid w:val="00FD6AEB"/>
    <w:rsid w:val="00FD6B8A"/>
    <w:rsid w:val="00FD6B9C"/>
    <w:rsid w:val="00FD6C12"/>
    <w:rsid w:val="00FD717A"/>
    <w:rsid w:val="00FD7374"/>
    <w:rsid w:val="00FD74B9"/>
    <w:rsid w:val="00FD7546"/>
    <w:rsid w:val="00FD795A"/>
    <w:rsid w:val="00FD79E4"/>
    <w:rsid w:val="00FD7AD5"/>
    <w:rsid w:val="00FD7D2C"/>
    <w:rsid w:val="00FD7DAB"/>
    <w:rsid w:val="00FE0122"/>
    <w:rsid w:val="00FE0249"/>
    <w:rsid w:val="00FE030E"/>
    <w:rsid w:val="00FE032C"/>
    <w:rsid w:val="00FE040A"/>
    <w:rsid w:val="00FE0471"/>
    <w:rsid w:val="00FE07D0"/>
    <w:rsid w:val="00FE0C45"/>
    <w:rsid w:val="00FE0C87"/>
    <w:rsid w:val="00FE0D40"/>
    <w:rsid w:val="00FE0D82"/>
    <w:rsid w:val="00FE0DAB"/>
    <w:rsid w:val="00FE136C"/>
    <w:rsid w:val="00FE1406"/>
    <w:rsid w:val="00FE1441"/>
    <w:rsid w:val="00FE1817"/>
    <w:rsid w:val="00FE1AC3"/>
    <w:rsid w:val="00FE1EC3"/>
    <w:rsid w:val="00FE21B4"/>
    <w:rsid w:val="00FE232A"/>
    <w:rsid w:val="00FE23DA"/>
    <w:rsid w:val="00FE23E4"/>
    <w:rsid w:val="00FE2459"/>
    <w:rsid w:val="00FE24FF"/>
    <w:rsid w:val="00FE253B"/>
    <w:rsid w:val="00FE2C17"/>
    <w:rsid w:val="00FE2F2A"/>
    <w:rsid w:val="00FE3496"/>
    <w:rsid w:val="00FE3656"/>
    <w:rsid w:val="00FE36A5"/>
    <w:rsid w:val="00FE39C8"/>
    <w:rsid w:val="00FE3AD7"/>
    <w:rsid w:val="00FE3E6C"/>
    <w:rsid w:val="00FE434D"/>
    <w:rsid w:val="00FE44B1"/>
    <w:rsid w:val="00FE45BA"/>
    <w:rsid w:val="00FE47AE"/>
    <w:rsid w:val="00FE48E8"/>
    <w:rsid w:val="00FE4AF2"/>
    <w:rsid w:val="00FE4B5E"/>
    <w:rsid w:val="00FE4B98"/>
    <w:rsid w:val="00FE4D0B"/>
    <w:rsid w:val="00FE507B"/>
    <w:rsid w:val="00FE5131"/>
    <w:rsid w:val="00FE518B"/>
    <w:rsid w:val="00FE52A0"/>
    <w:rsid w:val="00FE55A9"/>
    <w:rsid w:val="00FE58DB"/>
    <w:rsid w:val="00FE5C60"/>
    <w:rsid w:val="00FE5EAF"/>
    <w:rsid w:val="00FE60BE"/>
    <w:rsid w:val="00FE65AC"/>
    <w:rsid w:val="00FE699F"/>
    <w:rsid w:val="00FE69B9"/>
    <w:rsid w:val="00FE6DFE"/>
    <w:rsid w:val="00FE711F"/>
    <w:rsid w:val="00FE71A7"/>
    <w:rsid w:val="00FE71D5"/>
    <w:rsid w:val="00FE736A"/>
    <w:rsid w:val="00FE7446"/>
    <w:rsid w:val="00FE7A86"/>
    <w:rsid w:val="00FE7E05"/>
    <w:rsid w:val="00FE7E4E"/>
    <w:rsid w:val="00FE7FAF"/>
    <w:rsid w:val="00FF0069"/>
    <w:rsid w:val="00FF01D7"/>
    <w:rsid w:val="00FF02CF"/>
    <w:rsid w:val="00FF0402"/>
    <w:rsid w:val="00FF0406"/>
    <w:rsid w:val="00FF042B"/>
    <w:rsid w:val="00FF04DA"/>
    <w:rsid w:val="00FF050E"/>
    <w:rsid w:val="00FF072F"/>
    <w:rsid w:val="00FF0841"/>
    <w:rsid w:val="00FF09C7"/>
    <w:rsid w:val="00FF0A81"/>
    <w:rsid w:val="00FF0C3F"/>
    <w:rsid w:val="00FF0DA3"/>
    <w:rsid w:val="00FF0DF0"/>
    <w:rsid w:val="00FF1027"/>
    <w:rsid w:val="00FF1589"/>
    <w:rsid w:val="00FF15AE"/>
    <w:rsid w:val="00FF15B5"/>
    <w:rsid w:val="00FF16D4"/>
    <w:rsid w:val="00FF1A4E"/>
    <w:rsid w:val="00FF1B09"/>
    <w:rsid w:val="00FF1BC1"/>
    <w:rsid w:val="00FF1CBE"/>
    <w:rsid w:val="00FF1D3C"/>
    <w:rsid w:val="00FF1D48"/>
    <w:rsid w:val="00FF1F04"/>
    <w:rsid w:val="00FF20D7"/>
    <w:rsid w:val="00FF22F5"/>
    <w:rsid w:val="00FF246E"/>
    <w:rsid w:val="00FF2686"/>
    <w:rsid w:val="00FF286C"/>
    <w:rsid w:val="00FF2B14"/>
    <w:rsid w:val="00FF2D85"/>
    <w:rsid w:val="00FF35B8"/>
    <w:rsid w:val="00FF3733"/>
    <w:rsid w:val="00FF3A34"/>
    <w:rsid w:val="00FF3ED1"/>
    <w:rsid w:val="00FF3FF2"/>
    <w:rsid w:val="00FF4186"/>
    <w:rsid w:val="00FF448C"/>
    <w:rsid w:val="00FF4613"/>
    <w:rsid w:val="00FF477B"/>
    <w:rsid w:val="00FF489E"/>
    <w:rsid w:val="00FF4BF6"/>
    <w:rsid w:val="00FF534A"/>
    <w:rsid w:val="00FF5373"/>
    <w:rsid w:val="00FF55B1"/>
    <w:rsid w:val="00FF5937"/>
    <w:rsid w:val="00FF5C30"/>
    <w:rsid w:val="00FF5E87"/>
    <w:rsid w:val="00FF6658"/>
    <w:rsid w:val="00FF67E6"/>
    <w:rsid w:val="00FF68CF"/>
    <w:rsid w:val="00FF68E9"/>
    <w:rsid w:val="00FF6A0D"/>
    <w:rsid w:val="00FF737C"/>
    <w:rsid w:val="00FF7521"/>
    <w:rsid w:val="00FF7707"/>
    <w:rsid w:val="00FF793B"/>
    <w:rsid w:val="00FF7C6C"/>
    <w:rsid w:val="00FF7F28"/>
    <w:rsid w:val="00FF7F6A"/>
    <w:rsid w:val="01249EFC"/>
    <w:rsid w:val="0135A218"/>
    <w:rsid w:val="019DBD7C"/>
    <w:rsid w:val="03BC6E93"/>
    <w:rsid w:val="047A901C"/>
    <w:rsid w:val="04FA681B"/>
    <w:rsid w:val="063DC9FD"/>
    <w:rsid w:val="068E8C6B"/>
    <w:rsid w:val="069B8A77"/>
    <w:rsid w:val="06F052F4"/>
    <w:rsid w:val="074CB383"/>
    <w:rsid w:val="08104F3A"/>
    <w:rsid w:val="0858CD05"/>
    <w:rsid w:val="08813DFC"/>
    <w:rsid w:val="088C2355"/>
    <w:rsid w:val="09163239"/>
    <w:rsid w:val="092585BB"/>
    <w:rsid w:val="0925D86D"/>
    <w:rsid w:val="09806ABC"/>
    <w:rsid w:val="09AA796E"/>
    <w:rsid w:val="09B8C5CE"/>
    <w:rsid w:val="0ABB79E3"/>
    <w:rsid w:val="0B05A8F0"/>
    <w:rsid w:val="0BF113CD"/>
    <w:rsid w:val="0BF37591"/>
    <w:rsid w:val="0C521BD2"/>
    <w:rsid w:val="0C55A901"/>
    <w:rsid w:val="0CA3AE72"/>
    <w:rsid w:val="0CD0F6C9"/>
    <w:rsid w:val="0D70E4B1"/>
    <w:rsid w:val="0D892303"/>
    <w:rsid w:val="0DCCDE69"/>
    <w:rsid w:val="0EFE89C2"/>
    <w:rsid w:val="0F0C6DDA"/>
    <w:rsid w:val="0FDA2D30"/>
    <w:rsid w:val="1083F3F1"/>
    <w:rsid w:val="114524DE"/>
    <w:rsid w:val="115419F5"/>
    <w:rsid w:val="11A37199"/>
    <w:rsid w:val="1227A3BB"/>
    <w:rsid w:val="12CAA0D3"/>
    <w:rsid w:val="1353E716"/>
    <w:rsid w:val="13C55CCF"/>
    <w:rsid w:val="142AEBB5"/>
    <w:rsid w:val="14505FD1"/>
    <w:rsid w:val="14EFB777"/>
    <w:rsid w:val="15153BA9"/>
    <w:rsid w:val="1596FFBD"/>
    <w:rsid w:val="15BC4DAA"/>
    <w:rsid w:val="15F6CF78"/>
    <w:rsid w:val="16268BE6"/>
    <w:rsid w:val="1769E664"/>
    <w:rsid w:val="1812382F"/>
    <w:rsid w:val="18185DFA"/>
    <w:rsid w:val="18BB959E"/>
    <w:rsid w:val="18FB157D"/>
    <w:rsid w:val="19076C63"/>
    <w:rsid w:val="19498553"/>
    <w:rsid w:val="19DBA564"/>
    <w:rsid w:val="1A10DA79"/>
    <w:rsid w:val="1A6A215A"/>
    <w:rsid w:val="1C43184E"/>
    <w:rsid w:val="1C52A3A8"/>
    <w:rsid w:val="1C659823"/>
    <w:rsid w:val="1C8C6AC1"/>
    <w:rsid w:val="1CFAC95C"/>
    <w:rsid w:val="1DE3A960"/>
    <w:rsid w:val="1E1E66F5"/>
    <w:rsid w:val="200CCDB6"/>
    <w:rsid w:val="205268C9"/>
    <w:rsid w:val="213C91DB"/>
    <w:rsid w:val="218DDAAE"/>
    <w:rsid w:val="21C4687D"/>
    <w:rsid w:val="22075E1D"/>
    <w:rsid w:val="22AA741D"/>
    <w:rsid w:val="23B22024"/>
    <w:rsid w:val="23C0A144"/>
    <w:rsid w:val="23EC300F"/>
    <w:rsid w:val="2401813F"/>
    <w:rsid w:val="243D64E1"/>
    <w:rsid w:val="24F50054"/>
    <w:rsid w:val="251E6EF1"/>
    <w:rsid w:val="25281D83"/>
    <w:rsid w:val="252FB60B"/>
    <w:rsid w:val="25860788"/>
    <w:rsid w:val="25967911"/>
    <w:rsid w:val="25C8A617"/>
    <w:rsid w:val="25D2B4F5"/>
    <w:rsid w:val="268C367C"/>
    <w:rsid w:val="268F9F3E"/>
    <w:rsid w:val="26E19EBF"/>
    <w:rsid w:val="271CA52E"/>
    <w:rsid w:val="274CF209"/>
    <w:rsid w:val="2752D5C2"/>
    <w:rsid w:val="27647A5B"/>
    <w:rsid w:val="2768976F"/>
    <w:rsid w:val="27692536"/>
    <w:rsid w:val="27749D8C"/>
    <w:rsid w:val="278142F8"/>
    <w:rsid w:val="27DD963E"/>
    <w:rsid w:val="28C99ED7"/>
    <w:rsid w:val="29118AD4"/>
    <w:rsid w:val="2A193F81"/>
    <w:rsid w:val="2A6DE07B"/>
    <w:rsid w:val="2B2FA07E"/>
    <w:rsid w:val="2C0824CB"/>
    <w:rsid w:val="2CC29A4D"/>
    <w:rsid w:val="2CFC9453"/>
    <w:rsid w:val="2D7CB500"/>
    <w:rsid w:val="2DDCFA3B"/>
    <w:rsid w:val="2E7C6F3B"/>
    <w:rsid w:val="2E9EBFCC"/>
    <w:rsid w:val="2F442F3A"/>
    <w:rsid w:val="2FD4FEC0"/>
    <w:rsid w:val="3021F7E5"/>
    <w:rsid w:val="303DC67B"/>
    <w:rsid w:val="304DB7DB"/>
    <w:rsid w:val="307E839A"/>
    <w:rsid w:val="30B5FD97"/>
    <w:rsid w:val="3157FAEA"/>
    <w:rsid w:val="31A604EA"/>
    <w:rsid w:val="31B3CB25"/>
    <w:rsid w:val="31BA9522"/>
    <w:rsid w:val="31FFD701"/>
    <w:rsid w:val="32082CDF"/>
    <w:rsid w:val="323D5E4A"/>
    <w:rsid w:val="32762E46"/>
    <w:rsid w:val="338ADD6E"/>
    <w:rsid w:val="33E3DD81"/>
    <w:rsid w:val="344C5578"/>
    <w:rsid w:val="34774995"/>
    <w:rsid w:val="3495AE98"/>
    <w:rsid w:val="3577048C"/>
    <w:rsid w:val="378A9AF7"/>
    <w:rsid w:val="381AB5A5"/>
    <w:rsid w:val="38B53480"/>
    <w:rsid w:val="38DC88F6"/>
    <w:rsid w:val="3982A5B0"/>
    <w:rsid w:val="39C5B8D4"/>
    <w:rsid w:val="39D84F39"/>
    <w:rsid w:val="3B243899"/>
    <w:rsid w:val="3B33BED3"/>
    <w:rsid w:val="3B403176"/>
    <w:rsid w:val="3B4AE0E3"/>
    <w:rsid w:val="3C43C6D9"/>
    <w:rsid w:val="3DCCE5A6"/>
    <w:rsid w:val="3DFFAED5"/>
    <w:rsid w:val="3E09990C"/>
    <w:rsid w:val="3ECE56A0"/>
    <w:rsid w:val="3EEEC718"/>
    <w:rsid w:val="3F2AF3FE"/>
    <w:rsid w:val="3F599082"/>
    <w:rsid w:val="3F8D163A"/>
    <w:rsid w:val="400D170A"/>
    <w:rsid w:val="4220FDC2"/>
    <w:rsid w:val="42687237"/>
    <w:rsid w:val="4299A5CB"/>
    <w:rsid w:val="4314C277"/>
    <w:rsid w:val="443E3E7B"/>
    <w:rsid w:val="44A56BD8"/>
    <w:rsid w:val="44ED7CCE"/>
    <w:rsid w:val="456E2746"/>
    <w:rsid w:val="460D8C84"/>
    <w:rsid w:val="4622E9E8"/>
    <w:rsid w:val="46521D35"/>
    <w:rsid w:val="4667FD13"/>
    <w:rsid w:val="466ED7BA"/>
    <w:rsid w:val="46804A42"/>
    <w:rsid w:val="46F25864"/>
    <w:rsid w:val="475DCF49"/>
    <w:rsid w:val="477855AB"/>
    <w:rsid w:val="4818C3BB"/>
    <w:rsid w:val="482E585D"/>
    <w:rsid w:val="48CF5993"/>
    <w:rsid w:val="4917E216"/>
    <w:rsid w:val="49BC46E6"/>
    <w:rsid w:val="4B07617C"/>
    <w:rsid w:val="4B7EE007"/>
    <w:rsid w:val="4BF0D56C"/>
    <w:rsid w:val="4CC6618A"/>
    <w:rsid w:val="4E5E9911"/>
    <w:rsid w:val="4E940D90"/>
    <w:rsid w:val="4EB0352F"/>
    <w:rsid w:val="4EBFB9E4"/>
    <w:rsid w:val="4EC3C36A"/>
    <w:rsid w:val="4F3D7C4F"/>
    <w:rsid w:val="4FA0265A"/>
    <w:rsid w:val="4FA264DA"/>
    <w:rsid w:val="4FF7F9A3"/>
    <w:rsid w:val="50274945"/>
    <w:rsid w:val="502C76E5"/>
    <w:rsid w:val="506FC566"/>
    <w:rsid w:val="507C8B38"/>
    <w:rsid w:val="510D3B39"/>
    <w:rsid w:val="512A003F"/>
    <w:rsid w:val="51F4F0D8"/>
    <w:rsid w:val="5280316E"/>
    <w:rsid w:val="5322D325"/>
    <w:rsid w:val="5379B592"/>
    <w:rsid w:val="53A7A6C3"/>
    <w:rsid w:val="54E8A587"/>
    <w:rsid w:val="55ECCB03"/>
    <w:rsid w:val="562BCF53"/>
    <w:rsid w:val="5687362A"/>
    <w:rsid w:val="56D29FBC"/>
    <w:rsid w:val="56F1BA88"/>
    <w:rsid w:val="57511612"/>
    <w:rsid w:val="57672FDA"/>
    <w:rsid w:val="579A7C3B"/>
    <w:rsid w:val="57A1B57C"/>
    <w:rsid w:val="581FC2DD"/>
    <w:rsid w:val="583FB2AE"/>
    <w:rsid w:val="584E2790"/>
    <w:rsid w:val="590B4D12"/>
    <w:rsid w:val="59F70394"/>
    <w:rsid w:val="5B5760B0"/>
    <w:rsid w:val="5B788B4C"/>
    <w:rsid w:val="5C169BB5"/>
    <w:rsid w:val="5C4E5BCB"/>
    <w:rsid w:val="5D3C852E"/>
    <w:rsid w:val="5D69B547"/>
    <w:rsid w:val="5DB880AA"/>
    <w:rsid w:val="5E1265EB"/>
    <w:rsid w:val="5E61BA7E"/>
    <w:rsid w:val="5F71E690"/>
    <w:rsid w:val="5F7D11C6"/>
    <w:rsid w:val="5FE7D767"/>
    <w:rsid w:val="6093233A"/>
    <w:rsid w:val="60A24E77"/>
    <w:rsid w:val="6118E227"/>
    <w:rsid w:val="61236B34"/>
    <w:rsid w:val="61987802"/>
    <w:rsid w:val="63365415"/>
    <w:rsid w:val="6398F4FE"/>
    <w:rsid w:val="63F84288"/>
    <w:rsid w:val="6469F00A"/>
    <w:rsid w:val="65C2C256"/>
    <w:rsid w:val="65D963E7"/>
    <w:rsid w:val="66AFCFA2"/>
    <w:rsid w:val="67B8CA9D"/>
    <w:rsid w:val="68879454"/>
    <w:rsid w:val="696BD36E"/>
    <w:rsid w:val="69790286"/>
    <w:rsid w:val="69DE75D9"/>
    <w:rsid w:val="69F7C4D7"/>
    <w:rsid w:val="6A25E9F3"/>
    <w:rsid w:val="6A4A0446"/>
    <w:rsid w:val="6B14D2E7"/>
    <w:rsid w:val="6BD5D5E1"/>
    <w:rsid w:val="6D2567D5"/>
    <w:rsid w:val="6D757224"/>
    <w:rsid w:val="6F79AA4F"/>
    <w:rsid w:val="6F80462D"/>
    <w:rsid w:val="6FC220B8"/>
    <w:rsid w:val="70A94704"/>
    <w:rsid w:val="70C5A3BB"/>
    <w:rsid w:val="7111692A"/>
    <w:rsid w:val="711AAD52"/>
    <w:rsid w:val="71374A14"/>
    <w:rsid w:val="7176E715"/>
    <w:rsid w:val="722487B5"/>
    <w:rsid w:val="72B1F334"/>
    <w:rsid w:val="72D93452"/>
    <w:rsid w:val="72E88969"/>
    <w:rsid w:val="73B22ADA"/>
    <w:rsid w:val="74246044"/>
    <w:rsid w:val="75494210"/>
    <w:rsid w:val="75D948AC"/>
    <w:rsid w:val="75DB1B14"/>
    <w:rsid w:val="765B9494"/>
    <w:rsid w:val="76D9A90F"/>
    <w:rsid w:val="780C4B7B"/>
    <w:rsid w:val="78394C23"/>
    <w:rsid w:val="78E642F5"/>
    <w:rsid w:val="78E928FE"/>
    <w:rsid w:val="791F5810"/>
    <w:rsid w:val="7932C95B"/>
    <w:rsid w:val="79CE07EC"/>
    <w:rsid w:val="7A697761"/>
    <w:rsid w:val="7A8B6C3A"/>
    <w:rsid w:val="7A901C67"/>
    <w:rsid w:val="7A99199E"/>
    <w:rsid w:val="7AACE39C"/>
    <w:rsid w:val="7C66B6BB"/>
    <w:rsid w:val="7C937E31"/>
    <w:rsid w:val="7D8C13CE"/>
    <w:rsid w:val="7DBA5721"/>
    <w:rsid w:val="7DC7BD29"/>
    <w:rsid w:val="7E02871C"/>
    <w:rsid w:val="7E71FAD1"/>
    <w:rsid w:val="7E982BD9"/>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117F0"/>
  <w15:docId w15:val="{7AB957FE-3FF8-4082-8974-2DDF854D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52D"/>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041C05"/>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041C05"/>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uiPriority w:val="99"/>
    <w:semiHidden/>
    <w:unhideWhenUsed/>
    <w:rsid w:val="00CA7A75"/>
    <w:rPr>
      <w:sz w:val="16"/>
      <w:szCs w:val="16"/>
    </w:rPr>
  </w:style>
  <w:style w:type="paragraph" w:styleId="CommentText">
    <w:name w:val="annotation text"/>
    <w:basedOn w:val="Normal"/>
    <w:link w:val="CommentTextChar"/>
    <w:uiPriority w:val="99"/>
    <w:unhideWhenUsed/>
    <w:rsid w:val="00CA7A75"/>
    <w:pPr>
      <w:spacing w:line="240" w:lineRule="auto"/>
    </w:pPr>
    <w:rPr>
      <w:szCs w:val="20"/>
    </w:rPr>
  </w:style>
  <w:style w:type="character" w:customStyle="1" w:styleId="CommentTextChar">
    <w:name w:val="Comment Text Char"/>
    <w:basedOn w:val="DefaultParagraphFont"/>
    <w:link w:val="CommentText"/>
    <w:uiPriority w:val="99"/>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6B652D"/>
    <w:pPr>
      <w:numPr>
        <w:numId w:val="11"/>
      </w:numPr>
      <w:spacing w:after="120"/>
      <w:ind w:left="454"/>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CA4ACF"/>
    <w:pPr>
      <w:ind w:left="927" w:hanging="360"/>
    </w:pPr>
    <w:rPr>
      <w:rFonts w:ascii="Work Sans" w:hAnsi="Work Sans"/>
    </w:rPr>
  </w:style>
  <w:style w:type="paragraph" w:customStyle="1" w:styleId="paragraph">
    <w:name w:val="paragraph"/>
    <w:basedOn w:val="Normal"/>
    <w:rsid w:val="005A4FB4"/>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A4FB4"/>
  </w:style>
  <w:style w:type="character" w:customStyle="1" w:styleId="eop">
    <w:name w:val="eop"/>
    <w:basedOn w:val="DefaultParagraphFont"/>
    <w:rsid w:val="005A4FB4"/>
  </w:style>
  <w:style w:type="character" w:customStyle="1" w:styleId="tabchar">
    <w:name w:val="tabchar"/>
    <w:basedOn w:val="DefaultParagraphFont"/>
    <w:rsid w:val="005A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75020297">
      <w:bodyDiv w:val="1"/>
      <w:marLeft w:val="0"/>
      <w:marRight w:val="0"/>
      <w:marTop w:val="0"/>
      <w:marBottom w:val="0"/>
      <w:divBdr>
        <w:top w:val="none" w:sz="0" w:space="0" w:color="auto"/>
        <w:left w:val="none" w:sz="0" w:space="0" w:color="auto"/>
        <w:bottom w:val="none" w:sz="0" w:space="0" w:color="auto"/>
        <w:right w:val="none" w:sz="0" w:space="0" w:color="auto"/>
      </w:divBdr>
      <w:divsChild>
        <w:div w:id="170996057">
          <w:marLeft w:val="0"/>
          <w:marRight w:val="0"/>
          <w:marTop w:val="0"/>
          <w:marBottom w:val="0"/>
          <w:divBdr>
            <w:top w:val="none" w:sz="0" w:space="0" w:color="auto"/>
            <w:left w:val="none" w:sz="0" w:space="0" w:color="auto"/>
            <w:bottom w:val="none" w:sz="0" w:space="0" w:color="auto"/>
            <w:right w:val="none" w:sz="0" w:space="0" w:color="auto"/>
          </w:divBdr>
        </w:div>
        <w:div w:id="261689360">
          <w:marLeft w:val="0"/>
          <w:marRight w:val="0"/>
          <w:marTop w:val="0"/>
          <w:marBottom w:val="0"/>
          <w:divBdr>
            <w:top w:val="none" w:sz="0" w:space="0" w:color="auto"/>
            <w:left w:val="none" w:sz="0" w:space="0" w:color="auto"/>
            <w:bottom w:val="none" w:sz="0" w:space="0" w:color="auto"/>
            <w:right w:val="none" w:sz="0" w:space="0" w:color="auto"/>
          </w:divBdr>
        </w:div>
        <w:div w:id="354040734">
          <w:marLeft w:val="0"/>
          <w:marRight w:val="0"/>
          <w:marTop w:val="0"/>
          <w:marBottom w:val="0"/>
          <w:divBdr>
            <w:top w:val="none" w:sz="0" w:space="0" w:color="auto"/>
            <w:left w:val="none" w:sz="0" w:space="0" w:color="auto"/>
            <w:bottom w:val="none" w:sz="0" w:space="0" w:color="auto"/>
            <w:right w:val="none" w:sz="0" w:space="0" w:color="auto"/>
          </w:divBdr>
        </w:div>
        <w:div w:id="423260013">
          <w:marLeft w:val="0"/>
          <w:marRight w:val="0"/>
          <w:marTop w:val="0"/>
          <w:marBottom w:val="0"/>
          <w:divBdr>
            <w:top w:val="none" w:sz="0" w:space="0" w:color="auto"/>
            <w:left w:val="none" w:sz="0" w:space="0" w:color="auto"/>
            <w:bottom w:val="none" w:sz="0" w:space="0" w:color="auto"/>
            <w:right w:val="none" w:sz="0" w:space="0" w:color="auto"/>
          </w:divBdr>
          <w:divsChild>
            <w:div w:id="1348755024">
              <w:marLeft w:val="0"/>
              <w:marRight w:val="0"/>
              <w:marTop w:val="0"/>
              <w:marBottom w:val="0"/>
              <w:divBdr>
                <w:top w:val="none" w:sz="0" w:space="0" w:color="auto"/>
                <w:left w:val="none" w:sz="0" w:space="0" w:color="auto"/>
                <w:bottom w:val="none" w:sz="0" w:space="0" w:color="auto"/>
                <w:right w:val="none" w:sz="0" w:space="0" w:color="auto"/>
              </w:divBdr>
            </w:div>
            <w:div w:id="1407844728">
              <w:marLeft w:val="0"/>
              <w:marRight w:val="0"/>
              <w:marTop w:val="0"/>
              <w:marBottom w:val="0"/>
              <w:divBdr>
                <w:top w:val="none" w:sz="0" w:space="0" w:color="auto"/>
                <w:left w:val="none" w:sz="0" w:space="0" w:color="auto"/>
                <w:bottom w:val="none" w:sz="0" w:space="0" w:color="auto"/>
                <w:right w:val="none" w:sz="0" w:space="0" w:color="auto"/>
              </w:divBdr>
            </w:div>
            <w:div w:id="1487819824">
              <w:marLeft w:val="0"/>
              <w:marRight w:val="0"/>
              <w:marTop w:val="0"/>
              <w:marBottom w:val="0"/>
              <w:divBdr>
                <w:top w:val="none" w:sz="0" w:space="0" w:color="auto"/>
                <w:left w:val="none" w:sz="0" w:space="0" w:color="auto"/>
                <w:bottom w:val="none" w:sz="0" w:space="0" w:color="auto"/>
                <w:right w:val="none" w:sz="0" w:space="0" w:color="auto"/>
              </w:divBdr>
            </w:div>
            <w:div w:id="1695577032">
              <w:marLeft w:val="0"/>
              <w:marRight w:val="0"/>
              <w:marTop w:val="0"/>
              <w:marBottom w:val="0"/>
              <w:divBdr>
                <w:top w:val="none" w:sz="0" w:space="0" w:color="auto"/>
                <w:left w:val="none" w:sz="0" w:space="0" w:color="auto"/>
                <w:bottom w:val="none" w:sz="0" w:space="0" w:color="auto"/>
                <w:right w:val="none" w:sz="0" w:space="0" w:color="auto"/>
              </w:divBdr>
            </w:div>
            <w:div w:id="1787312369">
              <w:marLeft w:val="0"/>
              <w:marRight w:val="0"/>
              <w:marTop w:val="0"/>
              <w:marBottom w:val="0"/>
              <w:divBdr>
                <w:top w:val="none" w:sz="0" w:space="0" w:color="auto"/>
                <w:left w:val="none" w:sz="0" w:space="0" w:color="auto"/>
                <w:bottom w:val="none" w:sz="0" w:space="0" w:color="auto"/>
                <w:right w:val="none" w:sz="0" w:space="0" w:color="auto"/>
              </w:divBdr>
            </w:div>
          </w:divsChild>
        </w:div>
        <w:div w:id="1160847656">
          <w:marLeft w:val="0"/>
          <w:marRight w:val="0"/>
          <w:marTop w:val="0"/>
          <w:marBottom w:val="0"/>
          <w:divBdr>
            <w:top w:val="none" w:sz="0" w:space="0" w:color="auto"/>
            <w:left w:val="none" w:sz="0" w:space="0" w:color="auto"/>
            <w:bottom w:val="none" w:sz="0" w:space="0" w:color="auto"/>
            <w:right w:val="none" w:sz="0" w:space="0" w:color="auto"/>
          </w:divBdr>
        </w:div>
        <w:div w:id="1172912441">
          <w:marLeft w:val="0"/>
          <w:marRight w:val="0"/>
          <w:marTop w:val="0"/>
          <w:marBottom w:val="0"/>
          <w:divBdr>
            <w:top w:val="none" w:sz="0" w:space="0" w:color="auto"/>
            <w:left w:val="none" w:sz="0" w:space="0" w:color="auto"/>
            <w:bottom w:val="none" w:sz="0" w:space="0" w:color="auto"/>
            <w:right w:val="none" w:sz="0" w:space="0" w:color="auto"/>
          </w:divBdr>
        </w:div>
        <w:div w:id="1357999075">
          <w:marLeft w:val="0"/>
          <w:marRight w:val="0"/>
          <w:marTop w:val="0"/>
          <w:marBottom w:val="0"/>
          <w:divBdr>
            <w:top w:val="none" w:sz="0" w:space="0" w:color="auto"/>
            <w:left w:val="none" w:sz="0" w:space="0" w:color="auto"/>
            <w:bottom w:val="none" w:sz="0" w:space="0" w:color="auto"/>
            <w:right w:val="none" w:sz="0" w:space="0" w:color="auto"/>
          </w:divBdr>
        </w:div>
        <w:div w:id="1603293689">
          <w:marLeft w:val="0"/>
          <w:marRight w:val="0"/>
          <w:marTop w:val="0"/>
          <w:marBottom w:val="0"/>
          <w:divBdr>
            <w:top w:val="none" w:sz="0" w:space="0" w:color="auto"/>
            <w:left w:val="none" w:sz="0" w:space="0" w:color="auto"/>
            <w:bottom w:val="none" w:sz="0" w:space="0" w:color="auto"/>
            <w:right w:val="none" w:sz="0" w:space="0" w:color="auto"/>
          </w:divBdr>
        </w:div>
        <w:div w:id="1704598090">
          <w:marLeft w:val="0"/>
          <w:marRight w:val="0"/>
          <w:marTop w:val="0"/>
          <w:marBottom w:val="0"/>
          <w:divBdr>
            <w:top w:val="none" w:sz="0" w:space="0" w:color="auto"/>
            <w:left w:val="none" w:sz="0" w:space="0" w:color="auto"/>
            <w:bottom w:val="none" w:sz="0" w:space="0" w:color="auto"/>
            <w:right w:val="none" w:sz="0" w:space="0" w:color="auto"/>
          </w:divBdr>
        </w:div>
        <w:div w:id="1877766371">
          <w:marLeft w:val="0"/>
          <w:marRight w:val="0"/>
          <w:marTop w:val="0"/>
          <w:marBottom w:val="0"/>
          <w:divBdr>
            <w:top w:val="none" w:sz="0" w:space="0" w:color="auto"/>
            <w:left w:val="none" w:sz="0" w:space="0" w:color="auto"/>
            <w:bottom w:val="none" w:sz="0" w:space="0" w:color="auto"/>
            <w:right w:val="none" w:sz="0" w:space="0" w:color="auto"/>
          </w:divBdr>
          <w:divsChild>
            <w:div w:id="831484150">
              <w:marLeft w:val="0"/>
              <w:marRight w:val="0"/>
              <w:marTop w:val="0"/>
              <w:marBottom w:val="0"/>
              <w:divBdr>
                <w:top w:val="none" w:sz="0" w:space="0" w:color="auto"/>
                <w:left w:val="none" w:sz="0" w:space="0" w:color="auto"/>
                <w:bottom w:val="none" w:sz="0" w:space="0" w:color="auto"/>
                <w:right w:val="none" w:sz="0" w:space="0" w:color="auto"/>
              </w:divBdr>
            </w:div>
            <w:div w:id="984239913">
              <w:marLeft w:val="0"/>
              <w:marRight w:val="0"/>
              <w:marTop w:val="0"/>
              <w:marBottom w:val="0"/>
              <w:divBdr>
                <w:top w:val="none" w:sz="0" w:space="0" w:color="auto"/>
                <w:left w:val="none" w:sz="0" w:space="0" w:color="auto"/>
                <w:bottom w:val="none" w:sz="0" w:space="0" w:color="auto"/>
                <w:right w:val="none" w:sz="0" w:space="0" w:color="auto"/>
              </w:divBdr>
            </w:div>
            <w:div w:id="1168130160">
              <w:marLeft w:val="0"/>
              <w:marRight w:val="0"/>
              <w:marTop w:val="0"/>
              <w:marBottom w:val="0"/>
              <w:divBdr>
                <w:top w:val="none" w:sz="0" w:space="0" w:color="auto"/>
                <w:left w:val="none" w:sz="0" w:space="0" w:color="auto"/>
                <w:bottom w:val="none" w:sz="0" w:space="0" w:color="auto"/>
                <w:right w:val="none" w:sz="0" w:space="0" w:color="auto"/>
              </w:divBdr>
            </w:div>
            <w:div w:id="1217082644">
              <w:marLeft w:val="0"/>
              <w:marRight w:val="0"/>
              <w:marTop w:val="0"/>
              <w:marBottom w:val="0"/>
              <w:divBdr>
                <w:top w:val="none" w:sz="0" w:space="0" w:color="auto"/>
                <w:left w:val="none" w:sz="0" w:space="0" w:color="auto"/>
                <w:bottom w:val="none" w:sz="0" w:space="0" w:color="auto"/>
                <w:right w:val="none" w:sz="0" w:space="0" w:color="auto"/>
              </w:divBdr>
            </w:div>
            <w:div w:id="1226450190">
              <w:marLeft w:val="0"/>
              <w:marRight w:val="0"/>
              <w:marTop w:val="0"/>
              <w:marBottom w:val="0"/>
              <w:divBdr>
                <w:top w:val="none" w:sz="0" w:space="0" w:color="auto"/>
                <w:left w:val="none" w:sz="0" w:space="0" w:color="auto"/>
                <w:bottom w:val="none" w:sz="0" w:space="0" w:color="auto"/>
                <w:right w:val="none" w:sz="0" w:space="0" w:color="auto"/>
              </w:divBdr>
            </w:div>
          </w:divsChild>
        </w:div>
        <w:div w:id="2119522531">
          <w:marLeft w:val="0"/>
          <w:marRight w:val="0"/>
          <w:marTop w:val="0"/>
          <w:marBottom w:val="0"/>
          <w:divBdr>
            <w:top w:val="none" w:sz="0" w:space="0" w:color="auto"/>
            <w:left w:val="none" w:sz="0" w:space="0" w:color="auto"/>
            <w:bottom w:val="none" w:sz="0" w:space="0" w:color="auto"/>
            <w:right w:val="none" w:sz="0" w:space="0" w:color="auto"/>
          </w:divBdr>
        </w:div>
      </w:divsChild>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3544414">
      <w:bodyDiv w:val="1"/>
      <w:marLeft w:val="0"/>
      <w:marRight w:val="0"/>
      <w:marTop w:val="0"/>
      <w:marBottom w:val="0"/>
      <w:divBdr>
        <w:top w:val="none" w:sz="0" w:space="0" w:color="auto"/>
        <w:left w:val="none" w:sz="0" w:space="0" w:color="auto"/>
        <w:bottom w:val="none" w:sz="0" w:space="0" w:color="auto"/>
        <w:right w:val="none" w:sz="0" w:space="0" w:color="auto"/>
      </w:divBdr>
      <w:divsChild>
        <w:div w:id="719401991">
          <w:marLeft w:val="0"/>
          <w:marRight w:val="0"/>
          <w:marTop w:val="0"/>
          <w:marBottom w:val="0"/>
          <w:divBdr>
            <w:top w:val="none" w:sz="0" w:space="0" w:color="auto"/>
            <w:left w:val="none" w:sz="0" w:space="0" w:color="auto"/>
            <w:bottom w:val="none" w:sz="0" w:space="0" w:color="auto"/>
            <w:right w:val="none" w:sz="0" w:space="0" w:color="auto"/>
          </w:divBdr>
          <w:divsChild>
            <w:div w:id="1323966047">
              <w:marLeft w:val="0"/>
              <w:marRight w:val="0"/>
              <w:marTop w:val="0"/>
              <w:marBottom w:val="0"/>
              <w:divBdr>
                <w:top w:val="none" w:sz="0" w:space="0" w:color="auto"/>
                <w:left w:val="none" w:sz="0" w:space="0" w:color="auto"/>
                <w:bottom w:val="none" w:sz="0" w:space="0" w:color="auto"/>
                <w:right w:val="none" w:sz="0" w:space="0" w:color="auto"/>
              </w:divBdr>
            </w:div>
          </w:divsChild>
        </w:div>
        <w:div w:id="1261599766">
          <w:marLeft w:val="0"/>
          <w:marRight w:val="0"/>
          <w:marTop w:val="0"/>
          <w:marBottom w:val="0"/>
          <w:divBdr>
            <w:top w:val="none" w:sz="0" w:space="0" w:color="auto"/>
            <w:left w:val="none" w:sz="0" w:space="0" w:color="auto"/>
            <w:bottom w:val="none" w:sz="0" w:space="0" w:color="auto"/>
            <w:right w:val="none" w:sz="0" w:space="0" w:color="auto"/>
          </w:divBdr>
        </w:div>
      </w:divsChild>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130709097">
      <w:bodyDiv w:val="1"/>
      <w:marLeft w:val="0"/>
      <w:marRight w:val="0"/>
      <w:marTop w:val="0"/>
      <w:marBottom w:val="0"/>
      <w:divBdr>
        <w:top w:val="none" w:sz="0" w:space="0" w:color="auto"/>
        <w:left w:val="none" w:sz="0" w:space="0" w:color="auto"/>
        <w:bottom w:val="none" w:sz="0" w:space="0" w:color="auto"/>
        <w:right w:val="none" w:sz="0" w:space="0" w:color="auto"/>
      </w:divBdr>
      <w:divsChild>
        <w:div w:id="1528366358">
          <w:marLeft w:val="0"/>
          <w:marRight w:val="0"/>
          <w:marTop w:val="0"/>
          <w:marBottom w:val="0"/>
          <w:divBdr>
            <w:top w:val="none" w:sz="0" w:space="0" w:color="auto"/>
            <w:left w:val="none" w:sz="0" w:space="0" w:color="auto"/>
            <w:bottom w:val="none" w:sz="0" w:space="0" w:color="auto"/>
            <w:right w:val="none" w:sz="0" w:space="0" w:color="auto"/>
          </w:divBdr>
        </w:div>
        <w:div w:id="1672953282">
          <w:marLeft w:val="0"/>
          <w:marRight w:val="0"/>
          <w:marTop w:val="0"/>
          <w:marBottom w:val="0"/>
          <w:divBdr>
            <w:top w:val="none" w:sz="0" w:space="0" w:color="auto"/>
            <w:left w:val="none" w:sz="0" w:space="0" w:color="auto"/>
            <w:bottom w:val="none" w:sz="0" w:space="0" w:color="auto"/>
            <w:right w:val="none" w:sz="0" w:space="0" w:color="auto"/>
          </w:divBdr>
        </w:div>
        <w:div w:id="1999840027">
          <w:marLeft w:val="0"/>
          <w:marRight w:val="0"/>
          <w:marTop w:val="0"/>
          <w:marBottom w:val="0"/>
          <w:divBdr>
            <w:top w:val="none" w:sz="0" w:space="0" w:color="auto"/>
            <w:left w:val="none" w:sz="0" w:space="0" w:color="auto"/>
            <w:bottom w:val="none" w:sz="0" w:space="0" w:color="auto"/>
            <w:right w:val="none" w:sz="0" w:space="0" w:color="auto"/>
          </w:divBdr>
          <w:divsChild>
            <w:div w:id="1282807315">
              <w:marLeft w:val="-75"/>
              <w:marRight w:val="0"/>
              <w:marTop w:val="30"/>
              <w:marBottom w:val="30"/>
              <w:divBdr>
                <w:top w:val="none" w:sz="0" w:space="0" w:color="auto"/>
                <w:left w:val="none" w:sz="0" w:space="0" w:color="auto"/>
                <w:bottom w:val="none" w:sz="0" w:space="0" w:color="auto"/>
                <w:right w:val="none" w:sz="0" w:space="0" w:color="auto"/>
              </w:divBdr>
              <w:divsChild>
                <w:div w:id="20741015">
                  <w:marLeft w:val="0"/>
                  <w:marRight w:val="0"/>
                  <w:marTop w:val="0"/>
                  <w:marBottom w:val="0"/>
                  <w:divBdr>
                    <w:top w:val="none" w:sz="0" w:space="0" w:color="auto"/>
                    <w:left w:val="none" w:sz="0" w:space="0" w:color="auto"/>
                    <w:bottom w:val="none" w:sz="0" w:space="0" w:color="auto"/>
                    <w:right w:val="none" w:sz="0" w:space="0" w:color="auto"/>
                  </w:divBdr>
                  <w:divsChild>
                    <w:div w:id="1009333819">
                      <w:marLeft w:val="0"/>
                      <w:marRight w:val="0"/>
                      <w:marTop w:val="0"/>
                      <w:marBottom w:val="0"/>
                      <w:divBdr>
                        <w:top w:val="none" w:sz="0" w:space="0" w:color="auto"/>
                        <w:left w:val="none" w:sz="0" w:space="0" w:color="auto"/>
                        <w:bottom w:val="none" w:sz="0" w:space="0" w:color="auto"/>
                        <w:right w:val="none" w:sz="0" w:space="0" w:color="auto"/>
                      </w:divBdr>
                    </w:div>
                  </w:divsChild>
                </w:div>
                <w:div w:id="56827346">
                  <w:marLeft w:val="0"/>
                  <w:marRight w:val="0"/>
                  <w:marTop w:val="0"/>
                  <w:marBottom w:val="0"/>
                  <w:divBdr>
                    <w:top w:val="none" w:sz="0" w:space="0" w:color="auto"/>
                    <w:left w:val="none" w:sz="0" w:space="0" w:color="auto"/>
                    <w:bottom w:val="none" w:sz="0" w:space="0" w:color="auto"/>
                    <w:right w:val="none" w:sz="0" w:space="0" w:color="auto"/>
                  </w:divBdr>
                  <w:divsChild>
                    <w:div w:id="397098308">
                      <w:marLeft w:val="0"/>
                      <w:marRight w:val="0"/>
                      <w:marTop w:val="0"/>
                      <w:marBottom w:val="0"/>
                      <w:divBdr>
                        <w:top w:val="none" w:sz="0" w:space="0" w:color="auto"/>
                        <w:left w:val="none" w:sz="0" w:space="0" w:color="auto"/>
                        <w:bottom w:val="none" w:sz="0" w:space="0" w:color="auto"/>
                        <w:right w:val="none" w:sz="0" w:space="0" w:color="auto"/>
                      </w:divBdr>
                    </w:div>
                  </w:divsChild>
                </w:div>
                <w:div w:id="73401982">
                  <w:marLeft w:val="0"/>
                  <w:marRight w:val="0"/>
                  <w:marTop w:val="0"/>
                  <w:marBottom w:val="0"/>
                  <w:divBdr>
                    <w:top w:val="none" w:sz="0" w:space="0" w:color="auto"/>
                    <w:left w:val="none" w:sz="0" w:space="0" w:color="auto"/>
                    <w:bottom w:val="none" w:sz="0" w:space="0" w:color="auto"/>
                    <w:right w:val="none" w:sz="0" w:space="0" w:color="auto"/>
                  </w:divBdr>
                  <w:divsChild>
                    <w:div w:id="1429233687">
                      <w:marLeft w:val="0"/>
                      <w:marRight w:val="0"/>
                      <w:marTop w:val="0"/>
                      <w:marBottom w:val="0"/>
                      <w:divBdr>
                        <w:top w:val="none" w:sz="0" w:space="0" w:color="auto"/>
                        <w:left w:val="none" w:sz="0" w:space="0" w:color="auto"/>
                        <w:bottom w:val="none" w:sz="0" w:space="0" w:color="auto"/>
                        <w:right w:val="none" w:sz="0" w:space="0" w:color="auto"/>
                      </w:divBdr>
                    </w:div>
                  </w:divsChild>
                </w:div>
                <w:div w:id="111438219">
                  <w:marLeft w:val="0"/>
                  <w:marRight w:val="0"/>
                  <w:marTop w:val="0"/>
                  <w:marBottom w:val="0"/>
                  <w:divBdr>
                    <w:top w:val="none" w:sz="0" w:space="0" w:color="auto"/>
                    <w:left w:val="none" w:sz="0" w:space="0" w:color="auto"/>
                    <w:bottom w:val="none" w:sz="0" w:space="0" w:color="auto"/>
                    <w:right w:val="none" w:sz="0" w:space="0" w:color="auto"/>
                  </w:divBdr>
                  <w:divsChild>
                    <w:div w:id="898832099">
                      <w:marLeft w:val="0"/>
                      <w:marRight w:val="0"/>
                      <w:marTop w:val="0"/>
                      <w:marBottom w:val="0"/>
                      <w:divBdr>
                        <w:top w:val="none" w:sz="0" w:space="0" w:color="auto"/>
                        <w:left w:val="none" w:sz="0" w:space="0" w:color="auto"/>
                        <w:bottom w:val="none" w:sz="0" w:space="0" w:color="auto"/>
                        <w:right w:val="none" w:sz="0" w:space="0" w:color="auto"/>
                      </w:divBdr>
                    </w:div>
                  </w:divsChild>
                </w:div>
                <w:div w:id="118425108">
                  <w:marLeft w:val="0"/>
                  <w:marRight w:val="0"/>
                  <w:marTop w:val="0"/>
                  <w:marBottom w:val="0"/>
                  <w:divBdr>
                    <w:top w:val="none" w:sz="0" w:space="0" w:color="auto"/>
                    <w:left w:val="none" w:sz="0" w:space="0" w:color="auto"/>
                    <w:bottom w:val="none" w:sz="0" w:space="0" w:color="auto"/>
                    <w:right w:val="none" w:sz="0" w:space="0" w:color="auto"/>
                  </w:divBdr>
                  <w:divsChild>
                    <w:div w:id="1803376376">
                      <w:marLeft w:val="0"/>
                      <w:marRight w:val="0"/>
                      <w:marTop w:val="0"/>
                      <w:marBottom w:val="0"/>
                      <w:divBdr>
                        <w:top w:val="none" w:sz="0" w:space="0" w:color="auto"/>
                        <w:left w:val="none" w:sz="0" w:space="0" w:color="auto"/>
                        <w:bottom w:val="none" w:sz="0" w:space="0" w:color="auto"/>
                        <w:right w:val="none" w:sz="0" w:space="0" w:color="auto"/>
                      </w:divBdr>
                    </w:div>
                  </w:divsChild>
                </w:div>
                <w:div w:id="160776515">
                  <w:marLeft w:val="0"/>
                  <w:marRight w:val="0"/>
                  <w:marTop w:val="0"/>
                  <w:marBottom w:val="0"/>
                  <w:divBdr>
                    <w:top w:val="none" w:sz="0" w:space="0" w:color="auto"/>
                    <w:left w:val="none" w:sz="0" w:space="0" w:color="auto"/>
                    <w:bottom w:val="none" w:sz="0" w:space="0" w:color="auto"/>
                    <w:right w:val="none" w:sz="0" w:space="0" w:color="auto"/>
                  </w:divBdr>
                  <w:divsChild>
                    <w:div w:id="1002466225">
                      <w:marLeft w:val="0"/>
                      <w:marRight w:val="0"/>
                      <w:marTop w:val="0"/>
                      <w:marBottom w:val="0"/>
                      <w:divBdr>
                        <w:top w:val="none" w:sz="0" w:space="0" w:color="auto"/>
                        <w:left w:val="none" w:sz="0" w:space="0" w:color="auto"/>
                        <w:bottom w:val="none" w:sz="0" w:space="0" w:color="auto"/>
                        <w:right w:val="none" w:sz="0" w:space="0" w:color="auto"/>
                      </w:divBdr>
                    </w:div>
                  </w:divsChild>
                </w:div>
                <w:div w:id="197402884">
                  <w:marLeft w:val="0"/>
                  <w:marRight w:val="0"/>
                  <w:marTop w:val="0"/>
                  <w:marBottom w:val="0"/>
                  <w:divBdr>
                    <w:top w:val="none" w:sz="0" w:space="0" w:color="auto"/>
                    <w:left w:val="none" w:sz="0" w:space="0" w:color="auto"/>
                    <w:bottom w:val="none" w:sz="0" w:space="0" w:color="auto"/>
                    <w:right w:val="none" w:sz="0" w:space="0" w:color="auto"/>
                  </w:divBdr>
                  <w:divsChild>
                    <w:div w:id="2043289572">
                      <w:marLeft w:val="0"/>
                      <w:marRight w:val="0"/>
                      <w:marTop w:val="0"/>
                      <w:marBottom w:val="0"/>
                      <w:divBdr>
                        <w:top w:val="none" w:sz="0" w:space="0" w:color="auto"/>
                        <w:left w:val="none" w:sz="0" w:space="0" w:color="auto"/>
                        <w:bottom w:val="none" w:sz="0" w:space="0" w:color="auto"/>
                        <w:right w:val="none" w:sz="0" w:space="0" w:color="auto"/>
                      </w:divBdr>
                    </w:div>
                  </w:divsChild>
                </w:div>
                <w:div w:id="313611048">
                  <w:marLeft w:val="0"/>
                  <w:marRight w:val="0"/>
                  <w:marTop w:val="0"/>
                  <w:marBottom w:val="0"/>
                  <w:divBdr>
                    <w:top w:val="none" w:sz="0" w:space="0" w:color="auto"/>
                    <w:left w:val="none" w:sz="0" w:space="0" w:color="auto"/>
                    <w:bottom w:val="none" w:sz="0" w:space="0" w:color="auto"/>
                    <w:right w:val="none" w:sz="0" w:space="0" w:color="auto"/>
                  </w:divBdr>
                  <w:divsChild>
                    <w:div w:id="215901375">
                      <w:marLeft w:val="0"/>
                      <w:marRight w:val="0"/>
                      <w:marTop w:val="0"/>
                      <w:marBottom w:val="0"/>
                      <w:divBdr>
                        <w:top w:val="none" w:sz="0" w:space="0" w:color="auto"/>
                        <w:left w:val="none" w:sz="0" w:space="0" w:color="auto"/>
                        <w:bottom w:val="none" w:sz="0" w:space="0" w:color="auto"/>
                        <w:right w:val="none" w:sz="0" w:space="0" w:color="auto"/>
                      </w:divBdr>
                    </w:div>
                  </w:divsChild>
                </w:div>
                <w:div w:id="315033468">
                  <w:marLeft w:val="0"/>
                  <w:marRight w:val="0"/>
                  <w:marTop w:val="0"/>
                  <w:marBottom w:val="0"/>
                  <w:divBdr>
                    <w:top w:val="none" w:sz="0" w:space="0" w:color="auto"/>
                    <w:left w:val="none" w:sz="0" w:space="0" w:color="auto"/>
                    <w:bottom w:val="none" w:sz="0" w:space="0" w:color="auto"/>
                    <w:right w:val="none" w:sz="0" w:space="0" w:color="auto"/>
                  </w:divBdr>
                  <w:divsChild>
                    <w:div w:id="1886334653">
                      <w:marLeft w:val="0"/>
                      <w:marRight w:val="0"/>
                      <w:marTop w:val="0"/>
                      <w:marBottom w:val="0"/>
                      <w:divBdr>
                        <w:top w:val="none" w:sz="0" w:space="0" w:color="auto"/>
                        <w:left w:val="none" w:sz="0" w:space="0" w:color="auto"/>
                        <w:bottom w:val="none" w:sz="0" w:space="0" w:color="auto"/>
                        <w:right w:val="none" w:sz="0" w:space="0" w:color="auto"/>
                      </w:divBdr>
                    </w:div>
                  </w:divsChild>
                </w:div>
                <w:div w:id="329331749">
                  <w:marLeft w:val="0"/>
                  <w:marRight w:val="0"/>
                  <w:marTop w:val="0"/>
                  <w:marBottom w:val="0"/>
                  <w:divBdr>
                    <w:top w:val="none" w:sz="0" w:space="0" w:color="auto"/>
                    <w:left w:val="none" w:sz="0" w:space="0" w:color="auto"/>
                    <w:bottom w:val="none" w:sz="0" w:space="0" w:color="auto"/>
                    <w:right w:val="none" w:sz="0" w:space="0" w:color="auto"/>
                  </w:divBdr>
                  <w:divsChild>
                    <w:div w:id="1920211820">
                      <w:marLeft w:val="0"/>
                      <w:marRight w:val="0"/>
                      <w:marTop w:val="0"/>
                      <w:marBottom w:val="0"/>
                      <w:divBdr>
                        <w:top w:val="none" w:sz="0" w:space="0" w:color="auto"/>
                        <w:left w:val="none" w:sz="0" w:space="0" w:color="auto"/>
                        <w:bottom w:val="none" w:sz="0" w:space="0" w:color="auto"/>
                        <w:right w:val="none" w:sz="0" w:space="0" w:color="auto"/>
                      </w:divBdr>
                    </w:div>
                  </w:divsChild>
                </w:div>
                <w:div w:id="347634763">
                  <w:marLeft w:val="0"/>
                  <w:marRight w:val="0"/>
                  <w:marTop w:val="0"/>
                  <w:marBottom w:val="0"/>
                  <w:divBdr>
                    <w:top w:val="none" w:sz="0" w:space="0" w:color="auto"/>
                    <w:left w:val="none" w:sz="0" w:space="0" w:color="auto"/>
                    <w:bottom w:val="none" w:sz="0" w:space="0" w:color="auto"/>
                    <w:right w:val="none" w:sz="0" w:space="0" w:color="auto"/>
                  </w:divBdr>
                  <w:divsChild>
                    <w:div w:id="1614484258">
                      <w:marLeft w:val="0"/>
                      <w:marRight w:val="0"/>
                      <w:marTop w:val="0"/>
                      <w:marBottom w:val="0"/>
                      <w:divBdr>
                        <w:top w:val="none" w:sz="0" w:space="0" w:color="auto"/>
                        <w:left w:val="none" w:sz="0" w:space="0" w:color="auto"/>
                        <w:bottom w:val="none" w:sz="0" w:space="0" w:color="auto"/>
                        <w:right w:val="none" w:sz="0" w:space="0" w:color="auto"/>
                      </w:divBdr>
                    </w:div>
                  </w:divsChild>
                </w:div>
                <w:div w:id="386152114">
                  <w:marLeft w:val="0"/>
                  <w:marRight w:val="0"/>
                  <w:marTop w:val="0"/>
                  <w:marBottom w:val="0"/>
                  <w:divBdr>
                    <w:top w:val="none" w:sz="0" w:space="0" w:color="auto"/>
                    <w:left w:val="none" w:sz="0" w:space="0" w:color="auto"/>
                    <w:bottom w:val="none" w:sz="0" w:space="0" w:color="auto"/>
                    <w:right w:val="none" w:sz="0" w:space="0" w:color="auto"/>
                  </w:divBdr>
                  <w:divsChild>
                    <w:div w:id="1723746023">
                      <w:marLeft w:val="0"/>
                      <w:marRight w:val="0"/>
                      <w:marTop w:val="0"/>
                      <w:marBottom w:val="0"/>
                      <w:divBdr>
                        <w:top w:val="none" w:sz="0" w:space="0" w:color="auto"/>
                        <w:left w:val="none" w:sz="0" w:space="0" w:color="auto"/>
                        <w:bottom w:val="none" w:sz="0" w:space="0" w:color="auto"/>
                        <w:right w:val="none" w:sz="0" w:space="0" w:color="auto"/>
                      </w:divBdr>
                    </w:div>
                  </w:divsChild>
                </w:div>
                <w:div w:id="393705433">
                  <w:marLeft w:val="0"/>
                  <w:marRight w:val="0"/>
                  <w:marTop w:val="0"/>
                  <w:marBottom w:val="0"/>
                  <w:divBdr>
                    <w:top w:val="none" w:sz="0" w:space="0" w:color="auto"/>
                    <w:left w:val="none" w:sz="0" w:space="0" w:color="auto"/>
                    <w:bottom w:val="none" w:sz="0" w:space="0" w:color="auto"/>
                    <w:right w:val="none" w:sz="0" w:space="0" w:color="auto"/>
                  </w:divBdr>
                  <w:divsChild>
                    <w:div w:id="1818187706">
                      <w:marLeft w:val="0"/>
                      <w:marRight w:val="0"/>
                      <w:marTop w:val="0"/>
                      <w:marBottom w:val="0"/>
                      <w:divBdr>
                        <w:top w:val="none" w:sz="0" w:space="0" w:color="auto"/>
                        <w:left w:val="none" w:sz="0" w:space="0" w:color="auto"/>
                        <w:bottom w:val="none" w:sz="0" w:space="0" w:color="auto"/>
                        <w:right w:val="none" w:sz="0" w:space="0" w:color="auto"/>
                      </w:divBdr>
                    </w:div>
                  </w:divsChild>
                </w:div>
                <w:div w:id="452796899">
                  <w:marLeft w:val="0"/>
                  <w:marRight w:val="0"/>
                  <w:marTop w:val="0"/>
                  <w:marBottom w:val="0"/>
                  <w:divBdr>
                    <w:top w:val="none" w:sz="0" w:space="0" w:color="auto"/>
                    <w:left w:val="none" w:sz="0" w:space="0" w:color="auto"/>
                    <w:bottom w:val="none" w:sz="0" w:space="0" w:color="auto"/>
                    <w:right w:val="none" w:sz="0" w:space="0" w:color="auto"/>
                  </w:divBdr>
                  <w:divsChild>
                    <w:div w:id="1019501325">
                      <w:marLeft w:val="0"/>
                      <w:marRight w:val="0"/>
                      <w:marTop w:val="0"/>
                      <w:marBottom w:val="0"/>
                      <w:divBdr>
                        <w:top w:val="none" w:sz="0" w:space="0" w:color="auto"/>
                        <w:left w:val="none" w:sz="0" w:space="0" w:color="auto"/>
                        <w:bottom w:val="none" w:sz="0" w:space="0" w:color="auto"/>
                        <w:right w:val="none" w:sz="0" w:space="0" w:color="auto"/>
                      </w:divBdr>
                    </w:div>
                  </w:divsChild>
                </w:div>
                <w:div w:id="453521851">
                  <w:marLeft w:val="0"/>
                  <w:marRight w:val="0"/>
                  <w:marTop w:val="0"/>
                  <w:marBottom w:val="0"/>
                  <w:divBdr>
                    <w:top w:val="none" w:sz="0" w:space="0" w:color="auto"/>
                    <w:left w:val="none" w:sz="0" w:space="0" w:color="auto"/>
                    <w:bottom w:val="none" w:sz="0" w:space="0" w:color="auto"/>
                    <w:right w:val="none" w:sz="0" w:space="0" w:color="auto"/>
                  </w:divBdr>
                  <w:divsChild>
                    <w:div w:id="641033707">
                      <w:marLeft w:val="0"/>
                      <w:marRight w:val="0"/>
                      <w:marTop w:val="0"/>
                      <w:marBottom w:val="0"/>
                      <w:divBdr>
                        <w:top w:val="none" w:sz="0" w:space="0" w:color="auto"/>
                        <w:left w:val="none" w:sz="0" w:space="0" w:color="auto"/>
                        <w:bottom w:val="none" w:sz="0" w:space="0" w:color="auto"/>
                        <w:right w:val="none" w:sz="0" w:space="0" w:color="auto"/>
                      </w:divBdr>
                    </w:div>
                  </w:divsChild>
                </w:div>
                <w:div w:id="463086551">
                  <w:marLeft w:val="0"/>
                  <w:marRight w:val="0"/>
                  <w:marTop w:val="0"/>
                  <w:marBottom w:val="0"/>
                  <w:divBdr>
                    <w:top w:val="none" w:sz="0" w:space="0" w:color="auto"/>
                    <w:left w:val="none" w:sz="0" w:space="0" w:color="auto"/>
                    <w:bottom w:val="none" w:sz="0" w:space="0" w:color="auto"/>
                    <w:right w:val="none" w:sz="0" w:space="0" w:color="auto"/>
                  </w:divBdr>
                  <w:divsChild>
                    <w:div w:id="921255100">
                      <w:marLeft w:val="0"/>
                      <w:marRight w:val="0"/>
                      <w:marTop w:val="0"/>
                      <w:marBottom w:val="0"/>
                      <w:divBdr>
                        <w:top w:val="none" w:sz="0" w:space="0" w:color="auto"/>
                        <w:left w:val="none" w:sz="0" w:space="0" w:color="auto"/>
                        <w:bottom w:val="none" w:sz="0" w:space="0" w:color="auto"/>
                        <w:right w:val="none" w:sz="0" w:space="0" w:color="auto"/>
                      </w:divBdr>
                    </w:div>
                  </w:divsChild>
                </w:div>
                <w:div w:id="469446095">
                  <w:marLeft w:val="0"/>
                  <w:marRight w:val="0"/>
                  <w:marTop w:val="0"/>
                  <w:marBottom w:val="0"/>
                  <w:divBdr>
                    <w:top w:val="none" w:sz="0" w:space="0" w:color="auto"/>
                    <w:left w:val="none" w:sz="0" w:space="0" w:color="auto"/>
                    <w:bottom w:val="none" w:sz="0" w:space="0" w:color="auto"/>
                    <w:right w:val="none" w:sz="0" w:space="0" w:color="auto"/>
                  </w:divBdr>
                  <w:divsChild>
                    <w:div w:id="773591722">
                      <w:marLeft w:val="0"/>
                      <w:marRight w:val="0"/>
                      <w:marTop w:val="0"/>
                      <w:marBottom w:val="0"/>
                      <w:divBdr>
                        <w:top w:val="none" w:sz="0" w:space="0" w:color="auto"/>
                        <w:left w:val="none" w:sz="0" w:space="0" w:color="auto"/>
                        <w:bottom w:val="none" w:sz="0" w:space="0" w:color="auto"/>
                        <w:right w:val="none" w:sz="0" w:space="0" w:color="auto"/>
                      </w:divBdr>
                    </w:div>
                  </w:divsChild>
                </w:div>
                <w:div w:id="507603112">
                  <w:marLeft w:val="0"/>
                  <w:marRight w:val="0"/>
                  <w:marTop w:val="0"/>
                  <w:marBottom w:val="0"/>
                  <w:divBdr>
                    <w:top w:val="none" w:sz="0" w:space="0" w:color="auto"/>
                    <w:left w:val="none" w:sz="0" w:space="0" w:color="auto"/>
                    <w:bottom w:val="none" w:sz="0" w:space="0" w:color="auto"/>
                    <w:right w:val="none" w:sz="0" w:space="0" w:color="auto"/>
                  </w:divBdr>
                  <w:divsChild>
                    <w:div w:id="1396709211">
                      <w:marLeft w:val="0"/>
                      <w:marRight w:val="0"/>
                      <w:marTop w:val="0"/>
                      <w:marBottom w:val="0"/>
                      <w:divBdr>
                        <w:top w:val="none" w:sz="0" w:space="0" w:color="auto"/>
                        <w:left w:val="none" w:sz="0" w:space="0" w:color="auto"/>
                        <w:bottom w:val="none" w:sz="0" w:space="0" w:color="auto"/>
                        <w:right w:val="none" w:sz="0" w:space="0" w:color="auto"/>
                      </w:divBdr>
                    </w:div>
                  </w:divsChild>
                </w:div>
                <w:div w:id="620068335">
                  <w:marLeft w:val="0"/>
                  <w:marRight w:val="0"/>
                  <w:marTop w:val="0"/>
                  <w:marBottom w:val="0"/>
                  <w:divBdr>
                    <w:top w:val="none" w:sz="0" w:space="0" w:color="auto"/>
                    <w:left w:val="none" w:sz="0" w:space="0" w:color="auto"/>
                    <w:bottom w:val="none" w:sz="0" w:space="0" w:color="auto"/>
                    <w:right w:val="none" w:sz="0" w:space="0" w:color="auto"/>
                  </w:divBdr>
                  <w:divsChild>
                    <w:div w:id="1871994307">
                      <w:marLeft w:val="0"/>
                      <w:marRight w:val="0"/>
                      <w:marTop w:val="0"/>
                      <w:marBottom w:val="0"/>
                      <w:divBdr>
                        <w:top w:val="none" w:sz="0" w:space="0" w:color="auto"/>
                        <w:left w:val="none" w:sz="0" w:space="0" w:color="auto"/>
                        <w:bottom w:val="none" w:sz="0" w:space="0" w:color="auto"/>
                        <w:right w:val="none" w:sz="0" w:space="0" w:color="auto"/>
                      </w:divBdr>
                    </w:div>
                  </w:divsChild>
                </w:div>
                <w:div w:id="665398753">
                  <w:marLeft w:val="0"/>
                  <w:marRight w:val="0"/>
                  <w:marTop w:val="0"/>
                  <w:marBottom w:val="0"/>
                  <w:divBdr>
                    <w:top w:val="none" w:sz="0" w:space="0" w:color="auto"/>
                    <w:left w:val="none" w:sz="0" w:space="0" w:color="auto"/>
                    <w:bottom w:val="none" w:sz="0" w:space="0" w:color="auto"/>
                    <w:right w:val="none" w:sz="0" w:space="0" w:color="auto"/>
                  </w:divBdr>
                  <w:divsChild>
                    <w:div w:id="1751196112">
                      <w:marLeft w:val="0"/>
                      <w:marRight w:val="0"/>
                      <w:marTop w:val="0"/>
                      <w:marBottom w:val="0"/>
                      <w:divBdr>
                        <w:top w:val="none" w:sz="0" w:space="0" w:color="auto"/>
                        <w:left w:val="none" w:sz="0" w:space="0" w:color="auto"/>
                        <w:bottom w:val="none" w:sz="0" w:space="0" w:color="auto"/>
                        <w:right w:val="none" w:sz="0" w:space="0" w:color="auto"/>
                      </w:divBdr>
                    </w:div>
                  </w:divsChild>
                </w:div>
                <w:div w:id="739669103">
                  <w:marLeft w:val="0"/>
                  <w:marRight w:val="0"/>
                  <w:marTop w:val="0"/>
                  <w:marBottom w:val="0"/>
                  <w:divBdr>
                    <w:top w:val="none" w:sz="0" w:space="0" w:color="auto"/>
                    <w:left w:val="none" w:sz="0" w:space="0" w:color="auto"/>
                    <w:bottom w:val="none" w:sz="0" w:space="0" w:color="auto"/>
                    <w:right w:val="none" w:sz="0" w:space="0" w:color="auto"/>
                  </w:divBdr>
                  <w:divsChild>
                    <w:div w:id="692802310">
                      <w:marLeft w:val="0"/>
                      <w:marRight w:val="0"/>
                      <w:marTop w:val="0"/>
                      <w:marBottom w:val="0"/>
                      <w:divBdr>
                        <w:top w:val="none" w:sz="0" w:space="0" w:color="auto"/>
                        <w:left w:val="none" w:sz="0" w:space="0" w:color="auto"/>
                        <w:bottom w:val="none" w:sz="0" w:space="0" w:color="auto"/>
                        <w:right w:val="none" w:sz="0" w:space="0" w:color="auto"/>
                      </w:divBdr>
                    </w:div>
                  </w:divsChild>
                </w:div>
                <w:div w:id="760564344">
                  <w:marLeft w:val="0"/>
                  <w:marRight w:val="0"/>
                  <w:marTop w:val="0"/>
                  <w:marBottom w:val="0"/>
                  <w:divBdr>
                    <w:top w:val="none" w:sz="0" w:space="0" w:color="auto"/>
                    <w:left w:val="none" w:sz="0" w:space="0" w:color="auto"/>
                    <w:bottom w:val="none" w:sz="0" w:space="0" w:color="auto"/>
                    <w:right w:val="none" w:sz="0" w:space="0" w:color="auto"/>
                  </w:divBdr>
                  <w:divsChild>
                    <w:div w:id="865097008">
                      <w:marLeft w:val="0"/>
                      <w:marRight w:val="0"/>
                      <w:marTop w:val="0"/>
                      <w:marBottom w:val="0"/>
                      <w:divBdr>
                        <w:top w:val="none" w:sz="0" w:space="0" w:color="auto"/>
                        <w:left w:val="none" w:sz="0" w:space="0" w:color="auto"/>
                        <w:bottom w:val="none" w:sz="0" w:space="0" w:color="auto"/>
                        <w:right w:val="none" w:sz="0" w:space="0" w:color="auto"/>
                      </w:divBdr>
                    </w:div>
                  </w:divsChild>
                </w:div>
                <w:div w:id="792291665">
                  <w:marLeft w:val="0"/>
                  <w:marRight w:val="0"/>
                  <w:marTop w:val="0"/>
                  <w:marBottom w:val="0"/>
                  <w:divBdr>
                    <w:top w:val="none" w:sz="0" w:space="0" w:color="auto"/>
                    <w:left w:val="none" w:sz="0" w:space="0" w:color="auto"/>
                    <w:bottom w:val="none" w:sz="0" w:space="0" w:color="auto"/>
                    <w:right w:val="none" w:sz="0" w:space="0" w:color="auto"/>
                  </w:divBdr>
                  <w:divsChild>
                    <w:div w:id="614482563">
                      <w:marLeft w:val="0"/>
                      <w:marRight w:val="0"/>
                      <w:marTop w:val="0"/>
                      <w:marBottom w:val="0"/>
                      <w:divBdr>
                        <w:top w:val="none" w:sz="0" w:space="0" w:color="auto"/>
                        <w:left w:val="none" w:sz="0" w:space="0" w:color="auto"/>
                        <w:bottom w:val="none" w:sz="0" w:space="0" w:color="auto"/>
                        <w:right w:val="none" w:sz="0" w:space="0" w:color="auto"/>
                      </w:divBdr>
                    </w:div>
                  </w:divsChild>
                </w:div>
                <w:div w:id="794561129">
                  <w:marLeft w:val="0"/>
                  <w:marRight w:val="0"/>
                  <w:marTop w:val="0"/>
                  <w:marBottom w:val="0"/>
                  <w:divBdr>
                    <w:top w:val="none" w:sz="0" w:space="0" w:color="auto"/>
                    <w:left w:val="none" w:sz="0" w:space="0" w:color="auto"/>
                    <w:bottom w:val="none" w:sz="0" w:space="0" w:color="auto"/>
                    <w:right w:val="none" w:sz="0" w:space="0" w:color="auto"/>
                  </w:divBdr>
                  <w:divsChild>
                    <w:div w:id="1804038750">
                      <w:marLeft w:val="0"/>
                      <w:marRight w:val="0"/>
                      <w:marTop w:val="0"/>
                      <w:marBottom w:val="0"/>
                      <w:divBdr>
                        <w:top w:val="none" w:sz="0" w:space="0" w:color="auto"/>
                        <w:left w:val="none" w:sz="0" w:space="0" w:color="auto"/>
                        <w:bottom w:val="none" w:sz="0" w:space="0" w:color="auto"/>
                        <w:right w:val="none" w:sz="0" w:space="0" w:color="auto"/>
                      </w:divBdr>
                    </w:div>
                  </w:divsChild>
                </w:div>
                <w:div w:id="798956690">
                  <w:marLeft w:val="0"/>
                  <w:marRight w:val="0"/>
                  <w:marTop w:val="0"/>
                  <w:marBottom w:val="0"/>
                  <w:divBdr>
                    <w:top w:val="none" w:sz="0" w:space="0" w:color="auto"/>
                    <w:left w:val="none" w:sz="0" w:space="0" w:color="auto"/>
                    <w:bottom w:val="none" w:sz="0" w:space="0" w:color="auto"/>
                    <w:right w:val="none" w:sz="0" w:space="0" w:color="auto"/>
                  </w:divBdr>
                  <w:divsChild>
                    <w:div w:id="1663462922">
                      <w:marLeft w:val="0"/>
                      <w:marRight w:val="0"/>
                      <w:marTop w:val="0"/>
                      <w:marBottom w:val="0"/>
                      <w:divBdr>
                        <w:top w:val="none" w:sz="0" w:space="0" w:color="auto"/>
                        <w:left w:val="none" w:sz="0" w:space="0" w:color="auto"/>
                        <w:bottom w:val="none" w:sz="0" w:space="0" w:color="auto"/>
                        <w:right w:val="none" w:sz="0" w:space="0" w:color="auto"/>
                      </w:divBdr>
                    </w:div>
                  </w:divsChild>
                </w:div>
                <w:div w:id="854539712">
                  <w:marLeft w:val="0"/>
                  <w:marRight w:val="0"/>
                  <w:marTop w:val="0"/>
                  <w:marBottom w:val="0"/>
                  <w:divBdr>
                    <w:top w:val="none" w:sz="0" w:space="0" w:color="auto"/>
                    <w:left w:val="none" w:sz="0" w:space="0" w:color="auto"/>
                    <w:bottom w:val="none" w:sz="0" w:space="0" w:color="auto"/>
                    <w:right w:val="none" w:sz="0" w:space="0" w:color="auto"/>
                  </w:divBdr>
                  <w:divsChild>
                    <w:div w:id="1734740744">
                      <w:marLeft w:val="0"/>
                      <w:marRight w:val="0"/>
                      <w:marTop w:val="0"/>
                      <w:marBottom w:val="0"/>
                      <w:divBdr>
                        <w:top w:val="none" w:sz="0" w:space="0" w:color="auto"/>
                        <w:left w:val="none" w:sz="0" w:space="0" w:color="auto"/>
                        <w:bottom w:val="none" w:sz="0" w:space="0" w:color="auto"/>
                        <w:right w:val="none" w:sz="0" w:space="0" w:color="auto"/>
                      </w:divBdr>
                    </w:div>
                  </w:divsChild>
                </w:div>
                <w:div w:id="884871249">
                  <w:marLeft w:val="0"/>
                  <w:marRight w:val="0"/>
                  <w:marTop w:val="0"/>
                  <w:marBottom w:val="0"/>
                  <w:divBdr>
                    <w:top w:val="none" w:sz="0" w:space="0" w:color="auto"/>
                    <w:left w:val="none" w:sz="0" w:space="0" w:color="auto"/>
                    <w:bottom w:val="none" w:sz="0" w:space="0" w:color="auto"/>
                    <w:right w:val="none" w:sz="0" w:space="0" w:color="auto"/>
                  </w:divBdr>
                  <w:divsChild>
                    <w:div w:id="1823111071">
                      <w:marLeft w:val="0"/>
                      <w:marRight w:val="0"/>
                      <w:marTop w:val="0"/>
                      <w:marBottom w:val="0"/>
                      <w:divBdr>
                        <w:top w:val="none" w:sz="0" w:space="0" w:color="auto"/>
                        <w:left w:val="none" w:sz="0" w:space="0" w:color="auto"/>
                        <w:bottom w:val="none" w:sz="0" w:space="0" w:color="auto"/>
                        <w:right w:val="none" w:sz="0" w:space="0" w:color="auto"/>
                      </w:divBdr>
                    </w:div>
                  </w:divsChild>
                </w:div>
                <w:div w:id="889269286">
                  <w:marLeft w:val="0"/>
                  <w:marRight w:val="0"/>
                  <w:marTop w:val="0"/>
                  <w:marBottom w:val="0"/>
                  <w:divBdr>
                    <w:top w:val="none" w:sz="0" w:space="0" w:color="auto"/>
                    <w:left w:val="none" w:sz="0" w:space="0" w:color="auto"/>
                    <w:bottom w:val="none" w:sz="0" w:space="0" w:color="auto"/>
                    <w:right w:val="none" w:sz="0" w:space="0" w:color="auto"/>
                  </w:divBdr>
                  <w:divsChild>
                    <w:div w:id="539628847">
                      <w:marLeft w:val="0"/>
                      <w:marRight w:val="0"/>
                      <w:marTop w:val="0"/>
                      <w:marBottom w:val="0"/>
                      <w:divBdr>
                        <w:top w:val="none" w:sz="0" w:space="0" w:color="auto"/>
                        <w:left w:val="none" w:sz="0" w:space="0" w:color="auto"/>
                        <w:bottom w:val="none" w:sz="0" w:space="0" w:color="auto"/>
                        <w:right w:val="none" w:sz="0" w:space="0" w:color="auto"/>
                      </w:divBdr>
                    </w:div>
                  </w:divsChild>
                </w:div>
                <w:div w:id="929967433">
                  <w:marLeft w:val="0"/>
                  <w:marRight w:val="0"/>
                  <w:marTop w:val="0"/>
                  <w:marBottom w:val="0"/>
                  <w:divBdr>
                    <w:top w:val="none" w:sz="0" w:space="0" w:color="auto"/>
                    <w:left w:val="none" w:sz="0" w:space="0" w:color="auto"/>
                    <w:bottom w:val="none" w:sz="0" w:space="0" w:color="auto"/>
                    <w:right w:val="none" w:sz="0" w:space="0" w:color="auto"/>
                  </w:divBdr>
                  <w:divsChild>
                    <w:div w:id="201986774">
                      <w:marLeft w:val="0"/>
                      <w:marRight w:val="0"/>
                      <w:marTop w:val="0"/>
                      <w:marBottom w:val="0"/>
                      <w:divBdr>
                        <w:top w:val="none" w:sz="0" w:space="0" w:color="auto"/>
                        <w:left w:val="none" w:sz="0" w:space="0" w:color="auto"/>
                        <w:bottom w:val="none" w:sz="0" w:space="0" w:color="auto"/>
                        <w:right w:val="none" w:sz="0" w:space="0" w:color="auto"/>
                      </w:divBdr>
                    </w:div>
                  </w:divsChild>
                </w:div>
                <w:div w:id="969172335">
                  <w:marLeft w:val="0"/>
                  <w:marRight w:val="0"/>
                  <w:marTop w:val="0"/>
                  <w:marBottom w:val="0"/>
                  <w:divBdr>
                    <w:top w:val="none" w:sz="0" w:space="0" w:color="auto"/>
                    <w:left w:val="none" w:sz="0" w:space="0" w:color="auto"/>
                    <w:bottom w:val="none" w:sz="0" w:space="0" w:color="auto"/>
                    <w:right w:val="none" w:sz="0" w:space="0" w:color="auto"/>
                  </w:divBdr>
                  <w:divsChild>
                    <w:div w:id="902104469">
                      <w:marLeft w:val="0"/>
                      <w:marRight w:val="0"/>
                      <w:marTop w:val="0"/>
                      <w:marBottom w:val="0"/>
                      <w:divBdr>
                        <w:top w:val="none" w:sz="0" w:space="0" w:color="auto"/>
                        <w:left w:val="none" w:sz="0" w:space="0" w:color="auto"/>
                        <w:bottom w:val="none" w:sz="0" w:space="0" w:color="auto"/>
                        <w:right w:val="none" w:sz="0" w:space="0" w:color="auto"/>
                      </w:divBdr>
                    </w:div>
                  </w:divsChild>
                </w:div>
                <w:div w:id="977681708">
                  <w:marLeft w:val="0"/>
                  <w:marRight w:val="0"/>
                  <w:marTop w:val="0"/>
                  <w:marBottom w:val="0"/>
                  <w:divBdr>
                    <w:top w:val="none" w:sz="0" w:space="0" w:color="auto"/>
                    <w:left w:val="none" w:sz="0" w:space="0" w:color="auto"/>
                    <w:bottom w:val="none" w:sz="0" w:space="0" w:color="auto"/>
                    <w:right w:val="none" w:sz="0" w:space="0" w:color="auto"/>
                  </w:divBdr>
                  <w:divsChild>
                    <w:div w:id="112674632">
                      <w:marLeft w:val="0"/>
                      <w:marRight w:val="0"/>
                      <w:marTop w:val="0"/>
                      <w:marBottom w:val="0"/>
                      <w:divBdr>
                        <w:top w:val="none" w:sz="0" w:space="0" w:color="auto"/>
                        <w:left w:val="none" w:sz="0" w:space="0" w:color="auto"/>
                        <w:bottom w:val="none" w:sz="0" w:space="0" w:color="auto"/>
                        <w:right w:val="none" w:sz="0" w:space="0" w:color="auto"/>
                      </w:divBdr>
                    </w:div>
                  </w:divsChild>
                </w:div>
                <w:div w:id="1026566164">
                  <w:marLeft w:val="0"/>
                  <w:marRight w:val="0"/>
                  <w:marTop w:val="0"/>
                  <w:marBottom w:val="0"/>
                  <w:divBdr>
                    <w:top w:val="none" w:sz="0" w:space="0" w:color="auto"/>
                    <w:left w:val="none" w:sz="0" w:space="0" w:color="auto"/>
                    <w:bottom w:val="none" w:sz="0" w:space="0" w:color="auto"/>
                    <w:right w:val="none" w:sz="0" w:space="0" w:color="auto"/>
                  </w:divBdr>
                  <w:divsChild>
                    <w:div w:id="41832141">
                      <w:marLeft w:val="0"/>
                      <w:marRight w:val="0"/>
                      <w:marTop w:val="0"/>
                      <w:marBottom w:val="0"/>
                      <w:divBdr>
                        <w:top w:val="none" w:sz="0" w:space="0" w:color="auto"/>
                        <w:left w:val="none" w:sz="0" w:space="0" w:color="auto"/>
                        <w:bottom w:val="none" w:sz="0" w:space="0" w:color="auto"/>
                        <w:right w:val="none" w:sz="0" w:space="0" w:color="auto"/>
                      </w:divBdr>
                    </w:div>
                  </w:divsChild>
                </w:div>
                <w:div w:id="1031612662">
                  <w:marLeft w:val="0"/>
                  <w:marRight w:val="0"/>
                  <w:marTop w:val="0"/>
                  <w:marBottom w:val="0"/>
                  <w:divBdr>
                    <w:top w:val="none" w:sz="0" w:space="0" w:color="auto"/>
                    <w:left w:val="none" w:sz="0" w:space="0" w:color="auto"/>
                    <w:bottom w:val="none" w:sz="0" w:space="0" w:color="auto"/>
                    <w:right w:val="none" w:sz="0" w:space="0" w:color="auto"/>
                  </w:divBdr>
                  <w:divsChild>
                    <w:div w:id="1387681556">
                      <w:marLeft w:val="0"/>
                      <w:marRight w:val="0"/>
                      <w:marTop w:val="0"/>
                      <w:marBottom w:val="0"/>
                      <w:divBdr>
                        <w:top w:val="none" w:sz="0" w:space="0" w:color="auto"/>
                        <w:left w:val="none" w:sz="0" w:space="0" w:color="auto"/>
                        <w:bottom w:val="none" w:sz="0" w:space="0" w:color="auto"/>
                        <w:right w:val="none" w:sz="0" w:space="0" w:color="auto"/>
                      </w:divBdr>
                    </w:div>
                  </w:divsChild>
                </w:div>
                <w:div w:id="1046487603">
                  <w:marLeft w:val="0"/>
                  <w:marRight w:val="0"/>
                  <w:marTop w:val="0"/>
                  <w:marBottom w:val="0"/>
                  <w:divBdr>
                    <w:top w:val="none" w:sz="0" w:space="0" w:color="auto"/>
                    <w:left w:val="none" w:sz="0" w:space="0" w:color="auto"/>
                    <w:bottom w:val="none" w:sz="0" w:space="0" w:color="auto"/>
                    <w:right w:val="none" w:sz="0" w:space="0" w:color="auto"/>
                  </w:divBdr>
                  <w:divsChild>
                    <w:div w:id="549608032">
                      <w:marLeft w:val="0"/>
                      <w:marRight w:val="0"/>
                      <w:marTop w:val="0"/>
                      <w:marBottom w:val="0"/>
                      <w:divBdr>
                        <w:top w:val="none" w:sz="0" w:space="0" w:color="auto"/>
                        <w:left w:val="none" w:sz="0" w:space="0" w:color="auto"/>
                        <w:bottom w:val="none" w:sz="0" w:space="0" w:color="auto"/>
                        <w:right w:val="none" w:sz="0" w:space="0" w:color="auto"/>
                      </w:divBdr>
                    </w:div>
                  </w:divsChild>
                </w:div>
                <w:div w:id="1153981548">
                  <w:marLeft w:val="0"/>
                  <w:marRight w:val="0"/>
                  <w:marTop w:val="0"/>
                  <w:marBottom w:val="0"/>
                  <w:divBdr>
                    <w:top w:val="none" w:sz="0" w:space="0" w:color="auto"/>
                    <w:left w:val="none" w:sz="0" w:space="0" w:color="auto"/>
                    <w:bottom w:val="none" w:sz="0" w:space="0" w:color="auto"/>
                    <w:right w:val="none" w:sz="0" w:space="0" w:color="auto"/>
                  </w:divBdr>
                  <w:divsChild>
                    <w:div w:id="2102027823">
                      <w:marLeft w:val="0"/>
                      <w:marRight w:val="0"/>
                      <w:marTop w:val="0"/>
                      <w:marBottom w:val="0"/>
                      <w:divBdr>
                        <w:top w:val="none" w:sz="0" w:space="0" w:color="auto"/>
                        <w:left w:val="none" w:sz="0" w:space="0" w:color="auto"/>
                        <w:bottom w:val="none" w:sz="0" w:space="0" w:color="auto"/>
                        <w:right w:val="none" w:sz="0" w:space="0" w:color="auto"/>
                      </w:divBdr>
                    </w:div>
                  </w:divsChild>
                </w:div>
                <w:div w:id="1160269001">
                  <w:marLeft w:val="0"/>
                  <w:marRight w:val="0"/>
                  <w:marTop w:val="0"/>
                  <w:marBottom w:val="0"/>
                  <w:divBdr>
                    <w:top w:val="none" w:sz="0" w:space="0" w:color="auto"/>
                    <w:left w:val="none" w:sz="0" w:space="0" w:color="auto"/>
                    <w:bottom w:val="none" w:sz="0" w:space="0" w:color="auto"/>
                    <w:right w:val="none" w:sz="0" w:space="0" w:color="auto"/>
                  </w:divBdr>
                  <w:divsChild>
                    <w:div w:id="648020190">
                      <w:marLeft w:val="0"/>
                      <w:marRight w:val="0"/>
                      <w:marTop w:val="0"/>
                      <w:marBottom w:val="0"/>
                      <w:divBdr>
                        <w:top w:val="none" w:sz="0" w:space="0" w:color="auto"/>
                        <w:left w:val="none" w:sz="0" w:space="0" w:color="auto"/>
                        <w:bottom w:val="none" w:sz="0" w:space="0" w:color="auto"/>
                        <w:right w:val="none" w:sz="0" w:space="0" w:color="auto"/>
                      </w:divBdr>
                    </w:div>
                  </w:divsChild>
                </w:div>
                <w:div w:id="1162503214">
                  <w:marLeft w:val="0"/>
                  <w:marRight w:val="0"/>
                  <w:marTop w:val="0"/>
                  <w:marBottom w:val="0"/>
                  <w:divBdr>
                    <w:top w:val="none" w:sz="0" w:space="0" w:color="auto"/>
                    <w:left w:val="none" w:sz="0" w:space="0" w:color="auto"/>
                    <w:bottom w:val="none" w:sz="0" w:space="0" w:color="auto"/>
                    <w:right w:val="none" w:sz="0" w:space="0" w:color="auto"/>
                  </w:divBdr>
                  <w:divsChild>
                    <w:div w:id="1340036971">
                      <w:marLeft w:val="0"/>
                      <w:marRight w:val="0"/>
                      <w:marTop w:val="0"/>
                      <w:marBottom w:val="0"/>
                      <w:divBdr>
                        <w:top w:val="none" w:sz="0" w:space="0" w:color="auto"/>
                        <w:left w:val="none" w:sz="0" w:space="0" w:color="auto"/>
                        <w:bottom w:val="none" w:sz="0" w:space="0" w:color="auto"/>
                        <w:right w:val="none" w:sz="0" w:space="0" w:color="auto"/>
                      </w:divBdr>
                    </w:div>
                  </w:divsChild>
                </w:div>
                <w:div w:id="1184708350">
                  <w:marLeft w:val="0"/>
                  <w:marRight w:val="0"/>
                  <w:marTop w:val="0"/>
                  <w:marBottom w:val="0"/>
                  <w:divBdr>
                    <w:top w:val="none" w:sz="0" w:space="0" w:color="auto"/>
                    <w:left w:val="none" w:sz="0" w:space="0" w:color="auto"/>
                    <w:bottom w:val="none" w:sz="0" w:space="0" w:color="auto"/>
                    <w:right w:val="none" w:sz="0" w:space="0" w:color="auto"/>
                  </w:divBdr>
                  <w:divsChild>
                    <w:div w:id="2042971660">
                      <w:marLeft w:val="0"/>
                      <w:marRight w:val="0"/>
                      <w:marTop w:val="0"/>
                      <w:marBottom w:val="0"/>
                      <w:divBdr>
                        <w:top w:val="none" w:sz="0" w:space="0" w:color="auto"/>
                        <w:left w:val="none" w:sz="0" w:space="0" w:color="auto"/>
                        <w:bottom w:val="none" w:sz="0" w:space="0" w:color="auto"/>
                        <w:right w:val="none" w:sz="0" w:space="0" w:color="auto"/>
                      </w:divBdr>
                    </w:div>
                  </w:divsChild>
                </w:div>
                <w:div w:id="1215004172">
                  <w:marLeft w:val="0"/>
                  <w:marRight w:val="0"/>
                  <w:marTop w:val="0"/>
                  <w:marBottom w:val="0"/>
                  <w:divBdr>
                    <w:top w:val="none" w:sz="0" w:space="0" w:color="auto"/>
                    <w:left w:val="none" w:sz="0" w:space="0" w:color="auto"/>
                    <w:bottom w:val="none" w:sz="0" w:space="0" w:color="auto"/>
                    <w:right w:val="none" w:sz="0" w:space="0" w:color="auto"/>
                  </w:divBdr>
                  <w:divsChild>
                    <w:div w:id="2029596280">
                      <w:marLeft w:val="0"/>
                      <w:marRight w:val="0"/>
                      <w:marTop w:val="0"/>
                      <w:marBottom w:val="0"/>
                      <w:divBdr>
                        <w:top w:val="none" w:sz="0" w:space="0" w:color="auto"/>
                        <w:left w:val="none" w:sz="0" w:space="0" w:color="auto"/>
                        <w:bottom w:val="none" w:sz="0" w:space="0" w:color="auto"/>
                        <w:right w:val="none" w:sz="0" w:space="0" w:color="auto"/>
                      </w:divBdr>
                    </w:div>
                  </w:divsChild>
                </w:div>
                <w:div w:id="1225142645">
                  <w:marLeft w:val="0"/>
                  <w:marRight w:val="0"/>
                  <w:marTop w:val="0"/>
                  <w:marBottom w:val="0"/>
                  <w:divBdr>
                    <w:top w:val="none" w:sz="0" w:space="0" w:color="auto"/>
                    <w:left w:val="none" w:sz="0" w:space="0" w:color="auto"/>
                    <w:bottom w:val="none" w:sz="0" w:space="0" w:color="auto"/>
                    <w:right w:val="none" w:sz="0" w:space="0" w:color="auto"/>
                  </w:divBdr>
                  <w:divsChild>
                    <w:div w:id="1889797843">
                      <w:marLeft w:val="0"/>
                      <w:marRight w:val="0"/>
                      <w:marTop w:val="0"/>
                      <w:marBottom w:val="0"/>
                      <w:divBdr>
                        <w:top w:val="none" w:sz="0" w:space="0" w:color="auto"/>
                        <w:left w:val="none" w:sz="0" w:space="0" w:color="auto"/>
                        <w:bottom w:val="none" w:sz="0" w:space="0" w:color="auto"/>
                        <w:right w:val="none" w:sz="0" w:space="0" w:color="auto"/>
                      </w:divBdr>
                    </w:div>
                  </w:divsChild>
                </w:div>
                <w:div w:id="1230001594">
                  <w:marLeft w:val="0"/>
                  <w:marRight w:val="0"/>
                  <w:marTop w:val="0"/>
                  <w:marBottom w:val="0"/>
                  <w:divBdr>
                    <w:top w:val="none" w:sz="0" w:space="0" w:color="auto"/>
                    <w:left w:val="none" w:sz="0" w:space="0" w:color="auto"/>
                    <w:bottom w:val="none" w:sz="0" w:space="0" w:color="auto"/>
                    <w:right w:val="none" w:sz="0" w:space="0" w:color="auto"/>
                  </w:divBdr>
                  <w:divsChild>
                    <w:div w:id="448403606">
                      <w:marLeft w:val="0"/>
                      <w:marRight w:val="0"/>
                      <w:marTop w:val="0"/>
                      <w:marBottom w:val="0"/>
                      <w:divBdr>
                        <w:top w:val="none" w:sz="0" w:space="0" w:color="auto"/>
                        <w:left w:val="none" w:sz="0" w:space="0" w:color="auto"/>
                        <w:bottom w:val="none" w:sz="0" w:space="0" w:color="auto"/>
                        <w:right w:val="none" w:sz="0" w:space="0" w:color="auto"/>
                      </w:divBdr>
                    </w:div>
                  </w:divsChild>
                </w:div>
                <w:div w:id="1236668508">
                  <w:marLeft w:val="0"/>
                  <w:marRight w:val="0"/>
                  <w:marTop w:val="0"/>
                  <w:marBottom w:val="0"/>
                  <w:divBdr>
                    <w:top w:val="none" w:sz="0" w:space="0" w:color="auto"/>
                    <w:left w:val="none" w:sz="0" w:space="0" w:color="auto"/>
                    <w:bottom w:val="none" w:sz="0" w:space="0" w:color="auto"/>
                    <w:right w:val="none" w:sz="0" w:space="0" w:color="auto"/>
                  </w:divBdr>
                  <w:divsChild>
                    <w:div w:id="1908802879">
                      <w:marLeft w:val="0"/>
                      <w:marRight w:val="0"/>
                      <w:marTop w:val="0"/>
                      <w:marBottom w:val="0"/>
                      <w:divBdr>
                        <w:top w:val="none" w:sz="0" w:space="0" w:color="auto"/>
                        <w:left w:val="none" w:sz="0" w:space="0" w:color="auto"/>
                        <w:bottom w:val="none" w:sz="0" w:space="0" w:color="auto"/>
                        <w:right w:val="none" w:sz="0" w:space="0" w:color="auto"/>
                      </w:divBdr>
                    </w:div>
                  </w:divsChild>
                </w:div>
                <w:div w:id="1249382207">
                  <w:marLeft w:val="0"/>
                  <w:marRight w:val="0"/>
                  <w:marTop w:val="0"/>
                  <w:marBottom w:val="0"/>
                  <w:divBdr>
                    <w:top w:val="none" w:sz="0" w:space="0" w:color="auto"/>
                    <w:left w:val="none" w:sz="0" w:space="0" w:color="auto"/>
                    <w:bottom w:val="none" w:sz="0" w:space="0" w:color="auto"/>
                    <w:right w:val="none" w:sz="0" w:space="0" w:color="auto"/>
                  </w:divBdr>
                  <w:divsChild>
                    <w:div w:id="698287710">
                      <w:marLeft w:val="0"/>
                      <w:marRight w:val="0"/>
                      <w:marTop w:val="0"/>
                      <w:marBottom w:val="0"/>
                      <w:divBdr>
                        <w:top w:val="none" w:sz="0" w:space="0" w:color="auto"/>
                        <w:left w:val="none" w:sz="0" w:space="0" w:color="auto"/>
                        <w:bottom w:val="none" w:sz="0" w:space="0" w:color="auto"/>
                        <w:right w:val="none" w:sz="0" w:space="0" w:color="auto"/>
                      </w:divBdr>
                    </w:div>
                  </w:divsChild>
                </w:div>
                <w:div w:id="1266232326">
                  <w:marLeft w:val="0"/>
                  <w:marRight w:val="0"/>
                  <w:marTop w:val="0"/>
                  <w:marBottom w:val="0"/>
                  <w:divBdr>
                    <w:top w:val="none" w:sz="0" w:space="0" w:color="auto"/>
                    <w:left w:val="none" w:sz="0" w:space="0" w:color="auto"/>
                    <w:bottom w:val="none" w:sz="0" w:space="0" w:color="auto"/>
                    <w:right w:val="none" w:sz="0" w:space="0" w:color="auto"/>
                  </w:divBdr>
                  <w:divsChild>
                    <w:div w:id="852115262">
                      <w:marLeft w:val="0"/>
                      <w:marRight w:val="0"/>
                      <w:marTop w:val="0"/>
                      <w:marBottom w:val="0"/>
                      <w:divBdr>
                        <w:top w:val="none" w:sz="0" w:space="0" w:color="auto"/>
                        <w:left w:val="none" w:sz="0" w:space="0" w:color="auto"/>
                        <w:bottom w:val="none" w:sz="0" w:space="0" w:color="auto"/>
                        <w:right w:val="none" w:sz="0" w:space="0" w:color="auto"/>
                      </w:divBdr>
                    </w:div>
                  </w:divsChild>
                </w:div>
                <w:div w:id="1302465501">
                  <w:marLeft w:val="0"/>
                  <w:marRight w:val="0"/>
                  <w:marTop w:val="0"/>
                  <w:marBottom w:val="0"/>
                  <w:divBdr>
                    <w:top w:val="none" w:sz="0" w:space="0" w:color="auto"/>
                    <w:left w:val="none" w:sz="0" w:space="0" w:color="auto"/>
                    <w:bottom w:val="none" w:sz="0" w:space="0" w:color="auto"/>
                    <w:right w:val="none" w:sz="0" w:space="0" w:color="auto"/>
                  </w:divBdr>
                  <w:divsChild>
                    <w:div w:id="19401564">
                      <w:marLeft w:val="0"/>
                      <w:marRight w:val="0"/>
                      <w:marTop w:val="0"/>
                      <w:marBottom w:val="0"/>
                      <w:divBdr>
                        <w:top w:val="none" w:sz="0" w:space="0" w:color="auto"/>
                        <w:left w:val="none" w:sz="0" w:space="0" w:color="auto"/>
                        <w:bottom w:val="none" w:sz="0" w:space="0" w:color="auto"/>
                        <w:right w:val="none" w:sz="0" w:space="0" w:color="auto"/>
                      </w:divBdr>
                    </w:div>
                  </w:divsChild>
                </w:div>
                <w:div w:id="1338654379">
                  <w:marLeft w:val="0"/>
                  <w:marRight w:val="0"/>
                  <w:marTop w:val="0"/>
                  <w:marBottom w:val="0"/>
                  <w:divBdr>
                    <w:top w:val="none" w:sz="0" w:space="0" w:color="auto"/>
                    <w:left w:val="none" w:sz="0" w:space="0" w:color="auto"/>
                    <w:bottom w:val="none" w:sz="0" w:space="0" w:color="auto"/>
                    <w:right w:val="none" w:sz="0" w:space="0" w:color="auto"/>
                  </w:divBdr>
                  <w:divsChild>
                    <w:div w:id="1031686968">
                      <w:marLeft w:val="0"/>
                      <w:marRight w:val="0"/>
                      <w:marTop w:val="0"/>
                      <w:marBottom w:val="0"/>
                      <w:divBdr>
                        <w:top w:val="none" w:sz="0" w:space="0" w:color="auto"/>
                        <w:left w:val="none" w:sz="0" w:space="0" w:color="auto"/>
                        <w:bottom w:val="none" w:sz="0" w:space="0" w:color="auto"/>
                        <w:right w:val="none" w:sz="0" w:space="0" w:color="auto"/>
                      </w:divBdr>
                    </w:div>
                  </w:divsChild>
                </w:div>
                <w:div w:id="1365592167">
                  <w:marLeft w:val="0"/>
                  <w:marRight w:val="0"/>
                  <w:marTop w:val="0"/>
                  <w:marBottom w:val="0"/>
                  <w:divBdr>
                    <w:top w:val="none" w:sz="0" w:space="0" w:color="auto"/>
                    <w:left w:val="none" w:sz="0" w:space="0" w:color="auto"/>
                    <w:bottom w:val="none" w:sz="0" w:space="0" w:color="auto"/>
                    <w:right w:val="none" w:sz="0" w:space="0" w:color="auto"/>
                  </w:divBdr>
                  <w:divsChild>
                    <w:div w:id="135800753">
                      <w:marLeft w:val="0"/>
                      <w:marRight w:val="0"/>
                      <w:marTop w:val="0"/>
                      <w:marBottom w:val="0"/>
                      <w:divBdr>
                        <w:top w:val="none" w:sz="0" w:space="0" w:color="auto"/>
                        <w:left w:val="none" w:sz="0" w:space="0" w:color="auto"/>
                        <w:bottom w:val="none" w:sz="0" w:space="0" w:color="auto"/>
                        <w:right w:val="none" w:sz="0" w:space="0" w:color="auto"/>
                      </w:divBdr>
                    </w:div>
                  </w:divsChild>
                </w:div>
                <w:div w:id="1392581689">
                  <w:marLeft w:val="0"/>
                  <w:marRight w:val="0"/>
                  <w:marTop w:val="0"/>
                  <w:marBottom w:val="0"/>
                  <w:divBdr>
                    <w:top w:val="none" w:sz="0" w:space="0" w:color="auto"/>
                    <w:left w:val="none" w:sz="0" w:space="0" w:color="auto"/>
                    <w:bottom w:val="none" w:sz="0" w:space="0" w:color="auto"/>
                    <w:right w:val="none" w:sz="0" w:space="0" w:color="auto"/>
                  </w:divBdr>
                  <w:divsChild>
                    <w:div w:id="1728797991">
                      <w:marLeft w:val="0"/>
                      <w:marRight w:val="0"/>
                      <w:marTop w:val="0"/>
                      <w:marBottom w:val="0"/>
                      <w:divBdr>
                        <w:top w:val="none" w:sz="0" w:space="0" w:color="auto"/>
                        <w:left w:val="none" w:sz="0" w:space="0" w:color="auto"/>
                        <w:bottom w:val="none" w:sz="0" w:space="0" w:color="auto"/>
                        <w:right w:val="none" w:sz="0" w:space="0" w:color="auto"/>
                      </w:divBdr>
                    </w:div>
                  </w:divsChild>
                </w:div>
                <w:div w:id="1397585047">
                  <w:marLeft w:val="0"/>
                  <w:marRight w:val="0"/>
                  <w:marTop w:val="0"/>
                  <w:marBottom w:val="0"/>
                  <w:divBdr>
                    <w:top w:val="none" w:sz="0" w:space="0" w:color="auto"/>
                    <w:left w:val="none" w:sz="0" w:space="0" w:color="auto"/>
                    <w:bottom w:val="none" w:sz="0" w:space="0" w:color="auto"/>
                    <w:right w:val="none" w:sz="0" w:space="0" w:color="auto"/>
                  </w:divBdr>
                  <w:divsChild>
                    <w:div w:id="1975332259">
                      <w:marLeft w:val="0"/>
                      <w:marRight w:val="0"/>
                      <w:marTop w:val="0"/>
                      <w:marBottom w:val="0"/>
                      <w:divBdr>
                        <w:top w:val="none" w:sz="0" w:space="0" w:color="auto"/>
                        <w:left w:val="none" w:sz="0" w:space="0" w:color="auto"/>
                        <w:bottom w:val="none" w:sz="0" w:space="0" w:color="auto"/>
                        <w:right w:val="none" w:sz="0" w:space="0" w:color="auto"/>
                      </w:divBdr>
                    </w:div>
                  </w:divsChild>
                </w:div>
                <w:div w:id="1398473921">
                  <w:marLeft w:val="0"/>
                  <w:marRight w:val="0"/>
                  <w:marTop w:val="0"/>
                  <w:marBottom w:val="0"/>
                  <w:divBdr>
                    <w:top w:val="none" w:sz="0" w:space="0" w:color="auto"/>
                    <w:left w:val="none" w:sz="0" w:space="0" w:color="auto"/>
                    <w:bottom w:val="none" w:sz="0" w:space="0" w:color="auto"/>
                    <w:right w:val="none" w:sz="0" w:space="0" w:color="auto"/>
                  </w:divBdr>
                  <w:divsChild>
                    <w:div w:id="751582424">
                      <w:marLeft w:val="0"/>
                      <w:marRight w:val="0"/>
                      <w:marTop w:val="0"/>
                      <w:marBottom w:val="0"/>
                      <w:divBdr>
                        <w:top w:val="none" w:sz="0" w:space="0" w:color="auto"/>
                        <w:left w:val="none" w:sz="0" w:space="0" w:color="auto"/>
                        <w:bottom w:val="none" w:sz="0" w:space="0" w:color="auto"/>
                        <w:right w:val="none" w:sz="0" w:space="0" w:color="auto"/>
                      </w:divBdr>
                    </w:div>
                  </w:divsChild>
                </w:div>
                <w:div w:id="1451821770">
                  <w:marLeft w:val="0"/>
                  <w:marRight w:val="0"/>
                  <w:marTop w:val="0"/>
                  <w:marBottom w:val="0"/>
                  <w:divBdr>
                    <w:top w:val="none" w:sz="0" w:space="0" w:color="auto"/>
                    <w:left w:val="none" w:sz="0" w:space="0" w:color="auto"/>
                    <w:bottom w:val="none" w:sz="0" w:space="0" w:color="auto"/>
                    <w:right w:val="none" w:sz="0" w:space="0" w:color="auto"/>
                  </w:divBdr>
                  <w:divsChild>
                    <w:div w:id="1567908930">
                      <w:marLeft w:val="0"/>
                      <w:marRight w:val="0"/>
                      <w:marTop w:val="0"/>
                      <w:marBottom w:val="0"/>
                      <w:divBdr>
                        <w:top w:val="none" w:sz="0" w:space="0" w:color="auto"/>
                        <w:left w:val="none" w:sz="0" w:space="0" w:color="auto"/>
                        <w:bottom w:val="none" w:sz="0" w:space="0" w:color="auto"/>
                        <w:right w:val="none" w:sz="0" w:space="0" w:color="auto"/>
                      </w:divBdr>
                    </w:div>
                  </w:divsChild>
                </w:div>
                <w:div w:id="1460147104">
                  <w:marLeft w:val="0"/>
                  <w:marRight w:val="0"/>
                  <w:marTop w:val="0"/>
                  <w:marBottom w:val="0"/>
                  <w:divBdr>
                    <w:top w:val="none" w:sz="0" w:space="0" w:color="auto"/>
                    <w:left w:val="none" w:sz="0" w:space="0" w:color="auto"/>
                    <w:bottom w:val="none" w:sz="0" w:space="0" w:color="auto"/>
                    <w:right w:val="none" w:sz="0" w:space="0" w:color="auto"/>
                  </w:divBdr>
                  <w:divsChild>
                    <w:div w:id="600181039">
                      <w:marLeft w:val="0"/>
                      <w:marRight w:val="0"/>
                      <w:marTop w:val="0"/>
                      <w:marBottom w:val="0"/>
                      <w:divBdr>
                        <w:top w:val="none" w:sz="0" w:space="0" w:color="auto"/>
                        <w:left w:val="none" w:sz="0" w:space="0" w:color="auto"/>
                        <w:bottom w:val="none" w:sz="0" w:space="0" w:color="auto"/>
                        <w:right w:val="none" w:sz="0" w:space="0" w:color="auto"/>
                      </w:divBdr>
                    </w:div>
                  </w:divsChild>
                </w:div>
                <w:div w:id="1462456309">
                  <w:marLeft w:val="0"/>
                  <w:marRight w:val="0"/>
                  <w:marTop w:val="0"/>
                  <w:marBottom w:val="0"/>
                  <w:divBdr>
                    <w:top w:val="none" w:sz="0" w:space="0" w:color="auto"/>
                    <w:left w:val="none" w:sz="0" w:space="0" w:color="auto"/>
                    <w:bottom w:val="none" w:sz="0" w:space="0" w:color="auto"/>
                    <w:right w:val="none" w:sz="0" w:space="0" w:color="auto"/>
                  </w:divBdr>
                  <w:divsChild>
                    <w:div w:id="269824846">
                      <w:marLeft w:val="0"/>
                      <w:marRight w:val="0"/>
                      <w:marTop w:val="0"/>
                      <w:marBottom w:val="0"/>
                      <w:divBdr>
                        <w:top w:val="none" w:sz="0" w:space="0" w:color="auto"/>
                        <w:left w:val="none" w:sz="0" w:space="0" w:color="auto"/>
                        <w:bottom w:val="none" w:sz="0" w:space="0" w:color="auto"/>
                        <w:right w:val="none" w:sz="0" w:space="0" w:color="auto"/>
                      </w:divBdr>
                    </w:div>
                  </w:divsChild>
                </w:div>
                <w:div w:id="1478258494">
                  <w:marLeft w:val="0"/>
                  <w:marRight w:val="0"/>
                  <w:marTop w:val="0"/>
                  <w:marBottom w:val="0"/>
                  <w:divBdr>
                    <w:top w:val="none" w:sz="0" w:space="0" w:color="auto"/>
                    <w:left w:val="none" w:sz="0" w:space="0" w:color="auto"/>
                    <w:bottom w:val="none" w:sz="0" w:space="0" w:color="auto"/>
                    <w:right w:val="none" w:sz="0" w:space="0" w:color="auto"/>
                  </w:divBdr>
                  <w:divsChild>
                    <w:div w:id="1608006812">
                      <w:marLeft w:val="0"/>
                      <w:marRight w:val="0"/>
                      <w:marTop w:val="0"/>
                      <w:marBottom w:val="0"/>
                      <w:divBdr>
                        <w:top w:val="none" w:sz="0" w:space="0" w:color="auto"/>
                        <w:left w:val="none" w:sz="0" w:space="0" w:color="auto"/>
                        <w:bottom w:val="none" w:sz="0" w:space="0" w:color="auto"/>
                        <w:right w:val="none" w:sz="0" w:space="0" w:color="auto"/>
                      </w:divBdr>
                    </w:div>
                  </w:divsChild>
                </w:div>
                <w:div w:id="1511329752">
                  <w:marLeft w:val="0"/>
                  <w:marRight w:val="0"/>
                  <w:marTop w:val="0"/>
                  <w:marBottom w:val="0"/>
                  <w:divBdr>
                    <w:top w:val="none" w:sz="0" w:space="0" w:color="auto"/>
                    <w:left w:val="none" w:sz="0" w:space="0" w:color="auto"/>
                    <w:bottom w:val="none" w:sz="0" w:space="0" w:color="auto"/>
                    <w:right w:val="none" w:sz="0" w:space="0" w:color="auto"/>
                  </w:divBdr>
                  <w:divsChild>
                    <w:div w:id="342049769">
                      <w:marLeft w:val="0"/>
                      <w:marRight w:val="0"/>
                      <w:marTop w:val="0"/>
                      <w:marBottom w:val="0"/>
                      <w:divBdr>
                        <w:top w:val="none" w:sz="0" w:space="0" w:color="auto"/>
                        <w:left w:val="none" w:sz="0" w:space="0" w:color="auto"/>
                        <w:bottom w:val="none" w:sz="0" w:space="0" w:color="auto"/>
                        <w:right w:val="none" w:sz="0" w:space="0" w:color="auto"/>
                      </w:divBdr>
                    </w:div>
                  </w:divsChild>
                </w:div>
                <w:div w:id="1589732048">
                  <w:marLeft w:val="0"/>
                  <w:marRight w:val="0"/>
                  <w:marTop w:val="0"/>
                  <w:marBottom w:val="0"/>
                  <w:divBdr>
                    <w:top w:val="none" w:sz="0" w:space="0" w:color="auto"/>
                    <w:left w:val="none" w:sz="0" w:space="0" w:color="auto"/>
                    <w:bottom w:val="none" w:sz="0" w:space="0" w:color="auto"/>
                    <w:right w:val="none" w:sz="0" w:space="0" w:color="auto"/>
                  </w:divBdr>
                  <w:divsChild>
                    <w:div w:id="914238716">
                      <w:marLeft w:val="0"/>
                      <w:marRight w:val="0"/>
                      <w:marTop w:val="0"/>
                      <w:marBottom w:val="0"/>
                      <w:divBdr>
                        <w:top w:val="none" w:sz="0" w:space="0" w:color="auto"/>
                        <w:left w:val="none" w:sz="0" w:space="0" w:color="auto"/>
                        <w:bottom w:val="none" w:sz="0" w:space="0" w:color="auto"/>
                        <w:right w:val="none" w:sz="0" w:space="0" w:color="auto"/>
                      </w:divBdr>
                    </w:div>
                  </w:divsChild>
                </w:div>
                <w:div w:id="1611160191">
                  <w:marLeft w:val="0"/>
                  <w:marRight w:val="0"/>
                  <w:marTop w:val="0"/>
                  <w:marBottom w:val="0"/>
                  <w:divBdr>
                    <w:top w:val="none" w:sz="0" w:space="0" w:color="auto"/>
                    <w:left w:val="none" w:sz="0" w:space="0" w:color="auto"/>
                    <w:bottom w:val="none" w:sz="0" w:space="0" w:color="auto"/>
                    <w:right w:val="none" w:sz="0" w:space="0" w:color="auto"/>
                  </w:divBdr>
                  <w:divsChild>
                    <w:div w:id="510459986">
                      <w:marLeft w:val="0"/>
                      <w:marRight w:val="0"/>
                      <w:marTop w:val="0"/>
                      <w:marBottom w:val="0"/>
                      <w:divBdr>
                        <w:top w:val="none" w:sz="0" w:space="0" w:color="auto"/>
                        <w:left w:val="none" w:sz="0" w:space="0" w:color="auto"/>
                        <w:bottom w:val="none" w:sz="0" w:space="0" w:color="auto"/>
                        <w:right w:val="none" w:sz="0" w:space="0" w:color="auto"/>
                      </w:divBdr>
                    </w:div>
                  </w:divsChild>
                </w:div>
                <w:div w:id="1624850196">
                  <w:marLeft w:val="0"/>
                  <w:marRight w:val="0"/>
                  <w:marTop w:val="0"/>
                  <w:marBottom w:val="0"/>
                  <w:divBdr>
                    <w:top w:val="none" w:sz="0" w:space="0" w:color="auto"/>
                    <w:left w:val="none" w:sz="0" w:space="0" w:color="auto"/>
                    <w:bottom w:val="none" w:sz="0" w:space="0" w:color="auto"/>
                    <w:right w:val="none" w:sz="0" w:space="0" w:color="auto"/>
                  </w:divBdr>
                  <w:divsChild>
                    <w:div w:id="666597193">
                      <w:marLeft w:val="0"/>
                      <w:marRight w:val="0"/>
                      <w:marTop w:val="0"/>
                      <w:marBottom w:val="0"/>
                      <w:divBdr>
                        <w:top w:val="none" w:sz="0" w:space="0" w:color="auto"/>
                        <w:left w:val="none" w:sz="0" w:space="0" w:color="auto"/>
                        <w:bottom w:val="none" w:sz="0" w:space="0" w:color="auto"/>
                        <w:right w:val="none" w:sz="0" w:space="0" w:color="auto"/>
                      </w:divBdr>
                    </w:div>
                  </w:divsChild>
                </w:div>
                <w:div w:id="1704018075">
                  <w:marLeft w:val="0"/>
                  <w:marRight w:val="0"/>
                  <w:marTop w:val="0"/>
                  <w:marBottom w:val="0"/>
                  <w:divBdr>
                    <w:top w:val="none" w:sz="0" w:space="0" w:color="auto"/>
                    <w:left w:val="none" w:sz="0" w:space="0" w:color="auto"/>
                    <w:bottom w:val="none" w:sz="0" w:space="0" w:color="auto"/>
                    <w:right w:val="none" w:sz="0" w:space="0" w:color="auto"/>
                  </w:divBdr>
                  <w:divsChild>
                    <w:div w:id="1967461994">
                      <w:marLeft w:val="0"/>
                      <w:marRight w:val="0"/>
                      <w:marTop w:val="0"/>
                      <w:marBottom w:val="0"/>
                      <w:divBdr>
                        <w:top w:val="none" w:sz="0" w:space="0" w:color="auto"/>
                        <w:left w:val="none" w:sz="0" w:space="0" w:color="auto"/>
                        <w:bottom w:val="none" w:sz="0" w:space="0" w:color="auto"/>
                        <w:right w:val="none" w:sz="0" w:space="0" w:color="auto"/>
                      </w:divBdr>
                    </w:div>
                  </w:divsChild>
                </w:div>
                <w:div w:id="1717775467">
                  <w:marLeft w:val="0"/>
                  <w:marRight w:val="0"/>
                  <w:marTop w:val="0"/>
                  <w:marBottom w:val="0"/>
                  <w:divBdr>
                    <w:top w:val="none" w:sz="0" w:space="0" w:color="auto"/>
                    <w:left w:val="none" w:sz="0" w:space="0" w:color="auto"/>
                    <w:bottom w:val="none" w:sz="0" w:space="0" w:color="auto"/>
                    <w:right w:val="none" w:sz="0" w:space="0" w:color="auto"/>
                  </w:divBdr>
                  <w:divsChild>
                    <w:div w:id="1547721180">
                      <w:marLeft w:val="0"/>
                      <w:marRight w:val="0"/>
                      <w:marTop w:val="0"/>
                      <w:marBottom w:val="0"/>
                      <w:divBdr>
                        <w:top w:val="none" w:sz="0" w:space="0" w:color="auto"/>
                        <w:left w:val="none" w:sz="0" w:space="0" w:color="auto"/>
                        <w:bottom w:val="none" w:sz="0" w:space="0" w:color="auto"/>
                        <w:right w:val="none" w:sz="0" w:space="0" w:color="auto"/>
                      </w:divBdr>
                    </w:div>
                  </w:divsChild>
                </w:div>
                <w:div w:id="1800105290">
                  <w:marLeft w:val="0"/>
                  <w:marRight w:val="0"/>
                  <w:marTop w:val="0"/>
                  <w:marBottom w:val="0"/>
                  <w:divBdr>
                    <w:top w:val="none" w:sz="0" w:space="0" w:color="auto"/>
                    <w:left w:val="none" w:sz="0" w:space="0" w:color="auto"/>
                    <w:bottom w:val="none" w:sz="0" w:space="0" w:color="auto"/>
                    <w:right w:val="none" w:sz="0" w:space="0" w:color="auto"/>
                  </w:divBdr>
                  <w:divsChild>
                    <w:div w:id="1144540231">
                      <w:marLeft w:val="0"/>
                      <w:marRight w:val="0"/>
                      <w:marTop w:val="0"/>
                      <w:marBottom w:val="0"/>
                      <w:divBdr>
                        <w:top w:val="none" w:sz="0" w:space="0" w:color="auto"/>
                        <w:left w:val="none" w:sz="0" w:space="0" w:color="auto"/>
                        <w:bottom w:val="none" w:sz="0" w:space="0" w:color="auto"/>
                        <w:right w:val="none" w:sz="0" w:space="0" w:color="auto"/>
                      </w:divBdr>
                    </w:div>
                  </w:divsChild>
                </w:div>
                <w:div w:id="1869248557">
                  <w:marLeft w:val="0"/>
                  <w:marRight w:val="0"/>
                  <w:marTop w:val="0"/>
                  <w:marBottom w:val="0"/>
                  <w:divBdr>
                    <w:top w:val="none" w:sz="0" w:space="0" w:color="auto"/>
                    <w:left w:val="none" w:sz="0" w:space="0" w:color="auto"/>
                    <w:bottom w:val="none" w:sz="0" w:space="0" w:color="auto"/>
                    <w:right w:val="none" w:sz="0" w:space="0" w:color="auto"/>
                  </w:divBdr>
                  <w:divsChild>
                    <w:div w:id="898975448">
                      <w:marLeft w:val="0"/>
                      <w:marRight w:val="0"/>
                      <w:marTop w:val="0"/>
                      <w:marBottom w:val="0"/>
                      <w:divBdr>
                        <w:top w:val="none" w:sz="0" w:space="0" w:color="auto"/>
                        <w:left w:val="none" w:sz="0" w:space="0" w:color="auto"/>
                        <w:bottom w:val="none" w:sz="0" w:space="0" w:color="auto"/>
                        <w:right w:val="none" w:sz="0" w:space="0" w:color="auto"/>
                      </w:divBdr>
                    </w:div>
                  </w:divsChild>
                </w:div>
                <w:div w:id="1897428379">
                  <w:marLeft w:val="0"/>
                  <w:marRight w:val="0"/>
                  <w:marTop w:val="0"/>
                  <w:marBottom w:val="0"/>
                  <w:divBdr>
                    <w:top w:val="none" w:sz="0" w:space="0" w:color="auto"/>
                    <w:left w:val="none" w:sz="0" w:space="0" w:color="auto"/>
                    <w:bottom w:val="none" w:sz="0" w:space="0" w:color="auto"/>
                    <w:right w:val="none" w:sz="0" w:space="0" w:color="auto"/>
                  </w:divBdr>
                  <w:divsChild>
                    <w:div w:id="1976176971">
                      <w:marLeft w:val="0"/>
                      <w:marRight w:val="0"/>
                      <w:marTop w:val="0"/>
                      <w:marBottom w:val="0"/>
                      <w:divBdr>
                        <w:top w:val="none" w:sz="0" w:space="0" w:color="auto"/>
                        <w:left w:val="none" w:sz="0" w:space="0" w:color="auto"/>
                        <w:bottom w:val="none" w:sz="0" w:space="0" w:color="auto"/>
                        <w:right w:val="none" w:sz="0" w:space="0" w:color="auto"/>
                      </w:divBdr>
                    </w:div>
                  </w:divsChild>
                </w:div>
                <w:div w:id="1935166995">
                  <w:marLeft w:val="0"/>
                  <w:marRight w:val="0"/>
                  <w:marTop w:val="0"/>
                  <w:marBottom w:val="0"/>
                  <w:divBdr>
                    <w:top w:val="none" w:sz="0" w:space="0" w:color="auto"/>
                    <w:left w:val="none" w:sz="0" w:space="0" w:color="auto"/>
                    <w:bottom w:val="none" w:sz="0" w:space="0" w:color="auto"/>
                    <w:right w:val="none" w:sz="0" w:space="0" w:color="auto"/>
                  </w:divBdr>
                  <w:divsChild>
                    <w:div w:id="891039340">
                      <w:marLeft w:val="0"/>
                      <w:marRight w:val="0"/>
                      <w:marTop w:val="0"/>
                      <w:marBottom w:val="0"/>
                      <w:divBdr>
                        <w:top w:val="none" w:sz="0" w:space="0" w:color="auto"/>
                        <w:left w:val="none" w:sz="0" w:space="0" w:color="auto"/>
                        <w:bottom w:val="none" w:sz="0" w:space="0" w:color="auto"/>
                        <w:right w:val="none" w:sz="0" w:space="0" w:color="auto"/>
                      </w:divBdr>
                    </w:div>
                  </w:divsChild>
                </w:div>
                <w:div w:id="1978140433">
                  <w:marLeft w:val="0"/>
                  <w:marRight w:val="0"/>
                  <w:marTop w:val="0"/>
                  <w:marBottom w:val="0"/>
                  <w:divBdr>
                    <w:top w:val="none" w:sz="0" w:space="0" w:color="auto"/>
                    <w:left w:val="none" w:sz="0" w:space="0" w:color="auto"/>
                    <w:bottom w:val="none" w:sz="0" w:space="0" w:color="auto"/>
                    <w:right w:val="none" w:sz="0" w:space="0" w:color="auto"/>
                  </w:divBdr>
                  <w:divsChild>
                    <w:div w:id="2014141716">
                      <w:marLeft w:val="0"/>
                      <w:marRight w:val="0"/>
                      <w:marTop w:val="0"/>
                      <w:marBottom w:val="0"/>
                      <w:divBdr>
                        <w:top w:val="none" w:sz="0" w:space="0" w:color="auto"/>
                        <w:left w:val="none" w:sz="0" w:space="0" w:color="auto"/>
                        <w:bottom w:val="none" w:sz="0" w:space="0" w:color="auto"/>
                        <w:right w:val="none" w:sz="0" w:space="0" w:color="auto"/>
                      </w:divBdr>
                    </w:div>
                  </w:divsChild>
                </w:div>
                <w:div w:id="1993749200">
                  <w:marLeft w:val="0"/>
                  <w:marRight w:val="0"/>
                  <w:marTop w:val="0"/>
                  <w:marBottom w:val="0"/>
                  <w:divBdr>
                    <w:top w:val="none" w:sz="0" w:space="0" w:color="auto"/>
                    <w:left w:val="none" w:sz="0" w:space="0" w:color="auto"/>
                    <w:bottom w:val="none" w:sz="0" w:space="0" w:color="auto"/>
                    <w:right w:val="none" w:sz="0" w:space="0" w:color="auto"/>
                  </w:divBdr>
                  <w:divsChild>
                    <w:div w:id="1777677155">
                      <w:marLeft w:val="0"/>
                      <w:marRight w:val="0"/>
                      <w:marTop w:val="0"/>
                      <w:marBottom w:val="0"/>
                      <w:divBdr>
                        <w:top w:val="none" w:sz="0" w:space="0" w:color="auto"/>
                        <w:left w:val="none" w:sz="0" w:space="0" w:color="auto"/>
                        <w:bottom w:val="none" w:sz="0" w:space="0" w:color="auto"/>
                        <w:right w:val="none" w:sz="0" w:space="0" w:color="auto"/>
                      </w:divBdr>
                    </w:div>
                  </w:divsChild>
                </w:div>
                <w:div w:id="2000570251">
                  <w:marLeft w:val="0"/>
                  <w:marRight w:val="0"/>
                  <w:marTop w:val="0"/>
                  <w:marBottom w:val="0"/>
                  <w:divBdr>
                    <w:top w:val="none" w:sz="0" w:space="0" w:color="auto"/>
                    <w:left w:val="none" w:sz="0" w:space="0" w:color="auto"/>
                    <w:bottom w:val="none" w:sz="0" w:space="0" w:color="auto"/>
                    <w:right w:val="none" w:sz="0" w:space="0" w:color="auto"/>
                  </w:divBdr>
                  <w:divsChild>
                    <w:div w:id="1258757829">
                      <w:marLeft w:val="0"/>
                      <w:marRight w:val="0"/>
                      <w:marTop w:val="0"/>
                      <w:marBottom w:val="0"/>
                      <w:divBdr>
                        <w:top w:val="none" w:sz="0" w:space="0" w:color="auto"/>
                        <w:left w:val="none" w:sz="0" w:space="0" w:color="auto"/>
                        <w:bottom w:val="none" w:sz="0" w:space="0" w:color="auto"/>
                        <w:right w:val="none" w:sz="0" w:space="0" w:color="auto"/>
                      </w:divBdr>
                    </w:div>
                  </w:divsChild>
                </w:div>
                <w:div w:id="2062820483">
                  <w:marLeft w:val="0"/>
                  <w:marRight w:val="0"/>
                  <w:marTop w:val="0"/>
                  <w:marBottom w:val="0"/>
                  <w:divBdr>
                    <w:top w:val="none" w:sz="0" w:space="0" w:color="auto"/>
                    <w:left w:val="none" w:sz="0" w:space="0" w:color="auto"/>
                    <w:bottom w:val="none" w:sz="0" w:space="0" w:color="auto"/>
                    <w:right w:val="none" w:sz="0" w:space="0" w:color="auto"/>
                  </w:divBdr>
                  <w:divsChild>
                    <w:div w:id="188035525">
                      <w:marLeft w:val="0"/>
                      <w:marRight w:val="0"/>
                      <w:marTop w:val="0"/>
                      <w:marBottom w:val="0"/>
                      <w:divBdr>
                        <w:top w:val="none" w:sz="0" w:space="0" w:color="auto"/>
                        <w:left w:val="none" w:sz="0" w:space="0" w:color="auto"/>
                        <w:bottom w:val="none" w:sz="0" w:space="0" w:color="auto"/>
                        <w:right w:val="none" w:sz="0" w:space="0" w:color="auto"/>
                      </w:divBdr>
                    </w:div>
                  </w:divsChild>
                </w:div>
                <w:div w:id="2096197811">
                  <w:marLeft w:val="0"/>
                  <w:marRight w:val="0"/>
                  <w:marTop w:val="0"/>
                  <w:marBottom w:val="0"/>
                  <w:divBdr>
                    <w:top w:val="none" w:sz="0" w:space="0" w:color="auto"/>
                    <w:left w:val="none" w:sz="0" w:space="0" w:color="auto"/>
                    <w:bottom w:val="none" w:sz="0" w:space="0" w:color="auto"/>
                    <w:right w:val="none" w:sz="0" w:space="0" w:color="auto"/>
                  </w:divBdr>
                  <w:divsChild>
                    <w:div w:id="64111744">
                      <w:marLeft w:val="0"/>
                      <w:marRight w:val="0"/>
                      <w:marTop w:val="0"/>
                      <w:marBottom w:val="0"/>
                      <w:divBdr>
                        <w:top w:val="none" w:sz="0" w:space="0" w:color="auto"/>
                        <w:left w:val="none" w:sz="0" w:space="0" w:color="auto"/>
                        <w:bottom w:val="none" w:sz="0" w:space="0" w:color="auto"/>
                        <w:right w:val="none" w:sz="0" w:space="0" w:color="auto"/>
                      </w:divBdr>
                    </w:div>
                  </w:divsChild>
                </w:div>
                <w:div w:id="2116750876">
                  <w:marLeft w:val="0"/>
                  <w:marRight w:val="0"/>
                  <w:marTop w:val="0"/>
                  <w:marBottom w:val="0"/>
                  <w:divBdr>
                    <w:top w:val="none" w:sz="0" w:space="0" w:color="auto"/>
                    <w:left w:val="none" w:sz="0" w:space="0" w:color="auto"/>
                    <w:bottom w:val="none" w:sz="0" w:space="0" w:color="auto"/>
                    <w:right w:val="none" w:sz="0" w:space="0" w:color="auto"/>
                  </w:divBdr>
                  <w:divsChild>
                    <w:div w:id="14858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76745">
      <w:bodyDiv w:val="1"/>
      <w:marLeft w:val="0"/>
      <w:marRight w:val="0"/>
      <w:marTop w:val="0"/>
      <w:marBottom w:val="0"/>
      <w:divBdr>
        <w:top w:val="none" w:sz="0" w:space="0" w:color="auto"/>
        <w:left w:val="none" w:sz="0" w:space="0" w:color="auto"/>
        <w:bottom w:val="none" w:sz="0" w:space="0" w:color="auto"/>
        <w:right w:val="none" w:sz="0" w:space="0" w:color="auto"/>
      </w:divBdr>
      <w:divsChild>
        <w:div w:id="160048168">
          <w:marLeft w:val="0"/>
          <w:marRight w:val="0"/>
          <w:marTop w:val="0"/>
          <w:marBottom w:val="0"/>
          <w:divBdr>
            <w:top w:val="none" w:sz="0" w:space="0" w:color="auto"/>
            <w:left w:val="none" w:sz="0" w:space="0" w:color="auto"/>
            <w:bottom w:val="none" w:sz="0" w:space="0" w:color="auto"/>
            <w:right w:val="none" w:sz="0" w:space="0" w:color="auto"/>
          </w:divBdr>
        </w:div>
        <w:div w:id="365178350">
          <w:marLeft w:val="0"/>
          <w:marRight w:val="0"/>
          <w:marTop w:val="0"/>
          <w:marBottom w:val="0"/>
          <w:divBdr>
            <w:top w:val="none" w:sz="0" w:space="0" w:color="auto"/>
            <w:left w:val="none" w:sz="0" w:space="0" w:color="auto"/>
            <w:bottom w:val="none" w:sz="0" w:space="0" w:color="auto"/>
            <w:right w:val="none" w:sz="0" w:space="0" w:color="auto"/>
          </w:divBdr>
        </w:div>
        <w:div w:id="840773193">
          <w:marLeft w:val="0"/>
          <w:marRight w:val="0"/>
          <w:marTop w:val="0"/>
          <w:marBottom w:val="0"/>
          <w:divBdr>
            <w:top w:val="none" w:sz="0" w:space="0" w:color="auto"/>
            <w:left w:val="none" w:sz="0" w:space="0" w:color="auto"/>
            <w:bottom w:val="none" w:sz="0" w:space="0" w:color="auto"/>
            <w:right w:val="none" w:sz="0" w:space="0" w:color="auto"/>
          </w:divBdr>
        </w:div>
        <w:div w:id="911738193">
          <w:marLeft w:val="0"/>
          <w:marRight w:val="0"/>
          <w:marTop w:val="0"/>
          <w:marBottom w:val="0"/>
          <w:divBdr>
            <w:top w:val="none" w:sz="0" w:space="0" w:color="auto"/>
            <w:left w:val="none" w:sz="0" w:space="0" w:color="auto"/>
            <w:bottom w:val="none" w:sz="0" w:space="0" w:color="auto"/>
            <w:right w:val="none" w:sz="0" w:space="0" w:color="auto"/>
          </w:divBdr>
        </w:div>
        <w:div w:id="1099108358">
          <w:marLeft w:val="0"/>
          <w:marRight w:val="0"/>
          <w:marTop w:val="0"/>
          <w:marBottom w:val="0"/>
          <w:divBdr>
            <w:top w:val="none" w:sz="0" w:space="0" w:color="auto"/>
            <w:left w:val="none" w:sz="0" w:space="0" w:color="auto"/>
            <w:bottom w:val="none" w:sz="0" w:space="0" w:color="auto"/>
            <w:right w:val="none" w:sz="0" w:space="0" w:color="auto"/>
          </w:divBdr>
          <w:divsChild>
            <w:div w:id="1078793246">
              <w:marLeft w:val="0"/>
              <w:marRight w:val="0"/>
              <w:marTop w:val="0"/>
              <w:marBottom w:val="0"/>
              <w:divBdr>
                <w:top w:val="none" w:sz="0" w:space="0" w:color="auto"/>
                <w:left w:val="none" w:sz="0" w:space="0" w:color="auto"/>
                <w:bottom w:val="none" w:sz="0" w:space="0" w:color="auto"/>
                <w:right w:val="none" w:sz="0" w:space="0" w:color="auto"/>
              </w:divBdr>
            </w:div>
            <w:div w:id="1321037928">
              <w:marLeft w:val="0"/>
              <w:marRight w:val="0"/>
              <w:marTop w:val="0"/>
              <w:marBottom w:val="0"/>
              <w:divBdr>
                <w:top w:val="none" w:sz="0" w:space="0" w:color="auto"/>
                <w:left w:val="none" w:sz="0" w:space="0" w:color="auto"/>
                <w:bottom w:val="none" w:sz="0" w:space="0" w:color="auto"/>
                <w:right w:val="none" w:sz="0" w:space="0" w:color="auto"/>
              </w:divBdr>
            </w:div>
            <w:div w:id="1375812223">
              <w:marLeft w:val="0"/>
              <w:marRight w:val="0"/>
              <w:marTop w:val="0"/>
              <w:marBottom w:val="0"/>
              <w:divBdr>
                <w:top w:val="none" w:sz="0" w:space="0" w:color="auto"/>
                <w:left w:val="none" w:sz="0" w:space="0" w:color="auto"/>
                <w:bottom w:val="none" w:sz="0" w:space="0" w:color="auto"/>
                <w:right w:val="none" w:sz="0" w:space="0" w:color="auto"/>
              </w:divBdr>
            </w:div>
            <w:div w:id="1417482894">
              <w:marLeft w:val="0"/>
              <w:marRight w:val="0"/>
              <w:marTop w:val="0"/>
              <w:marBottom w:val="0"/>
              <w:divBdr>
                <w:top w:val="none" w:sz="0" w:space="0" w:color="auto"/>
                <w:left w:val="none" w:sz="0" w:space="0" w:color="auto"/>
                <w:bottom w:val="none" w:sz="0" w:space="0" w:color="auto"/>
                <w:right w:val="none" w:sz="0" w:space="0" w:color="auto"/>
              </w:divBdr>
            </w:div>
            <w:div w:id="1943144250">
              <w:marLeft w:val="0"/>
              <w:marRight w:val="0"/>
              <w:marTop w:val="0"/>
              <w:marBottom w:val="0"/>
              <w:divBdr>
                <w:top w:val="none" w:sz="0" w:space="0" w:color="auto"/>
                <w:left w:val="none" w:sz="0" w:space="0" w:color="auto"/>
                <w:bottom w:val="none" w:sz="0" w:space="0" w:color="auto"/>
                <w:right w:val="none" w:sz="0" w:space="0" w:color="auto"/>
              </w:divBdr>
            </w:div>
          </w:divsChild>
        </w:div>
        <w:div w:id="1145314579">
          <w:marLeft w:val="0"/>
          <w:marRight w:val="0"/>
          <w:marTop w:val="0"/>
          <w:marBottom w:val="0"/>
          <w:divBdr>
            <w:top w:val="none" w:sz="0" w:space="0" w:color="auto"/>
            <w:left w:val="none" w:sz="0" w:space="0" w:color="auto"/>
            <w:bottom w:val="none" w:sz="0" w:space="0" w:color="auto"/>
            <w:right w:val="none" w:sz="0" w:space="0" w:color="auto"/>
          </w:divBdr>
        </w:div>
        <w:div w:id="1152796833">
          <w:marLeft w:val="0"/>
          <w:marRight w:val="0"/>
          <w:marTop w:val="0"/>
          <w:marBottom w:val="0"/>
          <w:divBdr>
            <w:top w:val="none" w:sz="0" w:space="0" w:color="auto"/>
            <w:left w:val="none" w:sz="0" w:space="0" w:color="auto"/>
            <w:bottom w:val="none" w:sz="0" w:space="0" w:color="auto"/>
            <w:right w:val="none" w:sz="0" w:space="0" w:color="auto"/>
          </w:divBdr>
        </w:div>
        <w:div w:id="1491288303">
          <w:marLeft w:val="0"/>
          <w:marRight w:val="0"/>
          <w:marTop w:val="0"/>
          <w:marBottom w:val="0"/>
          <w:divBdr>
            <w:top w:val="none" w:sz="0" w:space="0" w:color="auto"/>
            <w:left w:val="none" w:sz="0" w:space="0" w:color="auto"/>
            <w:bottom w:val="none" w:sz="0" w:space="0" w:color="auto"/>
            <w:right w:val="none" w:sz="0" w:space="0" w:color="auto"/>
          </w:divBdr>
        </w:div>
        <w:div w:id="1860923989">
          <w:marLeft w:val="0"/>
          <w:marRight w:val="0"/>
          <w:marTop w:val="0"/>
          <w:marBottom w:val="0"/>
          <w:divBdr>
            <w:top w:val="none" w:sz="0" w:space="0" w:color="auto"/>
            <w:left w:val="none" w:sz="0" w:space="0" w:color="auto"/>
            <w:bottom w:val="none" w:sz="0" w:space="0" w:color="auto"/>
            <w:right w:val="none" w:sz="0" w:space="0" w:color="auto"/>
          </w:divBdr>
        </w:div>
        <w:div w:id="2014063373">
          <w:marLeft w:val="0"/>
          <w:marRight w:val="0"/>
          <w:marTop w:val="0"/>
          <w:marBottom w:val="0"/>
          <w:divBdr>
            <w:top w:val="none" w:sz="0" w:space="0" w:color="auto"/>
            <w:left w:val="none" w:sz="0" w:space="0" w:color="auto"/>
            <w:bottom w:val="none" w:sz="0" w:space="0" w:color="auto"/>
            <w:right w:val="none" w:sz="0" w:space="0" w:color="auto"/>
          </w:divBdr>
        </w:div>
        <w:div w:id="2119450023">
          <w:marLeft w:val="0"/>
          <w:marRight w:val="0"/>
          <w:marTop w:val="0"/>
          <w:marBottom w:val="0"/>
          <w:divBdr>
            <w:top w:val="none" w:sz="0" w:space="0" w:color="auto"/>
            <w:left w:val="none" w:sz="0" w:space="0" w:color="auto"/>
            <w:bottom w:val="none" w:sz="0" w:space="0" w:color="auto"/>
            <w:right w:val="none" w:sz="0" w:space="0" w:color="auto"/>
          </w:divBdr>
          <w:divsChild>
            <w:div w:id="106126529">
              <w:marLeft w:val="0"/>
              <w:marRight w:val="0"/>
              <w:marTop w:val="0"/>
              <w:marBottom w:val="0"/>
              <w:divBdr>
                <w:top w:val="none" w:sz="0" w:space="0" w:color="auto"/>
                <w:left w:val="none" w:sz="0" w:space="0" w:color="auto"/>
                <w:bottom w:val="none" w:sz="0" w:space="0" w:color="auto"/>
                <w:right w:val="none" w:sz="0" w:space="0" w:color="auto"/>
              </w:divBdr>
            </w:div>
            <w:div w:id="923412606">
              <w:marLeft w:val="0"/>
              <w:marRight w:val="0"/>
              <w:marTop w:val="0"/>
              <w:marBottom w:val="0"/>
              <w:divBdr>
                <w:top w:val="none" w:sz="0" w:space="0" w:color="auto"/>
                <w:left w:val="none" w:sz="0" w:space="0" w:color="auto"/>
                <w:bottom w:val="none" w:sz="0" w:space="0" w:color="auto"/>
                <w:right w:val="none" w:sz="0" w:space="0" w:color="auto"/>
              </w:divBdr>
            </w:div>
            <w:div w:id="1002244511">
              <w:marLeft w:val="0"/>
              <w:marRight w:val="0"/>
              <w:marTop w:val="0"/>
              <w:marBottom w:val="0"/>
              <w:divBdr>
                <w:top w:val="none" w:sz="0" w:space="0" w:color="auto"/>
                <w:left w:val="none" w:sz="0" w:space="0" w:color="auto"/>
                <w:bottom w:val="none" w:sz="0" w:space="0" w:color="auto"/>
                <w:right w:val="none" w:sz="0" w:space="0" w:color="auto"/>
              </w:divBdr>
            </w:div>
            <w:div w:id="1894734603">
              <w:marLeft w:val="0"/>
              <w:marRight w:val="0"/>
              <w:marTop w:val="0"/>
              <w:marBottom w:val="0"/>
              <w:divBdr>
                <w:top w:val="none" w:sz="0" w:space="0" w:color="auto"/>
                <w:left w:val="none" w:sz="0" w:space="0" w:color="auto"/>
                <w:bottom w:val="none" w:sz="0" w:space="0" w:color="auto"/>
                <w:right w:val="none" w:sz="0" w:space="0" w:color="auto"/>
              </w:divBdr>
            </w:div>
            <w:div w:id="20825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62193739">
      <w:bodyDiv w:val="1"/>
      <w:marLeft w:val="0"/>
      <w:marRight w:val="0"/>
      <w:marTop w:val="0"/>
      <w:marBottom w:val="0"/>
      <w:divBdr>
        <w:top w:val="none" w:sz="0" w:space="0" w:color="auto"/>
        <w:left w:val="none" w:sz="0" w:space="0" w:color="auto"/>
        <w:bottom w:val="none" w:sz="0" w:space="0" w:color="auto"/>
        <w:right w:val="none" w:sz="0" w:space="0" w:color="auto"/>
      </w:divBdr>
      <w:divsChild>
        <w:div w:id="1501770733">
          <w:marLeft w:val="0"/>
          <w:marRight w:val="0"/>
          <w:marTop w:val="0"/>
          <w:marBottom w:val="0"/>
          <w:divBdr>
            <w:top w:val="none" w:sz="0" w:space="0" w:color="auto"/>
            <w:left w:val="none" w:sz="0" w:space="0" w:color="auto"/>
            <w:bottom w:val="none" w:sz="0" w:space="0" w:color="auto"/>
            <w:right w:val="none" w:sz="0" w:space="0" w:color="auto"/>
          </w:divBdr>
        </w:div>
        <w:div w:id="1889561647">
          <w:marLeft w:val="0"/>
          <w:marRight w:val="0"/>
          <w:marTop w:val="0"/>
          <w:marBottom w:val="0"/>
          <w:divBdr>
            <w:top w:val="none" w:sz="0" w:space="0" w:color="auto"/>
            <w:left w:val="none" w:sz="0" w:space="0" w:color="auto"/>
            <w:bottom w:val="none" w:sz="0" w:space="0" w:color="auto"/>
            <w:right w:val="none" w:sz="0" w:space="0" w:color="auto"/>
          </w:divBdr>
          <w:divsChild>
            <w:div w:id="2144543663">
              <w:marLeft w:val="-75"/>
              <w:marRight w:val="0"/>
              <w:marTop w:val="30"/>
              <w:marBottom w:val="30"/>
              <w:divBdr>
                <w:top w:val="none" w:sz="0" w:space="0" w:color="auto"/>
                <w:left w:val="none" w:sz="0" w:space="0" w:color="auto"/>
                <w:bottom w:val="none" w:sz="0" w:space="0" w:color="auto"/>
                <w:right w:val="none" w:sz="0" w:space="0" w:color="auto"/>
              </w:divBdr>
              <w:divsChild>
                <w:div w:id="6639287">
                  <w:marLeft w:val="0"/>
                  <w:marRight w:val="0"/>
                  <w:marTop w:val="0"/>
                  <w:marBottom w:val="0"/>
                  <w:divBdr>
                    <w:top w:val="none" w:sz="0" w:space="0" w:color="auto"/>
                    <w:left w:val="none" w:sz="0" w:space="0" w:color="auto"/>
                    <w:bottom w:val="none" w:sz="0" w:space="0" w:color="auto"/>
                    <w:right w:val="none" w:sz="0" w:space="0" w:color="auto"/>
                  </w:divBdr>
                  <w:divsChild>
                    <w:div w:id="2117600843">
                      <w:marLeft w:val="0"/>
                      <w:marRight w:val="0"/>
                      <w:marTop w:val="0"/>
                      <w:marBottom w:val="0"/>
                      <w:divBdr>
                        <w:top w:val="none" w:sz="0" w:space="0" w:color="auto"/>
                        <w:left w:val="none" w:sz="0" w:space="0" w:color="auto"/>
                        <w:bottom w:val="none" w:sz="0" w:space="0" w:color="auto"/>
                        <w:right w:val="none" w:sz="0" w:space="0" w:color="auto"/>
                      </w:divBdr>
                    </w:div>
                  </w:divsChild>
                </w:div>
                <w:div w:id="33116221">
                  <w:marLeft w:val="0"/>
                  <w:marRight w:val="0"/>
                  <w:marTop w:val="0"/>
                  <w:marBottom w:val="0"/>
                  <w:divBdr>
                    <w:top w:val="none" w:sz="0" w:space="0" w:color="auto"/>
                    <w:left w:val="none" w:sz="0" w:space="0" w:color="auto"/>
                    <w:bottom w:val="none" w:sz="0" w:space="0" w:color="auto"/>
                    <w:right w:val="none" w:sz="0" w:space="0" w:color="auto"/>
                  </w:divBdr>
                  <w:divsChild>
                    <w:div w:id="239947364">
                      <w:marLeft w:val="0"/>
                      <w:marRight w:val="0"/>
                      <w:marTop w:val="0"/>
                      <w:marBottom w:val="0"/>
                      <w:divBdr>
                        <w:top w:val="none" w:sz="0" w:space="0" w:color="auto"/>
                        <w:left w:val="none" w:sz="0" w:space="0" w:color="auto"/>
                        <w:bottom w:val="none" w:sz="0" w:space="0" w:color="auto"/>
                        <w:right w:val="none" w:sz="0" w:space="0" w:color="auto"/>
                      </w:divBdr>
                    </w:div>
                  </w:divsChild>
                </w:div>
                <w:div w:id="60758821">
                  <w:marLeft w:val="0"/>
                  <w:marRight w:val="0"/>
                  <w:marTop w:val="0"/>
                  <w:marBottom w:val="0"/>
                  <w:divBdr>
                    <w:top w:val="none" w:sz="0" w:space="0" w:color="auto"/>
                    <w:left w:val="none" w:sz="0" w:space="0" w:color="auto"/>
                    <w:bottom w:val="none" w:sz="0" w:space="0" w:color="auto"/>
                    <w:right w:val="none" w:sz="0" w:space="0" w:color="auto"/>
                  </w:divBdr>
                  <w:divsChild>
                    <w:div w:id="1334603957">
                      <w:marLeft w:val="0"/>
                      <w:marRight w:val="0"/>
                      <w:marTop w:val="0"/>
                      <w:marBottom w:val="0"/>
                      <w:divBdr>
                        <w:top w:val="none" w:sz="0" w:space="0" w:color="auto"/>
                        <w:left w:val="none" w:sz="0" w:space="0" w:color="auto"/>
                        <w:bottom w:val="none" w:sz="0" w:space="0" w:color="auto"/>
                        <w:right w:val="none" w:sz="0" w:space="0" w:color="auto"/>
                      </w:divBdr>
                    </w:div>
                  </w:divsChild>
                </w:div>
                <w:div w:id="67387304">
                  <w:marLeft w:val="0"/>
                  <w:marRight w:val="0"/>
                  <w:marTop w:val="0"/>
                  <w:marBottom w:val="0"/>
                  <w:divBdr>
                    <w:top w:val="none" w:sz="0" w:space="0" w:color="auto"/>
                    <w:left w:val="none" w:sz="0" w:space="0" w:color="auto"/>
                    <w:bottom w:val="none" w:sz="0" w:space="0" w:color="auto"/>
                    <w:right w:val="none" w:sz="0" w:space="0" w:color="auto"/>
                  </w:divBdr>
                  <w:divsChild>
                    <w:div w:id="1613853597">
                      <w:marLeft w:val="0"/>
                      <w:marRight w:val="0"/>
                      <w:marTop w:val="0"/>
                      <w:marBottom w:val="0"/>
                      <w:divBdr>
                        <w:top w:val="none" w:sz="0" w:space="0" w:color="auto"/>
                        <w:left w:val="none" w:sz="0" w:space="0" w:color="auto"/>
                        <w:bottom w:val="none" w:sz="0" w:space="0" w:color="auto"/>
                        <w:right w:val="none" w:sz="0" w:space="0" w:color="auto"/>
                      </w:divBdr>
                    </w:div>
                  </w:divsChild>
                </w:div>
                <w:div w:id="160395315">
                  <w:marLeft w:val="0"/>
                  <w:marRight w:val="0"/>
                  <w:marTop w:val="0"/>
                  <w:marBottom w:val="0"/>
                  <w:divBdr>
                    <w:top w:val="none" w:sz="0" w:space="0" w:color="auto"/>
                    <w:left w:val="none" w:sz="0" w:space="0" w:color="auto"/>
                    <w:bottom w:val="none" w:sz="0" w:space="0" w:color="auto"/>
                    <w:right w:val="none" w:sz="0" w:space="0" w:color="auto"/>
                  </w:divBdr>
                  <w:divsChild>
                    <w:div w:id="791753999">
                      <w:marLeft w:val="0"/>
                      <w:marRight w:val="0"/>
                      <w:marTop w:val="0"/>
                      <w:marBottom w:val="0"/>
                      <w:divBdr>
                        <w:top w:val="none" w:sz="0" w:space="0" w:color="auto"/>
                        <w:left w:val="none" w:sz="0" w:space="0" w:color="auto"/>
                        <w:bottom w:val="none" w:sz="0" w:space="0" w:color="auto"/>
                        <w:right w:val="none" w:sz="0" w:space="0" w:color="auto"/>
                      </w:divBdr>
                    </w:div>
                  </w:divsChild>
                </w:div>
                <w:div w:id="185991747">
                  <w:marLeft w:val="0"/>
                  <w:marRight w:val="0"/>
                  <w:marTop w:val="0"/>
                  <w:marBottom w:val="0"/>
                  <w:divBdr>
                    <w:top w:val="none" w:sz="0" w:space="0" w:color="auto"/>
                    <w:left w:val="none" w:sz="0" w:space="0" w:color="auto"/>
                    <w:bottom w:val="none" w:sz="0" w:space="0" w:color="auto"/>
                    <w:right w:val="none" w:sz="0" w:space="0" w:color="auto"/>
                  </w:divBdr>
                  <w:divsChild>
                    <w:div w:id="2078016676">
                      <w:marLeft w:val="0"/>
                      <w:marRight w:val="0"/>
                      <w:marTop w:val="0"/>
                      <w:marBottom w:val="0"/>
                      <w:divBdr>
                        <w:top w:val="none" w:sz="0" w:space="0" w:color="auto"/>
                        <w:left w:val="none" w:sz="0" w:space="0" w:color="auto"/>
                        <w:bottom w:val="none" w:sz="0" w:space="0" w:color="auto"/>
                        <w:right w:val="none" w:sz="0" w:space="0" w:color="auto"/>
                      </w:divBdr>
                    </w:div>
                  </w:divsChild>
                </w:div>
                <w:div w:id="244998642">
                  <w:marLeft w:val="0"/>
                  <w:marRight w:val="0"/>
                  <w:marTop w:val="0"/>
                  <w:marBottom w:val="0"/>
                  <w:divBdr>
                    <w:top w:val="none" w:sz="0" w:space="0" w:color="auto"/>
                    <w:left w:val="none" w:sz="0" w:space="0" w:color="auto"/>
                    <w:bottom w:val="none" w:sz="0" w:space="0" w:color="auto"/>
                    <w:right w:val="none" w:sz="0" w:space="0" w:color="auto"/>
                  </w:divBdr>
                  <w:divsChild>
                    <w:div w:id="1433279790">
                      <w:marLeft w:val="0"/>
                      <w:marRight w:val="0"/>
                      <w:marTop w:val="0"/>
                      <w:marBottom w:val="0"/>
                      <w:divBdr>
                        <w:top w:val="none" w:sz="0" w:space="0" w:color="auto"/>
                        <w:left w:val="none" w:sz="0" w:space="0" w:color="auto"/>
                        <w:bottom w:val="none" w:sz="0" w:space="0" w:color="auto"/>
                        <w:right w:val="none" w:sz="0" w:space="0" w:color="auto"/>
                      </w:divBdr>
                    </w:div>
                  </w:divsChild>
                </w:div>
                <w:div w:id="304968586">
                  <w:marLeft w:val="0"/>
                  <w:marRight w:val="0"/>
                  <w:marTop w:val="0"/>
                  <w:marBottom w:val="0"/>
                  <w:divBdr>
                    <w:top w:val="none" w:sz="0" w:space="0" w:color="auto"/>
                    <w:left w:val="none" w:sz="0" w:space="0" w:color="auto"/>
                    <w:bottom w:val="none" w:sz="0" w:space="0" w:color="auto"/>
                    <w:right w:val="none" w:sz="0" w:space="0" w:color="auto"/>
                  </w:divBdr>
                  <w:divsChild>
                    <w:div w:id="623540957">
                      <w:marLeft w:val="0"/>
                      <w:marRight w:val="0"/>
                      <w:marTop w:val="0"/>
                      <w:marBottom w:val="0"/>
                      <w:divBdr>
                        <w:top w:val="none" w:sz="0" w:space="0" w:color="auto"/>
                        <w:left w:val="none" w:sz="0" w:space="0" w:color="auto"/>
                        <w:bottom w:val="none" w:sz="0" w:space="0" w:color="auto"/>
                        <w:right w:val="none" w:sz="0" w:space="0" w:color="auto"/>
                      </w:divBdr>
                    </w:div>
                  </w:divsChild>
                </w:div>
                <w:div w:id="355934176">
                  <w:marLeft w:val="0"/>
                  <w:marRight w:val="0"/>
                  <w:marTop w:val="0"/>
                  <w:marBottom w:val="0"/>
                  <w:divBdr>
                    <w:top w:val="none" w:sz="0" w:space="0" w:color="auto"/>
                    <w:left w:val="none" w:sz="0" w:space="0" w:color="auto"/>
                    <w:bottom w:val="none" w:sz="0" w:space="0" w:color="auto"/>
                    <w:right w:val="none" w:sz="0" w:space="0" w:color="auto"/>
                  </w:divBdr>
                  <w:divsChild>
                    <w:div w:id="1710181088">
                      <w:marLeft w:val="0"/>
                      <w:marRight w:val="0"/>
                      <w:marTop w:val="0"/>
                      <w:marBottom w:val="0"/>
                      <w:divBdr>
                        <w:top w:val="none" w:sz="0" w:space="0" w:color="auto"/>
                        <w:left w:val="none" w:sz="0" w:space="0" w:color="auto"/>
                        <w:bottom w:val="none" w:sz="0" w:space="0" w:color="auto"/>
                        <w:right w:val="none" w:sz="0" w:space="0" w:color="auto"/>
                      </w:divBdr>
                    </w:div>
                  </w:divsChild>
                </w:div>
                <w:div w:id="410274224">
                  <w:marLeft w:val="0"/>
                  <w:marRight w:val="0"/>
                  <w:marTop w:val="0"/>
                  <w:marBottom w:val="0"/>
                  <w:divBdr>
                    <w:top w:val="none" w:sz="0" w:space="0" w:color="auto"/>
                    <w:left w:val="none" w:sz="0" w:space="0" w:color="auto"/>
                    <w:bottom w:val="none" w:sz="0" w:space="0" w:color="auto"/>
                    <w:right w:val="none" w:sz="0" w:space="0" w:color="auto"/>
                  </w:divBdr>
                  <w:divsChild>
                    <w:div w:id="761217756">
                      <w:marLeft w:val="0"/>
                      <w:marRight w:val="0"/>
                      <w:marTop w:val="0"/>
                      <w:marBottom w:val="0"/>
                      <w:divBdr>
                        <w:top w:val="none" w:sz="0" w:space="0" w:color="auto"/>
                        <w:left w:val="none" w:sz="0" w:space="0" w:color="auto"/>
                        <w:bottom w:val="none" w:sz="0" w:space="0" w:color="auto"/>
                        <w:right w:val="none" w:sz="0" w:space="0" w:color="auto"/>
                      </w:divBdr>
                    </w:div>
                  </w:divsChild>
                </w:div>
                <w:div w:id="411390416">
                  <w:marLeft w:val="0"/>
                  <w:marRight w:val="0"/>
                  <w:marTop w:val="0"/>
                  <w:marBottom w:val="0"/>
                  <w:divBdr>
                    <w:top w:val="none" w:sz="0" w:space="0" w:color="auto"/>
                    <w:left w:val="none" w:sz="0" w:space="0" w:color="auto"/>
                    <w:bottom w:val="none" w:sz="0" w:space="0" w:color="auto"/>
                    <w:right w:val="none" w:sz="0" w:space="0" w:color="auto"/>
                  </w:divBdr>
                  <w:divsChild>
                    <w:div w:id="604116660">
                      <w:marLeft w:val="0"/>
                      <w:marRight w:val="0"/>
                      <w:marTop w:val="0"/>
                      <w:marBottom w:val="0"/>
                      <w:divBdr>
                        <w:top w:val="none" w:sz="0" w:space="0" w:color="auto"/>
                        <w:left w:val="none" w:sz="0" w:space="0" w:color="auto"/>
                        <w:bottom w:val="none" w:sz="0" w:space="0" w:color="auto"/>
                        <w:right w:val="none" w:sz="0" w:space="0" w:color="auto"/>
                      </w:divBdr>
                    </w:div>
                  </w:divsChild>
                </w:div>
                <w:div w:id="454829798">
                  <w:marLeft w:val="0"/>
                  <w:marRight w:val="0"/>
                  <w:marTop w:val="0"/>
                  <w:marBottom w:val="0"/>
                  <w:divBdr>
                    <w:top w:val="none" w:sz="0" w:space="0" w:color="auto"/>
                    <w:left w:val="none" w:sz="0" w:space="0" w:color="auto"/>
                    <w:bottom w:val="none" w:sz="0" w:space="0" w:color="auto"/>
                    <w:right w:val="none" w:sz="0" w:space="0" w:color="auto"/>
                  </w:divBdr>
                  <w:divsChild>
                    <w:div w:id="952174857">
                      <w:marLeft w:val="0"/>
                      <w:marRight w:val="0"/>
                      <w:marTop w:val="0"/>
                      <w:marBottom w:val="0"/>
                      <w:divBdr>
                        <w:top w:val="none" w:sz="0" w:space="0" w:color="auto"/>
                        <w:left w:val="none" w:sz="0" w:space="0" w:color="auto"/>
                        <w:bottom w:val="none" w:sz="0" w:space="0" w:color="auto"/>
                        <w:right w:val="none" w:sz="0" w:space="0" w:color="auto"/>
                      </w:divBdr>
                    </w:div>
                  </w:divsChild>
                </w:div>
                <w:div w:id="472453826">
                  <w:marLeft w:val="0"/>
                  <w:marRight w:val="0"/>
                  <w:marTop w:val="0"/>
                  <w:marBottom w:val="0"/>
                  <w:divBdr>
                    <w:top w:val="none" w:sz="0" w:space="0" w:color="auto"/>
                    <w:left w:val="none" w:sz="0" w:space="0" w:color="auto"/>
                    <w:bottom w:val="none" w:sz="0" w:space="0" w:color="auto"/>
                    <w:right w:val="none" w:sz="0" w:space="0" w:color="auto"/>
                  </w:divBdr>
                  <w:divsChild>
                    <w:div w:id="293483738">
                      <w:marLeft w:val="0"/>
                      <w:marRight w:val="0"/>
                      <w:marTop w:val="0"/>
                      <w:marBottom w:val="0"/>
                      <w:divBdr>
                        <w:top w:val="none" w:sz="0" w:space="0" w:color="auto"/>
                        <w:left w:val="none" w:sz="0" w:space="0" w:color="auto"/>
                        <w:bottom w:val="none" w:sz="0" w:space="0" w:color="auto"/>
                        <w:right w:val="none" w:sz="0" w:space="0" w:color="auto"/>
                      </w:divBdr>
                    </w:div>
                  </w:divsChild>
                </w:div>
                <w:div w:id="479152392">
                  <w:marLeft w:val="0"/>
                  <w:marRight w:val="0"/>
                  <w:marTop w:val="0"/>
                  <w:marBottom w:val="0"/>
                  <w:divBdr>
                    <w:top w:val="none" w:sz="0" w:space="0" w:color="auto"/>
                    <w:left w:val="none" w:sz="0" w:space="0" w:color="auto"/>
                    <w:bottom w:val="none" w:sz="0" w:space="0" w:color="auto"/>
                    <w:right w:val="none" w:sz="0" w:space="0" w:color="auto"/>
                  </w:divBdr>
                  <w:divsChild>
                    <w:div w:id="252595413">
                      <w:marLeft w:val="0"/>
                      <w:marRight w:val="0"/>
                      <w:marTop w:val="0"/>
                      <w:marBottom w:val="0"/>
                      <w:divBdr>
                        <w:top w:val="none" w:sz="0" w:space="0" w:color="auto"/>
                        <w:left w:val="none" w:sz="0" w:space="0" w:color="auto"/>
                        <w:bottom w:val="none" w:sz="0" w:space="0" w:color="auto"/>
                        <w:right w:val="none" w:sz="0" w:space="0" w:color="auto"/>
                      </w:divBdr>
                    </w:div>
                  </w:divsChild>
                </w:div>
                <w:div w:id="484593472">
                  <w:marLeft w:val="0"/>
                  <w:marRight w:val="0"/>
                  <w:marTop w:val="0"/>
                  <w:marBottom w:val="0"/>
                  <w:divBdr>
                    <w:top w:val="none" w:sz="0" w:space="0" w:color="auto"/>
                    <w:left w:val="none" w:sz="0" w:space="0" w:color="auto"/>
                    <w:bottom w:val="none" w:sz="0" w:space="0" w:color="auto"/>
                    <w:right w:val="none" w:sz="0" w:space="0" w:color="auto"/>
                  </w:divBdr>
                  <w:divsChild>
                    <w:div w:id="1285887919">
                      <w:marLeft w:val="0"/>
                      <w:marRight w:val="0"/>
                      <w:marTop w:val="0"/>
                      <w:marBottom w:val="0"/>
                      <w:divBdr>
                        <w:top w:val="none" w:sz="0" w:space="0" w:color="auto"/>
                        <w:left w:val="none" w:sz="0" w:space="0" w:color="auto"/>
                        <w:bottom w:val="none" w:sz="0" w:space="0" w:color="auto"/>
                        <w:right w:val="none" w:sz="0" w:space="0" w:color="auto"/>
                      </w:divBdr>
                    </w:div>
                  </w:divsChild>
                </w:div>
                <w:div w:id="526597635">
                  <w:marLeft w:val="0"/>
                  <w:marRight w:val="0"/>
                  <w:marTop w:val="0"/>
                  <w:marBottom w:val="0"/>
                  <w:divBdr>
                    <w:top w:val="none" w:sz="0" w:space="0" w:color="auto"/>
                    <w:left w:val="none" w:sz="0" w:space="0" w:color="auto"/>
                    <w:bottom w:val="none" w:sz="0" w:space="0" w:color="auto"/>
                    <w:right w:val="none" w:sz="0" w:space="0" w:color="auto"/>
                  </w:divBdr>
                  <w:divsChild>
                    <w:div w:id="1843085541">
                      <w:marLeft w:val="0"/>
                      <w:marRight w:val="0"/>
                      <w:marTop w:val="0"/>
                      <w:marBottom w:val="0"/>
                      <w:divBdr>
                        <w:top w:val="none" w:sz="0" w:space="0" w:color="auto"/>
                        <w:left w:val="none" w:sz="0" w:space="0" w:color="auto"/>
                        <w:bottom w:val="none" w:sz="0" w:space="0" w:color="auto"/>
                        <w:right w:val="none" w:sz="0" w:space="0" w:color="auto"/>
                      </w:divBdr>
                    </w:div>
                  </w:divsChild>
                </w:div>
                <w:div w:id="527715651">
                  <w:marLeft w:val="0"/>
                  <w:marRight w:val="0"/>
                  <w:marTop w:val="0"/>
                  <w:marBottom w:val="0"/>
                  <w:divBdr>
                    <w:top w:val="none" w:sz="0" w:space="0" w:color="auto"/>
                    <w:left w:val="none" w:sz="0" w:space="0" w:color="auto"/>
                    <w:bottom w:val="none" w:sz="0" w:space="0" w:color="auto"/>
                    <w:right w:val="none" w:sz="0" w:space="0" w:color="auto"/>
                  </w:divBdr>
                  <w:divsChild>
                    <w:div w:id="1396660024">
                      <w:marLeft w:val="0"/>
                      <w:marRight w:val="0"/>
                      <w:marTop w:val="0"/>
                      <w:marBottom w:val="0"/>
                      <w:divBdr>
                        <w:top w:val="none" w:sz="0" w:space="0" w:color="auto"/>
                        <w:left w:val="none" w:sz="0" w:space="0" w:color="auto"/>
                        <w:bottom w:val="none" w:sz="0" w:space="0" w:color="auto"/>
                        <w:right w:val="none" w:sz="0" w:space="0" w:color="auto"/>
                      </w:divBdr>
                    </w:div>
                  </w:divsChild>
                </w:div>
                <w:div w:id="566843411">
                  <w:marLeft w:val="0"/>
                  <w:marRight w:val="0"/>
                  <w:marTop w:val="0"/>
                  <w:marBottom w:val="0"/>
                  <w:divBdr>
                    <w:top w:val="none" w:sz="0" w:space="0" w:color="auto"/>
                    <w:left w:val="none" w:sz="0" w:space="0" w:color="auto"/>
                    <w:bottom w:val="none" w:sz="0" w:space="0" w:color="auto"/>
                    <w:right w:val="none" w:sz="0" w:space="0" w:color="auto"/>
                  </w:divBdr>
                  <w:divsChild>
                    <w:div w:id="481822418">
                      <w:marLeft w:val="0"/>
                      <w:marRight w:val="0"/>
                      <w:marTop w:val="0"/>
                      <w:marBottom w:val="0"/>
                      <w:divBdr>
                        <w:top w:val="none" w:sz="0" w:space="0" w:color="auto"/>
                        <w:left w:val="none" w:sz="0" w:space="0" w:color="auto"/>
                        <w:bottom w:val="none" w:sz="0" w:space="0" w:color="auto"/>
                        <w:right w:val="none" w:sz="0" w:space="0" w:color="auto"/>
                      </w:divBdr>
                    </w:div>
                  </w:divsChild>
                </w:div>
                <w:div w:id="596910295">
                  <w:marLeft w:val="0"/>
                  <w:marRight w:val="0"/>
                  <w:marTop w:val="0"/>
                  <w:marBottom w:val="0"/>
                  <w:divBdr>
                    <w:top w:val="none" w:sz="0" w:space="0" w:color="auto"/>
                    <w:left w:val="none" w:sz="0" w:space="0" w:color="auto"/>
                    <w:bottom w:val="none" w:sz="0" w:space="0" w:color="auto"/>
                    <w:right w:val="none" w:sz="0" w:space="0" w:color="auto"/>
                  </w:divBdr>
                  <w:divsChild>
                    <w:div w:id="253981068">
                      <w:marLeft w:val="0"/>
                      <w:marRight w:val="0"/>
                      <w:marTop w:val="0"/>
                      <w:marBottom w:val="0"/>
                      <w:divBdr>
                        <w:top w:val="none" w:sz="0" w:space="0" w:color="auto"/>
                        <w:left w:val="none" w:sz="0" w:space="0" w:color="auto"/>
                        <w:bottom w:val="none" w:sz="0" w:space="0" w:color="auto"/>
                        <w:right w:val="none" w:sz="0" w:space="0" w:color="auto"/>
                      </w:divBdr>
                    </w:div>
                  </w:divsChild>
                </w:div>
                <w:div w:id="598952830">
                  <w:marLeft w:val="0"/>
                  <w:marRight w:val="0"/>
                  <w:marTop w:val="0"/>
                  <w:marBottom w:val="0"/>
                  <w:divBdr>
                    <w:top w:val="none" w:sz="0" w:space="0" w:color="auto"/>
                    <w:left w:val="none" w:sz="0" w:space="0" w:color="auto"/>
                    <w:bottom w:val="none" w:sz="0" w:space="0" w:color="auto"/>
                    <w:right w:val="none" w:sz="0" w:space="0" w:color="auto"/>
                  </w:divBdr>
                  <w:divsChild>
                    <w:div w:id="1668508844">
                      <w:marLeft w:val="0"/>
                      <w:marRight w:val="0"/>
                      <w:marTop w:val="0"/>
                      <w:marBottom w:val="0"/>
                      <w:divBdr>
                        <w:top w:val="none" w:sz="0" w:space="0" w:color="auto"/>
                        <w:left w:val="none" w:sz="0" w:space="0" w:color="auto"/>
                        <w:bottom w:val="none" w:sz="0" w:space="0" w:color="auto"/>
                        <w:right w:val="none" w:sz="0" w:space="0" w:color="auto"/>
                      </w:divBdr>
                    </w:div>
                  </w:divsChild>
                </w:div>
                <w:div w:id="616984702">
                  <w:marLeft w:val="0"/>
                  <w:marRight w:val="0"/>
                  <w:marTop w:val="0"/>
                  <w:marBottom w:val="0"/>
                  <w:divBdr>
                    <w:top w:val="none" w:sz="0" w:space="0" w:color="auto"/>
                    <w:left w:val="none" w:sz="0" w:space="0" w:color="auto"/>
                    <w:bottom w:val="none" w:sz="0" w:space="0" w:color="auto"/>
                    <w:right w:val="none" w:sz="0" w:space="0" w:color="auto"/>
                  </w:divBdr>
                  <w:divsChild>
                    <w:div w:id="1899784237">
                      <w:marLeft w:val="0"/>
                      <w:marRight w:val="0"/>
                      <w:marTop w:val="0"/>
                      <w:marBottom w:val="0"/>
                      <w:divBdr>
                        <w:top w:val="none" w:sz="0" w:space="0" w:color="auto"/>
                        <w:left w:val="none" w:sz="0" w:space="0" w:color="auto"/>
                        <w:bottom w:val="none" w:sz="0" w:space="0" w:color="auto"/>
                        <w:right w:val="none" w:sz="0" w:space="0" w:color="auto"/>
                      </w:divBdr>
                    </w:div>
                  </w:divsChild>
                </w:div>
                <w:div w:id="652411414">
                  <w:marLeft w:val="0"/>
                  <w:marRight w:val="0"/>
                  <w:marTop w:val="0"/>
                  <w:marBottom w:val="0"/>
                  <w:divBdr>
                    <w:top w:val="none" w:sz="0" w:space="0" w:color="auto"/>
                    <w:left w:val="none" w:sz="0" w:space="0" w:color="auto"/>
                    <w:bottom w:val="none" w:sz="0" w:space="0" w:color="auto"/>
                    <w:right w:val="none" w:sz="0" w:space="0" w:color="auto"/>
                  </w:divBdr>
                  <w:divsChild>
                    <w:div w:id="219485220">
                      <w:marLeft w:val="0"/>
                      <w:marRight w:val="0"/>
                      <w:marTop w:val="0"/>
                      <w:marBottom w:val="0"/>
                      <w:divBdr>
                        <w:top w:val="none" w:sz="0" w:space="0" w:color="auto"/>
                        <w:left w:val="none" w:sz="0" w:space="0" w:color="auto"/>
                        <w:bottom w:val="none" w:sz="0" w:space="0" w:color="auto"/>
                        <w:right w:val="none" w:sz="0" w:space="0" w:color="auto"/>
                      </w:divBdr>
                    </w:div>
                  </w:divsChild>
                </w:div>
                <w:div w:id="715395419">
                  <w:marLeft w:val="0"/>
                  <w:marRight w:val="0"/>
                  <w:marTop w:val="0"/>
                  <w:marBottom w:val="0"/>
                  <w:divBdr>
                    <w:top w:val="none" w:sz="0" w:space="0" w:color="auto"/>
                    <w:left w:val="none" w:sz="0" w:space="0" w:color="auto"/>
                    <w:bottom w:val="none" w:sz="0" w:space="0" w:color="auto"/>
                    <w:right w:val="none" w:sz="0" w:space="0" w:color="auto"/>
                  </w:divBdr>
                  <w:divsChild>
                    <w:div w:id="1685134162">
                      <w:marLeft w:val="0"/>
                      <w:marRight w:val="0"/>
                      <w:marTop w:val="0"/>
                      <w:marBottom w:val="0"/>
                      <w:divBdr>
                        <w:top w:val="none" w:sz="0" w:space="0" w:color="auto"/>
                        <w:left w:val="none" w:sz="0" w:space="0" w:color="auto"/>
                        <w:bottom w:val="none" w:sz="0" w:space="0" w:color="auto"/>
                        <w:right w:val="none" w:sz="0" w:space="0" w:color="auto"/>
                      </w:divBdr>
                    </w:div>
                  </w:divsChild>
                </w:div>
                <w:div w:id="744649892">
                  <w:marLeft w:val="0"/>
                  <w:marRight w:val="0"/>
                  <w:marTop w:val="0"/>
                  <w:marBottom w:val="0"/>
                  <w:divBdr>
                    <w:top w:val="none" w:sz="0" w:space="0" w:color="auto"/>
                    <w:left w:val="none" w:sz="0" w:space="0" w:color="auto"/>
                    <w:bottom w:val="none" w:sz="0" w:space="0" w:color="auto"/>
                    <w:right w:val="none" w:sz="0" w:space="0" w:color="auto"/>
                  </w:divBdr>
                  <w:divsChild>
                    <w:div w:id="2062441136">
                      <w:marLeft w:val="0"/>
                      <w:marRight w:val="0"/>
                      <w:marTop w:val="0"/>
                      <w:marBottom w:val="0"/>
                      <w:divBdr>
                        <w:top w:val="none" w:sz="0" w:space="0" w:color="auto"/>
                        <w:left w:val="none" w:sz="0" w:space="0" w:color="auto"/>
                        <w:bottom w:val="none" w:sz="0" w:space="0" w:color="auto"/>
                        <w:right w:val="none" w:sz="0" w:space="0" w:color="auto"/>
                      </w:divBdr>
                    </w:div>
                  </w:divsChild>
                </w:div>
                <w:div w:id="815924428">
                  <w:marLeft w:val="0"/>
                  <w:marRight w:val="0"/>
                  <w:marTop w:val="0"/>
                  <w:marBottom w:val="0"/>
                  <w:divBdr>
                    <w:top w:val="none" w:sz="0" w:space="0" w:color="auto"/>
                    <w:left w:val="none" w:sz="0" w:space="0" w:color="auto"/>
                    <w:bottom w:val="none" w:sz="0" w:space="0" w:color="auto"/>
                    <w:right w:val="none" w:sz="0" w:space="0" w:color="auto"/>
                  </w:divBdr>
                  <w:divsChild>
                    <w:div w:id="1056775925">
                      <w:marLeft w:val="0"/>
                      <w:marRight w:val="0"/>
                      <w:marTop w:val="0"/>
                      <w:marBottom w:val="0"/>
                      <w:divBdr>
                        <w:top w:val="none" w:sz="0" w:space="0" w:color="auto"/>
                        <w:left w:val="none" w:sz="0" w:space="0" w:color="auto"/>
                        <w:bottom w:val="none" w:sz="0" w:space="0" w:color="auto"/>
                        <w:right w:val="none" w:sz="0" w:space="0" w:color="auto"/>
                      </w:divBdr>
                    </w:div>
                  </w:divsChild>
                </w:div>
                <w:div w:id="833491934">
                  <w:marLeft w:val="0"/>
                  <w:marRight w:val="0"/>
                  <w:marTop w:val="0"/>
                  <w:marBottom w:val="0"/>
                  <w:divBdr>
                    <w:top w:val="none" w:sz="0" w:space="0" w:color="auto"/>
                    <w:left w:val="none" w:sz="0" w:space="0" w:color="auto"/>
                    <w:bottom w:val="none" w:sz="0" w:space="0" w:color="auto"/>
                    <w:right w:val="none" w:sz="0" w:space="0" w:color="auto"/>
                  </w:divBdr>
                  <w:divsChild>
                    <w:div w:id="1046837595">
                      <w:marLeft w:val="0"/>
                      <w:marRight w:val="0"/>
                      <w:marTop w:val="0"/>
                      <w:marBottom w:val="0"/>
                      <w:divBdr>
                        <w:top w:val="none" w:sz="0" w:space="0" w:color="auto"/>
                        <w:left w:val="none" w:sz="0" w:space="0" w:color="auto"/>
                        <w:bottom w:val="none" w:sz="0" w:space="0" w:color="auto"/>
                        <w:right w:val="none" w:sz="0" w:space="0" w:color="auto"/>
                      </w:divBdr>
                    </w:div>
                  </w:divsChild>
                </w:div>
                <w:div w:id="884485610">
                  <w:marLeft w:val="0"/>
                  <w:marRight w:val="0"/>
                  <w:marTop w:val="0"/>
                  <w:marBottom w:val="0"/>
                  <w:divBdr>
                    <w:top w:val="none" w:sz="0" w:space="0" w:color="auto"/>
                    <w:left w:val="none" w:sz="0" w:space="0" w:color="auto"/>
                    <w:bottom w:val="none" w:sz="0" w:space="0" w:color="auto"/>
                    <w:right w:val="none" w:sz="0" w:space="0" w:color="auto"/>
                  </w:divBdr>
                  <w:divsChild>
                    <w:div w:id="1363702977">
                      <w:marLeft w:val="0"/>
                      <w:marRight w:val="0"/>
                      <w:marTop w:val="0"/>
                      <w:marBottom w:val="0"/>
                      <w:divBdr>
                        <w:top w:val="none" w:sz="0" w:space="0" w:color="auto"/>
                        <w:left w:val="none" w:sz="0" w:space="0" w:color="auto"/>
                        <w:bottom w:val="none" w:sz="0" w:space="0" w:color="auto"/>
                        <w:right w:val="none" w:sz="0" w:space="0" w:color="auto"/>
                      </w:divBdr>
                    </w:div>
                  </w:divsChild>
                </w:div>
                <w:div w:id="911352541">
                  <w:marLeft w:val="0"/>
                  <w:marRight w:val="0"/>
                  <w:marTop w:val="0"/>
                  <w:marBottom w:val="0"/>
                  <w:divBdr>
                    <w:top w:val="none" w:sz="0" w:space="0" w:color="auto"/>
                    <w:left w:val="none" w:sz="0" w:space="0" w:color="auto"/>
                    <w:bottom w:val="none" w:sz="0" w:space="0" w:color="auto"/>
                    <w:right w:val="none" w:sz="0" w:space="0" w:color="auto"/>
                  </w:divBdr>
                  <w:divsChild>
                    <w:div w:id="277760333">
                      <w:marLeft w:val="0"/>
                      <w:marRight w:val="0"/>
                      <w:marTop w:val="0"/>
                      <w:marBottom w:val="0"/>
                      <w:divBdr>
                        <w:top w:val="none" w:sz="0" w:space="0" w:color="auto"/>
                        <w:left w:val="none" w:sz="0" w:space="0" w:color="auto"/>
                        <w:bottom w:val="none" w:sz="0" w:space="0" w:color="auto"/>
                        <w:right w:val="none" w:sz="0" w:space="0" w:color="auto"/>
                      </w:divBdr>
                    </w:div>
                  </w:divsChild>
                </w:div>
                <w:div w:id="912351868">
                  <w:marLeft w:val="0"/>
                  <w:marRight w:val="0"/>
                  <w:marTop w:val="0"/>
                  <w:marBottom w:val="0"/>
                  <w:divBdr>
                    <w:top w:val="none" w:sz="0" w:space="0" w:color="auto"/>
                    <w:left w:val="none" w:sz="0" w:space="0" w:color="auto"/>
                    <w:bottom w:val="none" w:sz="0" w:space="0" w:color="auto"/>
                    <w:right w:val="none" w:sz="0" w:space="0" w:color="auto"/>
                  </w:divBdr>
                  <w:divsChild>
                    <w:div w:id="317272809">
                      <w:marLeft w:val="0"/>
                      <w:marRight w:val="0"/>
                      <w:marTop w:val="0"/>
                      <w:marBottom w:val="0"/>
                      <w:divBdr>
                        <w:top w:val="none" w:sz="0" w:space="0" w:color="auto"/>
                        <w:left w:val="none" w:sz="0" w:space="0" w:color="auto"/>
                        <w:bottom w:val="none" w:sz="0" w:space="0" w:color="auto"/>
                        <w:right w:val="none" w:sz="0" w:space="0" w:color="auto"/>
                      </w:divBdr>
                    </w:div>
                  </w:divsChild>
                </w:div>
                <w:div w:id="929239588">
                  <w:marLeft w:val="0"/>
                  <w:marRight w:val="0"/>
                  <w:marTop w:val="0"/>
                  <w:marBottom w:val="0"/>
                  <w:divBdr>
                    <w:top w:val="none" w:sz="0" w:space="0" w:color="auto"/>
                    <w:left w:val="none" w:sz="0" w:space="0" w:color="auto"/>
                    <w:bottom w:val="none" w:sz="0" w:space="0" w:color="auto"/>
                    <w:right w:val="none" w:sz="0" w:space="0" w:color="auto"/>
                  </w:divBdr>
                  <w:divsChild>
                    <w:div w:id="1873684484">
                      <w:marLeft w:val="0"/>
                      <w:marRight w:val="0"/>
                      <w:marTop w:val="0"/>
                      <w:marBottom w:val="0"/>
                      <w:divBdr>
                        <w:top w:val="none" w:sz="0" w:space="0" w:color="auto"/>
                        <w:left w:val="none" w:sz="0" w:space="0" w:color="auto"/>
                        <w:bottom w:val="none" w:sz="0" w:space="0" w:color="auto"/>
                        <w:right w:val="none" w:sz="0" w:space="0" w:color="auto"/>
                      </w:divBdr>
                    </w:div>
                  </w:divsChild>
                </w:div>
                <w:div w:id="954022617">
                  <w:marLeft w:val="0"/>
                  <w:marRight w:val="0"/>
                  <w:marTop w:val="0"/>
                  <w:marBottom w:val="0"/>
                  <w:divBdr>
                    <w:top w:val="none" w:sz="0" w:space="0" w:color="auto"/>
                    <w:left w:val="none" w:sz="0" w:space="0" w:color="auto"/>
                    <w:bottom w:val="none" w:sz="0" w:space="0" w:color="auto"/>
                    <w:right w:val="none" w:sz="0" w:space="0" w:color="auto"/>
                  </w:divBdr>
                  <w:divsChild>
                    <w:div w:id="354888195">
                      <w:marLeft w:val="0"/>
                      <w:marRight w:val="0"/>
                      <w:marTop w:val="0"/>
                      <w:marBottom w:val="0"/>
                      <w:divBdr>
                        <w:top w:val="none" w:sz="0" w:space="0" w:color="auto"/>
                        <w:left w:val="none" w:sz="0" w:space="0" w:color="auto"/>
                        <w:bottom w:val="none" w:sz="0" w:space="0" w:color="auto"/>
                        <w:right w:val="none" w:sz="0" w:space="0" w:color="auto"/>
                      </w:divBdr>
                    </w:div>
                  </w:divsChild>
                </w:div>
                <w:div w:id="961224379">
                  <w:marLeft w:val="0"/>
                  <w:marRight w:val="0"/>
                  <w:marTop w:val="0"/>
                  <w:marBottom w:val="0"/>
                  <w:divBdr>
                    <w:top w:val="none" w:sz="0" w:space="0" w:color="auto"/>
                    <w:left w:val="none" w:sz="0" w:space="0" w:color="auto"/>
                    <w:bottom w:val="none" w:sz="0" w:space="0" w:color="auto"/>
                    <w:right w:val="none" w:sz="0" w:space="0" w:color="auto"/>
                  </w:divBdr>
                  <w:divsChild>
                    <w:div w:id="1311709227">
                      <w:marLeft w:val="0"/>
                      <w:marRight w:val="0"/>
                      <w:marTop w:val="0"/>
                      <w:marBottom w:val="0"/>
                      <w:divBdr>
                        <w:top w:val="none" w:sz="0" w:space="0" w:color="auto"/>
                        <w:left w:val="none" w:sz="0" w:space="0" w:color="auto"/>
                        <w:bottom w:val="none" w:sz="0" w:space="0" w:color="auto"/>
                        <w:right w:val="none" w:sz="0" w:space="0" w:color="auto"/>
                      </w:divBdr>
                    </w:div>
                  </w:divsChild>
                </w:div>
                <w:div w:id="1024483199">
                  <w:marLeft w:val="0"/>
                  <w:marRight w:val="0"/>
                  <w:marTop w:val="0"/>
                  <w:marBottom w:val="0"/>
                  <w:divBdr>
                    <w:top w:val="none" w:sz="0" w:space="0" w:color="auto"/>
                    <w:left w:val="none" w:sz="0" w:space="0" w:color="auto"/>
                    <w:bottom w:val="none" w:sz="0" w:space="0" w:color="auto"/>
                    <w:right w:val="none" w:sz="0" w:space="0" w:color="auto"/>
                  </w:divBdr>
                  <w:divsChild>
                    <w:div w:id="678432954">
                      <w:marLeft w:val="0"/>
                      <w:marRight w:val="0"/>
                      <w:marTop w:val="0"/>
                      <w:marBottom w:val="0"/>
                      <w:divBdr>
                        <w:top w:val="none" w:sz="0" w:space="0" w:color="auto"/>
                        <w:left w:val="none" w:sz="0" w:space="0" w:color="auto"/>
                        <w:bottom w:val="none" w:sz="0" w:space="0" w:color="auto"/>
                        <w:right w:val="none" w:sz="0" w:space="0" w:color="auto"/>
                      </w:divBdr>
                    </w:div>
                  </w:divsChild>
                </w:div>
                <w:div w:id="1025907215">
                  <w:marLeft w:val="0"/>
                  <w:marRight w:val="0"/>
                  <w:marTop w:val="0"/>
                  <w:marBottom w:val="0"/>
                  <w:divBdr>
                    <w:top w:val="none" w:sz="0" w:space="0" w:color="auto"/>
                    <w:left w:val="none" w:sz="0" w:space="0" w:color="auto"/>
                    <w:bottom w:val="none" w:sz="0" w:space="0" w:color="auto"/>
                    <w:right w:val="none" w:sz="0" w:space="0" w:color="auto"/>
                  </w:divBdr>
                  <w:divsChild>
                    <w:div w:id="69161244">
                      <w:marLeft w:val="0"/>
                      <w:marRight w:val="0"/>
                      <w:marTop w:val="0"/>
                      <w:marBottom w:val="0"/>
                      <w:divBdr>
                        <w:top w:val="none" w:sz="0" w:space="0" w:color="auto"/>
                        <w:left w:val="none" w:sz="0" w:space="0" w:color="auto"/>
                        <w:bottom w:val="none" w:sz="0" w:space="0" w:color="auto"/>
                        <w:right w:val="none" w:sz="0" w:space="0" w:color="auto"/>
                      </w:divBdr>
                    </w:div>
                  </w:divsChild>
                </w:div>
                <w:div w:id="1040319378">
                  <w:marLeft w:val="0"/>
                  <w:marRight w:val="0"/>
                  <w:marTop w:val="0"/>
                  <w:marBottom w:val="0"/>
                  <w:divBdr>
                    <w:top w:val="none" w:sz="0" w:space="0" w:color="auto"/>
                    <w:left w:val="none" w:sz="0" w:space="0" w:color="auto"/>
                    <w:bottom w:val="none" w:sz="0" w:space="0" w:color="auto"/>
                    <w:right w:val="none" w:sz="0" w:space="0" w:color="auto"/>
                  </w:divBdr>
                  <w:divsChild>
                    <w:div w:id="1941182090">
                      <w:marLeft w:val="0"/>
                      <w:marRight w:val="0"/>
                      <w:marTop w:val="0"/>
                      <w:marBottom w:val="0"/>
                      <w:divBdr>
                        <w:top w:val="none" w:sz="0" w:space="0" w:color="auto"/>
                        <w:left w:val="none" w:sz="0" w:space="0" w:color="auto"/>
                        <w:bottom w:val="none" w:sz="0" w:space="0" w:color="auto"/>
                        <w:right w:val="none" w:sz="0" w:space="0" w:color="auto"/>
                      </w:divBdr>
                    </w:div>
                  </w:divsChild>
                </w:div>
                <w:div w:id="1076319364">
                  <w:marLeft w:val="0"/>
                  <w:marRight w:val="0"/>
                  <w:marTop w:val="0"/>
                  <w:marBottom w:val="0"/>
                  <w:divBdr>
                    <w:top w:val="none" w:sz="0" w:space="0" w:color="auto"/>
                    <w:left w:val="none" w:sz="0" w:space="0" w:color="auto"/>
                    <w:bottom w:val="none" w:sz="0" w:space="0" w:color="auto"/>
                    <w:right w:val="none" w:sz="0" w:space="0" w:color="auto"/>
                  </w:divBdr>
                  <w:divsChild>
                    <w:div w:id="1580939860">
                      <w:marLeft w:val="0"/>
                      <w:marRight w:val="0"/>
                      <w:marTop w:val="0"/>
                      <w:marBottom w:val="0"/>
                      <w:divBdr>
                        <w:top w:val="none" w:sz="0" w:space="0" w:color="auto"/>
                        <w:left w:val="none" w:sz="0" w:space="0" w:color="auto"/>
                        <w:bottom w:val="none" w:sz="0" w:space="0" w:color="auto"/>
                        <w:right w:val="none" w:sz="0" w:space="0" w:color="auto"/>
                      </w:divBdr>
                    </w:div>
                  </w:divsChild>
                </w:div>
                <w:div w:id="1096292616">
                  <w:marLeft w:val="0"/>
                  <w:marRight w:val="0"/>
                  <w:marTop w:val="0"/>
                  <w:marBottom w:val="0"/>
                  <w:divBdr>
                    <w:top w:val="none" w:sz="0" w:space="0" w:color="auto"/>
                    <w:left w:val="none" w:sz="0" w:space="0" w:color="auto"/>
                    <w:bottom w:val="none" w:sz="0" w:space="0" w:color="auto"/>
                    <w:right w:val="none" w:sz="0" w:space="0" w:color="auto"/>
                  </w:divBdr>
                  <w:divsChild>
                    <w:div w:id="605621641">
                      <w:marLeft w:val="0"/>
                      <w:marRight w:val="0"/>
                      <w:marTop w:val="0"/>
                      <w:marBottom w:val="0"/>
                      <w:divBdr>
                        <w:top w:val="none" w:sz="0" w:space="0" w:color="auto"/>
                        <w:left w:val="none" w:sz="0" w:space="0" w:color="auto"/>
                        <w:bottom w:val="none" w:sz="0" w:space="0" w:color="auto"/>
                        <w:right w:val="none" w:sz="0" w:space="0" w:color="auto"/>
                      </w:divBdr>
                    </w:div>
                  </w:divsChild>
                </w:div>
                <w:div w:id="1164124222">
                  <w:marLeft w:val="0"/>
                  <w:marRight w:val="0"/>
                  <w:marTop w:val="0"/>
                  <w:marBottom w:val="0"/>
                  <w:divBdr>
                    <w:top w:val="none" w:sz="0" w:space="0" w:color="auto"/>
                    <w:left w:val="none" w:sz="0" w:space="0" w:color="auto"/>
                    <w:bottom w:val="none" w:sz="0" w:space="0" w:color="auto"/>
                    <w:right w:val="none" w:sz="0" w:space="0" w:color="auto"/>
                  </w:divBdr>
                  <w:divsChild>
                    <w:div w:id="611742810">
                      <w:marLeft w:val="0"/>
                      <w:marRight w:val="0"/>
                      <w:marTop w:val="0"/>
                      <w:marBottom w:val="0"/>
                      <w:divBdr>
                        <w:top w:val="none" w:sz="0" w:space="0" w:color="auto"/>
                        <w:left w:val="none" w:sz="0" w:space="0" w:color="auto"/>
                        <w:bottom w:val="none" w:sz="0" w:space="0" w:color="auto"/>
                        <w:right w:val="none" w:sz="0" w:space="0" w:color="auto"/>
                      </w:divBdr>
                    </w:div>
                  </w:divsChild>
                </w:div>
                <w:div w:id="1169709646">
                  <w:marLeft w:val="0"/>
                  <w:marRight w:val="0"/>
                  <w:marTop w:val="0"/>
                  <w:marBottom w:val="0"/>
                  <w:divBdr>
                    <w:top w:val="none" w:sz="0" w:space="0" w:color="auto"/>
                    <w:left w:val="none" w:sz="0" w:space="0" w:color="auto"/>
                    <w:bottom w:val="none" w:sz="0" w:space="0" w:color="auto"/>
                    <w:right w:val="none" w:sz="0" w:space="0" w:color="auto"/>
                  </w:divBdr>
                  <w:divsChild>
                    <w:div w:id="1225218266">
                      <w:marLeft w:val="0"/>
                      <w:marRight w:val="0"/>
                      <w:marTop w:val="0"/>
                      <w:marBottom w:val="0"/>
                      <w:divBdr>
                        <w:top w:val="none" w:sz="0" w:space="0" w:color="auto"/>
                        <w:left w:val="none" w:sz="0" w:space="0" w:color="auto"/>
                        <w:bottom w:val="none" w:sz="0" w:space="0" w:color="auto"/>
                        <w:right w:val="none" w:sz="0" w:space="0" w:color="auto"/>
                      </w:divBdr>
                    </w:div>
                  </w:divsChild>
                </w:div>
                <w:div w:id="1190528474">
                  <w:marLeft w:val="0"/>
                  <w:marRight w:val="0"/>
                  <w:marTop w:val="0"/>
                  <w:marBottom w:val="0"/>
                  <w:divBdr>
                    <w:top w:val="none" w:sz="0" w:space="0" w:color="auto"/>
                    <w:left w:val="none" w:sz="0" w:space="0" w:color="auto"/>
                    <w:bottom w:val="none" w:sz="0" w:space="0" w:color="auto"/>
                    <w:right w:val="none" w:sz="0" w:space="0" w:color="auto"/>
                  </w:divBdr>
                  <w:divsChild>
                    <w:div w:id="1668947455">
                      <w:marLeft w:val="0"/>
                      <w:marRight w:val="0"/>
                      <w:marTop w:val="0"/>
                      <w:marBottom w:val="0"/>
                      <w:divBdr>
                        <w:top w:val="none" w:sz="0" w:space="0" w:color="auto"/>
                        <w:left w:val="none" w:sz="0" w:space="0" w:color="auto"/>
                        <w:bottom w:val="none" w:sz="0" w:space="0" w:color="auto"/>
                        <w:right w:val="none" w:sz="0" w:space="0" w:color="auto"/>
                      </w:divBdr>
                    </w:div>
                  </w:divsChild>
                </w:div>
                <w:div w:id="1201476437">
                  <w:marLeft w:val="0"/>
                  <w:marRight w:val="0"/>
                  <w:marTop w:val="0"/>
                  <w:marBottom w:val="0"/>
                  <w:divBdr>
                    <w:top w:val="none" w:sz="0" w:space="0" w:color="auto"/>
                    <w:left w:val="none" w:sz="0" w:space="0" w:color="auto"/>
                    <w:bottom w:val="none" w:sz="0" w:space="0" w:color="auto"/>
                    <w:right w:val="none" w:sz="0" w:space="0" w:color="auto"/>
                  </w:divBdr>
                  <w:divsChild>
                    <w:div w:id="1653871819">
                      <w:marLeft w:val="0"/>
                      <w:marRight w:val="0"/>
                      <w:marTop w:val="0"/>
                      <w:marBottom w:val="0"/>
                      <w:divBdr>
                        <w:top w:val="none" w:sz="0" w:space="0" w:color="auto"/>
                        <w:left w:val="none" w:sz="0" w:space="0" w:color="auto"/>
                        <w:bottom w:val="none" w:sz="0" w:space="0" w:color="auto"/>
                        <w:right w:val="none" w:sz="0" w:space="0" w:color="auto"/>
                      </w:divBdr>
                    </w:div>
                  </w:divsChild>
                </w:div>
                <w:div w:id="1237277073">
                  <w:marLeft w:val="0"/>
                  <w:marRight w:val="0"/>
                  <w:marTop w:val="0"/>
                  <w:marBottom w:val="0"/>
                  <w:divBdr>
                    <w:top w:val="none" w:sz="0" w:space="0" w:color="auto"/>
                    <w:left w:val="none" w:sz="0" w:space="0" w:color="auto"/>
                    <w:bottom w:val="none" w:sz="0" w:space="0" w:color="auto"/>
                    <w:right w:val="none" w:sz="0" w:space="0" w:color="auto"/>
                  </w:divBdr>
                  <w:divsChild>
                    <w:div w:id="2125691704">
                      <w:marLeft w:val="0"/>
                      <w:marRight w:val="0"/>
                      <w:marTop w:val="0"/>
                      <w:marBottom w:val="0"/>
                      <w:divBdr>
                        <w:top w:val="none" w:sz="0" w:space="0" w:color="auto"/>
                        <w:left w:val="none" w:sz="0" w:space="0" w:color="auto"/>
                        <w:bottom w:val="none" w:sz="0" w:space="0" w:color="auto"/>
                        <w:right w:val="none" w:sz="0" w:space="0" w:color="auto"/>
                      </w:divBdr>
                    </w:div>
                  </w:divsChild>
                </w:div>
                <w:div w:id="1258903354">
                  <w:marLeft w:val="0"/>
                  <w:marRight w:val="0"/>
                  <w:marTop w:val="0"/>
                  <w:marBottom w:val="0"/>
                  <w:divBdr>
                    <w:top w:val="none" w:sz="0" w:space="0" w:color="auto"/>
                    <w:left w:val="none" w:sz="0" w:space="0" w:color="auto"/>
                    <w:bottom w:val="none" w:sz="0" w:space="0" w:color="auto"/>
                    <w:right w:val="none" w:sz="0" w:space="0" w:color="auto"/>
                  </w:divBdr>
                  <w:divsChild>
                    <w:div w:id="1064648433">
                      <w:marLeft w:val="0"/>
                      <w:marRight w:val="0"/>
                      <w:marTop w:val="0"/>
                      <w:marBottom w:val="0"/>
                      <w:divBdr>
                        <w:top w:val="none" w:sz="0" w:space="0" w:color="auto"/>
                        <w:left w:val="none" w:sz="0" w:space="0" w:color="auto"/>
                        <w:bottom w:val="none" w:sz="0" w:space="0" w:color="auto"/>
                        <w:right w:val="none" w:sz="0" w:space="0" w:color="auto"/>
                      </w:divBdr>
                    </w:div>
                  </w:divsChild>
                </w:div>
                <w:div w:id="1261375241">
                  <w:marLeft w:val="0"/>
                  <w:marRight w:val="0"/>
                  <w:marTop w:val="0"/>
                  <w:marBottom w:val="0"/>
                  <w:divBdr>
                    <w:top w:val="none" w:sz="0" w:space="0" w:color="auto"/>
                    <w:left w:val="none" w:sz="0" w:space="0" w:color="auto"/>
                    <w:bottom w:val="none" w:sz="0" w:space="0" w:color="auto"/>
                    <w:right w:val="none" w:sz="0" w:space="0" w:color="auto"/>
                  </w:divBdr>
                  <w:divsChild>
                    <w:div w:id="1247306467">
                      <w:marLeft w:val="0"/>
                      <w:marRight w:val="0"/>
                      <w:marTop w:val="0"/>
                      <w:marBottom w:val="0"/>
                      <w:divBdr>
                        <w:top w:val="none" w:sz="0" w:space="0" w:color="auto"/>
                        <w:left w:val="none" w:sz="0" w:space="0" w:color="auto"/>
                        <w:bottom w:val="none" w:sz="0" w:space="0" w:color="auto"/>
                        <w:right w:val="none" w:sz="0" w:space="0" w:color="auto"/>
                      </w:divBdr>
                    </w:div>
                  </w:divsChild>
                </w:div>
                <w:div w:id="1331980671">
                  <w:marLeft w:val="0"/>
                  <w:marRight w:val="0"/>
                  <w:marTop w:val="0"/>
                  <w:marBottom w:val="0"/>
                  <w:divBdr>
                    <w:top w:val="none" w:sz="0" w:space="0" w:color="auto"/>
                    <w:left w:val="none" w:sz="0" w:space="0" w:color="auto"/>
                    <w:bottom w:val="none" w:sz="0" w:space="0" w:color="auto"/>
                    <w:right w:val="none" w:sz="0" w:space="0" w:color="auto"/>
                  </w:divBdr>
                  <w:divsChild>
                    <w:div w:id="305548672">
                      <w:marLeft w:val="0"/>
                      <w:marRight w:val="0"/>
                      <w:marTop w:val="0"/>
                      <w:marBottom w:val="0"/>
                      <w:divBdr>
                        <w:top w:val="none" w:sz="0" w:space="0" w:color="auto"/>
                        <w:left w:val="none" w:sz="0" w:space="0" w:color="auto"/>
                        <w:bottom w:val="none" w:sz="0" w:space="0" w:color="auto"/>
                        <w:right w:val="none" w:sz="0" w:space="0" w:color="auto"/>
                      </w:divBdr>
                    </w:div>
                  </w:divsChild>
                </w:div>
                <w:div w:id="1384283709">
                  <w:marLeft w:val="0"/>
                  <w:marRight w:val="0"/>
                  <w:marTop w:val="0"/>
                  <w:marBottom w:val="0"/>
                  <w:divBdr>
                    <w:top w:val="none" w:sz="0" w:space="0" w:color="auto"/>
                    <w:left w:val="none" w:sz="0" w:space="0" w:color="auto"/>
                    <w:bottom w:val="none" w:sz="0" w:space="0" w:color="auto"/>
                    <w:right w:val="none" w:sz="0" w:space="0" w:color="auto"/>
                  </w:divBdr>
                  <w:divsChild>
                    <w:div w:id="496073735">
                      <w:marLeft w:val="0"/>
                      <w:marRight w:val="0"/>
                      <w:marTop w:val="0"/>
                      <w:marBottom w:val="0"/>
                      <w:divBdr>
                        <w:top w:val="none" w:sz="0" w:space="0" w:color="auto"/>
                        <w:left w:val="none" w:sz="0" w:space="0" w:color="auto"/>
                        <w:bottom w:val="none" w:sz="0" w:space="0" w:color="auto"/>
                        <w:right w:val="none" w:sz="0" w:space="0" w:color="auto"/>
                      </w:divBdr>
                    </w:div>
                  </w:divsChild>
                </w:div>
                <w:div w:id="1419866093">
                  <w:marLeft w:val="0"/>
                  <w:marRight w:val="0"/>
                  <w:marTop w:val="0"/>
                  <w:marBottom w:val="0"/>
                  <w:divBdr>
                    <w:top w:val="none" w:sz="0" w:space="0" w:color="auto"/>
                    <w:left w:val="none" w:sz="0" w:space="0" w:color="auto"/>
                    <w:bottom w:val="none" w:sz="0" w:space="0" w:color="auto"/>
                    <w:right w:val="none" w:sz="0" w:space="0" w:color="auto"/>
                  </w:divBdr>
                  <w:divsChild>
                    <w:div w:id="600378514">
                      <w:marLeft w:val="0"/>
                      <w:marRight w:val="0"/>
                      <w:marTop w:val="0"/>
                      <w:marBottom w:val="0"/>
                      <w:divBdr>
                        <w:top w:val="none" w:sz="0" w:space="0" w:color="auto"/>
                        <w:left w:val="none" w:sz="0" w:space="0" w:color="auto"/>
                        <w:bottom w:val="none" w:sz="0" w:space="0" w:color="auto"/>
                        <w:right w:val="none" w:sz="0" w:space="0" w:color="auto"/>
                      </w:divBdr>
                    </w:div>
                  </w:divsChild>
                </w:div>
                <w:div w:id="1462117138">
                  <w:marLeft w:val="0"/>
                  <w:marRight w:val="0"/>
                  <w:marTop w:val="0"/>
                  <w:marBottom w:val="0"/>
                  <w:divBdr>
                    <w:top w:val="none" w:sz="0" w:space="0" w:color="auto"/>
                    <w:left w:val="none" w:sz="0" w:space="0" w:color="auto"/>
                    <w:bottom w:val="none" w:sz="0" w:space="0" w:color="auto"/>
                    <w:right w:val="none" w:sz="0" w:space="0" w:color="auto"/>
                  </w:divBdr>
                  <w:divsChild>
                    <w:div w:id="822477259">
                      <w:marLeft w:val="0"/>
                      <w:marRight w:val="0"/>
                      <w:marTop w:val="0"/>
                      <w:marBottom w:val="0"/>
                      <w:divBdr>
                        <w:top w:val="none" w:sz="0" w:space="0" w:color="auto"/>
                        <w:left w:val="none" w:sz="0" w:space="0" w:color="auto"/>
                        <w:bottom w:val="none" w:sz="0" w:space="0" w:color="auto"/>
                        <w:right w:val="none" w:sz="0" w:space="0" w:color="auto"/>
                      </w:divBdr>
                    </w:div>
                  </w:divsChild>
                </w:div>
                <w:div w:id="1475676100">
                  <w:marLeft w:val="0"/>
                  <w:marRight w:val="0"/>
                  <w:marTop w:val="0"/>
                  <w:marBottom w:val="0"/>
                  <w:divBdr>
                    <w:top w:val="none" w:sz="0" w:space="0" w:color="auto"/>
                    <w:left w:val="none" w:sz="0" w:space="0" w:color="auto"/>
                    <w:bottom w:val="none" w:sz="0" w:space="0" w:color="auto"/>
                    <w:right w:val="none" w:sz="0" w:space="0" w:color="auto"/>
                  </w:divBdr>
                  <w:divsChild>
                    <w:div w:id="419109692">
                      <w:marLeft w:val="0"/>
                      <w:marRight w:val="0"/>
                      <w:marTop w:val="0"/>
                      <w:marBottom w:val="0"/>
                      <w:divBdr>
                        <w:top w:val="none" w:sz="0" w:space="0" w:color="auto"/>
                        <w:left w:val="none" w:sz="0" w:space="0" w:color="auto"/>
                        <w:bottom w:val="none" w:sz="0" w:space="0" w:color="auto"/>
                        <w:right w:val="none" w:sz="0" w:space="0" w:color="auto"/>
                      </w:divBdr>
                    </w:div>
                  </w:divsChild>
                </w:div>
                <w:div w:id="1477724655">
                  <w:marLeft w:val="0"/>
                  <w:marRight w:val="0"/>
                  <w:marTop w:val="0"/>
                  <w:marBottom w:val="0"/>
                  <w:divBdr>
                    <w:top w:val="none" w:sz="0" w:space="0" w:color="auto"/>
                    <w:left w:val="none" w:sz="0" w:space="0" w:color="auto"/>
                    <w:bottom w:val="none" w:sz="0" w:space="0" w:color="auto"/>
                    <w:right w:val="none" w:sz="0" w:space="0" w:color="auto"/>
                  </w:divBdr>
                  <w:divsChild>
                    <w:div w:id="857810545">
                      <w:marLeft w:val="0"/>
                      <w:marRight w:val="0"/>
                      <w:marTop w:val="0"/>
                      <w:marBottom w:val="0"/>
                      <w:divBdr>
                        <w:top w:val="none" w:sz="0" w:space="0" w:color="auto"/>
                        <w:left w:val="none" w:sz="0" w:space="0" w:color="auto"/>
                        <w:bottom w:val="none" w:sz="0" w:space="0" w:color="auto"/>
                        <w:right w:val="none" w:sz="0" w:space="0" w:color="auto"/>
                      </w:divBdr>
                    </w:div>
                  </w:divsChild>
                </w:div>
                <w:div w:id="1524517591">
                  <w:marLeft w:val="0"/>
                  <w:marRight w:val="0"/>
                  <w:marTop w:val="0"/>
                  <w:marBottom w:val="0"/>
                  <w:divBdr>
                    <w:top w:val="none" w:sz="0" w:space="0" w:color="auto"/>
                    <w:left w:val="none" w:sz="0" w:space="0" w:color="auto"/>
                    <w:bottom w:val="none" w:sz="0" w:space="0" w:color="auto"/>
                    <w:right w:val="none" w:sz="0" w:space="0" w:color="auto"/>
                  </w:divBdr>
                  <w:divsChild>
                    <w:div w:id="1473213294">
                      <w:marLeft w:val="0"/>
                      <w:marRight w:val="0"/>
                      <w:marTop w:val="0"/>
                      <w:marBottom w:val="0"/>
                      <w:divBdr>
                        <w:top w:val="none" w:sz="0" w:space="0" w:color="auto"/>
                        <w:left w:val="none" w:sz="0" w:space="0" w:color="auto"/>
                        <w:bottom w:val="none" w:sz="0" w:space="0" w:color="auto"/>
                        <w:right w:val="none" w:sz="0" w:space="0" w:color="auto"/>
                      </w:divBdr>
                    </w:div>
                  </w:divsChild>
                </w:div>
                <w:div w:id="1548563421">
                  <w:marLeft w:val="0"/>
                  <w:marRight w:val="0"/>
                  <w:marTop w:val="0"/>
                  <w:marBottom w:val="0"/>
                  <w:divBdr>
                    <w:top w:val="none" w:sz="0" w:space="0" w:color="auto"/>
                    <w:left w:val="none" w:sz="0" w:space="0" w:color="auto"/>
                    <w:bottom w:val="none" w:sz="0" w:space="0" w:color="auto"/>
                    <w:right w:val="none" w:sz="0" w:space="0" w:color="auto"/>
                  </w:divBdr>
                  <w:divsChild>
                    <w:div w:id="1389299718">
                      <w:marLeft w:val="0"/>
                      <w:marRight w:val="0"/>
                      <w:marTop w:val="0"/>
                      <w:marBottom w:val="0"/>
                      <w:divBdr>
                        <w:top w:val="none" w:sz="0" w:space="0" w:color="auto"/>
                        <w:left w:val="none" w:sz="0" w:space="0" w:color="auto"/>
                        <w:bottom w:val="none" w:sz="0" w:space="0" w:color="auto"/>
                        <w:right w:val="none" w:sz="0" w:space="0" w:color="auto"/>
                      </w:divBdr>
                    </w:div>
                  </w:divsChild>
                </w:div>
                <w:div w:id="1551306316">
                  <w:marLeft w:val="0"/>
                  <w:marRight w:val="0"/>
                  <w:marTop w:val="0"/>
                  <w:marBottom w:val="0"/>
                  <w:divBdr>
                    <w:top w:val="none" w:sz="0" w:space="0" w:color="auto"/>
                    <w:left w:val="none" w:sz="0" w:space="0" w:color="auto"/>
                    <w:bottom w:val="none" w:sz="0" w:space="0" w:color="auto"/>
                    <w:right w:val="none" w:sz="0" w:space="0" w:color="auto"/>
                  </w:divBdr>
                  <w:divsChild>
                    <w:div w:id="140734140">
                      <w:marLeft w:val="0"/>
                      <w:marRight w:val="0"/>
                      <w:marTop w:val="0"/>
                      <w:marBottom w:val="0"/>
                      <w:divBdr>
                        <w:top w:val="none" w:sz="0" w:space="0" w:color="auto"/>
                        <w:left w:val="none" w:sz="0" w:space="0" w:color="auto"/>
                        <w:bottom w:val="none" w:sz="0" w:space="0" w:color="auto"/>
                        <w:right w:val="none" w:sz="0" w:space="0" w:color="auto"/>
                      </w:divBdr>
                    </w:div>
                  </w:divsChild>
                </w:div>
                <w:div w:id="1553737990">
                  <w:marLeft w:val="0"/>
                  <w:marRight w:val="0"/>
                  <w:marTop w:val="0"/>
                  <w:marBottom w:val="0"/>
                  <w:divBdr>
                    <w:top w:val="none" w:sz="0" w:space="0" w:color="auto"/>
                    <w:left w:val="none" w:sz="0" w:space="0" w:color="auto"/>
                    <w:bottom w:val="none" w:sz="0" w:space="0" w:color="auto"/>
                    <w:right w:val="none" w:sz="0" w:space="0" w:color="auto"/>
                  </w:divBdr>
                  <w:divsChild>
                    <w:div w:id="726146579">
                      <w:marLeft w:val="0"/>
                      <w:marRight w:val="0"/>
                      <w:marTop w:val="0"/>
                      <w:marBottom w:val="0"/>
                      <w:divBdr>
                        <w:top w:val="none" w:sz="0" w:space="0" w:color="auto"/>
                        <w:left w:val="none" w:sz="0" w:space="0" w:color="auto"/>
                        <w:bottom w:val="none" w:sz="0" w:space="0" w:color="auto"/>
                        <w:right w:val="none" w:sz="0" w:space="0" w:color="auto"/>
                      </w:divBdr>
                    </w:div>
                  </w:divsChild>
                </w:div>
                <w:div w:id="1614556310">
                  <w:marLeft w:val="0"/>
                  <w:marRight w:val="0"/>
                  <w:marTop w:val="0"/>
                  <w:marBottom w:val="0"/>
                  <w:divBdr>
                    <w:top w:val="none" w:sz="0" w:space="0" w:color="auto"/>
                    <w:left w:val="none" w:sz="0" w:space="0" w:color="auto"/>
                    <w:bottom w:val="none" w:sz="0" w:space="0" w:color="auto"/>
                    <w:right w:val="none" w:sz="0" w:space="0" w:color="auto"/>
                  </w:divBdr>
                  <w:divsChild>
                    <w:div w:id="1527668391">
                      <w:marLeft w:val="0"/>
                      <w:marRight w:val="0"/>
                      <w:marTop w:val="0"/>
                      <w:marBottom w:val="0"/>
                      <w:divBdr>
                        <w:top w:val="none" w:sz="0" w:space="0" w:color="auto"/>
                        <w:left w:val="none" w:sz="0" w:space="0" w:color="auto"/>
                        <w:bottom w:val="none" w:sz="0" w:space="0" w:color="auto"/>
                        <w:right w:val="none" w:sz="0" w:space="0" w:color="auto"/>
                      </w:divBdr>
                    </w:div>
                  </w:divsChild>
                </w:div>
                <w:div w:id="1654410465">
                  <w:marLeft w:val="0"/>
                  <w:marRight w:val="0"/>
                  <w:marTop w:val="0"/>
                  <w:marBottom w:val="0"/>
                  <w:divBdr>
                    <w:top w:val="none" w:sz="0" w:space="0" w:color="auto"/>
                    <w:left w:val="none" w:sz="0" w:space="0" w:color="auto"/>
                    <w:bottom w:val="none" w:sz="0" w:space="0" w:color="auto"/>
                    <w:right w:val="none" w:sz="0" w:space="0" w:color="auto"/>
                  </w:divBdr>
                  <w:divsChild>
                    <w:div w:id="1803497054">
                      <w:marLeft w:val="0"/>
                      <w:marRight w:val="0"/>
                      <w:marTop w:val="0"/>
                      <w:marBottom w:val="0"/>
                      <w:divBdr>
                        <w:top w:val="none" w:sz="0" w:space="0" w:color="auto"/>
                        <w:left w:val="none" w:sz="0" w:space="0" w:color="auto"/>
                        <w:bottom w:val="none" w:sz="0" w:space="0" w:color="auto"/>
                        <w:right w:val="none" w:sz="0" w:space="0" w:color="auto"/>
                      </w:divBdr>
                    </w:div>
                  </w:divsChild>
                </w:div>
                <w:div w:id="1671789889">
                  <w:marLeft w:val="0"/>
                  <w:marRight w:val="0"/>
                  <w:marTop w:val="0"/>
                  <w:marBottom w:val="0"/>
                  <w:divBdr>
                    <w:top w:val="none" w:sz="0" w:space="0" w:color="auto"/>
                    <w:left w:val="none" w:sz="0" w:space="0" w:color="auto"/>
                    <w:bottom w:val="none" w:sz="0" w:space="0" w:color="auto"/>
                    <w:right w:val="none" w:sz="0" w:space="0" w:color="auto"/>
                  </w:divBdr>
                  <w:divsChild>
                    <w:div w:id="94635014">
                      <w:marLeft w:val="0"/>
                      <w:marRight w:val="0"/>
                      <w:marTop w:val="0"/>
                      <w:marBottom w:val="0"/>
                      <w:divBdr>
                        <w:top w:val="none" w:sz="0" w:space="0" w:color="auto"/>
                        <w:left w:val="none" w:sz="0" w:space="0" w:color="auto"/>
                        <w:bottom w:val="none" w:sz="0" w:space="0" w:color="auto"/>
                        <w:right w:val="none" w:sz="0" w:space="0" w:color="auto"/>
                      </w:divBdr>
                    </w:div>
                  </w:divsChild>
                </w:div>
                <w:div w:id="1695031365">
                  <w:marLeft w:val="0"/>
                  <w:marRight w:val="0"/>
                  <w:marTop w:val="0"/>
                  <w:marBottom w:val="0"/>
                  <w:divBdr>
                    <w:top w:val="none" w:sz="0" w:space="0" w:color="auto"/>
                    <w:left w:val="none" w:sz="0" w:space="0" w:color="auto"/>
                    <w:bottom w:val="none" w:sz="0" w:space="0" w:color="auto"/>
                    <w:right w:val="none" w:sz="0" w:space="0" w:color="auto"/>
                  </w:divBdr>
                  <w:divsChild>
                    <w:div w:id="1556118673">
                      <w:marLeft w:val="0"/>
                      <w:marRight w:val="0"/>
                      <w:marTop w:val="0"/>
                      <w:marBottom w:val="0"/>
                      <w:divBdr>
                        <w:top w:val="none" w:sz="0" w:space="0" w:color="auto"/>
                        <w:left w:val="none" w:sz="0" w:space="0" w:color="auto"/>
                        <w:bottom w:val="none" w:sz="0" w:space="0" w:color="auto"/>
                        <w:right w:val="none" w:sz="0" w:space="0" w:color="auto"/>
                      </w:divBdr>
                    </w:div>
                  </w:divsChild>
                </w:div>
                <w:div w:id="1767924573">
                  <w:marLeft w:val="0"/>
                  <w:marRight w:val="0"/>
                  <w:marTop w:val="0"/>
                  <w:marBottom w:val="0"/>
                  <w:divBdr>
                    <w:top w:val="none" w:sz="0" w:space="0" w:color="auto"/>
                    <w:left w:val="none" w:sz="0" w:space="0" w:color="auto"/>
                    <w:bottom w:val="none" w:sz="0" w:space="0" w:color="auto"/>
                    <w:right w:val="none" w:sz="0" w:space="0" w:color="auto"/>
                  </w:divBdr>
                  <w:divsChild>
                    <w:div w:id="1839882113">
                      <w:marLeft w:val="0"/>
                      <w:marRight w:val="0"/>
                      <w:marTop w:val="0"/>
                      <w:marBottom w:val="0"/>
                      <w:divBdr>
                        <w:top w:val="none" w:sz="0" w:space="0" w:color="auto"/>
                        <w:left w:val="none" w:sz="0" w:space="0" w:color="auto"/>
                        <w:bottom w:val="none" w:sz="0" w:space="0" w:color="auto"/>
                        <w:right w:val="none" w:sz="0" w:space="0" w:color="auto"/>
                      </w:divBdr>
                    </w:div>
                  </w:divsChild>
                </w:div>
                <w:div w:id="1784421679">
                  <w:marLeft w:val="0"/>
                  <w:marRight w:val="0"/>
                  <w:marTop w:val="0"/>
                  <w:marBottom w:val="0"/>
                  <w:divBdr>
                    <w:top w:val="none" w:sz="0" w:space="0" w:color="auto"/>
                    <w:left w:val="none" w:sz="0" w:space="0" w:color="auto"/>
                    <w:bottom w:val="none" w:sz="0" w:space="0" w:color="auto"/>
                    <w:right w:val="none" w:sz="0" w:space="0" w:color="auto"/>
                  </w:divBdr>
                  <w:divsChild>
                    <w:div w:id="999843099">
                      <w:marLeft w:val="0"/>
                      <w:marRight w:val="0"/>
                      <w:marTop w:val="0"/>
                      <w:marBottom w:val="0"/>
                      <w:divBdr>
                        <w:top w:val="none" w:sz="0" w:space="0" w:color="auto"/>
                        <w:left w:val="none" w:sz="0" w:space="0" w:color="auto"/>
                        <w:bottom w:val="none" w:sz="0" w:space="0" w:color="auto"/>
                        <w:right w:val="none" w:sz="0" w:space="0" w:color="auto"/>
                      </w:divBdr>
                    </w:div>
                  </w:divsChild>
                </w:div>
                <w:div w:id="1827238337">
                  <w:marLeft w:val="0"/>
                  <w:marRight w:val="0"/>
                  <w:marTop w:val="0"/>
                  <w:marBottom w:val="0"/>
                  <w:divBdr>
                    <w:top w:val="none" w:sz="0" w:space="0" w:color="auto"/>
                    <w:left w:val="none" w:sz="0" w:space="0" w:color="auto"/>
                    <w:bottom w:val="none" w:sz="0" w:space="0" w:color="auto"/>
                    <w:right w:val="none" w:sz="0" w:space="0" w:color="auto"/>
                  </w:divBdr>
                  <w:divsChild>
                    <w:div w:id="1952589713">
                      <w:marLeft w:val="0"/>
                      <w:marRight w:val="0"/>
                      <w:marTop w:val="0"/>
                      <w:marBottom w:val="0"/>
                      <w:divBdr>
                        <w:top w:val="none" w:sz="0" w:space="0" w:color="auto"/>
                        <w:left w:val="none" w:sz="0" w:space="0" w:color="auto"/>
                        <w:bottom w:val="none" w:sz="0" w:space="0" w:color="auto"/>
                        <w:right w:val="none" w:sz="0" w:space="0" w:color="auto"/>
                      </w:divBdr>
                    </w:div>
                  </w:divsChild>
                </w:div>
                <w:div w:id="1840656327">
                  <w:marLeft w:val="0"/>
                  <w:marRight w:val="0"/>
                  <w:marTop w:val="0"/>
                  <w:marBottom w:val="0"/>
                  <w:divBdr>
                    <w:top w:val="none" w:sz="0" w:space="0" w:color="auto"/>
                    <w:left w:val="none" w:sz="0" w:space="0" w:color="auto"/>
                    <w:bottom w:val="none" w:sz="0" w:space="0" w:color="auto"/>
                    <w:right w:val="none" w:sz="0" w:space="0" w:color="auto"/>
                  </w:divBdr>
                  <w:divsChild>
                    <w:div w:id="563217364">
                      <w:marLeft w:val="0"/>
                      <w:marRight w:val="0"/>
                      <w:marTop w:val="0"/>
                      <w:marBottom w:val="0"/>
                      <w:divBdr>
                        <w:top w:val="none" w:sz="0" w:space="0" w:color="auto"/>
                        <w:left w:val="none" w:sz="0" w:space="0" w:color="auto"/>
                        <w:bottom w:val="none" w:sz="0" w:space="0" w:color="auto"/>
                        <w:right w:val="none" w:sz="0" w:space="0" w:color="auto"/>
                      </w:divBdr>
                    </w:div>
                  </w:divsChild>
                </w:div>
                <w:div w:id="1859853640">
                  <w:marLeft w:val="0"/>
                  <w:marRight w:val="0"/>
                  <w:marTop w:val="0"/>
                  <w:marBottom w:val="0"/>
                  <w:divBdr>
                    <w:top w:val="none" w:sz="0" w:space="0" w:color="auto"/>
                    <w:left w:val="none" w:sz="0" w:space="0" w:color="auto"/>
                    <w:bottom w:val="none" w:sz="0" w:space="0" w:color="auto"/>
                    <w:right w:val="none" w:sz="0" w:space="0" w:color="auto"/>
                  </w:divBdr>
                  <w:divsChild>
                    <w:div w:id="728651898">
                      <w:marLeft w:val="0"/>
                      <w:marRight w:val="0"/>
                      <w:marTop w:val="0"/>
                      <w:marBottom w:val="0"/>
                      <w:divBdr>
                        <w:top w:val="none" w:sz="0" w:space="0" w:color="auto"/>
                        <w:left w:val="none" w:sz="0" w:space="0" w:color="auto"/>
                        <w:bottom w:val="none" w:sz="0" w:space="0" w:color="auto"/>
                        <w:right w:val="none" w:sz="0" w:space="0" w:color="auto"/>
                      </w:divBdr>
                    </w:div>
                  </w:divsChild>
                </w:div>
                <w:div w:id="1939747377">
                  <w:marLeft w:val="0"/>
                  <w:marRight w:val="0"/>
                  <w:marTop w:val="0"/>
                  <w:marBottom w:val="0"/>
                  <w:divBdr>
                    <w:top w:val="none" w:sz="0" w:space="0" w:color="auto"/>
                    <w:left w:val="none" w:sz="0" w:space="0" w:color="auto"/>
                    <w:bottom w:val="none" w:sz="0" w:space="0" w:color="auto"/>
                    <w:right w:val="none" w:sz="0" w:space="0" w:color="auto"/>
                  </w:divBdr>
                  <w:divsChild>
                    <w:div w:id="1545601924">
                      <w:marLeft w:val="0"/>
                      <w:marRight w:val="0"/>
                      <w:marTop w:val="0"/>
                      <w:marBottom w:val="0"/>
                      <w:divBdr>
                        <w:top w:val="none" w:sz="0" w:space="0" w:color="auto"/>
                        <w:left w:val="none" w:sz="0" w:space="0" w:color="auto"/>
                        <w:bottom w:val="none" w:sz="0" w:space="0" w:color="auto"/>
                        <w:right w:val="none" w:sz="0" w:space="0" w:color="auto"/>
                      </w:divBdr>
                    </w:div>
                  </w:divsChild>
                </w:div>
                <w:div w:id="1960843663">
                  <w:marLeft w:val="0"/>
                  <w:marRight w:val="0"/>
                  <w:marTop w:val="0"/>
                  <w:marBottom w:val="0"/>
                  <w:divBdr>
                    <w:top w:val="none" w:sz="0" w:space="0" w:color="auto"/>
                    <w:left w:val="none" w:sz="0" w:space="0" w:color="auto"/>
                    <w:bottom w:val="none" w:sz="0" w:space="0" w:color="auto"/>
                    <w:right w:val="none" w:sz="0" w:space="0" w:color="auto"/>
                  </w:divBdr>
                  <w:divsChild>
                    <w:div w:id="1711954990">
                      <w:marLeft w:val="0"/>
                      <w:marRight w:val="0"/>
                      <w:marTop w:val="0"/>
                      <w:marBottom w:val="0"/>
                      <w:divBdr>
                        <w:top w:val="none" w:sz="0" w:space="0" w:color="auto"/>
                        <w:left w:val="none" w:sz="0" w:space="0" w:color="auto"/>
                        <w:bottom w:val="none" w:sz="0" w:space="0" w:color="auto"/>
                        <w:right w:val="none" w:sz="0" w:space="0" w:color="auto"/>
                      </w:divBdr>
                    </w:div>
                  </w:divsChild>
                </w:div>
                <w:div w:id="1992560469">
                  <w:marLeft w:val="0"/>
                  <w:marRight w:val="0"/>
                  <w:marTop w:val="0"/>
                  <w:marBottom w:val="0"/>
                  <w:divBdr>
                    <w:top w:val="none" w:sz="0" w:space="0" w:color="auto"/>
                    <w:left w:val="none" w:sz="0" w:space="0" w:color="auto"/>
                    <w:bottom w:val="none" w:sz="0" w:space="0" w:color="auto"/>
                    <w:right w:val="none" w:sz="0" w:space="0" w:color="auto"/>
                  </w:divBdr>
                  <w:divsChild>
                    <w:div w:id="1567183290">
                      <w:marLeft w:val="0"/>
                      <w:marRight w:val="0"/>
                      <w:marTop w:val="0"/>
                      <w:marBottom w:val="0"/>
                      <w:divBdr>
                        <w:top w:val="none" w:sz="0" w:space="0" w:color="auto"/>
                        <w:left w:val="none" w:sz="0" w:space="0" w:color="auto"/>
                        <w:bottom w:val="none" w:sz="0" w:space="0" w:color="auto"/>
                        <w:right w:val="none" w:sz="0" w:space="0" w:color="auto"/>
                      </w:divBdr>
                    </w:div>
                  </w:divsChild>
                </w:div>
                <w:div w:id="1997031492">
                  <w:marLeft w:val="0"/>
                  <w:marRight w:val="0"/>
                  <w:marTop w:val="0"/>
                  <w:marBottom w:val="0"/>
                  <w:divBdr>
                    <w:top w:val="none" w:sz="0" w:space="0" w:color="auto"/>
                    <w:left w:val="none" w:sz="0" w:space="0" w:color="auto"/>
                    <w:bottom w:val="none" w:sz="0" w:space="0" w:color="auto"/>
                    <w:right w:val="none" w:sz="0" w:space="0" w:color="auto"/>
                  </w:divBdr>
                  <w:divsChild>
                    <w:div w:id="688486141">
                      <w:marLeft w:val="0"/>
                      <w:marRight w:val="0"/>
                      <w:marTop w:val="0"/>
                      <w:marBottom w:val="0"/>
                      <w:divBdr>
                        <w:top w:val="none" w:sz="0" w:space="0" w:color="auto"/>
                        <w:left w:val="none" w:sz="0" w:space="0" w:color="auto"/>
                        <w:bottom w:val="none" w:sz="0" w:space="0" w:color="auto"/>
                        <w:right w:val="none" w:sz="0" w:space="0" w:color="auto"/>
                      </w:divBdr>
                    </w:div>
                  </w:divsChild>
                </w:div>
                <w:div w:id="2020429880">
                  <w:marLeft w:val="0"/>
                  <w:marRight w:val="0"/>
                  <w:marTop w:val="0"/>
                  <w:marBottom w:val="0"/>
                  <w:divBdr>
                    <w:top w:val="none" w:sz="0" w:space="0" w:color="auto"/>
                    <w:left w:val="none" w:sz="0" w:space="0" w:color="auto"/>
                    <w:bottom w:val="none" w:sz="0" w:space="0" w:color="auto"/>
                    <w:right w:val="none" w:sz="0" w:space="0" w:color="auto"/>
                  </w:divBdr>
                  <w:divsChild>
                    <w:div w:id="1650090354">
                      <w:marLeft w:val="0"/>
                      <w:marRight w:val="0"/>
                      <w:marTop w:val="0"/>
                      <w:marBottom w:val="0"/>
                      <w:divBdr>
                        <w:top w:val="none" w:sz="0" w:space="0" w:color="auto"/>
                        <w:left w:val="none" w:sz="0" w:space="0" w:color="auto"/>
                        <w:bottom w:val="none" w:sz="0" w:space="0" w:color="auto"/>
                        <w:right w:val="none" w:sz="0" w:space="0" w:color="auto"/>
                      </w:divBdr>
                    </w:div>
                  </w:divsChild>
                </w:div>
                <w:div w:id="2051177126">
                  <w:marLeft w:val="0"/>
                  <w:marRight w:val="0"/>
                  <w:marTop w:val="0"/>
                  <w:marBottom w:val="0"/>
                  <w:divBdr>
                    <w:top w:val="none" w:sz="0" w:space="0" w:color="auto"/>
                    <w:left w:val="none" w:sz="0" w:space="0" w:color="auto"/>
                    <w:bottom w:val="none" w:sz="0" w:space="0" w:color="auto"/>
                    <w:right w:val="none" w:sz="0" w:space="0" w:color="auto"/>
                  </w:divBdr>
                  <w:divsChild>
                    <w:div w:id="1960795222">
                      <w:marLeft w:val="0"/>
                      <w:marRight w:val="0"/>
                      <w:marTop w:val="0"/>
                      <w:marBottom w:val="0"/>
                      <w:divBdr>
                        <w:top w:val="none" w:sz="0" w:space="0" w:color="auto"/>
                        <w:left w:val="none" w:sz="0" w:space="0" w:color="auto"/>
                        <w:bottom w:val="none" w:sz="0" w:space="0" w:color="auto"/>
                        <w:right w:val="none" w:sz="0" w:space="0" w:color="auto"/>
                      </w:divBdr>
                    </w:div>
                  </w:divsChild>
                </w:div>
                <w:div w:id="2072579408">
                  <w:marLeft w:val="0"/>
                  <w:marRight w:val="0"/>
                  <w:marTop w:val="0"/>
                  <w:marBottom w:val="0"/>
                  <w:divBdr>
                    <w:top w:val="none" w:sz="0" w:space="0" w:color="auto"/>
                    <w:left w:val="none" w:sz="0" w:space="0" w:color="auto"/>
                    <w:bottom w:val="none" w:sz="0" w:space="0" w:color="auto"/>
                    <w:right w:val="none" w:sz="0" w:space="0" w:color="auto"/>
                  </w:divBdr>
                  <w:divsChild>
                    <w:div w:id="172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44520">
          <w:marLeft w:val="0"/>
          <w:marRight w:val="0"/>
          <w:marTop w:val="0"/>
          <w:marBottom w:val="0"/>
          <w:divBdr>
            <w:top w:val="none" w:sz="0" w:space="0" w:color="auto"/>
            <w:left w:val="none" w:sz="0" w:space="0" w:color="auto"/>
            <w:bottom w:val="none" w:sz="0" w:space="0" w:color="auto"/>
            <w:right w:val="none" w:sz="0" w:space="0" w:color="auto"/>
          </w:divBdr>
        </w:div>
      </w:divsChild>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98516621">
      <w:bodyDiv w:val="1"/>
      <w:marLeft w:val="0"/>
      <w:marRight w:val="0"/>
      <w:marTop w:val="0"/>
      <w:marBottom w:val="0"/>
      <w:divBdr>
        <w:top w:val="none" w:sz="0" w:space="0" w:color="auto"/>
        <w:left w:val="none" w:sz="0" w:space="0" w:color="auto"/>
        <w:bottom w:val="none" w:sz="0" w:space="0" w:color="auto"/>
        <w:right w:val="none" w:sz="0" w:space="0" w:color="auto"/>
      </w:divBdr>
      <w:divsChild>
        <w:div w:id="468745643">
          <w:marLeft w:val="0"/>
          <w:marRight w:val="0"/>
          <w:marTop w:val="0"/>
          <w:marBottom w:val="0"/>
          <w:divBdr>
            <w:top w:val="none" w:sz="0" w:space="0" w:color="auto"/>
            <w:left w:val="none" w:sz="0" w:space="0" w:color="auto"/>
            <w:bottom w:val="none" w:sz="0" w:space="0" w:color="auto"/>
            <w:right w:val="none" w:sz="0" w:space="0" w:color="auto"/>
          </w:divBdr>
        </w:div>
        <w:div w:id="576552916">
          <w:marLeft w:val="0"/>
          <w:marRight w:val="0"/>
          <w:marTop w:val="0"/>
          <w:marBottom w:val="0"/>
          <w:divBdr>
            <w:top w:val="none" w:sz="0" w:space="0" w:color="auto"/>
            <w:left w:val="none" w:sz="0" w:space="0" w:color="auto"/>
            <w:bottom w:val="none" w:sz="0" w:space="0" w:color="auto"/>
            <w:right w:val="none" w:sz="0" w:space="0" w:color="auto"/>
          </w:divBdr>
        </w:div>
        <w:div w:id="740759546">
          <w:marLeft w:val="0"/>
          <w:marRight w:val="0"/>
          <w:marTop w:val="0"/>
          <w:marBottom w:val="0"/>
          <w:divBdr>
            <w:top w:val="none" w:sz="0" w:space="0" w:color="auto"/>
            <w:left w:val="none" w:sz="0" w:space="0" w:color="auto"/>
            <w:bottom w:val="none" w:sz="0" w:space="0" w:color="auto"/>
            <w:right w:val="none" w:sz="0" w:space="0" w:color="auto"/>
          </w:divBdr>
        </w:div>
        <w:div w:id="1200120674">
          <w:marLeft w:val="0"/>
          <w:marRight w:val="0"/>
          <w:marTop w:val="0"/>
          <w:marBottom w:val="0"/>
          <w:divBdr>
            <w:top w:val="none" w:sz="0" w:space="0" w:color="auto"/>
            <w:left w:val="none" w:sz="0" w:space="0" w:color="auto"/>
            <w:bottom w:val="none" w:sz="0" w:space="0" w:color="auto"/>
            <w:right w:val="none" w:sz="0" w:space="0" w:color="auto"/>
          </w:divBdr>
        </w:div>
        <w:div w:id="1237016516">
          <w:marLeft w:val="0"/>
          <w:marRight w:val="0"/>
          <w:marTop w:val="0"/>
          <w:marBottom w:val="0"/>
          <w:divBdr>
            <w:top w:val="none" w:sz="0" w:space="0" w:color="auto"/>
            <w:left w:val="none" w:sz="0" w:space="0" w:color="auto"/>
            <w:bottom w:val="none" w:sz="0" w:space="0" w:color="auto"/>
            <w:right w:val="none" w:sz="0" w:space="0" w:color="auto"/>
          </w:divBdr>
          <w:divsChild>
            <w:div w:id="11499296">
              <w:marLeft w:val="0"/>
              <w:marRight w:val="0"/>
              <w:marTop w:val="0"/>
              <w:marBottom w:val="0"/>
              <w:divBdr>
                <w:top w:val="none" w:sz="0" w:space="0" w:color="auto"/>
                <w:left w:val="none" w:sz="0" w:space="0" w:color="auto"/>
                <w:bottom w:val="none" w:sz="0" w:space="0" w:color="auto"/>
                <w:right w:val="none" w:sz="0" w:space="0" w:color="auto"/>
              </w:divBdr>
            </w:div>
            <w:div w:id="201404376">
              <w:marLeft w:val="0"/>
              <w:marRight w:val="0"/>
              <w:marTop w:val="0"/>
              <w:marBottom w:val="0"/>
              <w:divBdr>
                <w:top w:val="none" w:sz="0" w:space="0" w:color="auto"/>
                <w:left w:val="none" w:sz="0" w:space="0" w:color="auto"/>
                <w:bottom w:val="none" w:sz="0" w:space="0" w:color="auto"/>
                <w:right w:val="none" w:sz="0" w:space="0" w:color="auto"/>
              </w:divBdr>
            </w:div>
            <w:div w:id="855534611">
              <w:marLeft w:val="0"/>
              <w:marRight w:val="0"/>
              <w:marTop w:val="0"/>
              <w:marBottom w:val="0"/>
              <w:divBdr>
                <w:top w:val="none" w:sz="0" w:space="0" w:color="auto"/>
                <w:left w:val="none" w:sz="0" w:space="0" w:color="auto"/>
                <w:bottom w:val="none" w:sz="0" w:space="0" w:color="auto"/>
                <w:right w:val="none" w:sz="0" w:space="0" w:color="auto"/>
              </w:divBdr>
            </w:div>
            <w:div w:id="1581449465">
              <w:marLeft w:val="0"/>
              <w:marRight w:val="0"/>
              <w:marTop w:val="0"/>
              <w:marBottom w:val="0"/>
              <w:divBdr>
                <w:top w:val="none" w:sz="0" w:space="0" w:color="auto"/>
                <w:left w:val="none" w:sz="0" w:space="0" w:color="auto"/>
                <w:bottom w:val="none" w:sz="0" w:space="0" w:color="auto"/>
                <w:right w:val="none" w:sz="0" w:space="0" w:color="auto"/>
              </w:divBdr>
            </w:div>
            <w:div w:id="1642886946">
              <w:marLeft w:val="0"/>
              <w:marRight w:val="0"/>
              <w:marTop w:val="0"/>
              <w:marBottom w:val="0"/>
              <w:divBdr>
                <w:top w:val="none" w:sz="0" w:space="0" w:color="auto"/>
                <w:left w:val="none" w:sz="0" w:space="0" w:color="auto"/>
                <w:bottom w:val="none" w:sz="0" w:space="0" w:color="auto"/>
                <w:right w:val="none" w:sz="0" w:space="0" w:color="auto"/>
              </w:divBdr>
            </w:div>
          </w:divsChild>
        </w:div>
        <w:div w:id="1405878910">
          <w:marLeft w:val="0"/>
          <w:marRight w:val="0"/>
          <w:marTop w:val="0"/>
          <w:marBottom w:val="0"/>
          <w:divBdr>
            <w:top w:val="none" w:sz="0" w:space="0" w:color="auto"/>
            <w:left w:val="none" w:sz="0" w:space="0" w:color="auto"/>
            <w:bottom w:val="none" w:sz="0" w:space="0" w:color="auto"/>
            <w:right w:val="none" w:sz="0" w:space="0" w:color="auto"/>
          </w:divBdr>
        </w:div>
        <w:div w:id="1712807292">
          <w:marLeft w:val="0"/>
          <w:marRight w:val="0"/>
          <w:marTop w:val="0"/>
          <w:marBottom w:val="0"/>
          <w:divBdr>
            <w:top w:val="none" w:sz="0" w:space="0" w:color="auto"/>
            <w:left w:val="none" w:sz="0" w:space="0" w:color="auto"/>
            <w:bottom w:val="none" w:sz="0" w:space="0" w:color="auto"/>
            <w:right w:val="none" w:sz="0" w:space="0" w:color="auto"/>
          </w:divBdr>
        </w:div>
        <w:div w:id="1788817277">
          <w:marLeft w:val="0"/>
          <w:marRight w:val="0"/>
          <w:marTop w:val="0"/>
          <w:marBottom w:val="0"/>
          <w:divBdr>
            <w:top w:val="none" w:sz="0" w:space="0" w:color="auto"/>
            <w:left w:val="none" w:sz="0" w:space="0" w:color="auto"/>
            <w:bottom w:val="none" w:sz="0" w:space="0" w:color="auto"/>
            <w:right w:val="none" w:sz="0" w:space="0" w:color="auto"/>
          </w:divBdr>
          <w:divsChild>
            <w:div w:id="15666486">
              <w:marLeft w:val="0"/>
              <w:marRight w:val="0"/>
              <w:marTop w:val="0"/>
              <w:marBottom w:val="0"/>
              <w:divBdr>
                <w:top w:val="none" w:sz="0" w:space="0" w:color="auto"/>
                <w:left w:val="none" w:sz="0" w:space="0" w:color="auto"/>
                <w:bottom w:val="none" w:sz="0" w:space="0" w:color="auto"/>
                <w:right w:val="none" w:sz="0" w:space="0" w:color="auto"/>
              </w:divBdr>
            </w:div>
            <w:div w:id="248857395">
              <w:marLeft w:val="0"/>
              <w:marRight w:val="0"/>
              <w:marTop w:val="0"/>
              <w:marBottom w:val="0"/>
              <w:divBdr>
                <w:top w:val="none" w:sz="0" w:space="0" w:color="auto"/>
                <w:left w:val="none" w:sz="0" w:space="0" w:color="auto"/>
                <w:bottom w:val="none" w:sz="0" w:space="0" w:color="auto"/>
                <w:right w:val="none" w:sz="0" w:space="0" w:color="auto"/>
              </w:divBdr>
            </w:div>
            <w:div w:id="382947350">
              <w:marLeft w:val="0"/>
              <w:marRight w:val="0"/>
              <w:marTop w:val="0"/>
              <w:marBottom w:val="0"/>
              <w:divBdr>
                <w:top w:val="none" w:sz="0" w:space="0" w:color="auto"/>
                <w:left w:val="none" w:sz="0" w:space="0" w:color="auto"/>
                <w:bottom w:val="none" w:sz="0" w:space="0" w:color="auto"/>
                <w:right w:val="none" w:sz="0" w:space="0" w:color="auto"/>
              </w:divBdr>
            </w:div>
            <w:div w:id="512720005">
              <w:marLeft w:val="0"/>
              <w:marRight w:val="0"/>
              <w:marTop w:val="0"/>
              <w:marBottom w:val="0"/>
              <w:divBdr>
                <w:top w:val="none" w:sz="0" w:space="0" w:color="auto"/>
                <w:left w:val="none" w:sz="0" w:space="0" w:color="auto"/>
                <w:bottom w:val="none" w:sz="0" w:space="0" w:color="auto"/>
                <w:right w:val="none" w:sz="0" w:space="0" w:color="auto"/>
              </w:divBdr>
            </w:div>
            <w:div w:id="1533030768">
              <w:marLeft w:val="0"/>
              <w:marRight w:val="0"/>
              <w:marTop w:val="0"/>
              <w:marBottom w:val="0"/>
              <w:divBdr>
                <w:top w:val="none" w:sz="0" w:space="0" w:color="auto"/>
                <w:left w:val="none" w:sz="0" w:space="0" w:color="auto"/>
                <w:bottom w:val="none" w:sz="0" w:space="0" w:color="auto"/>
                <w:right w:val="none" w:sz="0" w:space="0" w:color="auto"/>
              </w:divBdr>
            </w:div>
          </w:divsChild>
        </w:div>
        <w:div w:id="1958098431">
          <w:marLeft w:val="0"/>
          <w:marRight w:val="0"/>
          <w:marTop w:val="0"/>
          <w:marBottom w:val="0"/>
          <w:divBdr>
            <w:top w:val="none" w:sz="0" w:space="0" w:color="auto"/>
            <w:left w:val="none" w:sz="0" w:space="0" w:color="auto"/>
            <w:bottom w:val="none" w:sz="0" w:space="0" w:color="auto"/>
            <w:right w:val="none" w:sz="0" w:space="0" w:color="auto"/>
          </w:divBdr>
        </w:div>
        <w:div w:id="2010907141">
          <w:marLeft w:val="0"/>
          <w:marRight w:val="0"/>
          <w:marTop w:val="0"/>
          <w:marBottom w:val="0"/>
          <w:divBdr>
            <w:top w:val="none" w:sz="0" w:space="0" w:color="auto"/>
            <w:left w:val="none" w:sz="0" w:space="0" w:color="auto"/>
            <w:bottom w:val="none" w:sz="0" w:space="0" w:color="auto"/>
            <w:right w:val="none" w:sz="0" w:space="0" w:color="auto"/>
          </w:divBdr>
        </w:div>
        <w:div w:id="2130394134">
          <w:marLeft w:val="0"/>
          <w:marRight w:val="0"/>
          <w:marTop w:val="0"/>
          <w:marBottom w:val="0"/>
          <w:divBdr>
            <w:top w:val="none" w:sz="0" w:space="0" w:color="auto"/>
            <w:left w:val="none" w:sz="0" w:space="0" w:color="auto"/>
            <w:bottom w:val="none" w:sz="0" w:space="0" w:color="auto"/>
            <w:right w:val="none" w:sz="0" w:space="0" w:color="auto"/>
          </w:divBdr>
        </w:div>
      </w:divsChild>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gc.gov.au/reports-for-government/2020-revie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gc.gov.au/reports-for-government/2020-review" TargetMode="External"/><Relationship Id="rId20" Type="http://schemas.openxmlformats.org/officeDocument/2006/relationships/hyperlink" Target="https://www.abs.gov.au/statistics/people/population/national-state-and-territory-population/latest-rele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z.aihw.gov.au/t/Public/views/HOU331_02_Chapter-CLIENTOUTCOMES/F_CLIENTS_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Lock\Commonwealth%20Grants%20Commission\Communications%20-%20Office%20Templates\CGC%20Word%20Templates\Assessment%20Consultation%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0229631F80714C9595CC742C6B48E8" ma:contentTypeVersion="16" ma:contentTypeDescription="Create a new document." ma:contentTypeScope="" ma:versionID="587377675d66a617c05529d80887533c">
  <xsd:schema xmlns:xsd="http://www.w3.org/2001/XMLSchema" xmlns:xs="http://www.w3.org/2001/XMLSchema" xmlns:p="http://schemas.microsoft.com/office/2006/metadata/properties" xmlns:ns2="b947e97b-0e0d-4a37-b7a7-c36958e104ca" xmlns:ns3="cde6150a-2887-4330-9d33-41179dba62e9" targetNamespace="http://schemas.microsoft.com/office/2006/metadata/properties" ma:root="true" ma:fieldsID="6ef3d4c26885e350e4ca4a1c7d57392c" ns2:_="" ns3:_="">
    <xsd:import namespace="b947e97b-0e0d-4a37-b7a7-c36958e104ca"/>
    <xsd:import namespace="cde6150a-2887-4330-9d33-41179dba6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e97b-0e0d-4a37-b7a7-c36958e10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150a-2887-4330-9d33-41179dba6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1c902-3ee1-4304-9c6c-5526e8376569}" ma:internalName="TaxCatchAll" ma:showField="CatchAllData" ma:web="cde6150a-2887-4330-9d33-41179dba6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de6150a-2887-4330-9d33-41179dba62e9">
      <UserInfo>
        <DisplayName>Ben Crabb</DisplayName>
        <AccountId>48</AccountId>
        <AccountType/>
      </UserInfo>
      <UserInfo>
        <DisplayName>Annie Abello</DisplayName>
        <AccountId>13</AccountId>
        <AccountType/>
      </UserInfo>
      <UserInfo>
        <DisplayName>Therese Maher</DisplayName>
        <AccountId>126</AccountId>
        <AccountType/>
      </UserInfo>
      <UserInfo>
        <DisplayName>Rose Verspaandonk</DisplayName>
        <AccountId>62</AccountId>
        <AccountType/>
      </UserInfo>
    </SharedWithUsers>
    <TaxCatchAll xmlns="cde6150a-2887-4330-9d33-41179dba62e9" xsi:nil="true"/>
    <lcf76f155ced4ddcb4097134ff3c332f xmlns="b947e97b-0e0d-4a37-b7a7-c36958e104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2.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3.xml><?xml version="1.0" encoding="utf-8"?>
<ds:datastoreItem xmlns:ds="http://schemas.openxmlformats.org/officeDocument/2006/customXml" ds:itemID="{AB8F5DE1-56BC-46EA-9ACC-6F3563173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e97b-0e0d-4a37-b7a7-c36958e104ca"/>
    <ds:schemaRef ds:uri="cde6150a-2887-4330-9d33-41179dba6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cde6150a-2887-4330-9d33-41179dba62e9"/>
    <ds:schemaRef ds:uri="b947e97b-0e0d-4a37-b7a7-c36958e104ca"/>
  </ds:schemaRefs>
</ds:datastoreItem>
</file>

<file path=docProps/app.xml><?xml version="1.0" encoding="utf-8"?>
<Properties xmlns="http://schemas.openxmlformats.org/officeDocument/2006/extended-properties" xmlns:vt="http://schemas.openxmlformats.org/officeDocument/2006/docPropsVTypes">
  <Template>Assessment Consultation paper template</Template>
  <TotalTime>573</TotalTime>
  <Pages>17</Pages>
  <Words>4603</Words>
  <Characters>26377</Characters>
  <Application>Microsoft Office Word</Application>
  <DocSecurity>0</DocSecurity>
  <Lines>850</Lines>
  <Paragraphs>534</Paragraphs>
  <ScaleCrop>false</ScaleCrop>
  <Company>Hewlett-Packard Company</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Lock</dc:creator>
  <cp:keywords/>
  <cp:lastModifiedBy>Katrina Baldock</cp:lastModifiedBy>
  <cp:revision>2576</cp:revision>
  <cp:lastPrinted>2023-10-25T22:32:00Z</cp:lastPrinted>
  <dcterms:created xsi:type="dcterms:W3CDTF">2023-07-10T16:32:00Z</dcterms:created>
  <dcterms:modified xsi:type="dcterms:W3CDTF">2023-10-26T02:48:00Z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0x010100E60229631F80714C9595CC742C6B48E8</vt:lpwstr>
  </property>
  <property fmtid="{D5CDD505-2E9C-101B-9397-08002B2CF9AE}" pid="3" name="MediaServiceImageTags">
    <vt:lpwstr/>
  </property>
  <property fmtid="{D5CDD505-2E9C-101B-9397-08002B2CF9AE}" pid="4" name="Order">
    <vt:r8>25000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_activity">
    <vt:lpwstr>{"FileActivityType":"8","FileActivityTimeStamp":"2023-09-19T04:23:25.373Z","FileActivityUsersOnPage":[{"DisplayName":"Peter Lock","Id":"peter.lock@cgc.gov.au"}],"FileActivityNavigationId":null}</vt:lpwstr>
  </property>
</Properties>
</file>