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76660" w14:textId="6A4F35D8" w:rsidR="00A5102B" w:rsidRPr="0040294B" w:rsidRDefault="00C76AAF" w:rsidP="00A5102B">
      <w:pPr>
        <w:rPr>
          <w:rFonts w:ascii="Work Sans" w:hAnsi="Work Sans"/>
          <w:sz w:val="24"/>
          <w:szCs w:val="24"/>
        </w:rPr>
      </w:pPr>
      <w:r>
        <w:rPr>
          <w:noProof/>
        </w:rPr>
        <w:drawing>
          <wp:anchor distT="0" distB="0" distL="114300" distR="114300" simplePos="0" relativeHeight="251658243" behindDoc="1" locked="0" layoutInCell="1" allowOverlap="1" wp14:anchorId="2326957D" wp14:editId="57EEE93A">
            <wp:simplePos x="0" y="0"/>
            <wp:positionH relativeFrom="margin">
              <wp:posOffset>-951378</wp:posOffset>
            </wp:positionH>
            <wp:positionV relativeFrom="paragraph">
              <wp:posOffset>-2740335</wp:posOffset>
            </wp:positionV>
            <wp:extent cx="7724775" cy="14401800"/>
            <wp:effectExtent l="0" t="0" r="9525" b="0"/>
            <wp:wrapNone/>
            <wp:docPr id="9" name="Picture 9"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4775" cy="14401800"/>
                    </a:xfrm>
                    <a:prstGeom prst="rect">
                      <a:avLst/>
                    </a:prstGeom>
                  </pic:spPr>
                </pic:pic>
              </a:graphicData>
            </a:graphic>
            <wp14:sizeRelH relativeFrom="margin">
              <wp14:pctWidth>0</wp14:pctWidth>
            </wp14:sizeRelH>
            <wp14:sizeRelV relativeFrom="margin">
              <wp14:pctHeight>0</wp14:pctHeight>
            </wp14:sizeRelV>
          </wp:anchor>
        </w:drawing>
      </w:r>
      <w:r w:rsidR="00A5102B">
        <w:rPr>
          <w:noProof/>
        </w:rPr>
        <w:drawing>
          <wp:inline distT="0" distB="0" distL="0" distR="0" wp14:anchorId="778710B9" wp14:editId="583FA244">
            <wp:extent cx="2441749" cy="460926"/>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p>
    <w:p w14:paraId="235F573B" w14:textId="18549160" w:rsidR="00A5102B" w:rsidRPr="00F0686F" w:rsidRDefault="00A5102B" w:rsidP="00A5102B">
      <w:pPr>
        <w:rPr>
          <w:rFonts w:ascii="Work Sans" w:hAnsi="Work Sans"/>
          <w:sz w:val="24"/>
          <w:szCs w:val="24"/>
        </w:rPr>
      </w:pPr>
    </w:p>
    <w:p w14:paraId="1BA22AB5" w14:textId="0851CD77" w:rsidR="00A5102B" w:rsidRPr="00F0686F" w:rsidRDefault="00A5102B" w:rsidP="00A5102B">
      <w:pPr>
        <w:rPr>
          <w:rFonts w:ascii="Work Sans" w:hAnsi="Work Sans"/>
          <w:sz w:val="24"/>
          <w:szCs w:val="24"/>
        </w:rPr>
      </w:pPr>
    </w:p>
    <w:p w14:paraId="374D250A" w14:textId="653C00DC" w:rsidR="00A5102B" w:rsidRDefault="00A5102B" w:rsidP="004477FF">
      <w:pPr>
        <w:pStyle w:val="CGCNumberedPara"/>
        <w:numPr>
          <w:ilvl w:val="0"/>
          <w:numId w:val="0"/>
        </w:numPr>
        <w:ind w:left="567" w:hanging="567"/>
      </w:pPr>
    </w:p>
    <w:p w14:paraId="269F61E6" w14:textId="1710E8D3" w:rsidR="00246686" w:rsidRDefault="00246686" w:rsidP="00AB13AF">
      <w:pPr>
        <w:tabs>
          <w:tab w:val="clear" w:pos="567"/>
          <w:tab w:val="left" w:pos="2515"/>
        </w:tabs>
        <w:rPr>
          <w:rFonts w:ascii="Work Sans" w:hAnsi="Work Sans"/>
          <w:sz w:val="24"/>
          <w:szCs w:val="24"/>
        </w:rPr>
      </w:pPr>
    </w:p>
    <w:p w14:paraId="064369F7" w14:textId="2CD50AD4" w:rsidR="00F2521E" w:rsidRPr="00F2521E" w:rsidRDefault="000D01AA" w:rsidP="004E10E4">
      <w:pPr>
        <w:rPr>
          <w:rFonts w:ascii="Work Sans" w:hAnsi="Work Sans"/>
          <w:sz w:val="24"/>
          <w:szCs w:val="24"/>
        </w:rPr>
      </w:pPr>
      <w:r w:rsidRPr="00962EFF">
        <w:rPr>
          <w:noProof/>
        </w:rPr>
        <mc:AlternateContent>
          <mc:Choice Requires="wps">
            <w:drawing>
              <wp:anchor distT="0" distB="0" distL="114300" distR="114300" simplePos="0" relativeHeight="251658241" behindDoc="0" locked="0" layoutInCell="1" allowOverlap="1" wp14:anchorId="2A12564A" wp14:editId="19A38971">
                <wp:simplePos x="0" y="0"/>
                <wp:positionH relativeFrom="margin">
                  <wp:posOffset>0</wp:posOffset>
                </wp:positionH>
                <wp:positionV relativeFrom="page">
                  <wp:posOffset>2618513</wp:posOffset>
                </wp:positionV>
                <wp:extent cx="6000750" cy="77697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6000750" cy="776975"/>
                        </a:xfrm>
                        <a:prstGeom prst="rect">
                          <a:avLst/>
                        </a:prstGeom>
                        <a:noFill/>
                        <a:ln w="6350">
                          <a:noFill/>
                        </a:ln>
                      </wps:spPr>
                      <wps:txbx>
                        <w:txbxContent>
                          <w:p w14:paraId="41C4D45C"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3713A6AA"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2564A" id="_x0000_t202" coordsize="21600,21600" o:spt="202" path="m,l,21600r21600,l21600,xe">
                <v:stroke joinstyle="miter"/>
                <v:path gradientshapeok="t" o:connecttype="rect"/>
              </v:shapetype>
              <v:shape id="Text Box 31" o:spid="_x0000_s1026" type="#_x0000_t202" style="position:absolute;margin-left:0;margin-top:206.2pt;width:472.5pt;height:61.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" filled="f" stroked="f" strokeweight=".5pt">
                <v:textbox>
                  <w:txbxContent>
                    <w:p w14:paraId="41C4D45C"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3713A6AA"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v:textbox>
                <w10:wrap anchorx="margin" anchory="page"/>
              </v:shape>
            </w:pict>
          </mc:Fallback>
        </mc:AlternateContent>
      </w:r>
    </w:p>
    <w:p w14:paraId="1ECBD88A" w14:textId="0E6D6E7B" w:rsidR="00A5102B" w:rsidRPr="00F0686F" w:rsidRDefault="00A5102B" w:rsidP="00545F2D">
      <w:pPr>
        <w:rPr>
          <w:rFonts w:ascii="Work Sans" w:hAnsi="Work Sans"/>
          <w:sz w:val="24"/>
          <w:szCs w:val="24"/>
        </w:rPr>
      </w:pPr>
    </w:p>
    <w:p w14:paraId="0D3EE3BA" w14:textId="07CDAAA3" w:rsidR="00A5102B" w:rsidRDefault="00A5102B" w:rsidP="00A5102B">
      <w:pPr>
        <w:rPr>
          <w:rFonts w:ascii="Work Sans" w:hAnsi="Work Sans"/>
          <w:sz w:val="24"/>
          <w:szCs w:val="24"/>
        </w:rPr>
      </w:pPr>
    </w:p>
    <w:p w14:paraId="40B315E3" w14:textId="4E4D0A70" w:rsidR="00A5102B" w:rsidRDefault="00A5102B" w:rsidP="00A5102B">
      <w:pPr>
        <w:rPr>
          <w:rFonts w:ascii="Work Sans" w:hAnsi="Work Sans"/>
          <w:sz w:val="24"/>
          <w:szCs w:val="24"/>
        </w:rPr>
      </w:pPr>
    </w:p>
    <w:p w14:paraId="315B6B99" w14:textId="5526D785" w:rsidR="00A5102B" w:rsidRDefault="00A5102B" w:rsidP="00A5102B">
      <w:pPr>
        <w:rPr>
          <w:rFonts w:ascii="Work Sans" w:hAnsi="Work Sans"/>
          <w:sz w:val="24"/>
          <w:szCs w:val="24"/>
        </w:rPr>
      </w:pPr>
    </w:p>
    <w:p w14:paraId="5A834DDF" w14:textId="104375ED" w:rsidR="00A5102B" w:rsidRDefault="00A5102B" w:rsidP="00A5102B">
      <w:pPr>
        <w:rPr>
          <w:rFonts w:ascii="Work Sans" w:hAnsi="Work Sans"/>
          <w:sz w:val="24"/>
          <w:szCs w:val="24"/>
        </w:rPr>
      </w:pPr>
    </w:p>
    <w:p w14:paraId="7A4F42CB" w14:textId="007B85F7" w:rsidR="00A5102B" w:rsidRDefault="00E062B6" w:rsidP="00A5102B">
      <w:pPr>
        <w:rPr>
          <w:rFonts w:ascii="Work Sans" w:hAnsi="Work Sans"/>
          <w:sz w:val="24"/>
          <w:szCs w:val="24"/>
        </w:rPr>
      </w:pPr>
      <w:r w:rsidRPr="00962EFF">
        <w:rPr>
          <w:noProof/>
        </w:rPr>
        <mc:AlternateContent>
          <mc:Choice Requires="wps">
            <w:drawing>
              <wp:anchor distT="0" distB="0" distL="114300" distR="114300" simplePos="0" relativeHeight="251658240" behindDoc="0" locked="0" layoutInCell="1" allowOverlap="1" wp14:anchorId="7AFE5877" wp14:editId="28304550">
                <wp:simplePos x="0" y="0"/>
                <wp:positionH relativeFrom="margin">
                  <wp:posOffset>0</wp:posOffset>
                </wp:positionH>
                <wp:positionV relativeFrom="page">
                  <wp:posOffset>4203043</wp:posOffset>
                </wp:positionV>
                <wp:extent cx="6000750" cy="1971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00750" cy="1971040"/>
                        </a:xfrm>
                        <a:prstGeom prst="rect">
                          <a:avLst/>
                        </a:prstGeom>
                        <a:noFill/>
                        <a:ln w="6350">
                          <a:noFill/>
                        </a:ln>
                      </wps:spPr>
                      <wps:txbx>
                        <w:txbxContent>
                          <w:p w14:paraId="22E476B0" w14:textId="51A7CF79" w:rsidR="0036633A" w:rsidRPr="0036633A" w:rsidRDefault="00C530D5" w:rsidP="0036633A">
                            <w:pPr>
                              <w:jc w:val="center"/>
                              <w:rPr>
                                <w:rFonts w:ascii="Work Sans" w:hAnsi="Work Sans" w:cs="Open Sans"/>
                                <w:color w:val="FFFFFF"/>
                                <w:sz w:val="52"/>
                                <w:szCs w:val="56"/>
                              </w:rPr>
                            </w:pPr>
                            <w:r>
                              <w:rPr>
                                <w:rFonts w:ascii="Work Sans" w:hAnsi="Work Sans" w:cs="Open Sans"/>
                                <w:color w:val="FFFFFF"/>
                                <w:sz w:val="52"/>
                                <w:szCs w:val="56"/>
                              </w:rPr>
                              <w:t>Wage costs</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w:t>
                            </w:r>
                            <w:r w:rsidR="00B30E90">
                              <w:rPr>
                                <w:rFonts w:ascii="Work Sans" w:hAnsi="Work Sans" w:cs="Open Sans"/>
                                <w:color w:val="FFFFFF"/>
                                <w:sz w:val="52"/>
                                <w:szCs w:val="56"/>
                              </w:rPr>
                              <w:t>r</w:t>
                            </w:r>
                            <w:r w:rsidR="00114A5A">
                              <w:rPr>
                                <w:rFonts w:ascii="Work Sans" w:hAnsi="Work Sans" w:cs="Open Sans"/>
                                <w:color w:val="FFFFFF"/>
                                <w:sz w:val="52"/>
                                <w:szCs w:val="56"/>
                              </w:rPr>
                              <w:t xml:space="preserve"> - addendum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E5877" id="Text Box 29" o:spid="_x0000_s1027" type="#_x0000_t202" style="position:absolute;margin-left:0;margin-top:330.95pt;width:472.5pt;height:15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" filled="f" stroked="f" strokeweight=".5pt">
                <v:textbox>
                  <w:txbxContent>
                    <w:p w14:paraId="22E476B0" w14:textId="51A7CF79" w:rsidR="0036633A" w:rsidRPr="0036633A" w:rsidRDefault="00C530D5" w:rsidP="0036633A">
                      <w:pPr>
                        <w:jc w:val="center"/>
                        <w:rPr>
                          <w:rFonts w:ascii="Work Sans" w:hAnsi="Work Sans" w:cs="Open Sans"/>
                          <w:color w:val="FFFFFF"/>
                          <w:sz w:val="52"/>
                          <w:szCs w:val="56"/>
                        </w:rPr>
                      </w:pPr>
                      <w:r>
                        <w:rPr>
                          <w:rFonts w:ascii="Work Sans" w:hAnsi="Work Sans" w:cs="Open Sans"/>
                          <w:color w:val="FFFFFF"/>
                          <w:sz w:val="52"/>
                          <w:szCs w:val="56"/>
                        </w:rPr>
                        <w:t>Wage costs</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w:t>
                      </w:r>
                      <w:r w:rsidR="00B30E90">
                        <w:rPr>
                          <w:rFonts w:ascii="Work Sans" w:hAnsi="Work Sans" w:cs="Open Sans"/>
                          <w:color w:val="FFFFFF"/>
                          <w:sz w:val="52"/>
                          <w:szCs w:val="56"/>
                        </w:rPr>
                        <w:t>r</w:t>
                      </w:r>
                      <w:r w:rsidR="00114A5A">
                        <w:rPr>
                          <w:rFonts w:ascii="Work Sans" w:hAnsi="Work Sans" w:cs="Open Sans"/>
                          <w:color w:val="FFFFFF"/>
                          <w:sz w:val="52"/>
                          <w:szCs w:val="56"/>
                        </w:rPr>
                        <w:t xml:space="preserve"> - addendum</w:t>
                      </w:r>
                    </w:p>
                  </w:txbxContent>
                </v:textbox>
                <w10:wrap anchorx="margin" anchory="page"/>
              </v:shape>
            </w:pict>
          </mc:Fallback>
        </mc:AlternateContent>
      </w:r>
    </w:p>
    <w:p w14:paraId="4DC25D55" w14:textId="7189B55F" w:rsidR="00A5102B" w:rsidRDefault="00A5102B" w:rsidP="002A45B1">
      <w:pPr>
        <w:jc w:val="center"/>
        <w:rPr>
          <w:rFonts w:ascii="Work Sans" w:hAnsi="Work Sans"/>
          <w:sz w:val="24"/>
          <w:szCs w:val="24"/>
        </w:rPr>
      </w:pPr>
    </w:p>
    <w:p w14:paraId="64CDD92E" w14:textId="12B56322" w:rsidR="00A5102B" w:rsidRDefault="00A5102B" w:rsidP="00704788">
      <w:pPr>
        <w:rPr>
          <w:rFonts w:ascii="Work Sans" w:hAnsi="Work Sans" w:cs="Open Sans"/>
          <w:color w:val="FFFFFF"/>
          <w:sz w:val="28"/>
          <w:szCs w:val="28"/>
        </w:rPr>
      </w:pPr>
    </w:p>
    <w:p w14:paraId="7E59A079" w14:textId="7903B41B" w:rsidR="00704788" w:rsidRDefault="00704788" w:rsidP="00704788">
      <w:pPr>
        <w:rPr>
          <w:rFonts w:ascii="Work Sans" w:hAnsi="Work Sans" w:cs="Open Sans"/>
          <w:color w:val="FFFFFF"/>
          <w:sz w:val="28"/>
          <w:szCs w:val="28"/>
        </w:rPr>
      </w:pPr>
    </w:p>
    <w:p w14:paraId="55A4BCC7" w14:textId="107DB04E" w:rsidR="00704788" w:rsidRDefault="00704788" w:rsidP="00704788">
      <w:pPr>
        <w:rPr>
          <w:rFonts w:ascii="Work Sans" w:hAnsi="Work Sans" w:cs="Open Sans"/>
          <w:color w:val="FFFFFF"/>
          <w:sz w:val="28"/>
          <w:szCs w:val="28"/>
        </w:rPr>
      </w:pPr>
    </w:p>
    <w:p w14:paraId="736B7D6C" w14:textId="77777777" w:rsidR="00704788" w:rsidRDefault="00704788" w:rsidP="00704788">
      <w:pPr>
        <w:rPr>
          <w:rFonts w:ascii="Work Sans" w:hAnsi="Work Sans" w:cs="Open Sans"/>
          <w:color w:val="FFFFFF"/>
          <w:sz w:val="28"/>
          <w:szCs w:val="28"/>
        </w:rPr>
      </w:pPr>
    </w:p>
    <w:p w14:paraId="05014DA7" w14:textId="406BB4F7" w:rsidR="00704788" w:rsidRDefault="00704788" w:rsidP="00704788">
      <w:pPr>
        <w:rPr>
          <w:rFonts w:ascii="Work Sans" w:hAnsi="Work Sans" w:cs="Open Sans"/>
          <w:color w:val="FFFFFF"/>
          <w:sz w:val="28"/>
          <w:szCs w:val="28"/>
        </w:rPr>
      </w:pPr>
    </w:p>
    <w:p w14:paraId="66477ADF" w14:textId="25FF837F" w:rsidR="00704788" w:rsidRDefault="00704788" w:rsidP="00704788">
      <w:pPr>
        <w:rPr>
          <w:rFonts w:ascii="Work Sans" w:hAnsi="Work Sans" w:cs="Open Sans"/>
          <w:color w:val="FFFFFF"/>
          <w:sz w:val="28"/>
          <w:szCs w:val="28"/>
        </w:rPr>
      </w:pPr>
    </w:p>
    <w:p w14:paraId="77697FA2" w14:textId="7BD18D29" w:rsidR="00704788" w:rsidRDefault="00BA4C59" w:rsidP="00E062B6">
      <w:pPr>
        <w:jc w:val="center"/>
        <w:rPr>
          <w:rFonts w:ascii="Work Sans" w:hAnsi="Work Sans" w:cs="Open Sans"/>
          <w:color w:val="FFFFFF"/>
          <w:sz w:val="28"/>
          <w:szCs w:val="28"/>
        </w:rPr>
      </w:pPr>
      <w:r w:rsidRPr="00962EFF">
        <w:rPr>
          <w:noProof/>
        </w:rPr>
        <mc:AlternateContent>
          <mc:Choice Requires="wps">
            <w:drawing>
              <wp:anchor distT="0" distB="0" distL="114300" distR="114300" simplePos="0" relativeHeight="251658242" behindDoc="0" locked="0" layoutInCell="1" allowOverlap="1" wp14:anchorId="17E2D963" wp14:editId="31215B1A">
                <wp:simplePos x="0" y="0"/>
                <wp:positionH relativeFrom="margin">
                  <wp:align>center</wp:align>
                </wp:positionH>
                <wp:positionV relativeFrom="page">
                  <wp:posOffset>6528021</wp:posOffset>
                </wp:positionV>
                <wp:extent cx="1704975" cy="4387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4975" cy="438785"/>
                        </a:xfrm>
                        <a:prstGeom prst="rect">
                          <a:avLst/>
                        </a:prstGeom>
                        <a:noFill/>
                        <a:ln w="6350">
                          <a:noFill/>
                        </a:ln>
                      </wps:spPr>
                      <wps:txbx>
                        <w:txbxContent>
                          <w:p w14:paraId="548B99E5" w14:textId="34DFF4AB" w:rsidR="00BA4C59" w:rsidRPr="00BA4C59" w:rsidRDefault="00114A5A" w:rsidP="00BA4C59">
                            <w:pPr>
                              <w:jc w:val="center"/>
                              <w:rPr>
                                <w:rFonts w:ascii="Work Sans" w:hAnsi="Work Sans" w:cs="Open Sans"/>
                                <w:color w:val="FFFFFF"/>
                                <w:sz w:val="28"/>
                                <w:szCs w:val="28"/>
                              </w:rPr>
                            </w:pPr>
                            <w:r>
                              <w:rPr>
                                <w:rFonts w:ascii="Work Sans" w:hAnsi="Work Sans" w:cs="Open Sans"/>
                                <w:color w:val="FFFFFF"/>
                                <w:sz w:val="28"/>
                                <w:szCs w:val="28"/>
                              </w:rPr>
                              <w:t>September</w:t>
                            </w:r>
                            <w:r w:rsidR="00C530D5">
                              <w:rPr>
                                <w:rFonts w:ascii="Work Sans" w:hAnsi="Work Sans" w:cs="Open Sans"/>
                                <w:color w:val="FFFFFF"/>
                                <w:sz w:val="28"/>
                                <w:szCs w:val="28"/>
                              </w:rPr>
                              <w:t xml:space="preserve"> </w:t>
                            </w:r>
                            <w:r w:rsidR="00BA4C59" w:rsidRPr="00BA4C59">
                              <w:rPr>
                                <w:rFonts w:ascii="Work Sans" w:hAnsi="Work Sans" w:cs="Open Sans"/>
                                <w:color w:val="FFFFFF"/>
                                <w:sz w:val="28"/>
                                <w:szCs w:val="2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D963" id="Text Box 30" o:spid="_x0000_s1028" type="#_x0000_t202" style="position:absolute;left:0;text-align:left;margin-left:0;margin-top:514pt;width:134.25pt;height:34.5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WGwIAADM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" filled="f" stroked="f" strokeweight=".5pt">
                <v:textbox>
                  <w:txbxContent>
                    <w:p w14:paraId="548B99E5" w14:textId="34DFF4AB" w:rsidR="00BA4C59" w:rsidRPr="00BA4C59" w:rsidRDefault="00114A5A" w:rsidP="00BA4C59">
                      <w:pPr>
                        <w:jc w:val="center"/>
                        <w:rPr>
                          <w:rFonts w:ascii="Work Sans" w:hAnsi="Work Sans" w:cs="Open Sans"/>
                          <w:color w:val="FFFFFF"/>
                          <w:sz w:val="28"/>
                          <w:szCs w:val="28"/>
                        </w:rPr>
                      </w:pPr>
                      <w:r>
                        <w:rPr>
                          <w:rFonts w:ascii="Work Sans" w:hAnsi="Work Sans" w:cs="Open Sans"/>
                          <w:color w:val="FFFFFF"/>
                          <w:sz w:val="28"/>
                          <w:szCs w:val="28"/>
                        </w:rPr>
                        <w:t>September</w:t>
                      </w:r>
                      <w:r w:rsidR="00C530D5">
                        <w:rPr>
                          <w:rFonts w:ascii="Work Sans" w:hAnsi="Work Sans" w:cs="Open Sans"/>
                          <w:color w:val="FFFFFF"/>
                          <w:sz w:val="28"/>
                          <w:szCs w:val="28"/>
                        </w:rPr>
                        <w:t xml:space="preserve"> </w:t>
                      </w:r>
                      <w:r w:rsidR="00BA4C59" w:rsidRPr="00BA4C59">
                        <w:rPr>
                          <w:rFonts w:ascii="Work Sans" w:hAnsi="Work Sans" w:cs="Open Sans"/>
                          <w:color w:val="FFFFFF"/>
                          <w:sz w:val="28"/>
                          <w:szCs w:val="28"/>
                        </w:rPr>
                        <w:t>2023</w:t>
                      </w:r>
                    </w:p>
                  </w:txbxContent>
                </v:textbox>
                <w10:wrap anchorx="margin" anchory="page"/>
              </v:shape>
            </w:pict>
          </mc:Fallback>
        </mc:AlternateContent>
      </w:r>
    </w:p>
    <w:p w14:paraId="6484FACC" w14:textId="43661E3A" w:rsidR="00704788" w:rsidRDefault="00704788" w:rsidP="00DB5889">
      <w:pPr>
        <w:rPr>
          <w:rFonts w:ascii="Work Sans" w:hAnsi="Work Sans" w:cs="Open Sans"/>
          <w:color w:val="FFFFFF"/>
          <w:sz w:val="28"/>
          <w:szCs w:val="28"/>
        </w:rPr>
      </w:pPr>
    </w:p>
    <w:p w14:paraId="7D74C04A" w14:textId="46F132F8" w:rsidR="00DB5889" w:rsidRPr="00704788" w:rsidRDefault="00DB5889" w:rsidP="00DB5889">
      <w:pPr>
        <w:rPr>
          <w:rFonts w:ascii="Work Sans" w:hAnsi="Work Sans" w:cs="Open Sans"/>
          <w:color w:val="FFFFFF"/>
          <w:sz w:val="28"/>
          <w:szCs w:val="28"/>
        </w:rPr>
      </w:pPr>
    </w:p>
    <w:p w14:paraId="4811AF7F" w14:textId="57E305C6" w:rsidR="00A5102B" w:rsidRDefault="00A5102B" w:rsidP="00210D9C">
      <w:pPr>
        <w:pStyle w:val="Heading1"/>
        <w:jc w:val="center"/>
        <w:sectPr w:rsidR="00A5102B" w:rsidSect="003A0403">
          <w:footerReference w:type="default" r:id="rId13"/>
          <w:pgSz w:w="11906" w:h="16838"/>
          <w:pgMar w:top="1440" w:right="1440" w:bottom="1440" w:left="1440" w:header="708" w:footer="708" w:gutter="0"/>
          <w:cols w:space="708"/>
          <w:docGrid w:linePitch="360"/>
        </w:sectPr>
      </w:pPr>
    </w:p>
    <w:p w14:paraId="698689A7" w14:textId="7ACBF807" w:rsidR="00A5102B" w:rsidRPr="005B6B61" w:rsidRDefault="00A5102B" w:rsidP="005B6B61"/>
    <w:p w14:paraId="695BC8CC" w14:textId="77777777" w:rsidR="00A5102B" w:rsidRPr="005B6B61" w:rsidRDefault="00A5102B" w:rsidP="005B6B61"/>
    <w:p w14:paraId="013320FD" w14:textId="77777777" w:rsidR="00A5102B" w:rsidRPr="005B6B61" w:rsidRDefault="00A5102B" w:rsidP="005B6B61"/>
    <w:p w14:paraId="21854C73" w14:textId="77777777" w:rsidR="00A5102B" w:rsidRPr="005B6B61" w:rsidRDefault="00A5102B" w:rsidP="005B6B61"/>
    <w:p w14:paraId="11D296A6" w14:textId="77777777" w:rsidR="00A5102B" w:rsidRPr="005B6B61" w:rsidRDefault="00A5102B" w:rsidP="005B6B61"/>
    <w:p w14:paraId="56EA0621" w14:textId="77777777" w:rsidR="00A5102B" w:rsidRPr="005B6B61" w:rsidRDefault="00A5102B" w:rsidP="005B6B61"/>
    <w:p w14:paraId="6AF9FB70" w14:textId="77777777" w:rsidR="00A5102B" w:rsidRPr="005B6B61" w:rsidRDefault="00A5102B" w:rsidP="005B6B61"/>
    <w:p w14:paraId="308B9AFA" w14:textId="42485454" w:rsidR="003119A7" w:rsidRDefault="003119A7" w:rsidP="005B6B61"/>
    <w:p w14:paraId="6BD7ED02" w14:textId="10166582" w:rsidR="004F0684" w:rsidRDefault="004F0684" w:rsidP="005B6B61"/>
    <w:p w14:paraId="4640F7D4" w14:textId="4570646B" w:rsidR="004F0684" w:rsidRDefault="004F0684" w:rsidP="005B6B61"/>
    <w:p w14:paraId="03C94600" w14:textId="5B8F1B68" w:rsidR="004F0684" w:rsidRDefault="004F0684" w:rsidP="005B6B61"/>
    <w:p w14:paraId="1C1B4178" w14:textId="5CAB6685" w:rsidR="004F0684" w:rsidRDefault="004F0684" w:rsidP="005B6B61"/>
    <w:p w14:paraId="10045F88" w14:textId="0F0CDBA5" w:rsidR="004F0684" w:rsidRPr="005B6B61" w:rsidRDefault="004F0684" w:rsidP="005B6B61"/>
    <w:p w14:paraId="07C94883" w14:textId="4FEF769F" w:rsidR="003119A7" w:rsidRPr="005B6B61" w:rsidRDefault="003119A7" w:rsidP="005B6B61"/>
    <w:p w14:paraId="30A691F9" w14:textId="77777777" w:rsidR="003119A7" w:rsidRPr="005B6B61" w:rsidRDefault="003119A7" w:rsidP="005B6B61"/>
    <w:p w14:paraId="2DA28D10" w14:textId="51E92A66" w:rsidR="00A5102B" w:rsidRPr="005B6B61" w:rsidRDefault="00A5102B" w:rsidP="005B6B61"/>
    <w:p w14:paraId="3B22A318" w14:textId="77777777" w:rsidR="00A5102B" w:rsidRPr="005B6B61" w:rsidRDefault="00A5102B" w:rsidP="005B6B61"/>
    <w:tbl>
      <w:tblPr>
        <w:tblStyle w:val="TableGrid"/>
        <w:tblW w:w="0" w:type="auto"/>
        <w:tblLook w:val="04A0" w:firstRow="1" w:lastRow="0" w:firstColumn="1" w:lastColumn="0" w:noHBand="0" w:noVBand="1"/>
      </w:tblPr>
      <w:tblGrid>
        <w:gridCol w:w="2972"/>
        <w:gridCol w:w="6044"/>
      </w:tblGrid>
      <w:tr w:rsidR="00A5102B" w14:paraId="7EB20388" w14:textId="77777777" w:rsidTr="003A0403">
        <w:tc>
          <w:tcPr>
            <w:tcW w:w="2972" w:type="dxa"/>
          </w:tcPr>
          <w:p w14:paraId="3AD798D9" w14:textId="77777777" w:rsidR="00A5102B" w:rsidRPr="003119A7" w:rsidRDefault="00A5102B" w:rsidP="003A0403">
            <w:pPr>
              <w:rPr>
                <w:rFonts w:ascii="Work Sans" w:hAnsi="Work Sans"/>
                <w:szCs w:val="20"/>
              </w:rPr>
            </w:pPr>
            <w:r w:rsidRPr="003119A7">
              <w:rPr>
                <w:rFonts w:ascii="Work Sans" w:hAnsi="Work Sans"/>
                <w:szCs w:val="20"/>
              </w:rPr>
              <w:t>Paper issued</w:t>
            </w:r>
          </w:p>
        </w:tc>
        <w:tc>
          <w:tcPr>
            <w:tcW w:w="6044" w:type="dxa"/>
          </w:tcPr>
          <w:p w14:paraId="7C0FA175" w14:textId="4D8B2605" w:rsidR="00A5102B" w:rsidRPr="003119A7" w:rsidRDefault="00A02B02" w:rsidP="003A0403">
            <w:pPr>
              <w:rPr>
                <w:rFonts w:ascii="Work Sans" w:hAnsi="Work Sans"/>
                <w:szCs w:val="20"/>
              </w:rPr>
            </w:pPr>
            <w:r>
              <w:rPr>
                <w:rFonts w:ascii="Work Sans" w:hAnsi="Work Sans"/>
                <w:szCs w:val="20"/>
              </w:rPr>
              <w:t>2</w:t>
            </w:r>
            <w:r w:rsidR="009C4785">
              <w:rPr>
                <w:rFonts w:ascii="Work Sans" w:hAnsi="Work Sans"/>
                <w:szCs w:val="20"/>
              </w:rPr>
              <w:t>7</w:t>
            </w:r>
            <w:r>
              <w:rPr>
                <w:rFonts w:ascii="Work Sans" w:hAnsi="Work Sans"/>
                <w:szCs w:val="20"/>
              </w:rPr>
              <w:t xml:space="preserve"> September 2023</w:t>
            </w:r>
          </w:p>
        </w:tc>
      </w:tr>
      <w:tr w:rsidR="00A5102B" w14:paraId="11365DE9" w14:textId="77777777" w:rsidTr="003A0403">
        <w:tc>
          <w:tcPr>
            <w:tcW w:w="2972" w:type="dxa"/>
          </w:tcPr>
          <w:p w14:paraId="0E3E6654" w14:textId="77777777" w:rsidR="00A5102B" w:rsidRPr="00540467" w:rsidRDefault="00A5102B" w:rsidP="003A0403">
            <w:pPr>
              <w:rPr>
                <w:rFonts w:ascii="Work Sans" w:hAnsi="Work Sans"/>
                <w:szCs w:val="20"/>
              </w:rPr>
            </w:pPr>
            <w:r w:rsidRPr="00540467">
              <w:rPr>
                <w:rFonts w:ascii="Work Sans" w:hAnsi="Work Sans"/>
                <w:szCs w:val="20"/>
              </w:rPr>
              <w:t>Commission contact officer</w:t>
            </w:r>
          </w:p>
        </w:tc>
        <w:tc>
          <w:tcPr>
            <w:tcW w:w="6044" w:type="dxa"/>
          </w:tcPr>
          <w:p w14:paraId="0AE869FA" w14:textId="3D2EA734" w:rsidR="00A5102B" w:rsidRPr="00540467" w:rsidRDefault="00F52A77" w:rsidP="003A0403">
            <w:pPr>
              <w:rPr>
                <w:rFonts w:ascii="Work Sans" w:hAnsi="Work Sans"/>
                <w:szCs w:val="20"/>
              </w:rPr>
            </w:pPr>
            <w:r w:rsidRPr="00540467">
              <w:rPr>
                <w:rFonts w:ascii="Work Sans" w:eastAsia="Calibri" w:hAnsi="Work Sans" w:cs="Arial"/>
              </w:rPr>
              <w:t>Liam van der Vyver, liam.vandervyver</w:t>
            </w:r>
            <w:r w:rsidR="00526A90" w:rsidRPr="00540467">
              <w:rPr>
                <w:rFonts w:ascii="Work Sans" w:eastAsia="Calibri" w:hAnsi="Work Sans" w:cs="Arial"/>
              </w:rPr>
              <w:t>@cgc.gov.au</w:t>
            </w:r>
          </w:p>
        </w:tc>
      </w:tr>
      <w:tr w:rsidR="00A5102B" w14:paraId="066C2520" w14:textId="77777777" w:rsidTr="003A0403">
        <w:tc>
          <w:tcPr>
            <w:tcW w:w="2972" w:type="dxa"/>
          </w:tcPr>
          <w:p w14:paraId="6DBD6F0F" w14:textId="77777777" w:rsidR="00A5102B" w:rsidRPr="003119A7" w:rsidRDefault="00A5102B" w:rsidP="003A0403">
            <w:pPr>
              <w:rPr>
                <w:rFonts w:ascii="Work Sans" w:hAnsi="Work Sans"/>
                <w:szCs w:val="20"/>
              </w:rPr>
            </w:pPr>
            <w:r w:rsidRPr="003119A7">
              <w:rPr>
                <w:rFonts w:ascii="Work Sans" w:hAnsi="Work Sans"/>
                <w:szCs w:val="20"/>
              </w:rPr>
              <w:t>Submissions sought by</w:t>
            </w:r>
          </w:p>
        </w:tc>
        <w:tc>
          <w:tcPr>
            <w:tcW w:w="6044" w:type="dxa"/>
          </w:tcPr>
          <w:p w14:paraId="0E76D454" w14:textId="343658B6" w:rsidR="00D76AB5" w:rsidRDefault="00ED22F7" w:rsidP="003A0403">
            <w:pPr>
              <w:rPr>
                <w:rFonts w:ascii="Work Sans" w:hAnsi="Work Sans"/>
                <w:szCs w:val="20"/>
              </w:rPr>
            </w:pPr>
            <w:r>
              <w:rPr>
                <w:rFonts w:ascii="Work Sans" w:hAnsi="Work Sans"/>
                <w:szCs w:val="20"/>
              </w:rPr>
              <w:t>13 November 2023</w:t>
            </w:r>
          </w:p>
          <w:p w14:paraId="08F53FA1" w14:textId="1A37B6A2" w:rsidR="00A5102B" w:rsidRPr="003119A7" w:rsidRDefault="00A5102B" w:rsidP="003A0403">
            <w:pPr>
              <w:rPr>
                <w:rFonts w:ascii="Work Sans" w:hAnsi="Work Sans"/>
                <w:szCs w:val="20"/>
              </w:rPr>
            </w:pPr>
            <w:r w:rsidRPr="003119A7">
              <w:rPr>
                <w:rFonts w:ascii="Work Sans" w:hAnsi="Work Sans"/>
                <w:szCs w:val="20"/>
              </w:rPr>
              <w:t xml:space="preserve">Submissions should be placed in your private state channel in CGC Engagement Teams, with a post notifying </w:t>
            </w:r>
            <w:r w:rsidR="00B30E90">
              <w:rPr>
                <w:rFonts w:ascii="Work Sans" w:hAnsi="Work Sans"/>
                <w:szCs w:val="20"/>
              </w:rPr>
              <w:t>Katrina Baldock</w:t>
            </w:r>
            <w:r w:rsidR="000C53E9" w:rsidRPr="003119A7">
              <w:rPr>
                <w:rFonts w:ascii="Work Sans" w:hAnsi="Work Sans"/>
                <w:szCs w:val="20"/>
              </w:rPr>
              <w:t>.</w:t>
            </w:r>
          </w:p>
          <w:p w14:paraId="4396ACB3" w14:textId="3853E1B4" w:rsidR="00A5102B" w:rsidRPr="003119A7" w:rsidRDefault="00A5102B" w:rsidP="003A0403">
            <w:pPr>
              <w:rPr>
                <w:rFonts w:ascii="Work Sans" w:hAnsi="Work Sans"/>
                <w:szCs w:val="20"/>
              </w:rPr>
            </w:pPr>
            <w:r w:rsidRPr="003119A7">
              <w:rPr>
                <w:rFonts w:ascii="Work Sans" w:hAnsi="Work Sans"/>
                <w:szCs w:val="20"/>
              </w:rPr>
              <w:t xml:space="preserve">Submissions </w:t>
            </w:r>
            <w:r w:rsidR="005869CB">
              <w:rPr>
                <w:rFonts w:ascii="Work Sans" w:hAnsi="Work Sans"/>
                <w:szCs w:val="20"/>
              </w:rPr>
              <w:t>should be in Word format and posted in the relevant state channel of the CGC engagement Team.</w:t>
            </w:r>
            <w:r w:rsidR="005E421C">
              <w:rPr>
                <w:rFonts w:ascii="Work Sans" w:hAnsi="Work Sans"/>
                <w:szCs w:val="20"/>
              </w:rPr>
              <w:t xml:space="preserve"> Submissions </w:t>
            </w:r>
            <w:r w:rsidRPr="003119A7">
              <w:rPr>
                <w:rFonts w:ascii="Work Sans" w:hAnsi="Work Sans"/>
                <w:szCs w:val="20"/>
              </w:rPr>
              <w:t>more than 10 pages in length should include a summary section.</w:t>
            </w:r>
          </w:p>
        </w:tc>
      </w:tr>
      <w:tr w:rsidR="00A5102B" w14:paraId="4A2C2E7B" w14:textId="77777777" w:rsidTr="003A0403">
        <w:tc>
          <w:tcPr>
            <w:tcW w:w="2972" w:type="dxa"/>
          </w:tcPr>
          <w:p w14:paraId="7DD8E4C8" w14:textId="77777777" w:rsidR="00A5102B" w:rsidRPr="003119A7" w:rsidRDefault="00A5102B" w:rsidP="003A0403">
            <w:pPr>
              <w:rPr>
                <w:rFonts w:ascii="Work Sans" w:hAnsi="Work Sans"/>
                <w:szCs w:val="20"/>
              </w:rPr>
            </w:pPr>
            <w:r w:rsidRPr="003119A7">
              <w:rPr>
                <w:rFonts w:ascii="Work Sans" w:hAnsi="Work Sans"/>
                <w:szCs w:val="20"/>
              </w:rPr>
              <w:t>Confidential material</w:t>
            </w:r>
          </w:p>
        </w:tc>
        <w:tc>
          <w:tcPr>
            <w:tcW w:w="6044" w:type="dxa"/>
          </w:tcPr>
          <w:p w14:paraId="04CDDAA6" w14:textId="463DA92D" w:rsidR="00A5102B" w:rsidRPr="003119A7" w:rsidRDefault="00A5102B" w:rsidP="003A0403">
            <w:pPr>
              <w:rPr>
                <w:rFonts w:ascii="Work Sans" w:hAnsi="Work Sans"/>
                <w:szCs w:val="20"/>
              </w:rPr>
            </w:pPr>
            <w:r w:rsidRPr="003119A7">
              <w:rPr>
                <w:rFonts w:ascii="Work Sans" w:hAnsi="Work Sans"/>
                <w:szCs w:val="20"/>
              </w:rPr>
              <w:t xml:space="preserve">It is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 xml:space="preserve">normal practice to make state submissions available on its website under the CC BY licence, allowing free use of content by third parties. </w:t>
            </w:r>
          </w:p>
          <w:p w14:paraId="6849CDDF" w14:textId="77777777" w:rsidR="00A5102B" w:rsidRPr="003119A7" w:rsidRDefault="00A5102B" w:rsidP="003A0403">
            <w:pPr>
              <w:rPr>
                <w:rFonts w:ascii="Work Sans" w:hAnsi="Work Sans"/>
                <w:szCs w:val="20"/>
              </w:rPr>
            </w:pPr>
            <w:r w:rsidRPr="003119A7">
              <w:rPr>
                <w:noProof/>
                <w:szCs w:val="20"/>
                <w:lang w:eastAsia="en-AU"/>
              </w:rPr>
              <w:drawing>
                <wp:inline distT="0" distB="0" distL="0" distR="0" wp14:anchorId="007C1E09" wp14:editId="3498F777">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726BCD5C" w14:textId="77777777" w:rsidR="00A5102B" w:rsidRPr="003119A7" w:rsidRDefault="00A5102B" w:rsidP="003A0403">
            <w:pPr>
              <w:rPr>
                <w:rFonts w:ascii="Work Sans" w:hAnsi="Work Sans"/>
                <w:szCs w:val="20"/>
              </w:rPr>
            </w:pPr>
            <w:r w:rsidRPr="003119A7">
              <w:rPr>
                <w:rFonts w:ascii="Work Sans" w:hAnsi="Work Sans"/>
                <w:szCs w:val="20"/>
              </w:rPr>
              <w:t xml:space="preserve">Further information on the CC BY licence can be found on the Creative Commons website (http://creativecommons.org). </w:t>
            </w:r>
          </w:p>
          <w:p w14:paraId="2CB22B19" w14:textId="13515C32" w:rsidR="00A5102B" w:rsidRPr="003119A7" w:rsidRDefault="00A5102B" w:rsidP="003A0403">
            <w:pPr>
              <w:rPr>
                <w:rFonts w:ascii="Work Sans" w:hAnsi="Work Sans"/>
                <w:szCs w:val="20"/>
              </w:rPr>
            </w:pPr>
            <w:r w:rsidRPr="003119A7">
              <w:rPr>
                <w:rFonts w:ascii="Work Sans" w:hAnsi="Work Sans"/>
                <w:szCs w:val="20"/>
              </w:rPr>
              <w:t xml:space="preserve">Confidential material contained in submissions must be clearly identified or included in separate attachment/s, and details provided in the covering email. Identified confidential material will not be published on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website.</w:t>
            </w:r>
          </w:p>
        </w:tc>
      </w:tr>
    </w:tbl>
    <w:p w14:paraId="5B36DCBD" w14:textId="77777777" w:rsidR="005B6B61" w:rsidRDefault="005B6B61" w:rsidP="00DF1879">
      <w:pPr>
        <w:sectPr w:rsidR="005B6B61" w:rsidSect="004F0684">
          <w:headerReference w:type="default" r:id="rId15"/>
          <w:footerReference w:type="first" r:id="rId16"/>
          <w:pgSz w:w="11906" w:h="16838" w:code="9"/>
          <w:pgMar w:top="1440" w:right="1440" w:bottom="1440" w:left="1440" w:header="720" w:footer="720" w:gutter="0"/>
          <w:cols w:space="720"/>
          <w:docGrid w:linePitch="272"/>
        </w:sectPr>
      </w:pPr>
    </w:p>
    <w:sdt>
      <w:sdtPr>
        <w:rPr>
          <w:rFonts w:ascii="Open Sans Light" w:eastAsiaTheme="minorHAnsi" w:hAnsi="Open Sans Light" w:cstheme="minorBidi"/>
          <w:b w:val="0"/>
          <w:bCs w:val="0"/>
          <w:caps w:val="0"/>
          <w:color w:val="auto"/>
          <w:sz w:val="20"/>
          <w:szCs w:val="22"/>
        </w:rPr>
        <w:id w:val="2028664566"/>
        <w:docPartObj>
          <w:docPartGallery w:val="Table of Contents"/>
          <w:docPartUnique/>
        </w:docPartObj>
      </w:sdtPr>
      <w:sdtEndPr>
        <w:rPr>
          <w:noProof/>
        </w:rPr>
      </w:sdtEndPr>
      <w:sdtContent>
        <w:p w14:paraId="62BF2D2D" w14:textId="74E6270F" w:rsidR="005B6B61" w:rsidRDefault="005B6B61">
          <w:pPr>
            <w:pStyle w:val="TOCHeading"/>
          </w:pPr>
          <w:r>
            <w:t>Contents</w:t>
          </w:r>
        </w:p>
        <w:p w14:paraId="76931B49" w14:textId="6CF3DF4F" w:rsidR="00461DB2" w:rsidRDefault="005B6B61">
          <w:pPr>
            <w:pStyle w:val="TOC2"/>
            <w:rPr>
              <w:rFonts w:asciiTheme="minorHAnsi" w:eastAsiaTheme="minorEastAsia" w:hAnsiTheme="minorHAnsi"/>
              <w:bC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44816281" w:history="1">
            <w:r w:rsidR="00461DB2" w:rsidRPr="008B1066">
              <w:rPr>
                <w:rStyle w:val="Hyperlink"/>
                <w:noProof/>
              </w:rPr>
              <w:t>Background</w:t>
            </w:r>
            <w:r w:rsidR="00461DB2">
              <w:rPr>
                <w:noProof/>
                <w:webHidden/>
              </w:rPr>
              <w:tab/>
            </w:r>
            <w:r w:rsidR="00461DB2">
              <w:rPr>
                <w:noProof/>
                <w:webHidden/>
              </w:rPr>
              <w:fldChar w:fldCharType="begin"/>
            </w:r>
            <w:r w:rsidR="00461DB2">
              <w:rPr>
                <w:noProof/>
                <w:webHidden/>
              </w:rPr>
              <w:instrText xml:space="preserve"> PAGEREF _Toc144816281 \h </w:instrText>
            </w:r>
            <w:r w:rsidR="00461DB2">
              <w:rPr>
                <w:noProof/>
                <w:webHidden/>
              </w:rPr>
            </w:r>
            <w:r w:rsidR="00461DB2">
              <w:rPr>
                <w:noProof/>
                <w:webHidden/>
              </w:rPr>
              <w:fldChar w:fldCharType="separate"/>
            </w:r>
            <w:r w:rsidR="00461DB2">
              <w:rPr>
                <w:noProof/>
                <w:webHidden/>
              </w:rPr>
              <w:t>4</w:t>
            </w:r>
            <w:r w:rsidR="00461DB2">
              <w:rPr>
                <w:noProof/>
                <w:webHidden/>
              </w:rPr>
              <w:fldChar w:fldCharType="end"/>
            </w:r>
          </w:hyperlink>
        </w:p>
        <w:p w14:paraId="048AC652" w14:textId="48C78A40" w:rsidR="00461DB2"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4816282" w:history="1">
            <w:r w:rsidR="00461DB2" w:rsidRPr="008B1066">
              <w:rPr>
                <w:rStyle w:val="Hyperlink"/>
                <w:noProof/>
              </w:rPr>
              <w:t>Consultant report</w:t>
            </w:r>
            <w:r w:rsidR="00461DB2">
              <w:rPr>
                <w:noProof/>
                <w:webHidden/>
              </w:rPr>
              <w:tab/>
            </w:r>
            <w:r w:rsidR="00461DB2">
              <w:rPr>
                <w:noProof/>
                <w:webHidden/>
              </w:rPr>
              <w:fldChar w:fldCharType="begin"/>
            </w:r>
            <w:r w:rsidR="00461DB2">
              <w:rPr>
                <w:noProof/>
                <w:webHidden/>
              </w:rPr>
              <w:instrText xml:space="preserve"> PAGEREF _Toc144816282 \h </w:instrText>
            </w:r>
            <w:r w:rsidR="00461DB2">
              <w:rPr>
                <w:noProof/>
                <w:webHidden/>
              </w:rPr>
            </w:r>
            <w:r w:rsidR="00461DB2">
              <w:rPr>
                <w:noProof/>
                <w:webHidden/>
              </w:rPr>
              <w:fldChar w:fldCharType="separate"/>
            </w:r>
            <w:r w:rsidR="00461DB2">
              <w:rPr>
                <w:noProof/>
                <w:webHidden/>
              </w:rPr>
              <w:t>4</w:t>
            </w:r>
            <w:r w:rsidR="00461DB2">
              <w:rPr>
                <w:noProof/>
                <w:webHidden/>
              </w:rPr>
              <w:fldChar w:fldCharType="end"/>
            </w:r>
          </w:hyperlink>
        </w:p>
        <w:p w14:paraId="5AE6E292" w14:textId="221DA07C" w:rsidR="00461DB2"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4816283" w:history="1">
            <w:r w:rsidR="00461DB2" w:rsidRPr="008B1066">
              <w:rPr>
                <w:rStyle w:val="Hyperlink"/>
                <w:noProof/>
              </w:rPr>
              <w:t>Recommendation 2: Using FEMALE private sector regional wages</w:t>
            </w:r>
            <w:r w:rsidR="00461DB2">
              <w:rPr>
                <w:noProof/>
                <w:webHidden/>
              </w:rPr>
              <w:tab/>
            </w:r>
            <w:r w:rsidR="00461DB2">
              <w:rPr>
                <w:noProof/>
                <w:webHidden/>
              </w:rPr>
              <w:fldChar w:fldCharType="begin"/>
            </w:r>
            <w:r w:rsidR="00461DB2">
              <w:rPr>
                <w:noProof/>
                <w:webHidden/>
              </w:rPr>
              <w:instrText xml:space="preserve"> PAGEREF _Toc144816283 \h </w:instrText>
            </w:r>
            <w:r w:rsidR="00461DB2">
              <w:rPr>
                <w:noProof/>
                <w:webHidden/>
              </w:rPr>
            </w:r>
            <w:r w:rsidR="00461DB2">
              <w:rPr>
                <w:noProof/>
                <w:webHidden/>
              </w:rPr>
              <w:fldChar w:fldCharType="separate"/>
            </w:r>
            <w:r w:rsidR="00461DB2">
              <w:rPr>
                <w:noProof/>
                <w:webHidden/>
              </w:rPr>
              <w:t>4</w:t>
            </w:r>
            <w:r w:rsidR="00461DB2">
              <w:rPr>
                <w:noProof/>
                <w:webHidden/>
              </w:rPr>
              <w:fldChar w:fldCharType="end"/>
            </w:r>
          </w:hyperlink>
        </w:p>
        <w:p w14:paraId="668EF060" w14:textId="58EC8B93" w:rsidR="00461DB2"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4816284" w:history="1">
            <w:r w:rsidR="00461DB2" w:rsidRPr="008B1066">
              <w:rPr>
                <w:rStyle w:val="Hyperlink"/>
                <w:noProof/>
              </w:rPr>
              <w:t>Recommendations 4-10: model specification</w:t>
            </w:r>
            <w:r w:rsidR="00461DB2">
              <w:rPr>
                <w:noProof/>
                <w:webHidden/>
              </w:rPr>
              <w:tab/>
            </w:r>
            <w:r w:rsidR="00461DB2">
              <w:rPr>
                <w:noProof/>
                <w:webHidden/>
              </w:rPr>
              <w:fldChar w:fldCharType="begin"/>
            </w:r>
            <w:r w:rsidR="00461DB2">
              <w:rPr>
                <w:noProof/>
                <w:webHidden/>
              </w:rPr>
              <w:instrText xml:space="preserve"> PAGEREF _Toc144816284 \h </w:instrText>
            </w:r>
            <w:r w:rsidR="00461DB2">
              <w:rPr>
                <w:noProof/>
                <w:webHidden/>
              </w:rPr>
            </w:r>
            <w:r w:rsidR="00461DB2">
              <w:rPr>
                <w:noProof/>
                <w:webHidden/>
              </w:rPr>
              <w:fldChar w:fldCharType="separate"/>
            </w:r>
            <w:r w:rsidR="00461DB2">
              <w:rPr>
                <w:noProof/>
                <w:webHidden/>
              </w:rPr>
              <w:t>6</w:t>
            </w:r>
            <w:r w:rsidR="00461DB2">
              <w:rPr>
                <w:noProof/>
                <w:webHidden/>
              </w:rPr>
              <w:fldChar w:fldCharType="end"/>
            </w:r>
          </w:hyperlink>
        </w:p>
        <w:p w14:paraId="14A87DF3" w14:textId="62CC7D11" w:rsidR="00461DB2"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4816285" w:history="1">
            <w:r w:rsidR="00461DB2" w:rsidRPr="008B1066">
              <w:rPr>
                <w:rStyle w:val="Hyperlink"/>
                <w:noProof/>
              </w:rPr>
              <w:t>Proposed model specification</w:t>
            </w:r>
            <w:r w:rsidR="00461DB2">
              <w:rPr>
                <w:noProof/>
                <w:webHidden/>
              </w:rPr>
              <w:tab/>
            </w:r>
            <w:r w:rsidR="00461DB2">
              <w:rPr>
                <w:noProof/>
                <w:webHidden/>
              </w:rPr>
              <w:fldChar w:fldCharType="begin"/>
            </w:r>
            <w:r w:rsidR="00461DB2">
              <w:rPr>
                <w:noProof/>
                <w:webHidden/>
              </w:rPr>
              <w:instrText xml:space="preserve"> PAGEREF _Toc144816285 \h </w:instrText>
            </w:r>
            <w:r w:rsidR="00461DB2">
              <w:rPr>
                <w:noProof/>
                <w:webHidden/>
              </w:rPr>
            </w:r>
            <w:r w:rsidR="00461DB2">
              <w:rPr>
                <w:noProof/>
                <w:webHidden/>
              </w:rPr>
              <w:fldChar w:fldCharType="separate"/>
            </w:r>
            <w:r w:rsidR="00461DB2">
              <w:rPr>
                <w:noProof/>
                <w:webHidden/>
              </w:rPr>
              <w:t>7</w:t>
            </w:r>
            <w:r w:rsidR="00461DB2">
              <w:rPr>
                <w:noProof/>
                <w:webHidden/>
              </w:rPr>
              <w:fldChar w:fldCharType="end"/>
            </w:r>
          </w:hyperlink>
        </w:p>
        <w:p w14:paraId="1EF49C69" w14:textId="2767C28C" w:rsidR="00461DB2"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4816286" w:history="1">
            <w:r w:rsidR="00461DB2" w:rsidRPr="008B1066">
              <w:rPr>
                <w:rStyle w:val="Hyperlink"/>
                <w:noProof/>
              </w:rPr>
              <w:t>Recommendation 11: Improving accuracy and reducing volatility</w:t>
            </w:r>
            <w:r w:rsidR="00461DB2">
              <w:rPr>
                <w:noProof/>
                <w:webHidden/>
              </w:rPr>
              <w:tab/>
            </w:r>
            <w:r w:rsidR="00461DB2">
              <w:rPr>
                <w:noProof/>
                <w:webHidden/>
              </w:rPr>
              <w:fldChar w:fldCharType="begin"/>
            </w:r>
            <w:r w:rsidR="00461DB2">
              <w:rPr>
                <w:noProof/>
                <w:webHidden/>
              </w:rPr>
              <w:instrText xml:space="preserve"> PAGEREF _Toc144816286 \h </w:instrText>
            </w:r>
            <w:r w:rsidR="00461DB2">
              <w:rPr>
                <w:noProof/>
                <w:webHidden/>
              </w:rPr>
            </w:r>
            <w:r w:rsidR="00461DB2">
              <w:rPr>
                <w:noProof/>
                <w:webHidden/>
              </w:rPr>
              <w:fldChar w:fldCharType="separate"/>
            </w:r>
            <w:r w:rsidR="00461DB2">
              <w:rPr>
                <w:noProof/>
                <w:webHidden/>
              </w:rPr>
              <w:t>8</w:t>
            </w:r>
            <w:r w:rsidR="00461DB2">
              <w:rPr>
                <w:noProof/>
                <w:webHidden/>
              </w:rPr>
              <w:fldChar w:fldCharType="end"/>
            </w:r>
          </w:hyperlink>
        </w:p>
        <w:p w14:paraId="29212669" w14:textId="54589440" w:rsidR="00461DB2"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4816287" w:history="1">
            <w:r w:rsidR="00461DB2" w:rsidRPr="008B1066">
              <w:rPr>
                <w:rStyle w:val="Hyperlink"/>
                <w:noProof/>
              </w:rPr>
              <w:t>Discounting of the wage costs assessment</w:t>
            </w:r>
            <w:r w:rsidR="00461DB2">
              <w:rPr>
                <w:noProof/>
                <w:webHidden/>
              </w:rPr>
              <w:tab/>
            </w:r>
            <w:r w:rsidR="00461DB2">
              <w:rPr>
                <w:noProof/>
                <w:webHidden/>
              </w:rPr>
              <w:fldChar w:fldCharType="begin"/>
            </w:r>
            <w:r w:rsidR="00461DB2">
              <w:rPr>
                <w:noProof/>
                <w:webHidden/>
              </w:rPr>
              <w:instrText xml:space="preserve"> PAGEREF _Toc144816287 \h </w:instrText>
            </w:r>
            <w:r w:rsidR="00461DB2">
              <w:rPr>
                <w:noProof/>
                <w:webHidden/>
              </w:rPr>
            </w:r>
            <w:r w:rsidR="00461DB2">
              <w:rPr>
                <w:noProof/>
                <w:webHidden/>
              </w:rPr>
              <w:fldChar w:fldCharType="separate"/>
            </w:r>
            <w:r w:rsidR="00461DB2">
              <w:rPr>
                <w:noProof/>
                <w:webHidden/>
              </w:rPr>
              <w:t>10</w:t>
            </w:r>
            <w:r w:rsidR="00461DB2">
              <w:rPr>
                <w:noProof/>
                <w:webHidden/>
              </w:rPr>
              <w:fldChar w:fldCharType="end"/>
            </w:r>
          </w:hyperlink>
        </w:p>
        <w:p w14:paraId="77CB61CF" w14:textId="2A92AFE2" w:rsidR="00461DB2"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4816288" w:history="1">
            <w:r w:rsidR="00461DB2" w:rsidRPr="008B1066">
              <w:rPr>
                <w:rStyle w:val="Hyperlink"/>
                <w:noProof/>
              </w:rPr>
              <w:t>Proposed assessment</w:t>
            </w:r>
            <w:r w:rsidR="00461DB2">
              <w:rPr>
                <w:noProof/>
                <w:webHidden/>
              </w:rPr>
              <w:tab/>
            </w:r>
            <w:r w:rsidR="00461DB2">
              <w:rPr>
                <w:noProof/>
                <w:webHidden/>
              </w:rPr>
              <w:fldChar w:fldCharType="begin"/>
            </w:r>
            <w:r w:rsidR="00461DB2">
              <w:rPr>
                <w:noProof/>
                <w:webHidden/>
              </w:rPr>
              <w:instrText xml:space="preserve"> PAGEREF _Toc144816288 \h </w:instrText>
            </w:r>
            <w:r w:rsidR="00461DB2">
              <w:rPr>
                <w:noProof/>
                <w:webHidden/>
              </w:rPr>
            </w:r>
            <w:r w:rsidR="00461DB2">
              <w:rPr>
                <w:noProof/>
                <w:webHidden/>
              </w:rPr>
              <w:fldChar w:fldCharType="separate"/>
            </w:r>
            <w:r w:rsidR="00461DB2">
              <w:rPr>
                <w:noProof/>
                <w:webHidden/>
              </w:rPr>
              <w:t>11</w:t>
            </w:r>
            <w:r w:rsidR="00461DB2">
              <w:rPr>
                <w:noProof/>
                <w:webHidden/>
              </w:rPr>
              <w:fldChar w:fldCharType="end"/>
            </w:r>
          </w:hyperlink>
        </w:p>
        <w:p w14:paraId="50742FF8" w14:textId="0B2A38BB" w:rsidR="00461DB2"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4816289" w:history="1">
            <w:r w:rsidR="00461DB2" w:rsidRPr="008B1066">
              <w:rPr>
                <w:rStyle w:val="Hyperlink"/>
                <w:noProof/>
              </w:rPr>
              <w:t>Differences from the 2020 Review approach</w:t>
            </w:r>
            <w:r w:rsidR="00461DB2">
              <w:rPr>
                <w:noProof/>
                <w:webHidden/>
              </w:rPr>
              <w:tab/>
            </w:r>
            <w:r w:rsidR="00461DB2">
              <w:rPr>
                <w:noProof/>
                <w:webHidden/>
              </w:rPr>
              <w:fldChar w:fldCharType="begin"/>
            </w:r>
            <w:r w:rsidR="00461DB2">
              <w:rPr>
                <w:noProof/>
                <w:webHidden/>
              </w:rPr>
              <w:instrText xml:space="preserve"> PAGEREF _Toc144816289 \h </w:instrText>
            </w:r>
            <w:r w:rsidR="00461DB2">
              <w:rPr>
                <w:noProof/>
                <w:webHidden/>
              </w:rPr>
            </w:r>
            <w:r w:rsidR="00461DB2">
              <w:rPr>
                <w:noProof/>
                <w:webHidden/>
              </w:rPr>
              <w:fldChar w:fldCharType="separate"/>
            </w:r>
            <w:r w:rsidR="00461DB2">
              <w:rPr>
                <w:noProof/>
                <w:webHidden/>
              </w:rPr>
              <w:t>11</w:t>
            </w:r>
            <w:r w:rsidR="00461DB2">
              <w:rPr>
                <w:noProof/>
                <w:webHidden/>
              </w:rPr>
              <w:fldChar w:fldCharType="end"/>
            </w:r>
          </w:hyperlink>
        </w:p>
        <w:p w14:paraId="14611AFB" w14:textId="2AC17E79" w:rsidR="00461DB2"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4816290" w:history="1">
            <w:r w:rsidR="00461DB2" w:rsidRPr="008B1066">
              <w:rPr>
                <w:rStyle w:val="Hyperlink"/>
                <w:noProof/>
              </w:rPr>
              <w:t>New data requirements</w:t>
            </w:r>
            <w:r w:rsidR="00461DB2">
              <w:rPr>
                <w:noProof/>
                <w:webHidden/>
              </w:rPr>
              <w:tab/>
            </w:r>
            <w:r w:rsidR="00461DB2">
              <w:rPr>
                <w:noProof/>
                <w:webHidden/>
              </w:rPr>
              <w:fldChar w:fldCharType="begin"/>
            </w:r>
            <w:r w:rsidR="00461DB2">
              <w:rPr>
                <w:noProof/>
                <w:webHidden/>
              </w:rPr>
              <w:instrText xml:space="preserve"> PAGEREF _Toc144816290 \h </w:instrText>
            </w:r>
            <w:r w:rsidR="00461DB2">
              <w:rPr>
                <w:noProof/>
                <w:webHidden/>
              </w:rPr>
            </w:r>
            <w:r w:rsidR="00461DB2">
              <w:rPr>
                <w:noProof/>
                <w:webHidden/>
              </w:rPr>
              <w:fldChar w:fldCharType="separate"/>
            </w:r>
            <w:r w:rsidR="00461DB2">
              <w:rPr>
                <w:noProof/>
                <w:webHidden/>
              </w:rPr>
              <w:t>11</w:t>
            </w:r>
            <w:r w:rsidR="00461DB2">
              <w:rPr>
                <w:noProof/>
                <w:webHidden/>
              </w:rPr>
              <w:fldChar w:fldCharType="end"/>
            </w:r>
          </w:hyperlink>
        </w:p>
        <w:p w14:paraId="6C54D983" w14:textId="6F98FAC7" w:rsidR="00461DB2"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4816291" w:history="1">
            <w:r w:rsidR="00461DB2" w:rsidRPr="008B1066">
              <w:rPr>
                <w:rStyle w:val="Hyperlink"/>
                <w:noProof/>
              </w:rPr>
              <w:t>Consultation</w:t>
            </w:r>
            <w:r w:rsidR="00461DB2">
              <w:rPr>
                <w:noProof/>
                <w:webHidden/>
              </w:rPr>
              <w:tab/>
            </w:r>
            <w:r w:rsidR="00461DB2">
              <w:rPr>
                <w:noProof/>
                <w:webHidden/>
              </w:rPr>
              <w:fldChar w:fldCharType="begin"/>
            </w:r>
            <w:r w:rsidR="00461DB2">
              <w:rPr>
                <w:noProof/>
                <w:webHidden/>
              </w:rPr>
              <w:instrText xml:space="preserve"> PAGEREF _Toc144816291 \h </w:instrText>
            </w:r>
            <w:r w:rsidR="00461DB2">
              <w:rPr>
                <w:noProof/>
                <w:webHidden/>
              </w:rPr>
            </w:r>
            <w:r w:rsidR="00461DB2">
              <w:rPr>
                <w:noProof/>
                <w:webHidden/>
              </w:rPr>
              <w:fldChar w:fldCharType="separate"/>
            </w:r>
            <w:r w:rsidR="00461DB2">
              <w:rPr>
                <w:noProof/>
                <w:webHidden/>
              </w:rPr>
              <w:t>11</w:t>
            </w:r>
            <w:r w:rsidR="00461DB2">
              <w:rPr>
                <w:noProof/>
                <w:webHidden/>
              </w:rPr>
              <w:fldChar w:fldCharType="end"/>
            </w:r>
          </w:hyperlink>
        </w:p>
        <w:p w14:paraId="0E2957A0" w14:textId="71E88612" w:rsidR="00461DB2"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4816292" w:history="1">
            <w:r w:rsidR="00461DB2" w:rsidRPr="008B1066">
              <w:rPr>
                <w:rStyle w:val="Hyperlink"/>
                <w:b/>
                <w:noProof/>
              </w:rPr>
              <w:t>Attachment A:</w:t>
            </w:r>
            <w:r w:rsidR="00461DB2" w:rsidRPr="008B1066">
              <w:rPr>
                <w:rStyle w:val="Hyperlink"/>
                <w:noProof/>
              </w:rPr>
              <w:t xml:space="preserve"> Consultant recommendations</w:t>
            </w:r>
            <w:r w:rsidR="00461DB2">
              <w:rPr>
                <w:noProof/>
                <w:webHidden/>
              </w:rPr>
              <w:tab/>
            </w:r>
            <w:r w:rsidR="00461DB2">
              <w:rPr>
                <w:noProof/>
                <w:webHidden/>
              </w:rPr>
              <w:fldChar w:fldCharType="begin"/>
            </w:r>
            <w:r w:rsidR="00461DB2">
              <w:rPr>
                <w:noProof/>
                <w:webHidden/>
              </w:rPr>
              <w:instrText xml:space="preserve"> PAGEREF _Toc144816292 \h </w:instrText>
            </w:r>
            <w:r w:rsidR="00461DB2">
              <w:rPr>
                <w:noProof/>
                <w:webHidden/>
              </w:rPr>
            </w:r>
            <w:r w:rsidR="00461DB2">
              <w:rPr>
                <w:noProof/>
                <w:webHidden/>
              </w:rPr>
              <w:fldChar w:fldCharType="separate"/>
            </w:r>
            <w:r w:rsidR="00461DB2">
              <w:rPr>
                <w:noProof/>
                <w:webHidden/>
              </w:rPr>
              <w:t>13</w:t>
            </w:r>
            <w:r w:rsidR="00461DB2">
              <w:rPr>
                <w:noProof/>
                <w:webHidden/>
              </w:rPr>
              <w:fldChar w:fldCharType="end"/>
            </w:r>
          </w:hyperlink>
        </w:p>
        <w:p w14:paraId="6313514A" w14:textId="31C30C04" w:rsidR="00461DB2"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4816293" w:history="1">
            <w:r w:rsidR="00461DB2" w:rsidRPr="008B1066">
              <w:rPr>
                <w:rStyle w:val="Hyperlink"/>
                <w:b/>
                <w:noProof/>
              </w:rPr>
              <w:t>Attachment B:</w:t>
            </w:r>
            <w:r w:rsidR="00461DB2" w:rsidRPr="008B1066">
              <w:rPr>
                <w:rStyle w:val="Hyperlink"/>
                <w:noProof/>
              </w:rPr>
              <w:t xml:space="preserve"> Comparing models</w:t>
            </w:r>
            <w:r w:rsidR="00461DB2">
              <w:rPr>
                <w:noProof/>
                <w:webHidden/>
              </w:rPr>
              <w:tab/>
            </w:r>
            <w:r w:rsidR="00461DB2">
              <w:rPr>
                <w:noProof/>
                <w:webHidden/>
              </w:rPr>
              <w:fldChar w:fldCharType="begin"/>
            </w:r>
            <w:r w:rsidR="00461DB2">
              <w:rPr>
                <w:noProof/>
                <w:webHidden/>
              </w:rPr>
              <w:instrText xml:space="preserve"> PAGEREF _Toc144816293 \h </w:instrText>
            </w:r>
            <w:r w:rsidR="00461DB2">
              <w:rPr>
                <w:noProof/>
                <w:webHidden/>
              </w:rPr>
            </w:r>
            <w:r w:rsidR="00461DB2">
              <w:rPr>
                <w:noProof/>
                <w:webHidden/>
              </w:rPr>
              <w:fldChar w:fldCharType="separate"/>
            </w:r>
            <w:r w:rsidR="00461DB2">
              <w:rPr>
                <w:noProof/>
                <w:webHidden/>
              </w:rPr>
              <w:t>14</w:t>
            </w:r>
            <w:r w:rsidR="00461DB2">
              <w:rPr>
                <w:noProof/>
                <w:webHidden/>
              </w:rPr>
              <w:fldChar w:fldCharType="end"/>
            </w:r>
          </w:hyperlink>
        </w:p>
        <w:p w14:paraId="5B35147A" w14:textId="77227E9D" w:rsidR="005B6B61" w:rsidRDefault="005B6B61">
          <w:r>
            <w:rPr>
              <w:b/>
              <w:bCs/>
              <w:noProof/>
            </w:rPr>
            <w:fldChar w:fldCharType="end"/>
          </w:r>
        </w:p>
      </w:sdtContent>
    </w:sdt>
    <w:p w14:paraId="33331349" w14:textId="77777777" w:rsidR="00C66C98" w:rsidRDefault="00C66C98">
      <w:pPr>
        <w:tabs>
          <w:tab w:val="clear" w:pos="567"/>
        </w:tabs>
        <w:spacing w:before="0" w:after="200" w:line="276" w:lineRule="auto"/>
        <w:rPr>
          <w:rFonts w:ascii="Work Sans" w:eastAsia="Times New Roman" w:hAnsi="Work Sans" w:cs="Open Sans"/>
          <w:b/>
          <w:bCs/>
          <w:color w:val="006991"/>
          <w:sz w:val="36"/>
          <w:szCs w:val="36"/>
        </w:rPr>
      </w:pPr>
      <w:r>
        <w:br w:type="page"/>
      </w:r>
    </w:p>
    <w:p w14:paraId="61F3B0B6" w14:textId="0F8D1A35" w:rsidR="000C5134" w:rsidRDefault="000C5134" w:rsidP="007C4D64">
      <w:pPr>
        <w:pStyle w:val="Heading2"/>
      </w:pPr>
      <w:bookmarkStart w:id="0" w:name="_Toc144816281"/>
      <w:r>
        <w:lastRenderedPageBreak/>
        <w:t>Background</w:t>
      </w:r>
      <w:bookmarkEnd w:id="0"/>
    </w:p>
    <w:p w14:paraId="17A65354" w14:textId="10F4E4CC" w:rsidR="00C66C98" w:rsidRDefault="00384987" w:rsidP="00384987">
      <w:pPr>
        <w:pStyle w:val="CGC2025ParaNumbers"/>
      </w:pPr>
      <w:r>
        <w:t>This paper</w:t>
      </w:r>
      <w:r w:rsidR="00E56DE5">
        <w:t xml:space="preserve"> </w:t>
      </w:r>
      <w:r w:rsidR="00AA7204">
        <w:t xml:space="preserve">provides </w:t>
      </w:r>
      <w:r w:rsidR="00E56DE5">
        <w:t xml:space="preserve">an addendum to the original wage costs consultation </w:t>
      </w:r>
      <w:r w:rsidR="00D0294B">
        <w:t>paper</w:t>
      </w:r>
      <w:r w:rsidR="004F0F7C">
        <w:t xml:space="preserve">. </w:t>
      </w:r>
      <w:r w:rsidR="00D63F54">
        <w:t xml:space="preserve">It presents revised preliminary </w:t>
      </w:r>
      <w:r w:rsidR="00833DCB">
        <w:t>Commission view</w:t>
      </w:r>
      <w:r w:rsidR="00AA7204">
        <w:t>s</w:t>
      </w:r>
      <w:r w:rsidR="00833DCB">
        <w:t xml:space="preserve"> </w:t>
      </w:r>
      <w:r w:rsidR="00A93548">
        <w:t>and revised consultation questions</w:t>
      </w:r>
      <w:r w:rsidR="00AA7204">
        <w:t xml:space="preserve">, </w:t>
      </w:r>
      <w:r w:rsidR="00542AA5">
        <w:t>following consideration of</w:t>
      </w:r>
      <w:r w:rsidR="00035462">
        <w:t xml:space="preserve"> the recommendations </w:t>
      </w:r>
      <w:r w:rsidR="0035540B">
        <w:t xml:space="preserve">by </w:t>
      </w:r>
      <w:r w:rsidR="00854802">
        <w:t xml:space="preserve">independent consultant, </w:t>
      </w:r>
      <w:r w:rsidR="0035540B">
        <w:t xml:space="preserve">Professor </w:t>
      </w:r>
      <w:r w:rsidR="00854802">
        <w:t xml:space="preserve">Alison </w:t>
      </w:r>
      <w:r w:rsidR="0035540B">
        <w:t>Preston</w:t>
      </w:r>
      <w:r w:rsidR="00C66C98">
        <w:t>.</w:t>
      </w:r>
    </w:p>
    <w:p w14:paraId="5B81FB1B" w14:textId="170979B5" w:rsidR="006060C2" w:rsidRPr="00F32FF4" w:rsidRDefault="00C66C98" w:rsidP="00384987">
      <w:pPr>
        <w:pStyle w:val="CGC2025ParaNumbers"/>
        <w:rPr>
          <w:b/>
        </w:rPr>
      </w:pPr>
      <w:r w:rsidRPr="00F32FF4">
        <w:rPr>
          <w:b/>
        </w:rPr>
        <w:t>The consultation questions and preliminary Co</w:t>
      </w:r>
      <w:r w:rsidR="009D7401" w:rsidRPr="00F32FF4">
        <w:rPr>
          <w:b/>
        </w:rPr>
        <w:t xml:space="preserve">mmission </w:t>
      </w:r>
      <w:r w:rsidR="00854802">
        <w:rPr>
          <w:b/>
        </w:rPr>
        <w:t>views</w:t>
      </w:r>
      <w:r w:rsidR="00854802" w:rsidRPr="00F32FF4">
        <w:rPr>
          <w:b/>
        </w:rPr>
        <w:t xml:space="preserve"> </w:t>
      </w:r>
      <w:r w:rsidR="009D7401" w:rsidRPr="00F32FF4">
        <w:rPr>
          <w:b/>
        </w:rPr>
        <w:t xml:space="preserve">in this paper replace </w:t>
      </w:r>
      <w:r w:rsidR="00854802">
        <w:rPr>
          <w:b/>
        </w:rPr>
        <w:t>those</w:t>
      </w:r>
      <w:r w:rsidR="00CF13CB">
        <w:rPr>
          <w:b/>
        </w:rPr>
        <w:t xml:space="preserve"> </w:t>
      </w:r>
      <w:r w:rsidR="009D7401" w:rsidRPr="00F32FF4">
        <w:rPr>
          <w:b/>
        </w:rPr>
        <w:t xml:space="preserve">in the </w:t>
      </w:r>
      <w:r w:rsidR="00966AE3" w:rsidRPr="00F32FF4">
        <w:rPr>
          <w:b/>
        </w:rPr>
        <w:t xml:space="preserve">original </w:t>
      </w:r>
      <w:r w:rsidR="00854802">
        <w:rPr>
          <w:b/>
        </w:rPr>
        <w:t xml:space="preserve">consultation </w:t>
      </w:r>
      <w:r w:rsidR="00966AE3" w:rsidRPr="00F32FF4">
        <w:rPr>
          <w:b/>
        </w:rPr>
        <w:t>paper.</w:t>
      </w:r>
    </w:p>
    <w:p w14:paraId="4943E9E0" w14:textId="625442CF" w:rsidR="00A5102B" w:rsidRPr="007C4D64" w:rsidRDefault="005D6510" w:rsidP="007C4D64">
      <w:pPr>
        <w:pStyle w:val="Heading2"/>
      </w:pPr>
      <w:bookmarkStart w:id="1" w:name="_Toc144816282"/>
      <w:r>
        <w:t>Consultant report</w:t>
      </w:r>
      <w:bookmarkEnd w:id="1"/>
    </w:p>
    <w:p w14:paraId="1213E4FA" w14:textId="77540098" w:rsidR="00F84225" w:rsidRPr="008C2EF6" w:rsidRDefault="003B4835" w:rsidP="00F84225">
      <w:pPr>
        <w:pStyle w:val="CGC2025ParaNumbers"/>
      </w:pPr>
      <w:bookmarkStart w:id="2" w:name="_Toc116563445"/>
      <w:bookmarkStart w:id="3" w:name="_Toc117241705"/>
      <w:bookmarkStart w:id="4" w:name="_Toc133236146"/>
      <w:bookmarkStart w:id="5" w:name="_Toc133236172"/>
      <w:r>
        <w:t xml:space="preserve">On </w:t>
      </w:r>
      <w:r w:rsidR="003A07D6">
        <w:t>4 September</w:t>
      </w:r>
      <w:r w:rsidR="005A56DE">
        <w:t xml:space="preserve"> </w:t>
      </w:r>
      <w:r w:rsidR="00936530">
        <w:t>2023</w:t>
      </w:r>
      <w:r>
        <w:t xml:space="preserve">, </w:t>
      </w:r>
      <w:r w:rsidR="00114A5A">
        <w:t xml:space="preserve">Professor Preston provided a report in which she examined the </w:t>
      </w:r>
      <w:r w:rsidR="0054344E">
        <w:t>Commission’s method used in</w:t>
      </w:r>
      <w:r w:rsidR="00114A5A">
        <w:t xml:space="preserve"> the wage costs assessment</w:t>
      </w:r>
      <w:r w:rsidR="0054344E">
        <w:t xml:space="preserve">, including the conceptual </w:t>
      </w:r>
      <w:r w:rsidR="001D5F9B">
        <w:t>case</w:t>
      </w:r>
      <w:r w:rsidR="00114A5A">
        <w:t xml:space="preserve"> and the econometric model behind it. </w:t>
      </w:r>
      <w:r w:rsidR="00517F49">
        <w:t>The report</w:t>
      </w:r>
      <w:r w:rsidR="005F7C75">
        <w:t>, which has been provided to the states</w:t>
      </w:r>
      <w:r w:rsidR="002E2770">
        <w:t>,</w:t>
      </w:r>
      <w:r w:rsidR="005F7C75">
        <w:t xml:space="preserve"> </w:t>
      </w:r>
      <w:r w:rsidR="002F4697">
        <w:t xml:space="preserve">made </w:t>
      </w:r>
      <w:r w:rsidR="00114A5A">
        <w:t>14</w:t>
      </w:r>
      <w:r w:rsidR="00F32FF4">
        <w:t> </w:t>
      </w:r>
      <w:r w:rsidR="00114A5A">
        <w:t>recommendations</w:t>
      </w:r>
      <w:r w:rsidR="00810F70">
        <w:t xml:space="preserve"> (Attachment A)</w:t>
      </w:r>
      <w:r w:rsidR="00114A5A">
        <w:t xml:space="preserve">. </w:t>
      </w:r>
    </w:p>
    <w:p w14:paraId="1BD32FC7" w14:textId="04B064D9" w:rsidR="00014EA3" w:rsidRPr="00CD3D04" w:rsidRDefault="00B0724D" w:rsidP="00BD2B62">
      <w:pPr>
        <w:pStyle w:val="CGC2025ParaNumbers"/>
        <w:rPr>
          <w:u w:val="single"/>
        </w:rPr>
      </w:pPr>
      <w:r w:rsidRPr="00CD3D04">
        <w:rPr>
          <w:rFonts w:eastAsia="Calibri" w:cs="Arial"/>
          <w:szCs w:val="20"/>
        </w:rPr>
        <w:t xml:space="preserve">Professor Preston </w:t>
      </w:r>
      <w:r w:rsidR="00980C60" w:rsidRPr="00CD3D04">
        <w:rPr>
          <w:rFonts w:eastAsia="Calibri" w:cs="Arial"/>
          <w:szCs w:val="20"/>
        </w:rPr>
        <w:t>supports</w:t>
      </w:r>
      <w:r w:rsidR="00BD2B62" w:rsidRPr="00CD3D04">
        <w:rPr>
          <w:rFonts w:eastAsia="Calibri" w:cs="Arial"/>
          <w:szCs w:val="20"/>
        </w:rPr>
        <w:t xml:space="preserve"> </w:t>
      </w:r>
      <w:r w:rsidR="000C18B9" w:rsidRPr="00CD3D04">
        <w:rPr>
          <w:rFonts w:eastAsia="Calibri" w:cs="Arial"/>
          <w:szCs w:val="20"/>
        </w:rPr>
        <w:t xml:space="preserve">the </w:t>
      </w:r>
      <w:r w:rsidR="00014EA3" w:rsidRPr="00CD3D04">
        <w:rPr>
          <w:rFonts w:eastAsia="Calibri" w:cs="Arial"/>
          <w:szCs w:val="20"/>
        </w:rPr>
        <w:t xml:space="preserve">fundamental </w:t>
      </w:r>
      <w:r w:rsidR="002A73FF" w:rsidRPr="00CD3D04">
        <w:rPr>
          <w:rFonts w:eastAsia="Calibri" w:cs="Arial"/>
          <w:szCs w:val="20"/>
        </w:rPr>
        <w:t xml:space="preserve">approach underlying </w:t>
      </w:r>
      <w:r w:rsidR="0070146E" w:rsidRPr="00CD3D04">
        <w:rPr>
          <w:rFonts w:eastAsia="Calibri" w:cs="Arial"/>
          <w:szCs w:val="20"/>
        </w:rPr>
        <w:t xml:space="preserve">the </w:t>
      </w:r>
      <w:r w:rsidR="000C18B9" w:rsidRPr="00CD3D04">
        <w:rPr>
          <w:rFonts w:eastAsia="Calibri" w:cs="Arial"/>
          <w:szCs w:val="20"/>
        </w:rPr>
        <w:t>Commission</w:t>
      </w:r>
      <w:r w:rsidR="00EF2B31" w:rsidRPr="00CD3D04">
        <w:rPr>
          <w:rFonts w:eastAsia="Calibri" w:cs="Arial"/>
          <w:szCs w:val="20"/>
        </w:rPr>
        <w:t xml:space="preserve">’s </w:t>
      </w:r>
      <w:r w:rsidR="000C18B9" w:rsidRPr="00CD3D04">
        <w:rPr>
          <w:rFonts w:eastAsia="Calibri" w:cs="Arial"/>
          <w:szCs w:val="20"/>
        </w:rPr>
        <w:t>method</w:t>
      </w:r>
      <w:r w:rsidR="00E27387" w:rsidRPr="00CD3D04">
        <w:rPr>
          <w:rFonts w:eastAsia="Calibri" w:cs="Arial"/>
          <w:szCs w:val="20"/>
        </w:rPr>
        <w:t>, that</w:t>
      </w:r>
      <w:r w:rsidR="00BD2B62" w:rsidRPr="00CD3D04">
        <w:rPr>
          <w:rFonts w:eastAsia="Calibri" w:cs="Arial"/>
          <w:szCs w:val="20"/>
        </w:rPr>
        <w:t xml:space="preserve"> of </w:t>
      </w:r>
      <w:r w:rsidR="000C18B9" w:rsidRPr="00CD3D04">
        <w:t xml:space="preserve">using a </w:t>
      </w:r>
      <w:r w:rsidR="00A2639A" w:rsidRPr="00CD3D04">
        <w:t xml:space="preserve">regression </w:t>
      </w:r>
      <w:r w:rsidR="00C00525" w:rsidRPr="00CD3D04">
        <w:t xml:space="preserve">of </w:t>
      </w:r>
      <w:r w:rsidR="00BB443F" w:rsidRPr="00CD3D04">
        <w:t xml:space="preserve">state and </w:t>
      </w:r>
      <w:r w:rsidR="006461B6" w:rsidRPr="00CD3D04">
        <w:t xml:space="preserve">human capital </w:t>
      </w:r>
      <w:r w:rsidR="008E4436" w:rsidRPr="00CD3D04">
        <w:t xml:space="preserve">variables </w:t>
      </w:r>
      <w:r w:rsidR="00E05434" w:rsidRPr="00CD3D04">
        <w:t>predicting</w:t>
      </w:r>
      <w:r w:rsidR="008E4436" w:rsidRPr="00CD3D04">
        <w:t xml:space="preserve"> hourly wages </w:t>
      </w:r>
      <w:r w:rsidR="000C18B9" w:rsidRPr="00CD3D04">
        <w:t>to estimate state wage differen</w:t>
      </w:r>
      <w:r w:rsidR="00194ECF" w:rsidRPr="00CD3D04">
        <w:t>ces</w:t>
      </w:r>
      <w:r w:rsidR="00BD2B62" w:rsidRPr="00CD3D04">
        <w:t>.</w:t>
      </w:r>
    </w:p>
    <w:p w14:paraId="12CAF084" w14:textId="3086C4D7" w:rsidR="00A11A9E" w:rsidRPr="00CD3D04" w:rsidRDefault="0091574D" w:rsidP="00BD2B62">
      <w:pPr>
        <w:pStyle w:val="CGC2025ParaNumbers"/>
      </w:pPr>
      <w:r w:rsidRPr="00CD3D04">
        <w:rPr>
          <w:rFonts w:eastAsia="Calibri" w:cs="Arial"/>
          <w:szCs w:val="20"/>
        </w:rPr>
        <w:t xml:space="preserve">Recommendation 1 </w:t>
      </w:r>
      <w:r w:rsidR="00EE31EC">
        <w:rPr>
          <w:rFonts w:eastAsia="Calibri" w:cs="Arial"/>
          <w:szCs w:val="20"/>
        </w:rPr>
        <w:t xml:space="preserve">in Professor Preston’s </w:t>
      </w:r>
      <w:r w:rsidR="007D0400">
        <w:rPr>
          <w:rFonts w:eastAsia="Calibri" w:cs="Arial"/>
          <w:szCs w:val="20"/>
        </w:rPr>
        <w:t xml:space="preserve">report </w:t>
      </w:r>
      <w:r w:rsidRPr="00CD3D04">
        <w:rPr>
          <w:rFonts w:eastAsia="Calibri" w:cs="Arial"/>
          <w:szCs w:val="20"/>
        </w:rPr>
        <w:t xml:space="preserve">supports </w:t>
      </w:r>
      <w:r w:rsidR="000C18B9" w:rsidRPr="00CD3D04">
        <w:t>using private sector wages as a policy neutral proxy for the market pressures faced by public sector employers.</w:t>
      </w:r>
    </w:p>
    <w:p w14:paraId="60140CDB" w14:textId="6A1E9FC6" w:rsidR="004E3043" w:rsidRPr="007C4D1D" w:rsidRDefault="002F4697" w:rsidP="0093044E">
      <w:pPr>
        <w:pStyle w:val="CGC2025ParaNumbers"/>
        <w:tabs>
          <w:tab w:val="clear" w:pos="567"/>
        </w:tabs>
        <w:rPr>
          <w:rFonts w:eastAsia="Calibri" w:cs="Arial"/>
        </w:rPr>
      </w:pPr>
      <w:r>
        <w:rPr>
          <w:rFonts w:eastAsia="Calibri" w:cs="Arial"/>
          <w:szCs w:val="20"/>
        </w:rPr>
        <w:t>Recommendation</w:t>
      </w:r>
      <w:r w:rsidR="00A1610F">
        <w:rPr>
          <w:rFonts w:eastAsia="Calibri" w:cs="Arial"/>
          <w:szCs w:val="20"/>
        </w:rPr>
        <w:t xml:space="preserve"> </w:t>
      </w:r>
      <w:r w:rsidR="007C4D1D">
        <w:rPr>
          <w:rFonts w:eastAsia="Calibri" w:cs="Arial"/>
          <w:szCs w:val="20"/>
        </w:rPr>
        <w:t>3</w:t>
      </w:r>
      <w:r w:rsidR="00A1610F">
        <w:rPr>
          <w:rFonts w:eastAsia="Calibri" w:cs="Arial"/>
          <w:szCs w:val="20"/>
        </w:rPr>
        <w:t xml:space="preserve"> supp</w:t>
      </w:r>
      <w:r>
        <w:rPr>
          <w:rFonts w:eastAsia="Calibri" w:cs="Arial"/>
          <w:szCs w:val="20"/>
        </w:rPr>
        <w:t>o</w:t>
      </w:r>
      <w:r w:rsidR="00A1610F">
        <w:rPr>
          <w:rFonts w:eastAsia="Calibri" w:cs="Arial"/>
          <w:szCs w:val="20"/>
        </w:rPr>
        <w:t>rts the continued use of C</w:t>
      </w:r>
      <w:r w:rsidR="0072360F">
        <w:rPr>
          <w:rFonts w:eastAsia="Calibri" w:cs="Arial"/>
          <w:szCs w:val="20"/>
        </w:rPr>
        <w:t xml:space="preserve">haracteristics </w:t>
      </w:r>
      <w:r w:rsidR="00BB4204">
        <w:rPr>
          <w:rFonts w:eastAsia="Calibri" w:cs="Arial"/>
          <w:szCs w:val="20"/>
        </w:rPr>
        <w:t xml:space="preserve">of </w:t>
      </w:r>
      <w:r w:rsidR="00A1610F">
        <w:rPr>
          <w:rFonts w:eastAsia="Calibri" w:cs="Arial"/>
          <w:szCs w:val="20"/>
        </w:rPr>
        <w:t>E</w:t>
      </w:r>
      <w:r w:rsidR="00BB4204">
        <w:rPr>
          <w:rFonts w:eastAsia="Calibri" w:cs="Arial"/>
          <w:szCs w:val="20"/>
        </w:rPr>
        <w:t>mployment survey</w:t>
      </w:r>
      <w:r>
        <w:rPr>
          <w:rFonts w:eastAsia="Calibri" w:cs="Arial"/>
          <w:szCs w:val="20"/>
        </w:rPr>
        <w:t xml:space="preserve"> data for the model.</w:t>
      </w:r>
    </w:p>
    <w:p w14:paraId="3C1573DA" w14:textId="311532B9" w:rsidR="00AC762A" w:rsidRPr="00F9212C" w:rsidRDefault="007A58DA" w:rsidP="00F9212C">
      <w:pPr>
        <w:pStyle w:val="CGC2025ParaNumbers"/>
      </w:pPr>
      <w:r w:rsidRPr="00F9212C">
        <w:t xml:space="preserve">Professor Preston also </w:t>
      </w:r>
      <w:r w:rsidR="002F4697" w:rsidRPr="00F9212C">
        <w:t xml:space="preserve">made </w:t>
      </w:r>
      <w:r w:rsidR="00E2191D" w:rsidRPr="00F9212C">
        <w:t xml:space="preserve">several </w:t>
      </w:r>
      <w:r w:rsidR="008A7252" w:rsidRPr="00F9212C">
        <w:t xml:space="preserve">recommendations </w:t>
      </w:r>
      <w:r w:rsidR="00C82547" w:rsidRPr="00F9212C">
        <w:t xml:space="preserve">aimed at </w:t>
      </w:r>
      <w:r w:rsidR="008A7252" w:rsidRPr="00F9212C">
        <w:t>improv</w:t>
      </w:r>
      <w:r w:rsidR="00C82547" w:rsidRPr="00F9212C">
        <w:t>ing</w:t>
      </w:r>
      <w:r w:rsidR="008A7252" w:rsidRPr="00F9212C">
        <w:t xml:space="preserve"> the Commission’s assessment.</w:t>
      </w:r>
      <w:r w:rsidR="00C73FEE" w:rsidRPr="00F9212C">
        <w:t xml:space="preserve"> </w:t>
      </w:r>
      <w:r w:rsidR="00C82547" w:rsidRPr="00F9212C">
        <w:t xml:space="preserve">After considering these recommendations, </w:t>
      </w:r>
      <w:r w:rsidR="002D48FA" w:rsidRPr="00F9212C">
        <w:t xml:space="preserve">the Commission </w:t>
      </w:r>
      <w:r w:rsidR="00F84DB6" w:rsidRPr="00F9212C">
        <w:t xml:space="preserve">has </w:t>
      </w:r>
      <w:r w:rsidR="00C82547" w:rsidRPr="00F9212C">
        <w:t xml:space="preserve">reconsidered </w:t>
      </w:r>
      <w:r w:rsidR="00D601C1" w:rsidRPr="00F9212C">
        <w:t xml:space="preserve">aspects </w:t>
      </w:r>
      <w:r w:rsidR="00C82547" w:rsidRPr="00F9212C">
        <w:t>of its proposed approach</w:t>
      </w:r>
      <w:r w:rsidR="00D601C1" w:rsidRPr="00F9212C">
        <w:t>. These are outlined in further detail below.</w:t>
      </w:r>
    </w:p>
    <w:p w14:paraId="51B3BBFA" w14:textId="71BF116A" w:rsidR="00AC762A" w:rsidRDefault="00AC762A" w:rsidP="004E6812">
      <w:pPr>
        <w:pStyle w:val="Heading3"/>
      </w:pPr>
      <w:bookmarkStart w:id="6" w:name="_Toc144816283"/>
      <w:r w:rsidRPr="003D0643">
        <w:t xml:space="preserve">Recommendation 2: </w:t>
      </w:r>
      <w:r>
        <w:t>Using</w:t>
      </w:r>
      <w:r w:rsidRPr="003D0643">
        <w:t xml:space="preserve"> </w:t>
      </w:r>
      <w:r w:rsidR="00E76851">
        <w:t>female</w:t>
      </w:r>
      <w:r w:rsidRPr="003D0643">
        <w:t xml:space="preserve"> private sector regional</w:t>
      </w:r>
      <w:r w:rsidRPr="00BA658F">
        <w:t xml:space="preserve"> wage</w:t>
      </w:r>
      <w:r>
        <w:t>s</w:t>
      </w:r>
      <w:bookmarkEnd w:id="6"/>
    </w:p>
    <w:p w14:paraId="038A9651" w14:textId="5C28E2BF" w:rsidR="004D0671" w:rsidRPr="004D0671" w:rsidRDefault="002F07F0" w:rsidP="002D0F4C">
      <w:pPr>
        <w:pStyle w:val="CGC2025ParaNumbers"/>
        <w:tabs>
          <w:tab w:val="clear" w:pos="567"/>
        </w:tabs>
      </w:pPr>
      <w:r>
        <w:t>Professor Preston recommended that, g</w:t>
      </w:r>
      <w:r w:rsidR="00AC762A" w:rsidRPr="003D0643">
        <w:t xml:space="preserve">iven the different sex composition of the public and private sectors, the Commission give consideration to using the </w:t>
      </w:r>
      <w:r w:rsidR="002D7269">
        <w:t>female</w:t>
      </w:r>
      <w:r w:rsidR="00AC762A" w:rsidRPr="003D0643">
        <w:t xml:space="preserve"> private sector regional</w:t>
      </w:r>
      <w:r w:rsidR="00AC762A" w:rsidRPr="00BA658F">
        <w:t xml:space="preserve"> wage structure as a proxy for </w:t>
      </w:r>
      <w:r w:rsidR="004C2DFC">
        <w:t xml:space="preserve">wage </w:t>
      </w:r>
      <w:r w:rsidR="00AC762A" w:rsidRPr="00BA658F">
        <w:t>pressures in the state/territory public sector.</w:t>
      </w:r>
      <w:r>
        <w:t xml:space="preserve"> </w:t>
      </w:r>
    </w:p>
    <w:p w14:paraId="798AED20" w14:textId="23FF9A64" w:rsidR="00027D41" w:rsidRDefault="00027D41" w:rsidP="00027D41">
      <w:pPr>
        <w:pStyle w:val="CGC2025ParaNumbers"/>
      </w:pPr>
      <w:r>
        <w:t xml:space="preserve">Gender is one of several </w:t>
      </w:r>
      <w:r w:rsidR="00D759FC">
        <w:t xml:space="preserve">factors contributing to differences in public and private sector wages. </w:t>
      </w:r>
      <w:r>
        <w:t xml:space="preserve">The labour market is also heavily segmented by industry and occupation, and </w:t>
      </w:r>
      <w:r w:rsidR="00561E9D">
        <w:t xml:space="preserve">there are differences </w:t>
      </w:r>
      <w:r w:rsidR="00D80E49">
        <w:t xml:space="preserve">in the distribution of </w:t>
      </w:r>
      <w:r>
        <w:t xml:space="preserve">industries and occupations </w:t>
      </w:r>
      <w:r w:rsidR="00D80E49">
        <w:t xml:space="preserve">between the public and private sectors. </w:t>
      </w:r>
      <w:r>
        <w:t xml:space="preserve">Ideally, the Commission would restrict its model to private sector workers who are substitutable for public sector workers in the labour market. </w:t>
      </w:r>
    </w:p>
    <w:p w14:paraId="61B7E8DF" w14:textId="0B2A504E" w:rsidR="00027D41" w:rsidRDefault="00027D41" w:rsidP="00027D41">
      <w:pPr>
        <w:pStyle w:val="CGC2025ParaNumbers"/>
      </w:pPr>
      <w:r>
        <w:t xml:space="preserve">Some private sector workers are </w:t>
      </w:r>
      <w:r w:rsidR="001C683F">
        <w:t>near-</w:t>
      </w:r>
      <w:r>
        <w:t xml:space="preserve">perfect substitutes for public sector workers, such as those working in private schools and private hospitals. </w:t>
      </w:r>
      <w:r w:rsidR="00B77306">
        <w:t xml:space="preserve">However, </w:t>
      </w:r>
      <w:r w:rsidR="00654F29">
        <w:t xml:space="preserve">private </w:t>
      </w:r>
      <w:r w:rsidR="00654F29">
        <w:lastRenderedPageBreak/>
        <w:t xml:space="preserve">sector </w:t>
      </w:r>
      <w:r w:rsidR="00B77306">
        <w:t>w</w:t>
      </w:r>
      <w:r>
        <w:t xml:space="preserve">ages in these industries are likely to be heavily influenced by state wage setting policies. </w:t>
      </w:r>
    </w:p>
    <w:p w14:paraId="589AE274" w14:textId="0F69D4A7" w:rsidR="00605F41" w:rsidRDefault="00027D41" w:rsidP="00027D41">
      <w:pPr>
        <w:pStyle w:val="CGC2025ParaNumbers"/>
      </w:pPr>
      <w:r>
        <w:t>Restricting the Commission</w:t>
      </w:r>
      <w:r w:rsidR="00C13911">
        <w:t>’s</w:t>
      </w:r>
      <w:r>
        <w:t xml:space="preserve"> model to workers </w:t>
      </w:r>
      <w:r w:rsidR="00DF3C7D">
        <w:t xml:space="preserve">with </w:t>
      </w:r>
      <w:r>
        <w:t xml:space="preserve">similar </w:t>
      </w:r>
      <w:r w:rsidR="00DF3C7D">
        <w:t xml:space="preserve">characteristics </w:t>
      </w:r>
      <w:r>
        <w:t xml:space="preserve">to public sector workers (on gender, </w:t>
      </w:r>
      <w:r w:rsidR="000A5BAD">
        <w:t>occupation</w:t>
      </w:r>
      <w:r>
        <w:t xml:space="preserve"> or other dimensions) </w:t>
      </w:r>
      <w:r w:rsidR="00044FEF">
        <w:t xml:space="preserve">would </w:t>
      </w:r>
      <w:r>
        <w:t>increase the conceptual validity of the model</w:t>
      </w:r>
      <w:r w:rsidR="00044FEF">
        <w:t xml:space="preserve">. </w:t>
      </w:r>
      <w:r w:rsidR="009C3769">
        <w:t xml:space="preserve">However, it would </w:t>
      </w:r>
      <w:r>
        <w:t>also increase the risk of state policy influence and reduce the sample size available</w:t>
      </w:r>
      <w:r w:rsidR="00CD430F">
        <w:t>,</w:t>
      </w:r>
      <w:r>
        <w:t xml:space="preserve"> and hence the reliability of the estimates. There are trade-offs between how accurately drivers of public sector wages are </w:t>
      </w:r>
      <w:r w:rsidR="00E12A19">
        <w:t>identified</w:t>
      </w:r>
      <w:r>
        <w:t>, how dependent the estimates are on state policies</w:t>
      </w:r>
      <w:r w:rsidR="00EE1C34">
        <w:t>,</w:t>
      </w:r>
      <w:r>
        <w:t xml:space="preserve"> and how statistically robust they are.</w:t>
      </w:r>
      <w:r w:rsidR="00DD0BAF">
        <w:rPr>
          <w:noProof/>
        </w:rPr>
        <w:t xml:space="preserve"> </w:t>
      </w:r>
      <w:r w:rsidR="001B688C">
        <w:rPr>
          <w:noProof/>
        </w:rPr>
        <w:t xml:space="preserve">Professor Preston’s recommendation </w:t>
      </w:r>
      <w:r w:rsidR="00610FCF">
        <w:rPr>
          <w:noProof/>
        </w:rPr>
        <w:t xml:space="preserve">to consider </w:t>
      </w:r>
      <w:r w:rsidR="001B688C">
        <w:rPr>
          <w:noProof/>
        </w:rPr>
        <w:t xml:space="preserve">using only female private sector workers represents </w:t>
      </w:r>
      <w:r w:rsidR="00CD430F">
        <w:rPr>
          <w:noProof/>
        </w:rPr>
        <w:t>one approach to dealing with these trade-offs.</w:t>
      </w:r>
      <w:r w:rsidR="004A6B2B">
        <w:rPr>
          <w:noProof/>
        </w:rPr>
        <w:t xml:space="preserve"> </w:t>
      </w:r>
    </w:p>
    <w:p w14:paraId="553C7B8A" w14:textId="5292D60F" w:rsidR="003F243C" w:rsidRDefault="00CD430F" w:rsidP="00027D41">
      <w:pPr>
        <w:pStyle w:val="CGC2025ParaNumbers"/>
      </w:pPr>
      <w:r w:rsidRPr="00CA3B95">
        <w:rPr>
          <w:noProof/>
        </w:rPr>
        <w:t>Within the survey sample r</w:t>
      </w:r>
      <w:r w:rsidR="005C1B92" w:rsidRPr="00CA3B95">
        <w:rPr>
          <w:noProof/>
        </w:rPr>
        <w:t>elative</w:t>
      </w:r>
      <w:r w:rsidR="005C1B92">
        <w:rPr>
          <w:noProof/>
        </w:rPr>
        <w:t xml:space="preserve"> state wage levels </w:t>
      </w:r>
      <w:r w:rsidR="008E5AD5">
        <w:rPr>
          <w:noProof/>
        </w:rPr>
        <w:t xml:space="preserve">in the public sector are more highly correlated with relative state wage levels </w:t>
      </w:r>
      <w:r w:rsidR="00187F45">
        <w:rPr>
          <w:noProof/>
        </w:rPr>
        <w:t>in the private sector as a whole</w:t>
      </w:r>
      <w:r w:rsidR="00CC600E">
        <w:rPr>
          <w:noProof/>
        </w:rPr>
        <w:t xml:space="preserve"> (</w:t>
      </w:r>
      <w:r w:rsidR="00C30BC4" w:rsidDel="00A71476">
        <w:rPr>
          <w:noProof/>
        </w:rPr>
        <w:t>correlation</w:t>
      </w:r>
      <w:r w:rsidR="00C30BC4">
        <w:rPr>
          <w:noProof/>
        </w:rPr>
        <w:t> </w:t>
      </w:r>
      <w:r w:rsidR="00CC600E">
        <w:rPr>
          <w:noProof/>
        </w:rPr>
        <w:t>coefficient of</w:t>
      </w:r>
      <w:r w:rsidR="00A71476">
        <w:rPr>
          <w:noProof/>
        </w:rPr>
        <w:t> </w:t>
      </w:r>
      <w:r w:rsidR="00CC600E" w:rsidRPr="00DE10FD">
        <w:rPr>
          <w:noProof/>
        </w:rPr>
        <w:t>0.</w:t>
      </w:r>
      <w:r w:rsidR="0046463E" w:rsidRPr="00DE10FD">
        <w:rPr>
          <w:noProof/>
        </w:rPr>
        <w:t>72</w:t>
      </w:r>
      <w:r w:rsidR="00CC600E" w:rsidRPr="00DE10FD">
        <w:rPr>
          <w:noProof/>
        </w:rPr>
        <w:t>)</w:t>
      </w:r>
      <w:r w:rsidR="00187F45" w:rsidRPr="00DE10FD">
        <w:rPr>
          <w:noProof/>
        </w:rPr>
        <w:t xml:space="preserve"> than</w:t>
      </w:r>
      <w:r w:rsidR="00187F45">
        <w:rPr>
          <w:noProof/>
        </w:rPr>
        <w:t xml:space="preserve"> they are with a female only subset of the private sector</w:t>
      </w:r>
      <w:r w:rsidR="00CC600E">
        <w:rPr>
          <w:noProof/>
        </w:rPr>
        <w:t xml:space="preserve"> (correlation coefficient of</w:t>
      </w:r>
      <w:r w:rsidR="00487F89">
        <w:rPr>
          <w:noProof/>
        </w:rPr>
        <w:t xml:space="preserve"> 0</w:t>
      </w:r>
      <w:r w:rsidR="00487F89" w:rsidRPr="00DE10FD">
        <w:rPr>
          <w:noProof/>
        </w:rPr>
        <w:t>.</w:t>
      </w:r>
      <w:r w:rsidR="00AA0445" w:rsidRPr="00DE10FD">
        <w:rPr>
          <w:noProof/>
        </w:rPr>
        <w:t>63</w:t>
      </w:r>
      <w:r w:rsidR="00487F89" w:rsidRPr="00DE10FD">
        <w:rPr>
          <w:noProof/>
        </w:rPr>
        <w:t>)</w:t>
      </w:r>
      <w:r w:rsidR="00CC600E" w:rsidRPr="00DE10FD">
        <w:rPr>
          <w:noProof/>
        </w:rPr>
        <w:t>.</w:t>
      </w:r>
      <w:r w:rsidR="00097D86" w:rsidRPr="00DE10FD">
        <w:rPr>
          <w:rStyle w:val="FootnoteReference"/>
          <w:noProof/>
        </w:rPr>
        <w:footnoteReference w:id="2"/>
      </w:r>
      <w:r w:rsidR="00487F89">
        <w:rPr>
          <w:noProof/>
        </w:rPr>
        <w:t xml:space="preserve"> </w:t>
      </w:r>
      <w:r w:rsidR="00084105">
        <w:rPr>
          <w:noProof/>
          <w:highlight w:val="yellow"/>
        </w:rPr>
        <w:fldChar w:fldCharType="begin"/>
      </w:r>
      <w:r w:rsidR="00084105">
        <w:rPr>
          <w:noProof/>
        </w:rPr>
        <w:instrText xml:space="preserve"> REF _Ref144131835 \h </w:instrText>
      </w:r>
      <w:r w:rsidR="00084105">
        <w:rPr>
          <w:noProof/>
          <w:highlight w:val="yellow"/>
        </w:rPr>
      </w:r>
      <w:r w:rsidR="00084105">
        <w:rPr>
          <w:noProof/>
          <w:highlight w:val="yellow"/>
        </w:rPr>
        <w:fldChar w:fldCharType="separate"/>
      </w:r>
      <w:r w:rsidR="00064890">
        <w:t xml:space="preserve">Figure </w:t>
      </w:r>
      <w:r w:rsidR="00064890">
        <w:rPr>
          <w:noProof/>
        </w:rPr>
        <w:t>1</w:t>
      </w:r>
      <w:r w:rsidR="00084105">
        <w:rPr>
          <w:noProof/>
          <w:highlight w:val="yellow"/>
        </w:rPr>
        <w:fldChar w:fldCharType="end"/>
      </w:r>
      <w:r w:rsidR="003343EA">
        <w:rPr>
          <w:noProof/>
        </w:rPr>
        <w:t xml:space="preserve"> shows</w:t>
      </w:r>
      <w:r w:rsidR="000D3996">
        <w:rPr>
          <w:noProof/>
        </w:rPr>
        <w:t xml:space="preserve"> relative public sector wages</w:t>
      </w:r>
      <w:r w:rsidR="00322B4D">
        <w:rPr>
          <w:noProof/>
        </w:rPr>
        <w:t xml:space="preserve"> plotted against </w:t>
      </w:r>
      <w:r w:rsidR="007A697C">
        <w:rPr>
          <w:noProof/>
        </w:rPr>
        <w:t xml:space="preserve">relative state wages for </w:t>
      </w:r>
      <w:r w:rsidR="00322B4D">
        <w:rPr>
          <w:noProof/>
        </w:rPr>
        <w:t>the entire private sect</w:t>
      </w:r>
      <w:r w:rsidR="007A697C">
        <w:rPr>
          <w:noProof/>
        </w:rPr>
        <w:t>or</w:t>
      </w:r>
      <w:r w:rsidR="00322B4D">
        <w:rPr>
          <w:noProof/>
        </w:rPr>
        <w:t xml:space="preserve"> </w:t>
      </w:r>
      <w:r w:rsidR="003343EA">
        <w:rPr>
          <w:noProof/>
        </w:rPr>
        <w:t>and against</w:t>
      </w:r>
      <w:r w:rsidR="007A697C">
        <w:rPr>
          <w:noProof/>
        </w:rPr>
        <w:t xml:space="preserve"> a female only subset</w:t>
      </w:r>
      <w:r w:rsidR="00291272">
        <w:rPr>
          <w:noProof/>
        </w:rPr>
        <w:t xml:space="preserve"> of the private sector</w:t>
      </w:r>
      <w:r w:rsidR="007A697C">
        <w:rPr>
          <w:noProof/>
        </w:rPr>
        <w:t>.</w:t>
      </w:r>
      <w:r w:rsidR="003343EA">
        <w:rPr>
          <w:noProof/>
        </w:rPr>
        <w:t xml:space="preserve"> It can be seen that the </w:t>
      </w:r>
      <w:r w:rsidR="00291272">
        <w:rPr>
          <w:noProof/>
        </w:rPr>
        <w:t xml:space="preserve">plot of </w:t>
      </w:r>
      <w:r w:rsidR="00602D6D">
        <w:rPr>
          <w:noProof/>
        </w:rPr>
        <w:t>public s</w:t>
      </w:r>
      <w:r w:rsidR="00424855">
        <w:rPr>
          <w:noProof/>
        </w:rPr>
        <w:t>e</w:t>
      </w:r>
      <w:r w:rsidR="00602D6D">
        <w:rPr>
          <w:noProof/>
        </w:rPr>
        <w:t>ctor relative wage levels against the total private sector relative state wage levels is</w:t>
      </w:r>
      <w:r w:rsidR="00F22A78">
        <w:rPr>
          <w:noProof/>
        </w:rPr>
        <w:t xml:space="preserve"> generally closer to the diagonal.</w:t>
      </w:r>
      <w:r w:rsidR="00423614">
        <w:rPr>
          <w:noProof/>
        </w:rPr>
        <w:t xml:space="preserve"> </w:t>
      </w:r>
    </w:p>
    <w:p w14:paraId="0A5755F9" w14:textId="7F9FB466" w:rsidR="00EB0BCD" w:rsidRDefault="00EB0BCD" w:rsidP="001D0FBD">
      <w:pPr>
        <w:pStyle w:val="CGC2025Caption"/>
        <w:keepNext/>
        <w:keepLines/>
        <w:tabs>
          <w:tab w:val="left" w:pos="1134"/>
        </w:tabs>
        <w:ind w:left="1134" w:hanging="1134"/>
      </w:pPr>
      <w:bookmarkStart w:id="7" w:name="_Ref144131835"/>
      <w:r>
        <w:t xml:space="preserve">Figure </w:t>
      </w:r>
      <w:fldSimple w:instr=" SEQ Figure \* ARABIC ">
        <w:r w:rsidR="00BB5F91">
          <w:rPr>
            <w:noProof/>
          </w:rPr>
          <w:t>1</w:t>
        </w:r>
      </w:fldSimple>
      <w:bookmarkEnd w:id="7"/>
      <w:r>
        <w:tab/>
        <w:t>Relative state wage levels estimates</w:t>
      </w:r>
      <w:r w:rsidR="00B65CD0">
        <w:t xml:space="preserve">, public vs </w:t>
      </w:r>
      <w:r w:rsidR="0070584E">
        <w:t xml:space="preserve">female </w:t>
      </w:r>
      <w:r w:rsidR="00B65CD0">
        <w:t>private and public vs private, 2018</w:t>
      </w:r>
      <w:r w:rsidR="00B65CD0">
        <w:softHyphen/>
      </w:r>
      <w:r w:rsidR="007C0E11">
        <w:t>–</w:t>
      </w:r>
      <w:r w:rsidR="00201FEE">
        <w:t>2022</w:t>
      </w:r>
    </w:p>
    <w:p w14:paraId="19C90589" w14:textId="3FB04E86" w:rsidR="00201FEE" w:rsidRDefault="001E39A4" w:rsidP="00A2744F">
      <w:pPr>
        <w:keepNext/>
        <w:keepLines/>
      </w:pPr>
      <w:r w:rsidRPr="001E39A4">
        <w:rPr>
          <w:noProof/>
        </w:rPr>
        <w:drawing>
          <wp:inline distT="0" distB="0" distL="0" distR="0" wp14:anchorId="01B2BEA8" wp14:editId="7B9CF960">
            <wp:extent cx="2809875" cy="2809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r w:rsidRPr="001E39A4">
        <w:t xml:space="preserve"> </w:t>
      </w:r>
      <w:r w:rsidRPr="001E39A4">
        <w:rPr>
          <w:noProof/>
        </w:rPr>
        <w:drawing>
          <wp:inline distT="0" distB="0" distL="0" distR="0" wp14:anchorId="626858DE" wp14:editId="75DC1536">
            <wp:extent cx="2809875" cy="2809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14:paraId="6EFD223D" w14:textId="5E5FE5FB" w:rsidR="00B31809" w:rsidRPr="00201FEE" w:rsidRDefault="00B31809" w:rsidP="00B31809">
      <w:pPr>
        <w:pStyle w:val="CGC2025TableNote"/>
      </w:pPr>
      <w:r>
        <w:t>Source: Commission calculation from COES data</w:t>
      </w:r>
      <w:r w:rsidR="00E6414C">
        <w:t>.</w:t>
      </w:r>
    </w:p>
    <w:p w14:paraId="1E953776" w14:textId="124B5F7F" w:rsidR="005F0D16" w:rsidRPr="00A02B02" w:rsidRDefault="009C2007" w:rsidP="005F0D16">
      <w:pPr>
        <w:pStyle w:val="CGC2025ParaNumbers"/>
      </w:pPr>
      <w:r w:rsidRPr="00A02B02">
        <w:rPr>
          <w:rStyle w:val="ui-provider"/>
        </w:rPr>
        <w:lastRenderedPageBreak/>
        <w:t xml:space="preserve">The Commission has </w:t>
      </w:r>
      <w:r w:rsidR="00C47024" w:rsidRPr="00A02B02">
        <w:rPr>
          <w:rStyle w:val="ui-provider"/>
        </w:rPr>
        <w:t>considered</w:t>
      </w:r>
      <w:r w:rsidRPr="00A02B02">
        <w:rPr>
          <w:rStyle w:val="ui-provider"/>
        </w:rPr>
        <w:t xml:space="preserve"> the impact of </w:t>
      </w:r>
      <w:r w:rsidR="00F56FAA" w:rsidRPr="00A02B02">
        <w:rPr>
          <w:rStyle w:val="ui-provider"/>
        </w:rPr>
        <w:t xml:space="preserve">using </w:t>
      </w:r>
      <w:r w:rsidR="005F0D16" w:rsidRPr="00A02B02">
        <w:rPr>
          <w:rStyle w:val="ui-provider"/>
        </w:rPr>
        <w:t>the female private sector workforce</w:t>
      </w:r>
      <w:r w:rsidR="00F56FAA" w:rsidRPr="00A02B02">
        <w:rPr>
          <w:rStyle w:val="ui-provider"/>
        </w:rPr>
        <w:t xml:space="preserve"> and</w:t>
      </w:r>
      <w:r w:rsidR="00EB66A6">
        <w:rPr>
          <w:rStyle w:val="ui-provider"/>
        </w:rPr>
        <w:t xml:space="preserve"> has</w:t>
      </w:r>
      <w:r w:rsidR="00F56FAA" w:rsidRPr="00A02B02">
        <w:rPr>
          <w:rStyle w:val="ui-provider"/>
        </w:rPr>
        <w:t xml:space="preserve"> found that </w:t>
      </w:r>
      <w:r w:rsidR="005F0D16" w:rsidRPr="00A02B02">
        <w:rPr>
          <w:rStyle w:val="ui-provider"/>
        </w:rPr>
        <w:t>the decrease in sample size means that any increase</w:t>
      </w:r>
      <w:r w:rsidR="008127E1" w:rsidRPr="00A02B02">
        <w:rPr>
          <w:rStyle w:val="ui-provider"/>
        </w:rPr>
        <w:t xml:space="preserve"> in </w:t>
      </w:r>
      <w:r w:rsidR="005F0D16" w:rsidRPr="00A02B02">
        <w:rPr>
          <w:rStyle w:val="ui-provider"/>
        </w:rPr>
        <w:t>accuracy</w:t>
      </w:r>
      <w:r w:rsidR="008127E1" w:rsidRPr="00A02B02">
        <w:rPr>
          <w:rStyle w:val="ui-provider"/>
        </w:rPr>
        <w:t xml:space="preserve"> </w:t>
      </w:r>
      <w:r w:rsidR="005F0D16" w:rsidRPr="00A02B02">
        <w:rPr>
          <w:rStyle w:val="ui-provider"/>
        </w:rPr>
        <w:t xml:space="preserve">is </w:t>
      </w:r>
      <w:r w:rsidR="008127E1" w:rsidRPr="00A02B02">
        <w:rPr>
          <w:rStyle w:val="ui-provider"/>
        </w:rPr>
        <w:t xml:space="preserve">outweighed </w:t>
      </w:r>
      <w:r w:rsidR="005F0D16" w:rsidRPr="00A02B02">
        <w:rPr>
          <w:rStyle w:val="ui-provider"/>
        </w:rPr>
        <w:t xml:space="preserve">by </w:t>
      </w:r>
      <w:r w:rsidR="00EB66A6">
        <w:rPr>
          <w:rStyle w:val="ui-provider"/>
        </w:rPr>
        <w:t xml:space="preserve">an </w:t>
      </w:r>
      <w:r w:rsidR="005F0D16" w:rsidRPr="00A02B02">
        <w:rPr>
          <w:rStyle w:val="ui-provider"/>
        </w:rPr>
        <w:t>increase</w:t>
      </w:r>
      <w:r w:rsidR="00EB66A6">
        <w:rPr>
          <w:rStyle w:val="ui-provider"/>
        </w:rPr>
        <w:t xml:space="preserve"> in</w:t>
      </w:r>
      <w:r w:rsidR="005F0D16" w:rsidRPr="00A02B02">
        <w:rPr>
          <w:rStyle w:val="ui-provider"/>
        </w:rPr>
        <w:t xml:space="preserve"> variance. </w:t>
      </w:r>
      <w:r w:rsidR="00BA513C" w:rsidRPr="00A02B02">
        <w:rPr>
          <w:rStyle w:val="ui-provider"/>
        </w:rPr>
        <w:t xml:space="preserve">This means that </w:t>
      </w:r>
      <w:r w:rsidR="00C47024" w:rsidRPr="00A02B02">
        <w:rPr>
          <w:rStyle w:val="ui-provider"/>
        </w:rPr>
        <w:t>t</w:t>
      </w:r>
      <w:r w:rsidR="005F0D16" w:rsidRPr="00A02B02">
        <w:rPr>
          <w:rStyle w:val="ui-provider"/>
        </w:rPr>
        <w:t xml:space="preserve">he dataset </w:t>
      </w:r>
      <w:r w:rsidR="00BA513C" w:rsidRPr="00A02B02">
        <w:rPr>
          <w:rStyle w:val="ui-provider"/>
        </w:rPr>
        <w:t>with</w:t>
      </w:r>
      <w:r w:rsidR="005F0D16" w:rsidRPr="00A02B02">
        <w:rPr>
          <w:rStyle w:val="ui-provider"/>
        </w:rPr>
        <w:t xml:space="preserve"> the full private sector sample provides a better reflection of pressure on public sector wages. </w:t>
      </w:r>
    </w:p>
    <w:p w14:paraId="061E0D1D" w14:textId="29B33AF8" w:rsidR="00E0576F" w:rsidRDefault="00191A3F" w:rsidP="00D01E95">
      <w:pPr>
        <w:pStyle w:val="CGC2025ParaNumbers"/>
      </w:pPr>
      <w:r>
        <w:t xml:space="preserve">The </w:t>
      </w:r>
      <w:r w:rsidR="00213961">
        <w:t xml:space="preserve">Commission’s </w:t>
      </w:r>
      <w:r>
        <w:t xml:space="preserve">preliminary view </w:t>
      </w:r>
      <w:r w:rsidR="00213961">
        <w:t>is</w:t>
      </w:r>
      <w:r>
        <w:t xml:space="preserve"> that the full sample of private sector employees should be used to proxy for the labour market effects on the public sector.</w:t>
      </w:r>
      <w:r w:rsidR="00097D86">
        <w:rPr>
          <w:noProof/>
        </w:rPr>
        <w:t xml:space="preserve"> </w:t>
      </w:r>
      <w:bookmarkEnd w:id="2"/>
      <w:bookmarkEnd w:id="3"/>
      <w:bookmarkEnd w:id="4"/>
      <w:bookmarkEnd w:id="5"/>
    </w:p>
    <w:p w14:paraId="142B4888" w14:textId="72D68282" w:rsidR="00F41E2A" w:rsidRDefault="00F41E2A" w:rsidP="004E6812">
      <w:pPr>
        <w:pStyle w:val="Heading4"/>
      </w:pPr>
      <w:r>
        <w:t>Consultation question</w:t>
      </w:r>
      <w:r w:rsidR="00E0576F">
        <w:t>s</w:t>
      </w:r>
    </w:p>
    <w:p w14:paraId="7F3BAA2B" w14:textId="08D1FF69" w:rsidR="0049687E" w:rsidRPr="002F190D" w:rsidRDefault="001923ED" w:rsidP="0049687E">
      <w:r w:rsidRPr="001C4DF3">
        <w:rPr>
          <w:noProof/>
        </w:rPr>
        <mc:AlternateContent>
          <mc:Choice Requires="wps">
            <w:drawing>
              <wp:inline distT="0" distB="0" distL="0" distR="0" wp14:anchorId="7B4026B3" wp14:editId="0486A28C">
                <wp:extent cx="5648325" cy="1411793"/>
                <wp:effectExtent l="0" t="0" r="9525"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1411793"/>
                        </a:xfrm>
                        <a:prstGeom prst="rect">
                          <a:avLst/>
                        </a:prstGeom>
                        <a:solidFill>
                          <a:srgbClr val="EBF3F5"/>
                        </a:solidFill>
                        <a:ln w="25400" cap="flat" cmpd="sng" algn="ctr">
                          <a:noFill/>
                          <a:prstDash val="solid"/>
                        </a:ln>
                        <a:effectLst/>
                      </wps:spPr>
                      <wps:txbx>
                        <w:txbxContent>
                          <w:p w14:paraId="7148D031" w14:textId="77777777" w:rsidR="00460DA2" w:rsidRPr="00B800F5" w:rsidRDefault="00460DA2" w:rsidP="00460DA2">
                            <w:pPr>
                              <w:pStyle w:val="CGC2025QuestionNumbers"/>
                            </w:pPr>
                            <w:r w:rsidRPr="00E76FF9">
                              <w:t>Do states agree on continuing to use private sector wages as a policy neutral proxy for the market pressures faced by public sector employers</w:t>
                            </w:r>
                            <w:r w:rsidRPr="00B800F5">
                              <w:t>?</w:t>
                            </w:r>
                          </w:p>
                          <w:p w14:paraId="1167CFE1" w14:textId="3CBF81F6" w:rsidR="00460DA2" w:rsidRDefault="00460DA2" w:rsidP="00460DA2">
                            <w:pPr>
                              <w:pStyle w:val="CGC2025QuestionNumbers"/>
                            </w:pPr>
                            <w:r w:rsidRPr="00B800F5">
                              <w:t>Do states agree that the Commission should continue to use all private sector employees to proxy for public sector drivers of costs?</w:t>
                            </w:r>
                            <w:r w:rsidR="006F5290">
                              <w:t xml:space="preserve"> </w:t>
                            </w:r>
                          </w:p>
                          <w:p w14:paraId="1A9DB4D2" w14:textId="442E9F78" w:rsidR="00F84225" w:rsidRPr="00164781" w:rsidRDefault="00460DA2" w:rsidP="00BE491E">
                            <w:pPr>
                              <w:pStyle w:val="CGC2025QuestionNumbers"/>
                            </w:pPr>
                            <w:r w:rsidRPr="00164781">
                              <w:t>Do states support the continued use of the Characteristics of Employment survey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4026B3" id="Rectangle 23" o:spid="_x0000_s1029" alt="&quot;&quot;" style="width:444.75pt;height:1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" fillcolor="#ebf3f5" stroked="f" strokeweight="2pt">
                <v:textbox>
                  <w:txbxContent>
                    <w:p w14:paraId="7148D031" w14:textId="77777777" w:rsidR="00460DA2" w:rsidRPr="00B800F5" w:rsidRDefault="00460DA2" w:rsidP="00460DA2">
                      <w:pPr>
                        <w:pStyle w:val="CGC2025QuestionNumbers"/>
                      </w:pPr>
                      <w:r w:rsidRPr="00E76FF9">
                        <w:t>Do states agree on continuing to use private sector wages as a policy neutral proxy for the market pressures faced by public sector employers</w:t>
                      </w:r>
                      <w:r w:rsidRPr="00B800F5">
                        <w:t>?</w:t>
                      </w:r>
                    </w:p>
                    <w:p w14:paraId="1167CFE1" w14:textId="3CBF81F6" w:rsidR="00460DA2" w:rsidRDefault="00460DA2" w:rsidP="00460DA2">
                      <w:pPr>
                        <w:pStyle w:val="CGC2025QuestionNumbers"/>
                      </w:pPr>
                      <w:r w:rsidRPr="00B800F5">
                        <w:t>Do states agree that the Commission should continue to use all private sector employees to proxy for public sector drivers of costs?</w:t>
                      </w:r>
                      <w:r w:rsidR="006F5290">
                        <w:t xml:space="preserve"> </w:t>
                      </w:r>
                    </w:p>
                    <w:p w14:paraId="1A9DB4D2" w14:textId="442E9F78" w:rsidR="00F84225" w:rsidRPr="00164781" w:rsidRDefault="00460DA2" w:rsidP="00BE491E">
                      <w:pPr>
                        <w:pStyle w:val="CGC2025QuestionNumbers"/>
                      </w:pPr>
                      <w:r w:rsidRPr="00164781">
                        <w:t>Do states support the continued use of the Characteristics of Employment survey data?</w:t>
                      </w:r>
                    </w:p>
                  </w:txbxContent>
                </v:textbox>
                <w10:anchorlock/>
              </v:rect>
            </w:pict>
          </mc:Fallback>
        </mc:AlternateContent>
      </w:r>
    </w:p>
    <w:p w14:paraId="11A215C3" w14:textId="43B840A1" w:rsidR="00BD270B" w:rsidRDefault="009A14A3" w:rsidP="004E6812">
      <w:pPr>
        <w:pStyle w:val="Heading3"/>
      </w:pPr>
      <w:bookmarkStart w:id="8" w:name="_Toc144816284"/>
      <w:bookmarkStart w:id="9" w:name="_Toc121741490"/>
      <w:bookmarkStart w:id="10" w:name="_Toc127428359"/>
      <w:bookmarkStart w:id="11" w:name="_Toc132729113"/>
      <w:bookmarkStart w:id="12" w:name="_Toc133236154"/>
      <w:bookmarkStart w:id="13" w:name="_Toc133236180"/>
      <w:r>
        <w:t>Recom</w:t>
      </w:r>
      <w:r w:rsidR="003D0643">
        <w:t>m</w:t>
      </w:r>
      <w:r>
        <w:t>e</w:t>
      </w:r>
      <w:r w:rsidR="003D0643">
        <w:t>ndation</w:t>
      </w:r>
      <w:r w:rsidR="0059195A">
        <w:t>s</w:t>
      </w:r>
      <w:r w:rsidR="003D0643">
        <w:t xml:space="preserve"> 4</w:t>
      </w:r>
      <w:r w:rsidR="00B91830">
        <w:t>–</w:t>
      </w:r>
      <w:r w:rsidR="003D0643">
        <w:t xml:space="preserve">10: </w:t>
      </w:r>
      <w:r w:rsidR="0059195A">
        <w:t>m</w:t>
      </w:r>
      <w:r w:rsidR="00BD270B">
        <w:t>odel specification</w:t>
      </w:r>
      <w:bookmarkEnd w:id="8"/>
    </w:p>
    <w:p w14:paraId="1DDDA792" w14:textId="0E237B1B" w:rsidR="008D7D45" w:rsidRDefault="0055729A" w:rsidP="0020601A">
      <w:pPr>
        <w:pStyle w:val="CGC2025ParaNumbers"/>
      </w:pPr>
      <w:r>
        <w:t xml:space="preserve">Professor Preston made </w:t>
      </w:r>
      <w:r w:rsidR="00DA1E27">
        <w:t>7</w:t>
      </w:r>
      <w:r>
        <w:t xml:space="preserve"> recommendations </w:t>
      </w:r>
      <w:r w:rsidR="00094F26">
        <w:t xml:space="preserve">relating to </w:t>
      </w:r>
      <w:r w:rsidR="009721C9">
        <w:t>the</w:t>
      </w:r>
      <w:r w:rsidR="006C7DA1">
        <w:t xml:space="preserve"> specification of the </w:t>
      </w:r>
      <w:r w:rsidR="00012F9B">
        <w:t>regression model and</w:t>
      </w:r>
      <w:r w:rsidR="009721C9">
        <w:t xml:space="preserve"> </w:t>
      </w:r>
      <w:r w:rsidR="00094F26">
        <w:t xml:space="preserve">the </w:t>
      </w:r>
      <w:r w:rsidR="009721C9">
        <w:t xml:space="preserve">choice of </w:t>
      </w:r>
      <w:r w:rsidR="00AA3C37">
        <w:t>control variables</w:t>
      </w:r>
      <w:r w:rsidR="00AD35D7">
        <w:t xml:space="preserve">. </w:t>
      </w:r>
      <w:r w:rsidR="006831BF">
        <w:t xml:space="preserve">Professor Preston </w:t>
      </w:r>
      <w:r w:rsidR="0066551C">
        <w:t>supports</w:t>
      </w:r>
      <w:r w:rsidR="00544DFD">
        <w:t xml:space="preserve"> </w:t>
      </w:r>
      <w:r w:rsidR="000E0E3F">
        <w:t xml:space="preserve">the </w:t>
      </w:r>
      <w:r w:rsidR="00544DFD">
        <w:t>Commission</w:t>
      </w:r>
      <w:r w:rsidR="009A6CA2">
        <w:t>’s</w:t>
      </w:r>
      <w:r w:rsidR="00544DFD">
        <w:t xml:space="preserve"> pr</w:t>
      </w:r>
      <w:r w:rsidR="00EB1FCE">
        <w:t xml:space="preserve">oposal to </w:t>
      </w:r>
      <w:r w:rsidR="006C3150">
        <w:t>move to</w:t>
      </w:r>
      <w:r w:rsidR="00A83005">
        <w:t xml:space="preserve"> hourly wages as the dependent variable</w:t>
      </w:r>
      <w:r w:rsidR="00777DC4">
        <w:t xml:space="preserve"> </w:t>
      </w:r>
      <w:r w:rsidR="00777DC4" w:rsidRPr="00F3162A">
        <w:t>(</w:t>
      </w:r>
      <w:r w:rsidR="00575DD9" w:rsidRPr="00F3162A">
        <w:t>Recommendation</w:t>
      </w:r>
      <w:r w:rsidR="00777DC4" w:rsidRPr="00F3162A">
        <w:t xml:space="preserve"> </w:t>
      </w:r>
      <w:r w:rsidR="00F3162A" w:rsidRPr="00F3162A">
        <w:t>4</w:t>
      </w:r>
      <w:r w:rsidR="00777DC4" w:rsidRPr="00F3162A">
        <w:t>)</w:t>
      </w:r>
      <w:r w:rsidR="00315693" w:rsidRPr="00F3162A">
        <w:t xml:space="preserve"> </w:t>
      </w:r>
      <w:r w:rsidR="004F5B36" w:rsidRPr="00F3162A">
        <w:t>and</w:t>
      </w:r>
      <w:r w:rsidR="00315693" w:rsidRPr="00F3162A">
        <w:t xml:space="preserve"> the </w:t>
      </w:r>
      <w:r w:rsidR="00DB5437">
        <w:t xml:space="preserve">proposed </w:t>
      </w:r>
      <w:r w:rsidR="00315693" w:rsidRPr="00F3162A">
        <w:t>simplifying change to continuous tenure</w:t>
      </w:r>
      <w:r w:rsidR="00777DC4" w:rsidRPr="00F3162A">
        <w:t xml:space="preserve"> (</w:t>
      </w:r>
      <w:r w:rsidR="00575DD9" w:rsidRPr="00F3162A">
        <w:t>Recommendation</w:t>
      </w:r>
      <w:r w:rsidR="00777DC4" w:rsidRPr="00F3162A">
        <w:t xml:space="preserve"> </w:t>
      </w:r>
      <w:r w:rsidR="00F3162A" w:rsidRPr="00F3162A">
        <w:t>9</w:t>
      </w:r>
      <w:r w:rsidR="00777DC4" w:rsidRPr="00F3162A">
        <w:t>)</w:t>
      </w:r>
      <w:r w:rsidR="00315693" w:rsidRPr="00F3162A">
        <w:t>.</w:t>
      </w:r>
    </w:p>
    <w:p w14:paraId="1ECC6059" w14:textId="1B671E29" w:rsidR="00840753" w:rsidRDefault="00603DA8" w:rsidP="0020601A">
      <w:pPr>
        <w:pStyle w:val="CGC2025ParaNumbers"/>
      </w:pPr>
      <w:r>
        <w:t xml:space="preserve">Other </w:t>
      </w:r>
      <w:r w:rsidR="00207EB4">
        <w:t xml:space="preserve">recommendations made by Professor Preston were to remove from the sample </w:t>
      </w:r>
      <w:r w:rsidR="00676137">
        <w:t>individuals working unusually few or many hours</w:t>
      </w:r>
      <w:r w:rsidR="008C2205">
        <w:t xml:space="preserve"> and to reconsider how hours of work are specified in the model. </w:t>
      </w:r>
      <w:r w:rsidR="00A23C1A">
        <w:t>Professor Preston</w:t>
      </w:r>
      <w:r w:rsidR="00460DA2">
        <w:t xml:space="preserve"> </w:t>
      </w:r>
      <w:r w:rsidR="008C2205">
        <w:t xml:space="preserve">also </w:t>
      </w:r>
      <w:r w:rsidR="00FA0C51">
        <w:t xml:space="preserve">recommended </w:t>
      </w:r>
      <w:r w:rsidR="008C2205">
        <w:t>simplify</w:t>
      </w:r>
      <w:r w:rsidR="00FA0C51">
        <w:t>ing</w:t>
      </w:r>
      <w:r w:rsidR="008C2205">
        <w:t xml:space="preserve"> the model by reducing the number and complexity of explanatory variables</w:t>
      </w:r>
      <w:r w:rsidR="00FA0C51">
        <w:t xml:space="preserve">, </w:t>
      </w:r>
      <w:r w:rsidR="0099546D">
        <w:t xml:space="preserve">citing </w:t>
      </w:r>
      <w:r w:rsidR="00FA0C51">
        <w:t>some specific examples, but also more generally.</w:t>
      </w:r>
    </w:p>
    <w:p w14:paraId="7227169B" w14:textId="44F998F1" w:rsidR="0057341A" w:rsidRDefault="00F9498D" w:rsidP="00557C5C">
      <w:pPr>
        <w:pStyle w:val="Heading5"/>
      </w:pPr>
      <w:r>
        <w:t>Response to</w:t>
      </w:r>
      <w:r w:rsidR="0057341A">
        <w:t xml:space="preserve"> </w:t>
      </w:r>
      <w:r w:rsidR="009C7124">
        <w:t>r</w:t>
      </w:r>
      <w:r w:rsidR="0057341A">
        <w:t xml:space="preserve">ecommendations </w:t>
      </w:r>
      <w:r w:rsidR="0055783B">
        <w:t>4, 5 and 6</w:t>
      </w:r>
    </w:p>
    <w:p w14:paraId="30C11A52" w14:textId="7668C277" w:rsidR="004C3A0B" w:rsidRPr="007B2219" w:rsidRDefault="004C3A0B" w:rsidP="00B306D0">
      <w:pPr>
        <w:pStyle w:val="CGC2025ParaNumbers"/>
      </w:pPr>
      <w:r w:rsidRPr="007B2219">
        <w:t xml:space="preserve">Professor Preston recommended removing </w:t>
      </w:r>
      <w:r w:rsidR="00C843DF" w:rsidRPr="007B2219">
        <w:t xml:space="preserve">records </w:t>
      </w:r>
      <w:r w:rsidR="00C9165C" w:rsidRPr="007B2219">
        <w:t>of people paid for less than 5</w:t>
      </w:r>
      <w:r w:rsidR="00AD3E8B">
        <w:t> </w:t>
      </w:r>
      <w:r w:rsidR="00F814A0" w:rsidRPr="007B2219">
        <w:t>hours,</w:t>
      </w:r>
      <w:r w:rsidR="00C9165C" w:rsidRPr="007B2219">
        <w:t xml:space="preserve"> or over 60 hours</w:t>
      </w:r>
      <w:r w:rsidR="00F814A0" w:rsidRPr="007B2219">
        <w:t>,</w:t>
      </w:r>
      <w:r w:rsidR="00C9165C" w:rsidRPr="007B2219">
        <w:t xml:space="preserve"> on the grounds that these people have </w:t>
      </w:r>
      <w:r w:rsidR="00AC1379" w:rsidRPr="007B2219">
        <w:t xml:space="preserve">atypical working patterns. </w:t>
      </w:r>
      <w:r w:rsidR="00D002DA" w:rsidRPr="007B2219">
        <w:t>The Commission has found that o</w:t>
      </w:r>
      <w:r w:rsidR="001946CD" w:rsidRPr="007B2219">
        <w:t xml:space="preserve">mitting these records </w:t>
      </w:r>
      <w:r w:rsidR="00525C73" w:rsidRPr="007B2219">
        <w:t>reduces the sample size while</w:t>
      </w:r>
      <w:r w:rsidR="00CE1705" w:rsidRPr="007B2219">
        <w:t xml:space="preserve"> not materially affect</w:t>
      </w:r>
      <w:r w:rsidR="00357F97" w:rsidRPr="007B2219">
        <w:t>ing</w:t>
      </w:r>
      <w:r w:rsidR="00CE1705" w:rsidRPr="007B2219">
        <w:t xml:space="preserve"> average state coefficients</w:t>
      </w:r>
      <w:r w:rsidR="00D05358" w:rsidRPr="007B2219">
        <w:t>. As such, the Commission consider</w:t>
      </w:r>
      <w:r w:rsidR="006957B4" w:rsidRPr="007B2219">
        <w:t>s</w:t>
      </w:r>
      <w:r w:rsidR="00D05358" w:rsidRPr="007B2219">
        <w:t xml:space="preserve"> </w:t>
      </w:r>
      <w:r w:rsidR="006957B4" w:rsidRPr="007B2219">
        <w:t xml:space="preserve">that </w:t>
      </w:r>
      <w:r w:rsidR="00D05358" w:rsidRPr="007B2219">
        <w:t xml:space="preserve">restricting the sample </w:t>
      </w:r>
      <w:r w:rsidR="006957B4" w:rsidRPr="007B2219">
        <w:t>adds a level of complexity</w:t>
      </w:r>
      <w:r w:rsidR="002F0C67" w:rsidRPr="007B2219">
        <w:t xml:space="preserve"> that is not justified</w:t>
      </w:r>
      <w:r w:rsidR="00CE1705" w:rsidRPr="007B2219">
        <w:t xml:space="preserve">. </w:t>
      </w:r>
    </w:p>
    <w:p w14:paraId="3DC85216" w14:textId="122C9A47" w:rsidR="0089613B" w:rsidRDefault="003F6F1B" w:rsidP="00B306D0">
      <w:pPr>
        <w:pStyle w:val="CGC2025ParaNumbers"/>
      </w:pPr>
      <w:r>
        <w:t xml:space="preserve">Professor Preston </w:t>
      </w:r>
      <w:r w:rsidR="00966E91">
        <w:t xml:space="preserve">supported the Commission’s preliminary proposal of </w:t>
      </w:r>
      <w:r>
        <w:t xml:space="preserve">moving to hourly rather than weekly wages as the dependent variable in the regression model. However, </w:t>
      </w:r>
      <w:r w:rsidR="00092DA4">
        <w:t>Professor Preston</w:t>
      </w:r>
      <w:r>
        <w:t xml:space="preserve"> also highlighted potential issues with using hours of work as </w:t>
      </w:r>
      <w:r w:rsidR="00B306D0">
        <w:t xml:space="preserve">an </w:t>
      </w:r>
      <w:r>
        <w:t>independent variable to predict hourly pay</w:t>
      </w:r>
      <w:r w:rsidR="0089613B">
        <w:t xml:space="preserve">, particularly </w:t>
      </w:r>
      <w:r w:rsidR="004A3A48">
        <w:t>at the level of</w:t>
      </w:r>
      <w:r w:rsidR="0089613B">
        <w:t xml:space="preserve"> complexity proposed by the Commission.</w:t>
      </w:r>
    </w:p>
    <w:p w14:paraId="3F152456" w14:textId="44486265" w:rsidR="00976427" w:rsidRDefault="008968AB" w:rsidP="00B306D0">
      <w:pPr>
        <w:pStyle w:val="CGC2025ParaNumbers"/>
      </w:pPr>
      <w:r>
        <w:lastRenderedPageBreak/>
        <w:t>Following</w:t>
      </w:r>
      <w:r w:rsidR="007069FE">
        <w:t xml:space="preserve"> Professor Preston</w:t>
      </w:r>
      <w:r>
        <w:t xml:space="preserve">’s recommendations, the Commission </w:t>
      </w:r>
      <w:r w:rsidR="00193C9F">
        <w:t xml:space="preserve">has revised its </w:t>
      </w:r>
      <w:r w:rsidR="00437831">
        <w:t>proposed approach to significantly reduce the complexity of the hours variables</w:t>
      </w:r>
      <w:r w:rsidR="00C25CDB">
        <w:t xml:space="preserve">. </w:t>
      </w:r>
      <w:r w:rsidR="008C0BAC">
        <w:t xml:space="preserve">It </w:t>
      </w:r>
      <w:r w:rsidR="0044198B">
        <w:t xml:space="preserve">agrees </w:t>
      </w:r>
      <w:r w:rsidR="008C0BAC">
        <w:t xml:space="preserve">that removing paid hours </w:t>
      </w:r>
      <w:r w:rsidR="0044198B">
        <w:t xml:space="preserve">and the interaction between paid and usual hours </w:t>
      </w:r>
      <w:r w:rsidR="008C0BAC">
        <w:t>as independent variable</w:t>
      </w:r>
      <w:r w:rsidR="00CF77C4">
        <w:t xml:space="preserve">s </w:t>
      </w:r>
      <w:r w:rsidR="00976427">
        <w:t>would reduce the prospect of e</w:t>
      </w:r>
      <w:r w:rsidR="00265DBE">
        <w:t>nd</w:t>
      </w:r>
      <w:r w:rsidR="00976427">
        <w:t>ogeneity and simplify the model</w:t>
      </w:r>
      <w:r w:rsidR="00074F64">
        <w:t xml:space="preserve">, without any significant </w:t>
      </w:r>
      <w:r w:rsidR="0028550B">
        <w:t>change in the state coefficients</w:t>
      </w:r>
      <w:r w:rsidR="00976427">
        <w:t xml:space="preserve">. </w:t>
      </w:r>
    </w:p>
    <w:p w14:paraId="53BFC961" w14:textId="27085934" w:rsidR="003644F1" w:rsidRPr="00E47F56" w:rsidRDefault="003644F1" w:rsidP="006C1876">
      <w:pPr>
        <w:pStyle w:val="CGC2025ParaNumbers"/>
      </w:pPr>
      <w:r>
        <w:t xml:space="preserve">Usual hours of </w:t>
      </w:r>
      <w:r w:rsidRPr="00E47F56">
        <w:t xml:space="preserve">work </w:t>
      </w:r>
      <w:r w:rsidR="0068197E" w:rsidRPr="00E47F56">
        <w:t>can</w:t>
      </w:r>
      <w:r w:rsidRPr="00E47F56">
        <w:t xml:space="preserve"> affect earning potential</w:t>
      </w:r>
      <w:r w:rsidR="00707F15">
        <w:t>.</w:t>
      </w:r>
      <w:r w:rsidRPr="00E47F56">
        <w:t xml:space="preserve"> </w:t>
      </w:r>
      <w:r w:rsidR="00707F15">
        <w:t>A</w:t>
      </w:r>
      <w:r w:rsidRPr="00E47F56">
        <w:t xml:space="preserve"> person who usually works part</w:t>
      </w:r>
      <w:r w:rsidR="00E54F6B">
        <w:noBreakHyphen/>
      </w:r>
      <w:r w:rsidRPr="00E47F56">
        <w:t xml:space="preserve">time </w:t>
      </w:r>
      <w:r w:rsidR="00131A80">
        <w:t xml:space="preserve">hours </w:t>
      </w:r>
      <w:r w:rsidR="0068197E" w:rsidRPr="00E47F56">
        <w:t>does not get the same increase in earning</w:t>
      </w:r>
      <w:r w:rsidR="0068197E" w:rsidRPr="00E47F56" w:rsidDel="0044072F">
        <w:t>s</w:t>
      </w:r>
      <w:r w:rsidR="0068197E" w:rsidRPr="00E47F56">
        <w:t xml:space="preserve"> for each year of experience or for each year of tenure </w:t>
      </w:r>
      <w:r w:rsidR="00A30190">
        <w:t>as</w:t>
      </w:r>
      <w:r w:rsidR="0068197E" w:rsidRPr="00E47F56">
        <w:t xml:space="preserve"> a person who usually works full</w:t>
      </w:r>
      <w:r w:rsidR="00131A80">
        <w:t>-</w:t>
      </w:r>
      <w:r w:rsidR="0068197E" w:rsidRPr="00E47F56">
        <w:t>time</w:t>
      </w:r>
      <w:r w:rsidR="00131A80">
        <w:t xml:space="preserve"> hours</w:t>
      </w:r>
      <w:r w:rsidR="0068197E" w:rsidRPr="00E47F56">
        <w:t>. Similarly, expected returns would be higher for a person who usually works unpaid overtime.</w:t>
      </w:r>
      <w:r w:rsidR="00C4358D" w:rsidRPr="00E47F56">
        <w:t xml:space="preserve"> On the basis of Professor Preston’s recommendation, the revised Commission preliminary view is to specify usual hours with simple dummy variables for part</w:t>
      </w:r>
      <w:r w:rsidR="00E54F6B">
        <w:noBreakHyphen/>
      </w:r>
      <w:r w:rsidR="00C4358D" w:rsidRPr="00E47F56">
        <w:t>time, full</w:t>
      </w:r>
      <w:r w:rsidR="00E54F6B">
        <w:noBreakHyphen/>
      </w:r>
      <w:r w:rsidR="00C4358D" w:rsidRPr="00E47F56">
        <w:t>time and more than full</w:t>
      </w:r>
      <w:r w:rsidR="00E54F6B">
        <w:noBreakHyphen/>
      </w:r>
      <w:r w:rsidR="00C4358D" w:rsidRPr="00E47F56">
        <w:t>time hours.</w:t>
      </w:r>
    </w:p>
    <w:p w14:paraId="1CAFF265" w14:textId="521B916A" w:rsidR="00DD717F" w:rsidRPr="00E47F56" w:rsidRDefault="002E7CE4" w:rsidP="00557C5C">
      <w:pPr>
        <w:pStyle w:val="Heading5"/>
      </w:pPr>
      <w:r w:rsidRPr="00E47F56">
        <w:t xml:space="preserve">Response to </w:t>
      </w:r>
      <w:r w:rsidR="008A545D">
        <w:t>r</w:t>
      </w:r>
      <w:r w:rsidR="00DD717F" w:rsidRPr="00E47F56">
        <w:t>ecommendations 7 and 8</w:t>
      </w:r>
    </w:p>
    <w:p w14:paraId="4FF9AEC9" w14:textId="69F2E2DC" w:rsidR="00460DA2" w:rsidRPr="00E47F56" w:rsidRDefault="00460DA2" w:rsidP="00460DA2">
      <w:pPr>
        <w:pStyle w:val="CGC2025ParaNumbers"/>
      </w:pPr>
      <w:r w:rsidRPr="00E47F56">
        <w:t xml:space="preserve">Including age in 5-year </w:t>
      </w:r>
      <w:r w:rsidR="00051AA9" w:rsidRPr="00E47F56">
        <w:t>age groups</w:t>
      </w:r>
      <w:r w:rsidR="005B2D8F" w:rsidRPr="00E47F56">
        <w:t xml:space="preserve"> </w:t>
      </w:r>
      <w:r w:rsidRPr="00E47F56">
        <w:t>as an independent variable instead of potential experience and potential experience squared simplifies the model by removing the squared term</w:t>
      </w:r>
      <w:r w:rsidR="002339E9" w:rsidRPr="00E47F56">
        <w:t xml:space="preserve"> and us</w:t>
      </w:r>
      <w:r w:rsidR="00F751B6">
        <w:t>es</w:t>
      </w:r>
      <w:r w:rsidR="002339E9" w:rsidRPr="00E47F56">
        <w:t xml:space="preserve"> more </w:t>
      </w:r>
      <w:r w:rsidR="00BC509E">
        <w:t>easily understood</w:t>
      </w:r>
      <w:r w:rsidR="002339E9" w:rsidRPr="00E47F56">
        <w:t xml:space="preserve"> variables</w:t>
      </w:r>
      <w:r w:rsidRPr="00E47F56">
        <w:t xml:space="preserve">. It also allows the age earnings profile to be modelled with </w:t>
      </w:r>
      <w:r w:rsidR="00CF339F">
        <w:t>greater</w:t>
      </w:r>
      <w:r w:rsidR="00CF339F" w:rsidRPr="00E47F56">
        <w:t xml:space="preserve"> </w:t>
      </w:r>
      <w:r w:rsidRPr="00E47F56">
        <w:t xml:space="preserve">nuance, producing a better fit for the model. </w:t>
      </w:r>
    </w:p>
    <w:p w14:paraId="38B3244B" w14:textId="6D0092BF" w:rsidR="00460DA2" w:rsidRPr="00E47F56" w:rsidRDefault="00460DA2" w:rsidP="00460DA2">
      <w:pPr>
        <w:pStyle w:val="CGC2025ParaNumbers"/>
      </w:pPr>
      <w:r w:rsidRPr="00E47F56">
        <w:t xml:space="preserve">Adding interactions with highest level of education improves the fit of the overall model but has very little effect on state coefficients. This change proposed in the original consultation paper would increase the complexity </w:t>
      </w:r>
      <w:r w:rsidR="00233CE8">
        <w:t>of</w:t>
      </w:r>
      <w:r w:rsidRPr="00E47F56">
        <w:t xml:space="preserve"> the model, with limited benefit.</w:t>
      </w:r>
    </w:p>
    <w:p w14:paraId="27A0EBCD" w14:textId="265582DE" w:rsidR="00760DEA" w:rsidRPr="00E47F56" w:rsidRDefault="00460DA2" w:rsidP="00460DA2">
      <w:pPr>
        <w:pStyle w:val="CGC2025ParaNumbers"/>
      </w:pPr>
      <w:r w:rsidRPr="00E47F56">
        <w:t>The revised Commission preliminary view is to follow Professor Preston</w:t>
      </w:r>
      <w:r w:rsidR="006F64B9" w:rsidRPr="00E47F56">
        <w:t>’</w:t>
      </w:r>
      <w:r w:rsidRPr="00E47F56">
        <w:t xml:space="preserve">s recommendations and to specify age in 5-year </w:t>
      </w:r>
      <w:r w:rsidR="00396158" w:rsidRPr="00E47F56">
        <w:t xml:space="preserve">categories </w:t>
      </w:r>
      <w:r w:rsidRPr="00E47F56">
        <w:t xml:space="preserve">as a control and not to interact </w:t>
      </w:r>
      <w:r w:rsidR="00C96EC1" w:rsidRPr="00E47F56">
        <w:t>age</w:t>
      </w:r>
      <w:r w:rsidR="0055432F" w:rsidRPr="00E47F56">
        <w:t xml:space="preserve"> </w:t>
      </w:r>
      <w:r w:rsidRPr="00E47F56">
        <w:t xml:space="preserve">with </w:t>
      </w:r>
      <w:r w:rsidR="00730E6F" w:rsidRPr="00E47F56">
        <w:t>education.</w:t>
      </w:r>
    </w:p>
    <w:p w14:paraId="4FA53347" w14:textId="0B3237CD" w:rsidR="00E4691B" w:rsidRPr="00E47F56" w:rsidRDefault="00782580" w:rsidP="00557C5C">
      <w:pPr>
        <w:pStyle w:val="Heading5"/>
      </w:pPr>
      <w:r w:rsidRPr="00E47F56">
        <w:t>Response to</w:t>
      </w:r>
      <w:r w:rsidR="00E4691B" w:rsidRPr="00E47F56">
        <w:t xml:space="preserve"> Recommendation 10</w:t>
      </w:r>
    </w:p>
    <w:p w14:paraId="15A6789E" w14:textId="4FA41B44" w:rsidR="009949AA" w:rsidRPr="00E47F56" w:rsidRDefault="000A7F20">
      <w:pPr>
        <w:pStyle w:val="CGC2025ParaNumbers"/>
      </w:pPr>
      <w:r w:rsidRPr="00E47F56">
        <w:t xml:space="preserve">The Commission previously took the 2020 Review model as </w:t>
      </w:r>
      <w:r w:rsidR="005E1DBC" w:rsidRPr="00E47F56">
        <w:t xml:space="preserve">the </w:t>
      </w:r>
      <w:r w:rsidRPr="00E47F56">
        <w:t>starting point and added new controls</w:t>
      </w:r>
      <w:r w:rsidR="00AB64C0">
        <w:t>,</w:t>
      </w:r>
      <w:r w:rsidRPr="00E47F56">
        <w:t xml:space="preserve"> provided they </w:t>
      </w:r>
      <w:r w:rsidR="00621017" w:rsidRPr="00E47F56">
        <w:t xml:space="preserve">improved the overall model fit. </w:t>
      </w:r>
      <w:r w:rsidR="0018213A" w:rsidRPr="00E47F56">
        <w:t xml:space="preserve">Following </w:t>
      </w:r>
      <w:r w:rsidR="0078057E" w:rsidRPr="00E47F56">
        <w:t>Professor Preston</w:t>
      </w:r>
      <w:r w:rsidR="00341058" w:rsidRPr="00E47F56">
        <w:t>’</w:t>
      </w:r>
      <w:r w:rsidR="0078057E" w:rsidRPr="00E47F56">
        <w:t>s recommendations</w:t>
      </w:r>
      <w:r w:rsidR="001F71C7" w:rsidRPr="00E47F56">
        <w:t xml:space="preserve">, the Commission </w:t>
      </w:r>
      <w:r w:rsidR="007258C5" w:rsidRPr="00E47F56">
        <w:t xml:space="preserve">proposes to instead </w:t>
      </w:r>
      <w:r w:rsidR="00B21E43" w:rsidRPr="00E47F56">
        <w:t>start from an extreme</w:t>
      </w:r>
      <w:r w:rsidR="00BD20F4" w:rsidRPr="00E47F56">
        <w:t xml:space="preserve">ly simplified model </w:t>
      </w:r>
      <w:r w:rsidR="00B67F40" w:rsidRPr="00E47F56">
        <w:t>including only state of usual residence</w:t>
      </w:r>
      <w:r w:rsidR="005C384B">
        <w:t>.</w:t>
      </w:r>
      <w:r w:rsidR="00B67F40" w:rsidRPr="00E47F56">
        <w:t xml:space="preserve"> </w:t>
      </w:r>
      <w:r w:rsidR="0061296D">
        <w:t>T</w:t>
      </w:r>
      <w:r w:rsidR="00B67F40" w:rsidRPr="00E47F56">
        <w:t xml:space="preserve">hen </w:t>
      </w:r>
      <w:r w:rsidR="0061296D">
        <w:t xml:space="preserve">the Commission proposes to </w:t>
      </w:r>
      <w:r w:rsidR="00BD20F4" w:rsidRPr="00E47F56">
        <w:t xml:space="preserve">include control variables </w:t>
      </w:r>
      <w:r w:rsidR="00BE491E" w:rsidRPr="00E47F56">
        <w:t>from candidate controls</w:t>
      </w:r>
      <w:r w:rsidR="000E59DE">
        <w:t>,</w:t>
      </w:r>
      <w:r w:rsidR="00BE491E" w:rsidRPr="00E47F56">
        <w:t xml:space="preserve"> used in </w:t>
      </w:r>
      <w:r w:rsidR="00346AD8" w:rsidRPr="00E47F56">
        <w:t>M</w:t>
      </w:r>
      <w:r w:rsidR="00BE491E" w:rsidRPr="00E47F56">
        <w:t>incer regressions in the literature</w:t>
      </w:r>
      <w:r w:rsidR="0061296D">
        <w:t>,</w:t>
      </w:r>
      <w:r w:rsidR="00BE491E" w:rsidRPr="00E47F56">
        <w:t xml:space="preserve"> </w:t>
      </w:r>
      <w:r w:rsidR="00BD20F4" w:rsidRPr="00E47F56">
        <w:t>that meet a stricter standard.</w:t>
      </w:r>
      <w:r w:rsidR="00677238" w:rsidRPr="00E47F56">
        <w:t xml:space="preserve"> </w:t>
      </w:r>
      <w:r w:rsidR="009C199B" w:rsidRPr="00E47F56">
        <w:t xml:space="preserve">For </w:t>
      </w:r>
      <w:r w:rsidR="00385F59" w:rsidRPr="00E47F56">
        <w:t>a</w:t>
      </w:r>
      <w:r w:rsidR="00D5253F" w:rsidRPr="00E47F56">
        <w:t xml:space="preserve"> control variable to </w:t>
      </w:r>
      <w:r w:rsidR="002C416B" w:rsidRPr="00E47F56">
        <w:t xml:space="preserve">be included </w:t>
      </w:r>
      <w:r w:rsidR="00D5253F" w:rsidRPr="00E47F56">
        <w:t>in the model the Commis</w:t>
      </w:r>
      <w:r w:rsidR="00E2145C" w:rsidRPr="00E47F56">
        <w:t>sio</w:t>
      </w:r>
      <w:r w:rsidR="00D5253F" w:rsidRPr="00E47F56">
        <w:t xml:space="preserve">n proposes it </w:t>
      </w:r>
      <w:r w:rsidR="0034363B" w:rsidRPr="00E47F56">
        <w:t xml:space="preserve">satisfy </w:t>
      </w:r>
      <w:r w:rsidR="00B67F40" w:rsidRPr="00E47F56">
        <w:t>4</w:t>
      </w:r>
      <w:r w:rsidR="0034363B" w:rsidRPr="00E47F56">
        <w:t xml:space="preserve"> criter</w:t>
      </w:r>
      <w:r w:rsidR="009949AA" w:rsidRPr="00E47F56">
        <w:t>ia</w:t>
      </w:r>
      <w:r w:rsidR="00E2145C" w:rsidRPr="00E47F56">
        <w:t>:</w:t>
      </w:r>
    </w:p>
    <w:p w14:paraId="4BFBE06C" w14:textId="786F9CB8" w:rsidR="00B67F40" w:rsidRPr="00E47F56" w:rsidRDefault="00B67F40" w:rsidP="009949AA">
      <w:pPr>
        <w:pStyle w:val="CGC2025Bullet1"/>
      </w:pPr>
      <w:r w:rsidRPr="00E47F56">
        <w:t>there should be a strong conceptual case for it to affect an individual’s wages</w:t>
      </w:r>
    </w:p>
    <w:p w14:paraId="0ED5110F" w14:textId="0057E411" w:rsidR="009949AA" w:rsidRPr="00E47F56" w:rsidRDefault="00E1605F" w:rsidP="009949AA">
      <w:pPr>
        <w:pStyle w:val="CGC2025Bullet1"/>
      </w:pPr>
      <w:r w:rsidRPr="00E47F56">
        <w:t>it</w:t>
      </w:r>
      <w:r w:rsidR="009949AA" w:rsidRPr="00E47F56">
        <w:t xml:space="preserve"> should </w:t>
      </w:r>
      <w:r w:rsidR="008D2D16" w:rsidRPr="00E47F56">
        <w:t xml:space="preserve">materially </w:t>
      </w:r>
      <w:r w:rsidR="00D5253F" w:rsidRPr="00E47F56">
        <w:t>affect average state coefficients over the 5 years</w:t>
      </w:r>
      <w:r w:rsidR="0034363B" w:rsidRPr="00E47F56">
        <w:t xml:space="preserve"> </w:t>
      </w:r>
      <w:r w:rsidR="0005186E" w:rsidRPr="00E47F56">
        <w:t xml:space="preserve">for which </w:t>
      </w:r>
      <w:r w:rsidR="0034363B" w:rsidRPr="00E47F56">
        <w:t>consistent data</w:t>
      </w:r>
      <w:r w:rsidR="003F24CE" w:rsidRPr="00E47F56">
        <w:t xml:space="preserve"> </w:t>
      </w:r>
      <w:r w:rsidR="00574E25" w:rsidRPr="00E47F56">
        <w:t>exist</w:t>
      </w:r>
      <w:r w:rsidR="00574E25" w:rsidRPr="00E47F56">
        <w:rPr>
          <w:rStyle w:val="FootnoteReference"/>
        </w:rPr>
        <w:footnoteReference w:id="3"/>
      </w:r>
    </w:p>
    <w:p w14:paraId="1A6B3BB3" w14:textId="49895991" w:rsidR="002F1BF3" w:rsidRDefault="00E1605F" w:rsidP="009949AA">
      <w:pPr>
        <w:pStyle w:val="CGC2025Bullet1"/>
      </w:pPr>
      <w:r w:rsidRPr="00E47F56">
        <w:t>i</w:t>
      </w:r>
      <w:r w:rsidR="009949AA" w:rsidRPr="00E47F56">
        <w:t>t should improve the overall</w:t>
      </w:r>
      <w:r w:rsidR="009949AA">
        <w:t xml:space="preserve"> fit of the model</w:t>
      </w:r>
      <w:r w:rsidR="0034363B">
        <w:t xml:space="preserve"> </w:t>
      </w:r>
    </w:p>
    <w:p w14:paraId="1F6D5219" w14:textId="77FE1447" w:rsidR="00E1605F" w:rsidRDefault="005A79D5" w:rsidP="009949AA">
      <w:pPr>
        <w:pStyle w:val="CGC2025Bullet1"/>
      </w:pPr>
      <w:r>
        <w:lastRenderedPageBreak/>
        <w:t xml:space="preserve">it should not increase the average </w:t>
      </w:r>
      <w:r w:rsidR="0005186E">
        <w:t>standard error of state coefficients over the 5</w:t>
      </w:r>
      <w:r w:rsidR="000836F6">
        <w:t> </w:t>
      </w:r>
      <w:r w:rsidR="0005186E">
        <w:t>years for which consistent data</w:t>
      </w:r>
      <w:r w:rsidR="000A5D34">
        <w:t xml:space="preserve"> exist</w:t>
      </w:r>
      <w:r w:rsidR="0005186E">
        <w:t>.</w:t>
      </w:r>
    </w:p>
    <w:p w14:paraId="76B4E8C0" w14:textId="0E91B0E6" w:rsidR="007E0719" w:rsidRPr="00C608EA" w:rsidRDefault="00B67F40" w:rsidP="001F71C7">
      <w:pPr>
        <w:pStyle w:val="CGC2025ParaNumbers"/>
      </w:pPr>
      <w:r>
        <w:t xml:space="preserve">Under these criteria, a range of models were roughly equivalent. </w:t>
      </w:r>
      <w:r w:rsidR="00A24C87">
        <w:t>Adding</w:t>
      </w:r>
      <w:r w:rsidR="00A24C87" w:rsidRPr="00171287">
        <w:t xml:space="preserve"> </w:t>
      </w:r>
      <w:r w:rsidRPr="00171287">
        <w:t>interactions between gender and other variables or between age and education produced only slight changes to the state coefficients, slight improvements in overall model fit and no differences in standard errors.</w:t>
      </w:r>
      <w:r>
        <w:t xml:space="preserve"> </w:t>
      </w:r>
      <w:r w:rsidR="009C1E8E">
        <w:t>The preliminary Commission view</w:t>
      </w:r>
      <w:r w:rsidR="003A4CF1">
        <w:t>, and consistent with the Commission’s supporting principles,</w:t>
      </w:r>
      <w:r w:rsidR="0085756F">
        <w:t xml:space="preserve"> is to </w:t>
      </w:r>
      <w:r w:rsidR="00553ECF">
        <w:t xml:space="preserve">prefer simplicity and </w:t>
      </w:r>
      <w:r w:rsidR="00826DD9">
        <w:t xml:space="preserve">not </w:t>
      </w:r>
      <w:r>
        <w:t>i</w:t>
      </w:r>
      <w:r w:rsidR="00553ECF">
        <w:t xml:space="preserve">nclude any </w:t>
      </w:r>
      <w:r w:rsidR="00446CAB">
        <w:t xml:space="preserve">interaction terms in the </w:t>
      </w:r>
      <w:r w:rsidR="00446CAB" w:rsidRPr="00C608EA">
        <w:t>model</w:t>
      </w:r>
      <w:r w:rsidR="00BF5D69" w:rsidRPr="00C608EA">
        <w:t xml:space="preserve">. </w:t>
      </w:r>
    </w:p>
    <w:p w14:paraId="1A2D409F" w14:textId="0018DDBA" w:rsidR="00CD088E" w:rsidRPr="00C608EA" w:rsidRDefault="00384A8B" w:rsidP="00CD45E1">
      <w:pPr>
        <w:pStyle w:val="CGC2025ParaNumbers"/>
      </w:pPr>
      <w:r w:rsidRPr="00C608EA">
        <w:t xml:space="preserve">Including </w:t>
      </w:r>
      <w:r w:rsidR="001F71C7" w:rsidRPr="00C608EA">
        <w:t>the detailed industry group (292 categories)</w:t>
      </w:r>
      <w:r w:rsidR="00DA06E9">
        <w:t>,</w:t>
      </w:r>
      <w:r w:rsidR="001F71C7" w:rsidRPr="00C608EA">
        <w:t xml:space="preserve"> </w:t>
      </w:r>
      <w:r w:rsidR="008D581B" w:rsidRPr="00C608EA">
        <w:t xml:space="preserve">rather than </w:t>
      </w:r>
      <w:r w:rsidR="001F71C7" w:rsidRPr="00C608EA">
        <w:t xml:space="preserve">the </w:t>
      </w:r>
      <w:r w:rsidR="008D581B" w:rsidRPr="00C608EA">
        <w:t xml:space="preserve">simpler </w:t>
      </w:r>
      <w:r w:rsidR="001F71C7" w:rsidRPr="00C608EA">
        <w:t>more aggregated industry division (19 categories)</w:t>
      </w:r>
      <w:r w:rsidR="00DA06E9">
        <w:t>,</w:t>
      </w:r>
      <w:r w:rsidR="001F71C7" w:rsidRPr="00C608EA">
        <w:t xml:space="preserve"> as an independent variable does not significantly change the state coefficients but does </w:t>
      </w:r>
      <w:r w:rsidR="008D581B" w:rsidRPr="00C608EA">
        <w:t xml:space="preserve">increase </w:t>
      </w:r>
      <w:r w:rsidR="001F71C7" w:rsidRPr="00C608EA">
        <w:t>the</w:t>
      </w:r>
      <w:r w:rsidR="006C7C3F">
        <w:t>ir</w:t>
      </w:r>
      <w:r w:rsidR="001F71C7" w:rsidRPr="00C608EA">
        <w:t xml:space="preserve"> standard error. Likewise</w:t>
      </w:r>
      <w:r w:rsidR="001F71C7" w:rsidRPr="00C608EA" w:rsidDel="008D581B">
        <w:t xml:space="preserve"> </w:t>
      </w:r>
      <w:r w:rsidR="008D581B" w:rsidRPr="00C608EA">
        <w:t xml:space="preserve">adding </w:t>
      </w:r>
      <w:r w:rsidR="001F71C7" w:rsidRPr="00C608EA">
        <w:t xml:space="preserve">the interactions between gender and all the other explanatory variables does not significantly change the state coefficients but does </w:t>
      </w:r>
      <w:r w:rsidR="008D581B" w:rsidRPr="00C608EA">
        <w:t xml:space="preserve">increase </w:t>
      </w:r>
      <w:r w:rsidR="001F71C7" w:rsidRPr="00C608EA">
        <w:t>the</w:t>
      </w:r>
      <w:r w:rsidR="006A4372">
        <w:t>ir</w:t>
      </w:r>
      <w:r w:rsidR="001F71C7" w:rsidRPr="00C608EA">
        <w:t xml:space="preserve"> standard error.</w:t>
      </w:r>
      <w:r w:rsidR="004522B6" w:rsidRPr="00C608EA">
        <w:t xml:space="preserve"> The analysis of alternative model specifications i</w:t>
      </w:r>
      <w:r w:rsidR="00B45E63" w:rsidRPr="00C608EA">
        <w:t>s</w:t>
      </w:r>
      <w:r w:rsidR="004522B6" w:rsidRPr="00C608EA">
        <w:t xml:space="preserve"> detailed in </w:t>
      </w:r>
      <w:r w:rsidR="00997D0E" w:rsidRPr="00C608EA">
        <w:t xml:space="preserve">Attachment </w:t>
      </w:r>
      <w:r w:rsidR="00CD088E" w:rsidRPr="00C608EA">
        <w:t>B</w:t>
      </w:r>
      <w:r w:rsidR="003C5D7C" w:rsidRPr="00C608EA">
        <w:t>.</w:t>
      </w:r>
    </w:p>
    <w:p w14:paraId="246F01FB" w14:textId="648E12EE" w:rsidR="00CC1C92" w:rsidRDefault="00777BA5" w:rsidP="001F22D0">
      <w:pPr>
        <w:pStyle w:val="Heading3"/>
      </w:pPr>
      <w:bookmarkStart w:id="14" w:name="_Toc144816285"/>
      <w:r>
        <w:t>Proposed model specification</w:t>
      </w:r>
      <w:bookmarkEnd w:id="14"/>
    </w:p>
    <w:p w14:paraId="37619511" w14:textId="070D9F6F" w:rsidR="00074D21" w:rsidRDefault="0018463A" w:rsidP="008549F7">
      <w:pPr>
        <w:pStyle w:val="CGC2025ParaNumbers"/>
      </w:pPr>
      <w:r w:rsidRPr="003E458E">
        <w:t xml:space="preserve">The Commission’s </w:t>
      </w:r>
      <w:r>
        <w:t xml:space="preserve">revised </w:t>
      </w:r>
      <w:r w:rsidRPr="003E458E">
        <w:t>preliminary view is to</w:t>
      </w:r>
      <w:r>
        <w:t xml:space="preserve"> </w:t>
      </w:r>
      <w:r w:rsidR="00CD088E">
        <w:t>use</w:t>
      </w:r>
      <w:r w:rsidR="00CD088E" w:rsidRPr="003E458E">
        <w:t xml:space="preserve"> </w:t>
      </w:r>
      <w:r>
        <w:t xml:space="preserve">a less complex model. This can be achieved by replacing industry group categories with industry division categories and removing the interaction terms </w:t>
      </w:r>
      <w:r w:rsidR="007D41B1">
        <w:t>between</w:t>
      </w:r>
      <w:r w:rsidR="001F15D8">
        <w:t xml:space="preserve"> gender</w:t>
      </w:r>
      <w:r>
        <w:t xml:space="preserve"> and </w:t>
      </w:r>
      <w:r w:rsidR="00BE0615">
        <w:t>all</w:t>
      </w:r>
      <w:r>
        <w:t xml:space="preserve"> other independent variable</w:t>
      </w:r>
      <w:r w:rsidR="00BE0615">
        <w:t>s</w:t>
      </w:r>
      <w:r>
        <w:t>.</w:t>
      </w:r>
      <w:r w:rsidR="001F15D8">
        <w:t xml:space="preserve"> </w:t>
      </w:r>
      <w:r>
        <w:t xml:space="preserve">The </w:t>
      </w:r>
      <w:r w:rsidR="001A0177">
        <w:t xml:space="preserve">revised </w:t>
      </w:r>
      <w:r w:rsidR="009B4C09">
        <w:t xml:space="preserve">proposed model is described in </w:t>
      </w:r>
      <w:r w:rsidR="009B4C09">
        <w:fldChar w:fldCharType="begin"/>
      </w:r>
      <w:r w:rsidR="009B4C09">
        <w:instrText xml:space="preserve"> REF _Ref144132942 \h </w:instrText>
      </w:r>
      <w:r w:rsidR="009B4C09">
        <w:fldChar w:fldCharType="separate"/>
      </w:r>
      <w:r w:rsidR="00064890">
        <w:t xml:space="preserve">Table </w:t>
      </w:r>
      <w:r w:rsidR="00064890">
        <w:rPr>
          <w:noProof/>
        </w:rPr>
        <w:t>1</w:t>
      </w:r>
      <w:r w:rsidR="009B4C09">
        <w:fldChar w:fldCharType="end"/>
      </w:r>
      <w:r w:rsidR="008549F7">
        <w:t>.</w:t>
      </w:r>
    </w:p>
    <w:p w14:paraId="26B0E3ED" w14:textId="6624F8EE" w:rsidR="00F84469" w:rsidRDefault="00F84469" w:rsidP="007B2219">
      <w:pPr>
        <w:pStyle w:val="CGC2025Caption"/>
        <w:keepNext/>
        <w:keepLines/>
        <w:tabs>
          <w:tab w:val="left" w:pos="1134"/>
        </w:tabs>
      </w:pPr>
      <w:bookmarkStart w:id="15" w:name="_Ref144132942"/>
      <w:r>
        <w:lastRenderedPageBreak/>
        <w:t xml:space="preserve">Table </w:t>
      </w:r>
      <w:fldSimple w:instr=" SEQ Table \* ARABIC ">
        <w:r w:rsidR="00CC6144">
          <w:rPr>
            <w:noProof/>
          </w:rPr>
          <w:t>1</w:t>
        </w:r>
      </w:fldSimple>
      <w:bookmarkEnd w:id="15"/>
      <w:r>
        <w:tab/>
        <w:t xml:space="preserve">Proposed model specification compared </w:t>
      </w:r>
      <w:r w:rsidR="003E65A4">
        <w:t>with</w:t>
      </w:r>
      <w:r>
        <w:t xml:space="preserve"> 2020 Review method</w:t>
      </w:r>
    </w:p>
    <w:tbl>
      <w:tblPr>
        <w:tblW w:w="8959" w:type="dxa"/>
        <w:tblLook w:val="04A0" w:firstRow="1" w:lastRow="0" w:firstColumn="1" w:lastColumn="0" w:noHBand="0" w:noVBand="1"/>
      </w:tblPr>
      <w:tblGrid>
        <w:gridCol w:w="2557"/>
        <w:gridCol w:w="3255"/>
        <w:gridCol w:w="3147"/>
      </w:tblGrid>
      <w:tr w:rsidR="00F84469" w:rsidRPr="00631ACC" w14:paraId="5D6FD6C6" w14:textId="77777777" w:rsidTr="00070BFC">
        <w:trPr>
          <w:trHeight w:val="315"/>
        </w:trPr>
        <w:tc>
          <w:tcPr>
            <w:tcW w:w="2557" w:type="dxa"/>
            <w:tcBorders>
              <w:top w:val="nil"/>
              <w:left w:val="nil"/>
              <w:bottom w:val="nil"/>
              <w:right w:val="nil"/>
            </w:tcBorders>
            <w:shd w:val="clear" w:color="000000" w:fill="006991"/>
            <w:vAlign w:val="center"/>
            <w:hideMark/>
          </w:tcPr>
          <w:p w14:paraId="5E160B24" w14:textId="77777777" w:rsidR="00F84469" w:rsidRPr="00631ACC" w:rsidRDefault="00F84469" w:rsidP="00900B7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31ACC">
              <w:rPr>
                <w:rFonts w:ascii="Open Sans Semibold" w:eastAsia="Times New Roman" w:hAnsi="Open Sans Semibold" w:cs="Open Sans Semibold"/>
                <w:color w:val="FFFFFF"/>
                <w:sz w:val="16"/>
                <w:szCs w:val="16"/>
                <w:lang w:eastAsia="en-AU"/>
              </w:rPr>
              <w:t> </w:t>
            </w:r>
          </w:p>
        </w:tc>
        <w:tc>
          <w:tcPr>
            <w:tcW w:w="3255" w:type="dxa"/>
            <w:tcBorders>
              <w:top w:val="nil"/>
              <w:left w:val="nil"/>
              <w:bottom w:val="nil"/>
              <w:right w:val="nil"/>
            </w:tcBorders>
            <w:shd w:val="clear" w:color="000000" w:fill="006991"/>
            <w:vAlign w:val="center"/>
            <w:hideMark/>
          </w:tcPr>
          <w:p w14:paraId="0EB63B99" w14:textId="77777777" w:rsidR="00F84469" w:rsidRPr="00631ACC" w:rsidRDefault="00F84469" w:rsidP="009D4ED0">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631ACC">
              <w:rPr>
                <w:rFonts w:ascii="Open Sans Semibold" w:eastAsia="Times New Roman" w:hAnsi="Open Sans Semibold" w:cs="Open Sans Semibold"/>
                <w:color w:val="FFFFFF"/>
                <w:sz w:val="16"/>
                <w:szCs w:val="16"/>
                <w:lang w:eastAsia="en-AU"/>
              </w:rPr>
              <w:t>R2020</w:t>
            </w:r>
            <w:r>
              <w:rPr>
                <w:rFonts w:ascii="Open Sans Semibold" w:eastAsia="Times New Roman" w:hAnsi="Open Sans Semibold" w:cs="Open Sans Semibold"/>
                <w:color w:val="FFFFFF"/>
                <w:sz w:val="16"/>
                <w:szCs w:val="16"/>
                <w:lang w:eastAsia="en-AU"/>
              </w:rPr>
              <w:t xml:space="preserve"> model</w:t>
            </w:r>
          </w:p>
        </w:tc>
        <w:tc>
          <w:tcPr>
            <w:tcW w:w="3147" w:type="dxa"/>
            <w:tcBorders>
              <w:top w:val="nil"/>
              <w:left w:val="nil"/>
              <w:bottom w:val="nil"/>
              <w:right w:val="nil"/>
            </w:tcBorders>
            <w:shd w:val="clear" w:color="000000" w:fill="006991"/>
            <w:vAlign w:val="center"/>
            <w:hideMark/>
          </w:tcPr>
          <w:p w14:paraId="0019160E" w14:textId="77777777" w:rsidR="00F84469" w:rsidRPr="00631ACC" w:rsidRDefault="00F84469" w:rsidP="009D4ED0">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631ACC">
              <w:rPr>
                <w:rFonts w:ascii="Open Sans Semibold" w:eastAsia="Times New Roman" w:hAnsi="Open Sans Semibold" w:cs="Open Sans Semibold"/>
                <w:color w:val="FFFFFF"/>
                <w:sz w:val="16"/>
                <w:szCs w:val="16"/>
                <w:lang w:eastAsia="en-AU"/>
              </w:rPr>
              <w:t>Proposed</w:t>
            </w:r>
            <w:r>
              <w:rPr>
                <w:rFonts w:ascii="Open Sans Semibold" w:eastAsia="Times New Roman" w:hAnsi="Open Sans Semibold" w:cs="Open Sans Semibold"/>
                <w:color w:val="FFFFFF"/>
                <w:sz w:val="16"/>
                <w:szCs w:val="16"/>
                <w:lang w:eastAsia="en-AU"/>
              </w:rPr>
              <w:t xml:space="preserve"> model (revised)</w:t>
            </w:r>
          </w:p>
        </w:tc>
      </w:tr>
      <w:tr w:rsidR="00F84469" w:rsidRPr="00631ACC" w14:paraId="1B910783" w14:textId="77777777" w:rsidTr="00070BFC">
        <w:trPr>
          <w:trHeight w:val="315"/>
        </w:trPr>
        <w:tc>
          <w:tcPr>
            <w:tcW w:w="2557" w:type="dxa"/>
            <w:tcBorders>
              <w:top w:val="single" w:sz="4" w:space="0" w:color="ADD6EA"/>
              <w:left w:val="nil"/>
              <w:bottom w:val="nil"/>
              <w:right w:val="nil"/>
            </w:tcBorders>
            <w:shd w:val="clear" w:color="auto" w:fill="auto"/>
            <w:vAlign w:val="bottom"/>
            <w:hideMark/>
          </w:tcPr>
          <w:p w14:paraId="268F52E8"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Dependent variable</w:t>
            </w:r>
          </w:p>
        </w:tc>
        <w:tc>
          <w:tcPr>
            <w:tcW w:w="3255" w:type="dxa"/>
            <w:tcBorders>
              <w:top w:val="single" w:sz="4" w:space="0" w:color="ADD6EA"/>
              <w:left w:val="nil"/>
              <w:bottom w:val="nil"/>
              <w:right w:val="nil"/>
            </w:tcBorders>
            <w:shd w:val="clear" w:color="auto" w:fill="auto"/>
            <w:noWrap/>
            <w:vAlign w:val="bottom"/>
            <w:hideMark/>
          </w:tcPr>
          <w:p w14:paraId="636C61C0"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weekly wage</w:t>
            </w:r>
          </w:p>
        </w:tc>
        <w:tc>
          <w:tcPr>
            <w:tcW w:w="3147" w:type="dxa"/>
            <w:tcBorders>
              <w:top w:val="single" w:sz="4" w:space="0" w:color="ADD6EA"/>
              <w:left w:val="nil"/>
              <w:bottom w:val="nil"/>
              <w:right w:val="nil"/>
            </w:tcBorders>
            <w:shd w:val="clear" w:color="auto" w:fill="auto"/>
            <w:noWrap/>
            <w:vAlign w:val="bottom"/>
            <w:hideMark/>
          </w:tcPr>
          <w:p w14:paraId="4FEEE9ED"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hourly wages</w:t>
            </w:r>
          </w:p>
        </w:tc>
      </w:tr>
      <w:tr w:rsidR="00F84469" w:rsidRPr="00631ACC" w14:paraId="64399624" w14:textId="77777777" w:rsidTr="00070BFC">
        <w:trPr>
          <w:trHeight w:val="75"/>
        </w:trPr>
        <w:tc>
          <w:tcPr>
            <w:tcW w:w="2557" w:type="dxa"/>
            <w:tcBorders>
              <w:top w:val="single" w:sz="4" w:space="0" w:color="ADD6EA"/>
              <w:left w:val="nil"/>
              <w:bottom w:val="nil"/>
              <w:right w:val="nil"/>
            </w:tcBorders>
            <w:shd w:val="clear" w:color="auto" w:fill="auto"/>
            <w:vAlign w:val="bottom"/>
            <w:hideMark/>
          </w:tcPr>
          <w:p w14:paraId="25D9DAF9" w14:textId="77777777" w:rsidR="00F84469" w:rsidRPr="00631ACC" w:rsidRDefault="00F84469" w:rsidP="00900B73">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31B246A5"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3147" w:type="dxa"/>
            <w:tcBorders>
              <w:top w:val="single" w:sz="4" w:space="0" w:color="ADD6EA"/>
              <w:left w:val="nil"/>
              <w:bottom w:val="nil"/>
              <w:right w:val="nil"/>
            </w:tcBorders>
            <w:shd w:val="clear" w:color="auto" w:fill="auto"/>
            <w:noWrap/>
            <w:vAlign w:val="bottom"/>
            <w:hideMark/>
          </w:tcPr>
          <w:p w14:paraId="1F4CE6A9"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r>
      <w:tr w:rsidR="00F84469" w:rsidRPr="00631ACC" w14:paraId="024ADF09" w14:textId="77777777" w:rsidTr="00070BFC">
        <w:trPr>
          <w:trHeight w:val="315"/>
        </w:trPr>
        <w:tc>
          <w:tcPr>
            <w:tcW w:w="2557" w:type="dxa"/>
            <w:tcBorders>
              <w:top w:val="single" w:sz="4" w:space="0" w:color="ADD6EA"/>
              <w:left w:val="nil"/>
              <w:bottom w:val="nil"/>
              <w:right w:val="nil"/>
            </w:tcBorders>
            <w:shd w:val="clear" w:color="auto" w:fill="auto"/>
            <w:vAlign w:val="bottom"/>
            <w:hideMark/>
          </w:tcPr>
          <w:p w14:paraId="1041DE7D"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Variable of interest</w:t>
            </w:r>
          </w:p>
        </w:tc>
        <w:tc>
          <w:tcPr>
            <w:tcW w:w="3255" w:type="dxa"/>
            <w:tcBorders>
              <w:top w:val="single" w:sz="4" w:space="0" w:color="ADD6EA"/>
              <w:left w:val="nil"/>
              <w:bottom w:val="nil"/>
              <w:right w:val="nil"/>
            </w:tcBorders>
            <w:shd w:val="clear" w:color="auto" w:fill="auto"/>
            <w:noWrap/>
            <w:vAlign w:val="bottom"/>
            <w:hideMark/>
          </w:tcPr>
          <w:p w14:paraId="4A011B1B"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State of usual residence</w:t>
            </w:r>
          </w:p>
        </w:tc>
        <w:tc>
          <w:tcPr>
            <w:tcW w:w="3147" w:type="dxa"/>
            <w:tcBorders>
              <w:top w:val="single" w:sz="4" w:space="0" w:color="ADD6EA"/>
              <w:left w:val="nil"/>
              <w:bottom w:val="nil"/>
              <w:right w:val="nil"/>
            </w:tcBorders>
            <w:shd w:val="clear" w:color="auto" w:fill="auto"/>
            <w:noWrap/>
            <w:vAlign w:val="bottom"/>
            <w:hideMark/>
          </w:tcPr>
          <w:p w14:paraId="2779AF68"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State of usual residence</w:t>
            </w:r>
          </w:p>
        </w:tc>
      </w:tr>
      <w:tr w:rsidR="00F84469" w:rsidRPr="00631ACC" w14:paraId="70024787" w14:textId="77777777" w:rsidTr="00070BFC">
        <w:trPr>
          <w:trHeight w:val="60"/>
        </w:trPr>
        <w:tc>
          <w:tcPr>
            <w:tcW w:w="2557" w:type="dxa"/>
            <w:tcBorders>
              <w:top w:val="single" w:sz="4" w:space="0" w:color="ADD6EA"/>
              <w:left w:val="nil"/>
              <w:bottom w:val="nil"/>
              <w:right w:val="nil"/>
            </w:tcBorders>
            <w:shd w:val="clear" w:color="auto" w:fill="auto"/>
            <w:vAlign w:val="bottom"/>
            <w:hideMark/>
          </w:tcPr>
          <w:p w14:paraId="0D5AFCDE"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76A384A6"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3147" w:type="dxa"/>
            <w:tcBorders>
              <w:top w:val="single" w:sz="4" w:space="0" w:color="ADD6EA"/>
              <w:left w:val="nil"/>
              <w:bottom w:val="nil"/>
              <w:right w:val="nil"/>
            </w:tcBorders>
            <w:shd w:val="clear" w:color="auto" w:fill="auto"/>
            <w:noWrap/>
            <w:vAlign w:val="bottom"/>
            <w:hideMark/>
          </w:tcPr>
          <w:p w14:paraId="7A24C764"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r>
      <w:tr w:rsidR="00F84469" w:rsidRPr="00631ACC" w14:paraId="638B26F8" w14:textId="77777777" w:rsidTr="00070BFC">
        <w:trPr>
          <w:trHeight w:val="315"/>
        </w:trPr>
        <w:tc>
          <w:tcPr>
            <w:tcW w:w="2557" w:type="dxa"/>
            <w:tcBorders>
              <w:top w:val="single" w:sz="4" w:space="0" w:color="ADD6EA"/>
              <w:left w:val="nil"/>
              <w:bottom w:val="nil"/>
              <w:right w:val="nil"/>
            </w:tcBorders>
            <w:shd w:val="clear" w:color="auto" w:fill="auto"/>
            <w:vAlign w:val="bottom"/>
            <w:hideMark/>
          </w:tcPr>
          <w:p w14:paraId="227EFE28"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Control variables</w:t>
            </w:r>
          </w:p>
        </w:tc>
        <w:tc>
          <w:tcPr>
            <w:tcW w:w="3255" w:type="dxa"/>
            <w:tcBorders>
              <w:top w:val="single" w:sz="4" w:space="0" w:color="ADD6EA"/>
              <w:left w:val="nil"/>
              <w:bottom w:val="nil"/>
              <w:right w:val="nil"/>
            </w:tcBorders>
            <w:shd w:val="clear" w:color="auto" w:fill="auto"/>
            <w:noWrap/>
            <w:vAlign w:val="bottom"/>
            <w:hideMark/>
          </w:tcPr>
          <w:p w14:paraId="7CE8FE99"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usual hours</w:t>
            </w:r>
          </w:p>
        </w:tc>
        <w:tc>
          <w:tcPr>
            <w:tcW w:w="3147" w:type="dxa"/>
            <w:tcBorders>
              <w:top w:val="single" w:sz="4" w:space="0" w:color="ADD6EA"/>
              <w:left w:val="nil"/>
              <w:bottom w:val="nil"/>
              <w:right w:val="nil"/>
            </w:tcBorders>
            <w:shd w:val="clear" w:color="auto" w:fill="auto"/>
            <w:noWrap/>
            <w:vAlign w:val="bottom"/>
            <w:hideMark/>
          </w:tcPr>
          <w:p w14:paraId="117C2B05"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U</w:t>
            </w:r>
            <w:r w:rsidRPr="00631ACC">
              <w:rPr>
                <w:rFonts w:eastAsia="Times New Roman" w:cs="Open Sans Light"/>
                <w:color w:val="000000"/>
                <w:sz w:val="16"/>
                <w:szCs w:val="16"/>
                <w:lang w:eastAsia="en-AU"/>
              </w:rPr>
              <w:t>sual hours</w:t>
            </w:r>
            <w:r>
              <w:rPr>
                <w:rFonts w:eastAsia="Times New Roman" w:cs="Open Sans Light"/>
                <w:color w:val="000000"/>
                <w:sz w:val="16"/>
                <w:szCs w:val="16"/>
                <w:lang w:eastAsia="en-AU"/>
              </w:rPr>
              <w:t xml:space="preserve"> (3 categories)</w:t>
            </w:r>
          </w:p>
        </w:tc>
      </w:tr>
      <w:tr w:rsidR="00F84469" w:rsidRPr="00631ACC" w14:paraId="75857CA4" w14:textId="77777777" w:rsidTr="00070BFC">
        <w:trPr>
          <w:trHeight w:val="315"/>
        </w:trPr>
        <w:tc>
          <w:tcPr>
            <w:tcW w:w="2557" w:type="dxa"/>
            <w:tcBorders>
              <w:top w:val="single" w:sz="4" w:space="0" w:color="ADD6EA"/>
              <w:left w:val="nil"/>
              <w:bottom w:val="nil"/>
              <w:right w:val="nil"/>
            </w:tcBorders>
            <w:shd w:val="clear" w:color="auto" w:fill="auto"/>
            <w:vAlign w:val="bottom"/>
            <w:hideMark/>
          </w:tcPr>
          <w:p w14:paraId="6C62F539"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2B667296"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usual hours if usual hours &lt;16</w:t>
            </w:r>
          </w:p>
        </w:tc>
        <w:tc>
          <w:tcPr>
            <w:tcW w:w="3147" w:type="dxa"/>
            <w:tcBorders>
              <w:top w:val="single" w:sz="4" w:space="0" w:color="ADD6EA"/>
              <w:left w:val="nil"/>
              <w:bottom w:val="nil"/>
              <w:right w:val="nil"/>
            </w:tcBorders>
            <w:shd w:val="clear" w:color="auto" w:fill="auto"/>
            <w:noWrap/>
            <w:vAlign w:val="bottom"/>
            <w:hideMark/>
          </w:tcPr>
          <w:p w14:paraId="1446A71B"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p>
        </w:tc>
      </w:tr>
      <w:tr w:rsidR="00F84469" w:rsidRPr="00631ACC" w14:paraId="4BD7FA97" w14:textId="77777777" w:rsidTr="00070BFC">
        <w:trPr>
          <w:trHeight w:val="315"/>
        </w:trPr>
        <w:tc>
          <w:tcPr>
            <w:tcW w:w="2557" w:type="dxa"/>
            <w:tcBorders>
              <w:top w:val="single" w:sz="4" w:space="0" w:color="ADD6EA"/>
              <w:left w:val="nil"/>
              <w:bottom w:val="nil"/>
              <w:right w:val="nil"/>
            </w:tcBorders>
            <w:shd w:val="clear" w:color="auto" w:fill="auto"/>
            <w:vAlign w:val="bottom"/>
            <w:hideMark/>
          </w:tcPr>
          <w:p w14:paraId="1D0B8482"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5DE73C7A"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Log of usual hours if usual hours &gt;59</w:t>
            </w:r>
          </w:p>
        </w:tc>
        <w:tc>
          <w:tcPr>
            <w:tcW w:w="3147" w:type="dxa"/>
            <w:tcBorders>
              <w:top w:val="single" w:sz="4" w:space="0" w:color="ADD6EA"/>
              <w:left w:val="nil"/>
              <w:bottom w:val="nil"/>
              <w:right w:val="nil"/>
            </w:tcBorders>
            <w:shd w:val="clear" w:color="auto" w:fill="auto"/>
            <w:noWrap/>
            <w:vAlign w:val="bottom"/>
            <w:hideMark/>
          </w:tcPr>
          <w:p w14:paraId="0B07F894"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p>
        </w:tc>
      </w:tr>
      <w:tr w:rsidR="00F84469" w:rsidRPr="00631ACC" w14:paraId="7EFDE0F4" w14:textId="77777777" w:rsidTr="00070BFC">
        <w:trPr>
          <w:trHeight w:val="60"/>
        </w:trPr>
        <w:tc>
          <w:tcPr>
            <w:tcW w:w="2557" w:type="dxa"/>
            <w:tcBorders>
              <w:top w:val="single" w:sz="4" w:space="0" w:color="ADD6EA"/>
              <w:left w:val="nil"/>
              <w:bottom w:val="nil"/>
              <w:right w:val="nil"/>
            </w:tcBorders>
            <w:shd w:val="clear" w:color="auto" w:fill="auto"/>
            <w:vAlign w:val="bottom"/>
            <w:hideMark/>
          </w:tcPr>
          <w:p w14:paraId="37B54EDE"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419F7696"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3147" w:type="dxa"/>
            <w:tcBorders>
              <w:top w:val="single" w:sz="4" w:space="0" w:color="ADD6EA"/>
              <w:left w:val="nil"/>
              <w:bottom w:val="nil"/>
              <w:right w:val="nil"/>
            </w:tcBorders>
            <w:shd w:val="clear" w:color="auto" w:fill="auto"/>
            <w:noWrap/>
            <w:vAlign w:val="bottom"/>
            <w:hideMark/>
          </w:tcPr>
          <w:p w14:paraId="1D952D77"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r>
      <w:tr w:rsidR="00F84469" w:rsidRPr="00631ACC" w14:paraId="3A43DCA6" w14:textId="77777777" w:rsidTr="00070BFC">
        <w:trPr>
          <w:trHeight w:val="270"/>
        </w:trPr>
        <w:tc>
          <w:tcPr>
            <w:tcW w:w="2557" w:type="dxa"/>
            <w:tcBorders>
              <w:top w:val="single" w:sz="4" w:space="0" w:color="ADD6EA"/>
              <w:left w:val="nil"/>
              <w:bottom w:val="nil"/>
              <w:right w:val="nil"/>
            </w:tcBorders>
            <w:shd w:val="clear" w:color="auto" w:fill="auto"/>
            <w:vAlign w:val="bottom"/>
            <w:hideMark/>
          </w:tcPr>
          <w:p w14:paraId="6CABEFB7"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1B184215" w14:textId="5934459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Education (</w:t>
            </w:r>
            <w:r w:rsidR="003E4E80">
              <w:rPr>
                <w:rFonts w:eastAsia="Times New Roman" w:cs="Open Sans Light"/>
                <w:color w:val="000000"/>
                <w:sz w:val="16"/>
                <w:szCs w:val="16"/>
                <w:lang w:eastAsia="en-AU"/>
              </w:rPr>
              <w:t>8</w:t>
            </w:r>
            <w:r w:rsidRPr="00631ACC">
              <w:rPr>
                <w:rFonts w:eastAsia="Times New Roman" w:cs="Open Sans Light"/>
                <w:color w:val="000000"/>
                <w:sz w:val="16"/>
                <w:szCs w:val="16"/>
                <w:lang w:eastAsia="en-AU"/>
              </w:rPr>
              <w:t xml:space="preserve"> categories)</w:t>
            </w:r>
          </w:p>
        </w:tc>
        <w:tc>
          <w:tcPr>
            <w:tcW w:w="3147" w:type="dxa"/>
            <w:tcBorders>
              <w:top w:val="single" w:sz="4" w:space="0" w:color="ADD6EA"/>
              <w:left w:val="nil"/>
              <w:bottom w:val="nil"/>
              <w:right w:val="nil"/>
            </w:tcBorders>
            <w:shd w:val="clear" w:color="auto" w:fill="auto"/>
            <w:noWrap/>
            <w:vAlign w:val="bottom"/>
            <w:hideMark/>
          </w:tcPr>
          <w:p w14:paraId="0CABEA30" w14:textId="5C3961F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Education (</w:t>
            </w:r>
            <w:r w:rsidR="003E4E80">
              <w:rPr>
                <w:rFonts w:eastAsia="Times New Roman" w:cs="Open Sans Light"/>
                <w:color w:val="000000"/>
                <w:sz w:val="16"/>
                <w:szCs w:val="16"/>
                <w:lang w:eastAsia="en-AU"/>
              </w:rPr>
              <w:t>8</w:t>
            </w:r>
            <w:r w:rsidRPr="00631ACC">
              <w:rPr>
                <w:rFonts w:eastAsia="Times New Roman" w:cs="Open Sans Light"/>
                <w:color w:val="000000"/>
                <w:sz w:val="16"/>
                <w:szCs w:val="16"/>
                <w:lang w:eastAsia="en-AU"/>
              </w:rPr>
              <w:t xml:space="preserve"> categories)</w:t>
            </w:r>
          </w:p>
        </w:tc>
      </w:tr>
      <w:tr w:rsidR="00F84469" w:rsidRPr="00631ACC" w14:paraId="39D8B82F" w14:textId="77777777" w:rsidTr="00070BFC">
        <w:trPr>
          <w:trHeight w:val="270"/>
        </w:trPr>
        <w:tc>
          <w:tcPr>
            <w:tcW w:w="2557" w:type="dxa"/>
            <w:tcBorders>
              <w:top w:val="single" w:sz="4" w:space="0" w:color="ADD6EA"/>
              <w:left w:val="nil"/>
              <w:bottom w:val="nil"/>
              <w:right w:val="nil"/>
            </w:tcBorders>
            <w:shd w:val="clear" w:color="auto" w:fill="auto"/>
            <w:vAlign w:val="bottom"/>
            <w:hideMark/>
          </w:tcPr>
          <w:p w14:paraId="5874A265"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0D86F195"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Imputed work experience</w:t>
            </w:r>
          </w:p>
        </w:tc>
        <w:tc>
          <w:tcPr>
            <w:tcW w:w="3147" w:type="dxa"/>
            <w:tcBorders>
              <w:top w:val="single" w:sz="4" w:space="0" w:color="ADD6EA"/>
              <w:left w:val="nil"/>
              <w:bottom w:val="nil"/>
              <w:right w:val="nil"/>
            </w:tcBorders>
            <w:shd w:val="clear" w:color="auto" w:fill="auto"/>
            <w:noWrap/>
            <w:vAlign w:val="bottom"/>
            <w:hideMark/>
          </w:tcPr>
          <w:p w14:paraId="0CEEA265" w14:textId="5982814A"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xml:space="preserve">Age </w:t>
            </w:r>
            <w:r>
              <w:rPr>
                <w:rFonts w:eastAsia="Times New Roman" w:cs="Open Sans Light"/>
                <w:color w:val="000000"/>
                <w:sz w:val="16"/>
                <w:szCs w:val="16"/>
                <w:lang w:eastAsia="en-AU"/>
              </w:rPr>
              <w:t>(1</w:t>
            </w:r>
            <w:r w:rsidR="003E4E80">
              <w:rPr>
                <w:rFonts w:eastAsia="Times New Roman" w:cs="Open Sans Light"/>
                <w:color w:val="000000"/>
                <w:sz w:val="16"/>
                <w:szCs w:val="16"/>
                <w:lang w:eastAsia="en-AU"/>
              </w:rPr>
              <w:t>1</w:t>
            </w:r>
            <w:r>
              <w:rPr>
                <w:rFonts w:eastAsia="Times New Roman" w:cs="Open Sans Light"/>
                <w:color w:val="000000"/>
                <w:sz w:val="16"/>
                <w:szCs w:val="16"/>
                <w:lang w:eastAsia="en-AU"/>
              </w:rPr>
              <w:t xml:space="preserve"> categories)</w:t>
            </w:r>
          </w:p>
        </w:tc>
      </w:tr>
      <w:tr w:rsidR="00F84469" w:rsidRPr="00631ACC" w14:paraId="71377348" w14:textId="77777777" w:rsidTr="00070BFC">
        <w:trPr>
          <w:trHeight w:val="270"/>
        </w:trPr>
        <w:tc>
          <w:tcPr>
            <w:tcW w:w="2557" w:type="dxa"/>
            <w:tcBorders>
              <w:top w:val="single" w:sz="4" w:space="0" w:color="ADD6EA"/>
              <w:left w:val="nil"/>
              <w:bottom w:val="nil"/>
              <w:right w:val="nil"/>
            </w:tcBorders>
            <w:shd w:val="clear" w:color="auto" w:fill="auto"/>
            <w:vAlign w:val="bottom"/>
            <w:hideMark/>
          </w:tcPr>
          <w:p w14:paraId="4A1EC574"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1989DFF0"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Imputed work experience squared</w:t>
            </w:r>
          </w:p>
        </w:tc>
        <w:tc>
          <w:tcPr>
            <w:tcW w:w="3147" w:type="dxa"/>
            <w:tcBorders>
              <w:top w:val="single" w:sz="4" w:space="0" w:color="ADD6EA"/>
              <w:left w:val="nil"/>
              <w:bottom w:val="nil"/>
              <w:right w:val="nil"/>
            </w:tcBorders>
            <w:shd w:val="clear" w:color="auto" w:fill="auto"/>
            <w:noWrap/>
            <w:vAlign w:val="bottom"/>
            <w:hideMark/>
          </w:tcPr>
          <w:p w14:paraId="5960CA22"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p>
        </w:tc>
      </w:tr>
      <w:tr w:rsidR="00F84469" w:rsidRPr="00631ACC" w14:paraId="35062D99" w14:textId="77777777" w:rsidTr="00070BFC">
        <w:trPr>
          <w:trHeight w:val="45"/>
        </w:trPr>
        <w:tc>
          <w:tcPr>
            <w:tcW w:w="2557" w:type="dxa"/>
            <w:tcBorders>
              <w:top w:val="single" w:sz="4" w:space="0" w:color="ADD6EA"/>
              <w:left w:val="nil"/>
              <w:bottom w:val="nil"/>
              <w:right w:val="nil"/>
            </w:tcBorders>
            <w:shd w:val="clear" w:color="auto" w:fill="auto"/>
            <w:vAlign w:val="bottom"/>
            <w:hideMark/>
          </w:tcPr>
          <w:p w14:paraId="774E97CD"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1D227D0D"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c>
          <w:tcPr>
            <w:tcW w:w="3147" w:type="dxa"/>
            <w:tcBorders>
              <w:top w:val="single" w:sz="4" w:space="0" w:color="ADD6EA"/>
              <w:left w:val="nil"/>
              <w:bottom w:val="nil"/>
              <w:right w:val="nil"/>
            </w:tcBorders>
            <w:shd w:val="clear" w:color="auto" w:fill="auto"/>
            <w:noWrap/>
            <w:vAlign w:val="bottom"/>
            <w:hideMark/>
          </w:tcPr>
          <w:p w14:paraId="4F240CA6"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w:t>
            </w:r>
          </w:p>
        </w:tc>
      </w:tr>
      <w:tr w:rsidR="00F84469" w:rsidRPr="00631ACC" w14:paraId="46FC9867" w14:textId="77777777" w:rsidTr="00070BFC">
        <w:trPr>
          <w:trHeight w:val="270"/>
        </w:trPr>
        <w:tc>
          <w:tcPr>
            <w:tcW w:w="2557" w:type="dxa"/>
            <w:tcBorders>
              <w:top w:val="single" w:sz="4" w:space="0" w:color="ADD6EA"/>
              <w:left w:val="nil"/>
              <w:bottom w:val="nil"/>
              <w:right w:val="nil"/>
            </w:tcBorders>
            <w:shd w:val="clear" w:color="auto" w:fill="auto"/>
            <w:vAlign w:val="bottom"/>
            <w:hideMark/>
          </w:tcPr>
          <w:p w14:paraId="491012A2"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08A7B8B5"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Tenure (5 categories)</w:t>
            </w:r>
          </w:p>
        </w:tc>
        <w:tc>
          <w:tcPr>
            <w:tcW w:w="3147" w:type="dxa"/>
            <w:tcBorders>
              <w:top w:val="single" w:sz="4" w:space="0" w:color="ADD6EA"/>
              <w:left w:val="nil"/>
              <w:bottom w:val="nil"/>
              <w:right w:val="nil"/>
            </w:tcBorders>
            <w:shd w:val="clear" w:color="auto" w:fill="auto"/>
            <w:noWrap/>
            <w:vAlign w:val="bottom"/>
            <w:hideMark/>
          </w:tcPr>
          <w:p w14:paraId="2565A1CA"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Tenure (continuous)</w:t>
            </w:r>
          </w:p>
        </w:tc>
      </w:tr>
      <w:tr w:rsidR="00F84469" w:rsidRPr="00631ACC" w14:paraId="60FFE06A" w14:textId="77777777" w:rsidTr="00070BFC">
        <w:trPr>
          <w:trHeight w:val="270"/>
        </w:trPr>
        <w:tc>
          <w:tcPr>
            <w:tcW w:w="2557" w:type="dxa"/>
            <w:tcBorders>
              <w:top w:val="single" w:sz="4" w:space="0" w:color="ADD6EA"/>
              <w:left w:val="nil"/>
              <w:bottom w:val="nil"/>
              <w:right w:val="nil"/>
            </w:tcBorders>
            <w:shd w:val="clear" w:color="auto" w:fill="auto"/>
            <w:vAlign w:val="bottom"/>
          </w:tcPr>
          <w:p w14:paraId="636F6EF9"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p>
        </w:tc>
        <w:tc>
          <w:tcPr>
            <w:tcW w:w="3255" w:type="dxa"/>
            <w:tcBorders>
              <w:top w:val="single" w:sz="4" w:space="0" w:color="ADD6EA"/>
              <w:left w:val="nil"/>
              <w:bottom w:val="nil"/>
              <w:right w:val="nil"/>
            </w:tcBorders>
            <w:shd w:val="clear" w:color="auto" w:fill="auto"/>
            <w:noWrap/>
            <w:vAlign w:val="bottom"/>
          </w:tcPr>
          <w:p w14:paraId="45013234"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Permanent status (dummy)</w:t>
            </w:r>
          </w:p>
        </w:tc>
        <w:tc>
          <w:tcPr>
            <w:tcW w:w="3147" w:type="dxa"/>
            <w:tcBorders>
              <w:top w:val="single" w:sz="4" w:space="0" w:color="ADD6EA"/>
              <w:left w:val="nil"/>
              <w:bottom w:val="nil"/>
              <w:right w:val="nil"/>
            </w:tcBorders>
            <w:shd w:val="clear" w:color="auto" w:fill="auto"/>
            <w:noWrap/>
            <w:vAlign w:val="bottom"/>
          </w:tcPr>
          <w:p w14:paraId="59EFD65F"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Permanent status (dummy)</w:t>
            </w:r>
          </w:p>
        </w:tc>
      </w:tr>
      <w:tr w:rsidR="00F84469" w:rsidRPr="00631ACC" w14:paraId="13085496" w14:textId="77777777" w:rsidTr="00070BFC">
        <w:trPr>
          <w:trHeight w:val="270"/>
        </w:trPr>
        <w:tc>
          <w:tcPr>
            <w:tcW w:w="2557" w:type="dxa"/>
            <w:tcBorders>
              <w:top w:val="single" w:sz="4" w:space="0" w:color="ADD6EA"/>
              <w:left w:val="nil"/>
              <w:bottom w:val="nil"/>
              <w:right w:val="nil"/>
            </w:tcBorders>
            <w:shd w:val="clear" w:color="auto" w:fill="auto"/>
            <w:vAlign w:val="bottom"/>
            <w:hideMark/>
          </w:tcPr>
          <w:p w14:paraId="53511D8B"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69E751EF"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Migrant status (7 categories)</w:t>
            </w:r>
          </w:p>
        </w:tc>
        <w:tc>
          <w:tcPr>
            <w:tcW w:w="3147" w:type="dxa"/>
            <w:tcBorders>
              <w:top w:val="single" w:sz="4" w:space="0" w:color="ADD6EA"/>
              <w:left w:val="nil"/>
              <w:bottom w:val="nil"/>
              <w:right w:val="nil"/>
            </w:tcBorders>
            <w:shd w:val="clear" w:color="auto" w:fill="auto"/>
            <w:noWrap/>
            <w:vAlign w:val="bottom"/>
            <w:hideMark/>
          </w:tcPr>
          <w:p w14:paraId="6A3F2200"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Migrant status (7 categories)</w:t>
            </w:r>
          </w:p>
        </w:tc>
      </w:tr>
      <w:tr w:rsidR="00F84469" w:rsidRPr="00631ACC" w14:paraId="55D1C68D" w14:textId="77777777" w:rsidTr="00070BFC">
        <w:trPr>
          <w:trHeight w:val="270"/>
        </w:trPr>
        <w:tc>
          <w:tcPr>
            <w:tcW w:w="2557" w:type="dxa"/>
            <w:tcBorders>
              <w:top w:val="single" w:sz="4" w:space="0" w:color="ADD6EA"/>
              <w:left w:val="nil"/>
              <w:bottom w:val="nil"/>
              <w:right w:val="nil"/>
            </w:tcBorders>
            <w:shd w:val="clear" w:color="auto" w:fill="auto"/>
            <w:vAlign w:val="bottom"/>
            <w:hideMark/>
          </w:tcPr>
          <w:p w14:paraId="41A1B843"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7426BDE6"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Marital status</w:t>
            </w:r>
            <w:r>
              <w:rPr>
                <w:rFonts w:eastAsia="Times New Roman" w:cs="Open Sans Light"/>
                <w:color w:val="000000"/>
                <w:sz w:val="16"/>
                <w:szCs w:val="16"/>
                <w:lang w:eastAsia="en-AU"/>
              </w:rPr>
              <w:t xml:space="preserve"> (dummy)</w:t>
            </w:r>
          </w:p>
        </w:tc>
        <w:tc>
          <w:tcPr>
            <w:tcW w:w="3147" w:type="dxa"/>
            <w:tcBorders>
              <w:top w:val="single" w:sz="4" w:space="0" w:color="ADD6EA"/>
              <w:left w:val="nil"/>
              <w:bottom w:val="nil"/>
              <w:right w:val="nil"/>
            </w:tcBorders>
            <w:shd w:val="clear" w:color="auto" w:fill="auto"/>
            <w:noWrap/>
            <w:vAlign w:val="bottom"/>
            <w:hideMark/>
          </w:tcPr>
          <w:p w14:paraId="0D501F69"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Marital status</w:t>
            </w:r>
            <w:r>
              <w:rPr>
                <w:rFonts w:eastAsia="Times New Roman" w:cs="Open Sans Light"/>
                <w:color w:val="000000"/>
                <w:sz w:val="16"/>
                <w:szCs w:val="16"/>
                <w:lang w:eastAsia="en-AU"/>
              </w:rPr>
              <w:t xml:space="preserve"> (dummy)</w:t>
            </w:r>
          </w:p>
        </w:tc>
      </w:tr>
      <w:tr w:rsidR="00F84469" w:rsidRPr="00631ACC" w14:paraId="7DE7C39A" w14:textId="77777777" w:rsidTr="00070BFC">
        <w:trPr>
          <w:trHeight w:val="315"/>
        </w:trPr>
        <w:tc>
          <w:tcPr>
            <w:tcW w:w="2557" w:type="dxa"/>
            <w:tcBorders>
              <w:top w:val="single" w:sz="4" w:space="0" w:color="ADD6EA"/>
              <w:left w:val="nil"/>
              <w:bottom w:val="nil"/>
              <w:right w:val="nil"/>
            </w:tcBorders>
            <w:shd w:val="clear" w:color="auto" w:fill="auto"/>
            <w:vAlign w:val="bottom"/>
            <w:hideMark/>
          </w:tcPr>
          <w:p w14:paraId="6BBAED08"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7D2435A0"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Dependent child (dummy)</w:t>
            </w:r>
          </w:p>
        </w:tc>
        <w:tc>
          <w:tcPr>
            <w:tcW w:w="3147" w:type="dxa"/>
            <w:tcBorders>
              <w:top w:val="single" w:sz="4" w:space="0" w:color="ADD6EA"/>
              <w:left w:val="nil"/>
              <w:bottom w:val="nil"/>
              <w:right w:val="nil"/>
            </w:tcBorders>
            <w:shd w:val="clear" w:color="auto" w:fill="auto"/>
            <w:noWrap/>
            <w:vAlign w:val="bottom"/>
            <w:hideMark/>
          </w:tcPr>
          <w:p w14:paraId="712A46B7" w14:textId="48F5CE7A"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Dependent child (dummy)</w:t>
            </w:r>
          </w:p>
        </w:tc>
      </w:tr>
      <w:tr w:rsidR="00F84469" w:rsidRPr="00631ACC" w14:paraId="4109DD03" w14:textId="77777777" w:rsidTr="00070BFC">
        <w:trPr>
          <w:trHeight w:val="270"/>
        </w:trPr>
        <w:tc>
          <w:tcPr>
            <w:tcW w:w="2557" w:type="dxa"/>
            <w:tcBorders>
              <w:top w:val="single" w:sz="4" w:space="0" w:color="ADD6EA"/>
              <w:left w:val="nil"/>
              <w:bottom w:val="nil"/>
              <w:right w:val="nil"/>
            </w:tcBorders>
            <w:shd w:val="clear" w:color="auto" w:fill="auto"/>
            <w:vAlign w:val="bottom"/>
            <w:hideMark/>
          </w:tcPr>
          <w:p w14:paraId="3F47E527"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442EECE6"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Occupation (~120 categories)</w:t>
            </w:r>
          </w:p>
        </w:tc>
        <w:tc>
          <w:tcPr>
            <w:tcW w:w="3147" w:type="dxa"/>
            <w:tcBorders>
              <w:top w:val="single" w:sz="4" w:space="0" w:color="ADD6EA"/>
              <w:left w:val="nil"/>
              <w:bottom w:val="nil"/>
              <w:right w:val="nil"/>
            </w:tcBorders>
            <w:shd w:val="clear" w:color="auto" w:fill="auto"/>
            <w:noWrap/>
            <w:vAlign w:val="bottom"/>
            <w:hideMark/>
          </w:tcPr>
          <w:p w14:paraId="57430454"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Occupation (~120 categories)</w:t>
            </w:r>
          </w:p>
        </w:tc>
      </w:tr>
      <w:tr w:rsidR="00F84469" w:rsidRPr="00631ACC" w14:paraId="6B95E7D4" w14:textId="77777777" w:rsidTr="00070BFC">
        <w:trPr>
          <w:trHeight w:val="270"/>
        </w:trPr>
        <w:tc>
          <w:tcPr>
            <w:tcW w:w="2557" w:type="dxa"/>
            <w:tcBorders>
              <w:top w:val="single" w:sz="4" w:space="0" w:color="ADD6EA"/>
              <w:left w:val="nil"/>
              <w:bottom w:val="nil"/>
              <w:right w:val="nil"/>
            </w:tcBorders>
            <w:shd w:val="clear" w:color="auto" w:fill="auto"/>
            <w:vAlign w:val="bottom"/>
            <w:hideMark/>
          </w:tcPr>
          <w:p w14:paraId="32709568"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24207E0A" w14:textId="27E2D62A"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 xml:space="preserve">Industry </w:t>
            </w:r>
            <w:r w:rsidR="00A767AA">
              <w:rPr>
                <w:rFonts w:eastAsia="Times New Roman" w:cs="Open Sans Light"/>
                <w:color w:val="000000"/>
                <w:sz w:val="16"/>
                <w:szCs w:val="16"/>
                <w:lang w:eastAsia="en-AU"/>
              </w:rPr>
              <w:t xml:space="preserve">group </w:t>
            </w:r>
            <w:r w:rsidRPr="00631ACC">
              <w:rPr>
                <w:rFonts w:eastAsia="Times New Roman" w:cs="Open Sans Light"/>
                <w:color w:val="000000"/>
                <w:sz w:val="16"/>
                <w:szCs w:val="16"/>
                <w:lang w:eastAsia="en-AU"/>
              </w:rPr>
              <w:t>(~260 categories)</w:t>
            </w:r>
          </w:p>
        </w:tc>
        <w:tc>
          <w:tcPr>
            <w:tcW w:w="3147" w:type="dxa"/>
            <w:tcBorders>
              <w:top w:val="single" w:sz="4" w:space="0" w:color="ADD6EA"/>
              <w:left w:val="nil"/>
              <w:bottom w:val="nil"/>
              <w:right w:val="nil"/>
            </w:tcBorders>
            <w:shd w:val="clear" w:color="auto" w:fill="auto"/>
            <w:noWrap/>
            <w:vAlign w:val="bottom"/>
            <w:hideMark/>
          </w:tcPr>
          <w:p w14:paraId="0D901583" w14:textId="4360F8E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sidRPr="00631ACC">
              <w:rPr>
                <w:rFonts w:eastAsia="Times New Roman" w:cs="Open Sans Light"/>
                <w:color w:val="000000"/>
                <w:sz w:val="16"/>
                <w:szCs w:val="16"/>
                <w:lang w:eastAsia="en-AU"/>
              </w:rPr>
              <w:t>Industry</w:t>
            </w:r>
            <w:r w:rsidR="00A767AA">
              <w:rPr>
                <w:rFonts w:eastAsia="Times New Roman" w:cs="Open Sans Light"/>
                <w:color w:val="000000"/>
                <w:sz w:val="16"/>
                <w:szCs w:val="16"/>
                <w:lang w:eastAsia="en-AU"/>
              </w:rPr>
              <w:t xml:space="preserve"> division</w:t>
            </w:r>
            <w:r w:rsidRPr="00631ACC">
              <w:rPr>
                <w:rFonts w:eastAsia="Times New Roman" w:cs="Open Sans Light"/>
                <w:color w:val="000000"/>
                <w:sz w:val="16"/>
                <w:szCs w:val="16"/>
                <w:lang w:eastAsia="en-AU"/>
              </w:rPr>
              <w:t xml:space="preserve"> (</w:t>
            </w:r>
            <w:r>
              <w:rPr>
                <w:rFonts w:eastAsia="Times New Roman" w:cs="Open Sans Light"/>
                <w:color w:val="000000"/>
                <w:sz w:val="16"/>
                <w:szCs w:val="16"/>
                <w:lang w:eastAsia="en-AU"/>
              </w:rPr>
              <w:t>19</w:t>
            </w:r>
            <w:r w:rsidRPr="00631ACC">
              <w:rPr>
                <w:rFonts w:eastAsia="Times New Roman" w:cs="Open Sans Light"/>
                <w:color w:val="000000"/>
                <w:sz w:val="16"/>
                <w:szCs w:val="16"/>
                <w:lang w:eastAsia="en-AU"/>
              </w:rPr>
              <w:t xml:space="preserve"> categories)</w:t>
            </w:r>
          </w:p>
        </w:tc>
      </w:tr>
      <w:tr w:rsidR="00F84469" w:rsidRPr="00631ACC" w14:paraId="43061157" w14:textId="77777777" w:rsidTr="00070BFC">
        <w:trPr>
          <w:trHeight w:val="270"/>
        </w:trPr>
        <w:tc>
          <w:tcPr>
            <w:tcW w:w="2557" w:type="dxa"/>
            <w:tcBorders>
              <w:top w:val="single" w:sz="4" w:space="0" w:color="ADD6EA"/>
              <w:left w:val="nil"/>
              <w:bottom w:val="nil"/>
              <w:right w:val="nil"/>
            </w:tcBorders>
            <w:shd w:val="clear" w:color="auto" w:fill="auto"/>
            <w:vAlign w:val="bottom"/>
            <w:hideMark/>
          </w:tcPr>
          <w:p w14:paraId="70EB946B" w14:textId="77777777" w:rsidR="00F84469" w:rsidRPr="00631ACC"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sidRPr="00631ACC">
              <w:rPr>
                <w:rFonts w:eastAsia="Times New Roman" w:cs="Open Sans Light"/>
                <w:b/>
                <w:bCs/>
                <w:color w:val="000000"/>
                <w:sz w:val="16"/>
                <w:szCs w:val="16"/>
                <w:lang w:eastAsia="en-AU"/>
              </w:rPr>
              <w:t> </w:t>
            </w:r>
          </w:p>
        </w:tc>
        <w:tc>
          <w:tcPr>
            <w:tcW w:w="3255" w:type="dxa"/>
            <w:tcBorders>
              <w:top w:val="single" w:sz="4" w:space="0" w:color="ADD6EA"/>
              <w:left w:val="nil"/>
              <w:bottom w:val="nil"/>
              <w:right w:val="nil"/>
            </w:tcBorders>
            <w:shd w:val="clear" w:color="auto" w:fill="auto"/>
            <w:noWrap/>
            <w:vAlign w:val="bottom"/>
            <w:hideMark/>
          </w:tcPr>
          <w:p w14:paraId="18A9B600"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 xml:space="preserve">Gender </w:t>
            </w:r>
            <w:r w:rsidRPr="00631ACC">
              <w:rPr>
                <w:rFonts w:eastAsia="Times New Roman" w:cs="Open Sans Light"/>
                <w:color w:val="000000"/>
                <w:sz w:val="16"/>
                <w:szCs w:val="16"/>
                <w:lang w:eastAsia="en-AU"/>
              </w:rPr>
              <w:t>(dummy)</w:t>
            </w:r>
          </w:p>
        </w:tc>
        <w:tc>
          <w:tcPr>
            <w:tcW w:w="3147" w:type="dxa"/>
            <w:tcBorders>
              <w:top w:val="single" w:sz="4" w:space="0" w:color="ADD6EA"/>
              <w:left w:val="nil"/>
              <w:bottom w:val="nil"/>
              <w:right w:val="nil"/>
            </w:tcBorders>
            <w:shd w:val="clear" w:color="auto" w:fill="auto"/>
            <w:noWrap/>
            <w:vAlign w:val="bottom"/>
            <w:hideMark/>
          </w:tcPr>
          <w:p w14:paraId="41B7CB7B"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 xml:space="preserve">Gender </w:t>
            </w:r>
            <w:r w:rsidRPr="00631ACC">
              <w:rPr>
                <w:rFonts w:eastAsia="Times New Roman" w:cs="Open Sans Light"/>
                <w:color w:val="000000"/>
                <w:sz w:val="16"/>
                <w:szCs w:val="16"/>
                <w:lang w:eastAsia="en-AU"/>
              </w:rPr>
              <w:t>(dummy)</w:t>
            </w:r>
          </w:p>
        </w:tc>
      </w:tr>
      <w:tr w:rsidR="00F84469" w:rsidRPr="00631ACC" w14:paraId="6D55926F" w14:textId="77777777" w:rsidTr="00070BFC">
        <w:trPr>
          <w:trHeight w:val="270"/>
        </w:trPr>
        <w:tc>
          <w:tcPr>
            <w:tcW w:w="2557" w:type="dxa"/>
            <w:tcBorders>
              <w:top w:val="single" w:sz="4" w:space="0" w:color="ADD6EA"/>
              <w:left w:val="nil"/>
              <w:bottom w:val="single" w:sz="4" w:space="0" w:color="ADD6EA"/>
              <w:right w:val="nil"/>
            </w:tcBorders>
            <w:shd w:val="clear" w:color="auto" w:fill="auto"/>
            <w:vAlign w:val="bottom"/>
          </w:tcPr>
          <w:p w14:paraId="5AD40069" w14:textId="77777777" w:rsidR="00F84469" w:rsidRPr="00631ACC" w:rsidRDefault="00F84469" w:rsidP="00900B73">
            <w:pPr>
              <w:keepNext/>
              <w:keepLines/>
              <w:tabs>
                <w:tab w:val="clear" w:pos="567"/>
              </w:tabs>
              <w:spacing w:before="0" w:line="240" w:lineRule="auto"/>
              <w:rPr>
                <w:rFonts w:eastAsia="Times New Roman" w:cs="Open Sans Light"/>
                <w:color w:val="000000"/>
                <w:sz w:val="16"/>
                <w:szCs w:val="16"/>
                <w:lang w:eastAsia="en-AU"/>
              </w:rPr>
            </w:pPr>
          </w:p>
        </w:tc>
        <w:tc>
          <w:tcPr>
            <w:tcW w:w="3255" w:type="dxa"/>
            <w:tcBorders>
              <w:top w:val="single" w:sz="4" w:space="0" w:color="ADD6EA"/>
              <w:left w:val="nil"/>
              <w:bottom w:val="single" w:sz="4" w:space="0" w:color="ADD6EA"/>
              <w:right w:val="nil"/>
            </w:tcBorders>
            <w:shd w:val="clear" w:color="auto" w:fill="auto"/>
            <w:noWrap/>
            <w:vAlign w:val="bottom"/>
          </w:tcPr>
          <w:p w14:paraId="122092C4" w14:textId="77777777" w:rsidR="00F84469" w:rsidRDefault="00F84469" w:rsidP="009D4ED0">
            <w:pPr>
              <w:keepNext/>
              <w:keepLines/>
              <w:tabs>
                <w:tab w:val="clear" w:pos="567"/>
              </w:tabs>
              <w:spacing w:before="0" w:line="240" w:lineRule="auto"/>
              <w:rPr>
                <w:rFonts w:eastAsia="Times New Roman" w:cs="Open Sans Light"/>
                <w:color w:val="000000"/>
                <w:sz w:val="16"/>
                <w:szCs w:val="16"/>
                <w:lang w:eastAsia="en-AU"/>
              </w:rPr>
            </w:pPr>
          </w:p>
        </w:tc>
        <w:tc>
          <w:tcPr>
            <w:tcW w:w="3147" w:type="dxa"/>
            <w:tcBorders>
              <w:top w:val="single" w:sz="4" w:space="0" w:color="ADD6EA"/>
              <w:left w:val="nil"/>
              <w:bottom w:val="single" w:sz="4" w:space="0" w:color="ADD6EA"/>
              <w:right w:val="nil"/>
            </w:tcBorders>
            <w:shd w:val="clear" w:color="auto" w:fill="auto"/>
            <w:noWrap/>
            <w:vAlign w:val="bottom"/>
          </w:tcPr>
          <w:p w14:paraId="06AB1BC9" w14:textId="77777777" w:rsidR="00F84469" w:rsidRDefault="00F84469" w:rsidP="009D4ED0">
            <w:pPr>
              <w:keepNext/>
              <w:keepLines/>
              <w:tabs>
                <w:tab w:val="clear" w:pos="567"/>
              </w:tabs>
              <w:spacing w:before="0" w:line="240" w:lineRule="auto"/>
              <w:rPr>
                <w:rFonts w:eastAsia="Times New Roman" w:cs="Open Sans Light"/>
                <w:color w:val="000000"/>
                <w:sz w:val="16"/>
                <w:szCs w:val="16"/>
                <w:lang w:eastAsia="en-AU"/>
              </w:rPr>
            </w:pPr>
          </w:p>
        </w:tc>
      </w:tr>
      <w:tr w:rsidR="00F84469" w:rsidRPr="00631ACC" w14:paraId="6894911A" w14:textId="77777777" w:rsidTr="00070BFC">
        <w:trPr>
          <w:trHeight w:val="270"/>
        </w:trPr>
        <w:tc>
          <w:tcPr>
            <w:tcW w:w="2557" w:type="dxa"/>
            <w:tcBorders>
              <w:top w:val="single" w:sz="4" w:space="0" w:color="ADD6EA"/>
              <w:left w:val="nil"/>
              <w:bottom w:val="single" w:sz="4" w:space="0" w:color="ADD6EA"/>
              <w:right w:val="nil"/>
            </w:tcBorders>
            <w:shd w:val="clear" w:color="auto" w:fill="auto"/>
            <w:vAlign w:val="bottom"/>
            <w:hideMark/>
          </w:tcPr>
          <w:p w14:paraId="06DF90CF" w14:textId="77777777" w:rsidR="00F84469" w:rsidRPr="00631ACC" w:rsidRDefault="00F84469" w:rsidP="00900B73">
            <w:pPr>
              <w:keepNext/>
              <w:keepLines/>
              <w:tabs>
                <w:tab w:val="clear" w:pos="567"/>
              </w:tabs>
              <w:spacing w:before="0" w:line="240" w:lineRule="auto"/>
              <w:rPr>
                <w:rFonts w:eastAsia="Times New Roman" w:cs="Open Sans Light"/>
                <w:color w:val="000000"/>
                <w:sz w:val="16"/>
                <w:szCs w:val="16"/>
                <w:lang w:eastAsia="en-AU"/>
              </w:rPr>
            </w:pPr>
          </w:p>
        </w:tc>
        <w:tc>
          <w:tcPr>
            <w:tcW w:w="3255" w:type="dxa"/>
            <w:tcBorders>
              <w:top w:val="single" w:sz="4" w:space="0" w:color="ADD6EA"/>
              <w:left w:val="nil"/>
              <w:bottom w:val="single" w:sz="4" w:space="0" w:color="ADD6EA"/>
              <w:right w:val="nil"/>
            </w:tcBorders>
            <w:shd w:val="clear" w:color="auto" w:fill="auto"/>
            <w:noWrap/>
            <w:vAlign w:val="bottom"/>
            <w:hideMark/>
          </w:tcPr>
          <w:p w14:paraId="49C2F8A4"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Gender</w:t>
            </w:r>
            <w:r w:rsidRPr="00631ACC">
              <w:rPr>
                <w:rFonts w:eastAsia="Times New Roman" w:cs="Open Sans Light"/>
                <w:color w:val="000000"/>
                <w:sz w:val="16"/>
                <w:szCs w:val="16"/>
                <w:lang w:eastAsia="en-AU"/>
              </w:rPr>
              <w:t>*</w:t>
            </w:r>
            <w:r>
              <w:rPr>
                <w:rFonts w:eastAsia="Times New Roman" w:cs="Open Sans Light"/>
                <w:color w:val="000000"/>
                <w:sz w:val="16"/>
                <w:szCs w:val="16"/>
                <w:lang w:eastAsia="en-AU"/>
              </w:rPr>
              <w:t>E</w:t>
            </w:r>
            <w:r w:rsidRPr="00631ACC">
              <w:rPr>
                <w:rFonts w:eastAsia="Times New Roman" w:cs="Open Sans Light"/>
                <w:color w:val="000000"/>
                <w:sz w:val="16"/>
                <w:szCs w:val="16"/>
                <w:lang w:eastAsia="en-AU"/>
              </w:rPr>
              <w:t>very other control</w:t>
            </w:r>
            <w:r>
              <w:rPr>
                <w:rFonts w:eastAsia="Times New Roman" w:cs="Open Sans Light"/>
                <w:color w:val="000000"/>
                <w:sz w:val="16"/>
                <w:szCs w:val="16"/>
                <w:lang w:eastAsia="en-AU"/>
              </w:rPr>
              <w:t xml:space="preserve"> (&gt;400 terms)</w:t>
            </w:r>
          </w:p>
        </w:tc>
        <w:tc>
          <w:tcPr>
            <w:tcW w:w="3147" w:type="dxa"/>
            <w:tcBorders>
              <w:top w:val="single" w:sz="4" w:space="0" w:color="ADD6EA"/>
              <w:left w:val="nil"/>
              <w:bottom w:val="single" w:sz="4" w:space="0" w:color="ADD6EA"/>
              <w:right w:val="nil"/>
            </w:tcBorders>
            <w:shd w:val="clear" w:color="auto" w:fill="auto"/>
            <w:noWrap/>
            <w:vAlign w:val="bottom"/>
          </w:tcPr>
          <w:p w14:paraId="57C98232" w14:textId="77777777"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p>
        </w:tc>
      </w:tr>
      <w:tr w:rsidR="00F84469" w:rsidRPr="00631ACC" w14:paraId="5173D016" w14:textId="77777777" w:rsidTr="00070BFC">
        <w:trPr>
          <w:trHeight w:val="270"/>
        </w:trPr>
        <w:tc>
          <w:tcPr>
            <w:tcW w:w="2557" w:type="dxa"/>
            <w:tcBorders>
              <w:top w:val="single" w:sz="4" w:space="0" w:color="ADD6EA"/>
              <w:left w:val="nil"/>
              <w:bottom w:val="single" w:sz="4" w:space="0" w:color="ADD6EA"/>
              <w:right w:val="nil"/>
            </w:tcBorders>
            <w:shd w:val="clear" w:color="auto" w:fill="auto"/>
            <w:vAlign w:val="bottom"/>
          </w:tcPr>
          <w:p w14:paraId="268F8397" w14:textId="77777777" w:rsidR="00F84469" w:rsidRDefault="00F84469" w:rsidP="00900B73">
            <w:pPr>
              <w:keepNext/>
              <w:keepLines/>
              <w:tabs>
                <w:tab w:val="clear" w:pos="567"/>
              </w:tabs>
              <w:spacing w:before="0" w:line="240" w:lineRule="auto"/>
              <w:rPr>
                <w:rFonts w:eastAsia="Times New Roman" w:cs="Open Sans Light"/>
                <w:b/>
                <w:bCs/>
                <w:color w:val="000000"/>
                <w:sz w:val="16"/>
                <w:szCs w:val="16"/>
                <w:lang w:eastAsia="en-AU"/>
              </w:rPr>
            </w:pPr>
          </w:p>
        </w:tc>
        <w:tc>
          <w:tcPr>
            <w:tcW w:w="3255" w:type="dxa"/>
            <w:tcBorders>
              <w:top w:val="single" w:sz="4" w:space="0" w:color="ADD6EA"/>
              <w:left w:val="nil"/>
              <w:bottom w:val="single" w:sz="4" w:space="0" w:color="ADD6EA"/>
              <w:right w:val="nil"/>
            </w:tcBorders>
            <w:shd w:val="clear" w:color="auto" w:fill="auto"/>
            <w:noWrap/>
            <w:vAlign w:val="bottom"/>
          </w:tcPr>
          <w:p w14:paraId="6AB7F5F8" w14:textId="77777777" w:rsidR="00F84469" w:rsidRDefault="00F84469" w:rsidP="009D4ED0">
            <w:pPr>
              <w:keepNext/>
              <w:keepLines/>
              <w:tabs>
                <w:tab w:val="clear" w:pos="567"/>
              </w:tabs>
              <w:spacing w:before="0" w:line="240" w:lineRule="auto"/>
              <w:rPr>
                <w:rFonts w:eastAsia="Times New Roman" w:cs="Open Sans Light"/>
                <w:color w:val="000000"/>
                <w:sz w:val="16"/>
                <w:szCs w:val="16"/>
                <w:lang w:eastAsia="en-AU"/>
              </w:rPr>
            </w:pPr>
          </w:p>
        </w:tc>
        <w:tc>
          <w:tcPr>
            <w:tcW w:w="3147" w:type="dxa"/>
            <w:tcBorders>
              <w:top w:val="single" w:sz="4" w:space="0" w:color="ADD6EA"/>
              <w:left w:val="nil"/>
              <w:bottom w:val="single" w:sz="4" w:space="0" w:color="ADD6EA"/>
              <w:right w:val="nil"/>
            </w:tcBorders>
            <w:shd w:val="clear" w:color="auto" w:fill="auto"/>
            <w:noWrap/>
            <w:vAlign w:val="bottom"/>
          </w:tcPr>
          <w:p w14:paraId="2E641B30" w14:textId="77777777" w:rsidR="00F84469" w:rsidRDefault="00F84469" w:rsidP="009D4ED0">
            <w:pPr>
              <w:keepNext/>
              <w:keepLines/>
              <w:tabs>
                <w:tab w:val="clear" w:pos="567"/>
              </w:tabs>
              <w:spacing w:before="0" w:line="240" w:lineRule="auto"/>
              <w:rPr>
                <w:rFonts w:eastAsia="Times New Roman" w:cs="Open Sans Light"/>
                <w:color w:val="000000"/>
                <w:sz w:val="16"/>
                <w:szCs w:val="16"/>
                <w:lang w:eastAsia="en-AU"/>
              </w:rPr>
            </w:pPr>
          </w:p>
        </w:tc>
      </w:tr>
      <w:tr w:rsidR="00F84469" w:rsidRPr="00631ACC" w14:paraId="4BA9A97B" w14:textId="77777777" w:rsidTr="00070BFC">
        <w:trPr>
          <w:trHeight w:val="270"/>
        </w:trPr>
        <w:tc>
          <w:tcPr>
            <w:tcW w:w="2557" w:type="dxa"/>
            <w:tcBorders>
              <w:top w:val="single" w:sz="4" w:space="0" w:color="ADD6EA"/>
              <w:left w:val="nil"/>
              <w:bottom w:val="single" w:sz="4" w:space="0" w:color="ADD6EA"/>
              <w:right w:val="nil"/>
            </w:tcBorders>
            <w:shd w:val="clear" w:color="auto" w:fill="auto"/>
            <w:vAlign w:val="bottom"/>
          </w:tcPr>
          <w:p w14:paraId="6302B90D" w14:textId="77777777" w:rsidR="00F84469" w:rsidRPr="003D6B20" w:rsidRDefault="00F84469" w:rsidP="00900B73">
            <w:pPr>
              <w:keepNext/>
              <w:keepLines/>
              <w:tabs>
                <w:tab w:val="clear" w:pos="567"/>
              </w:tabs>
              <w:spacing w:before="0" w:line="240" w:lineRule="auto"/>
              <w:rPr>
                <w:rFonts w:eastAsia="Times New Roman" w:cs="Open Sans Light"/>
                <w:b/>
                <w:bCs/>
                <w:color w:val="000000"/>
                <w:sz w:val="16"/>
                <w:szCs w:val="16"/>
                <w:lang w:eastAsia="en-AU"/>
              </w:rPr>
            </w:pPr>
            <w:r>
              <w:rPr>
                <w:rFonts w:eastAsia="Times New Roman" w:cs="Open Sans Light"/>
                <w:b/>
                <w:bCs/>
                <w:color w:val="000000"/>
                <w:sz w:val="16"/>
                <w:szCs w:val="16"/>
                <w:lang w:eastAsia="en-AU"/>
              </w:rPr>
              <w:t>Total coefficients estimated</w:t>
            </w:r>
          </w:p>
        </w:tc>
        <w:tc>
          <w:tcPr>
            <w:tcW w:w="3255" w:type="dxa"/>
            <w:tcBorders>
              <w:top w:val="single" w:sz="4" w:space="0" w:color="ADD6EA"/>
              <w:left w:val="nil"/>
              <w:bottom w:val="single" w:sz="4" w:space="0" w:color="ADD6EA"/>
              <w:right w:val="nil"/>
            </w:tcBorders>
            <w:shd w:val="clear" w:color="auto" w:fill="auto"/>
            <w:noWrap/>
            <w:vAlign w:val="bottom"/>
          </w:tcPr>
          <w:p w14:paraId="7A82187D" w14:textId="77777777" w:rsidR="00F84469" w:rsidRDefault="00F84469" w:rsidP="009D4ED0">
            <w:pPr>
              <w:keepNext/>
              <w:keepLines/>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&gt;800</w:t>
            </w:r>
          </w:p>
        </w:tc>
        <w:tc>
          <w:tcPr>
            <w:tcW w:w="3147" w:type="dxa"/>
            <w:tcBorders>
              <w:top w:val="single" w:sz="4" w:space="0" w:color="ADD6EA"/>
              <w:left w:val="nil"/>
              <w:bottom w:val="single" w:sz="4" w:space="0" w:color="ADD6EA"/>
              <w:right w:val="nil"/>
            </w:tcBorders>
            <w:shd w:val="clear" w:color="auto" w:fill="auto"/>
            <w:noWrap/>
            <w:vAlign w:val="bottom"/>
          </w:tcPr>
          <w:p w14:paraId="6BF25B69" w14:textId="6C41792C" w:rsidR="00F84469" w:rsidRPr="00631ACC" w:rsidRDefault="00F84469" w:rsidP="009D4ED0">
            <w:pPr>
              <w:keepNext/>
              <w:keepLines/>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~180</w:t>
            </w:r>
            <w:r w:rsidR="00124181">
              <w:rPr>
                <w:rFonts w:eastAsia="Times New Roman" w:cs="Open Sans Light"/>
                <w:color w:val="000000"/>
                <w:sz w:val="16"/>
                <w:szCs w:val="16"/>
                <w:lang w:eastAsia="en-AU"/>
              </w:rPr>
              <w:t>–</w:t>
            </w:r>
            <w:r>
              <w:rPr>
                <w:rFonts w:eastAsia="Times New Roman" w:cs="Open Sans Light"/>
                <w:color w:val="000000"/>
                <w:sz w:val="16"/>
                <w:szCs w:val="16"/>
                <w:lang w:eastAsia="en-AU"/>
              </w:rPr>
              <w:t>185</w:t>
            </w:r>
          </w:p>
        </w:tc>
      </w:tr>
    </w:tbl>
    <w:p w14:paraId="291C51AC" w14:textId="77777777" w:rsidR="00161026" w:rsidRPr="00BE48C8" w:rsidRDefault="00161026" w:rsidP="00161026">
      <w:pPr>
        <w:pStyle w:val="Heading4"/>
      </w:pPr>
      <w:r>
        <w:t>Consultation questions</w:t>
      </w:r>
    </w:p>
    <w:p w14:paraId="65CE0818" w14:textId="227F4369" w:rsidR="00CF3284" w:rsidRPr="00CF3284" w:rsidRDefault="00161026" w:rsidP="00461DB2">
      <w:r w:rsidRPr="001C4DF3">
        <w:rPr>
          <w:noProof/>
        </w:rPr>
        <mc:AlternateContent>
          <mc:Choice Requires="wps">
            <w:drawing>
              <wp:inline distT="0" distB="0" distL="0" distR="0" wp14:anchorId="4EB6BFAE" wp14:editId="42E8F257">
                <wp:extent cx="5688965" cy="2266950"/>
                <wp:effectExtent l="0" t="0" r="6985" b="0"/>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8965" cy="2266950"/>
                        </a:xfrm>
                        <a:prstGeom prst="rect">
                          <a:avLst/>
                        </a:prstGeom>
                        <a:solidFill>
                          <a:srgbClr val="EBF3F5"/>
                        </a:solidFill>
                        <a:ln w="25400" cap="flat" cmpd="sng" algn="ctr">
                          <a:noFill/>
                          <a:prstDash val="solid"/>
                        </a:ln>
                        <a:effectLst/>
                      </wps:spPr>
                      <wps:txbx>
                        <w:txbxContent>
                          <w:p w14:paraId="6EE1EA58" w14:textId="77777777" w:rsidR="00B800F5" w:rsidRPr="00DF3A21" w:rsidRDefault="00B800F5" w:rsidP="000F0269">
                            <w:pPr>
                              <w:pStyle w:val="CGC2025QuestionNumbers"/>
                            </w:pPr>
                            <w:r w:rsidRPr="00B800F5">
                              <w:t xml:space="preserve">Do states agree the Commission should use hourly wages rather than weekly wages as the </w:t>
                            </w:r>
                            <w:r w:rsidRPr="00DF3A21">
                              <w:t>dependent variable?</w:t>
                            </w:r>
                          </w:p>
                          <w:p w14:paraId="4C3916EB" w14:textId="5DBF4361" w:rsidR="00171287" w:rsidRPr="00DF3A21" w:rsidRDefault="00171287" w:rsidP="00B800F5">
                            <w:pPr>
                              <w:pStyle w:val="CGC2025QuestionNumbers"/>
                            </w:pPr>
                            <w:r w:rsidRPr="00DF3A21">
                              <w:t xml:space="preserve">Do states support including usual hours of work in the model as </w:t>
                            </w:r>
                            <w:r w:rsidR="00447D18">
                              <w:t>3</w:t>
                            </w:r>
                            <w:r w:rsidRPr="00DF3A21">
                              <w:t xml:space="preserve"> categories, part-time, full-time and more than full-time</w:t>
                            </w:r>
                            <w:r w:rsidR="000D7072">
                              <w:t xml:space="preserve"> hours</w:t>
                            </w:r>
                            <w:r w:rsidRPr="00DF3A21">
                              <w:t>?</w:t>
                            </w:r>
                          </w:p>
                          <w:p w14:paraId="24976793" w14:textId="0A107714" w:rsidR="00171287" w:rsidRPr="00DF3A21" w:rsidRDefault="00171287" w:rsidP="008F0B89">
                            <w:pPr>
                              <w:pStyle w:val="CGC2025QuestionNumbers"/>
                            </w:pPr>
                            <w:r w:rsidRPr="00DF3A21">
                              <w:t xml:space="preserve">Do states support replacing imputed work experience and imputed work experience squared with 5-year </w:t>
                            </w:r>
                            <w:r w:rsidR="00D938A4" w:rsidRPr="00DF3A21">
                              <w:t xml:space="preserve">age </w:t>
                            </w:r>
                            <w:r w:rsidR="00530031" w:rsidRPr="00DF3A21">
                              <w:t>groups</w:t>
                            </w:r>
                            <w:r w:rsidRPr="00DF3A21">
                              <w:t>?</w:t>
                            </w:r>
                          </w:p>
                          <w:p w14:paraId="6BE83218" w14:textId="2FE25AEC" w:rsidR="00B800F5" w:rsidRPr="00B800F5" w:rsidRDefault="00B800F5" w:rsidP="00B800F5">
                            <w:pPr>
                              <w:pStyle w:val="CGC2025QuestionNumbers"/>
                            </w:pPr>
                            <w:r w:rsidRPr="00DF3A21">
                              <w:t>Do states agree with the Commission’s</w:t>
                            </w:r>
                            <w:r w:rsidRPr="00B800F5">
                              <w:t xml:space="preserve"> proposed</w:t>
                            </w:r>
                            <w:r w:rsidR="00171287">
                              <w:t xml:space="preserve"> criteria for including control variables in the model</w:t>
                            </w:r>
                            <w:r w:rsidRPr="00B800F5">
                              <w:t>?</w:t>
                            </w:r>
                          </w:p>
                          <w:p w14:paraId="55AEA541" w14:textId="257EC737" w:rsidR="00E5244D" w:rsidRPr="00B800F5" w:rsidRDefault="00B800F5" w:rsidP="00B800F5">
                            <w:pPr>
                              <w:pStyle w:val="CGC2025QuestionNumbers"/>
                            </w:pPr>
                            <w:r w:rsidRPr="00B800F5">
                              <w:t xml:space="preserve">Do states support </w:t>
                            </w:r>
                            <w:r w:rsidR="00F03858">
                              <w:t xml:space="preserve">using a less </w:t>
                            </w:r>
                            <w:r w:rsidR="007C21FB">
                              <w:t xml:space="preserve">complex </w:t>
                            </w:r>
                            <w:r w:rsidRPr="00B800F5">
                              <w:t xml:space="preserve">model </w:t>
                            </w:r>
                            <w:r w:rsidR="0057761F">
                              <w:t xml:space="preserve">by replacing industry group categories with industry division categories and removing the interaction terms </w:t>
                            </w:r>
                            <w:r w:rsidR="00D26215">
                              <w:t>with gender and every other independent variable</w:t>
                            </w:r>
                            <w:r w:rsidRPr="00B800F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B6BFAE" id="Rectangle 5" o:spid="_x0000_s1030" alt="&quot;&quot;" style="width:447.95pt;height: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" fillcolor="#ebf3f5" stroked="f" strokeweight="2pt">
                <v:textbox>
                  <w:txbxContent>
                    <w:p w14:paraId="6EE1EA58" w14:textId="77777777" w:rsidR="00B800F5" w:rsidRPr="00DF3A21" w:rsidRDefault="00B800F5" w:rsidP="000F0269">
                      <w:pPr>
                        <w:pStyle w:val="CGC2025QuestionNumbers"/>
                      </w:pPr>
                      <w:r w:rsidRPr="00B800F5">
                        <w:t xml:space="preserve">Do states agree the Commission should use hourly wages rather than weekly wages as the </w:t>
                      </w:r>
                      <w:r w:rsidRPr="00DF3A21">
                        <w:t>dependent variable?</w:t>
                      </w:r>
                    </w:p>
                    <w:p w14:paraId="4C3916EB" w14:textId="5DBF4361" w:rsidR="00171287" w:rsidRPr="00DF3A21" w:rsidRDefault="00171287" w:rsidP="00B800F5">
                      <w:pPr>
                        <w:pStyle w:val="CGC2025QuestionNumbers"/>
                      </w:pPr>
                      <w:r w:rsidRPr="00DF3A21">
                        <w:t xml:space="preserve">Do states support including usual hours of work in the model as </w:t>
                      </w:r>
                      <w:r w:rsidR="00447D18">
                        <w:t>3</w:t>
                      </w:r>
                      <w:r w:rsidRPr="00DF3A21">
                        <w:t xml:space="preserve"> categories, part-time, full-time and more than full-time</w:t>
                      </w:r>
                      <w:r w:rsidR="000D7072">
                        <w:t xml:space="preserve"> hours</w:t>
                      </w:r>
                      <w:r w:rsidRPr="00DF3A21">
                        <w:t>?</w:t>
                      </w:r>
                    </w:p>
                    <w:p w14:paraId="24976793" w14:textId="0A107714" w:rsidR="00171287" w:rsidRPr="00DF3A21" w:rsidRDefault="00171287" w:rsidP="008F0B89">
                      <w:pPr>
                        <w:pStyle w:val="CGC2025QuestionNumbers"/>
                      </w:pPr>
                      <w:r w:rsidRPr="00DF3A21">
                        <w:t xml:space="preserve">Do states support replacing imputed work experience and imputed work experience squared with 5-year </w:t>
                      </w:r>
                      <w:r w:rsidR="00D938A4" w:rsidRPr="00DF3A21">
                        <w:t xml:space="preserve">age </w:t>
                      </w:r>
                      <w:r w:rsidR="00530031" w:rsidRPr="00DF3A21">
                        <w:t>groups</w:t>
                      </w:r>
                      <w:r w:rsidRPr="00DF3A21">
                        <w:t>?</w:t>
                      </w:r>
                    </w:p>
                    <w:p w14:paraId="6BE83218" w14:textId="2FE25AEC" w:rsidR="00B800F5" w:rsidRPr="00B800F5" w:rsidRDefault="00B800F5" w:rsidP="00B800F5">
                      <w:pPr>
                        <w:pStyle w:val="CGC2025QuestionNumbers"/>
                      </w:pPr>
                      <w:r w:rsidRPr="00DF3A21">
                        <w:t>Do states agree with the Commission’s</w:t>
                      </w:r>
                      <w:r w:rsidRPr="00B800F5">
                        <w:t xml:space="preserve"> proposed</w:t>
                      </w:r>
                      <w:r w:rsidR="00171287">
                        <w:t xml:space="preserve"> criteria for including control variables in the model</w:t>
                      </w:r>
                      <w:r w:rsidRPr="00B800F5">
                        <w:t>?</w:t>
                      </w:r>
                    </w:p>
                    <w:p w14:paraId="55AEA541" w14:textId="257EC737" w:rsidR="00E5244D" w:rsidRPr="00B800F5" w:rsidRDefault="00B800F5" w:rsidP="00B800F5">
                      <w:pPr>
                        <w:pStyle w:val="CGC2025QuestionNumbers"/>
                      </w:pPr>
                      <w:r w:rsidRPr="00B800F5">
                        <w:t xml:space="preserve">Do states support </w:t>
                      </w:r>
                      <w:r w:rsidR="00F03858">
                        <w:t xml:space="preserve">using a less </w:t>
                      </w:r>
                      <w:r w:rsidR="007C21FB">
                        <w:t xml:space="preserve">complex </w:t>
                      </w:r>
                      <w:r w:rsidRPr="00B800F5">
                        <w:t xml:space="preserve">model </w:t>
                      </w:r>
                      <w:r w:rsidR="0057761F">
                        <w:t xml:space="preserve">by replacing industry group categories with industry division categories and removing the interaction terms </w:t>
                      </w:r>
                      <w:r w:rsidR="00D26215">
                        <w:t>with gender and every other independent variable</w:t>
                      </w:r>
                      <w:r w:rsidRPr="00B800F5">
                        <w:t>?</w:t>
                      </w:r>
                    </w:p>
                  </w:txbxContent>
                </v:textbox>
                <w10:anchorlock/>
              </v:rect>
            </w:pict>
          </mc:Fallback>
        </mc:AlternateContent>
      </w:r>
      <w:bookmarkStart w:id="16" w:name="_Toc135750672"/>
      <w:bookmarkStart w:id="17" w:name="_Toc135750674"/>
    </w:p>
    <w:p w14:paraId="1D55A2C2" w14:textId="201617B1" w:rsidR="00601748" w:rsidRPr="006B052C" w:rsidRDefault="00CD088E" w:rsidP="004E2862">
      <w:pPr>
        <w:pStyle w:val="Heading3"/>
      </w:pPr>
      <w:bookmarkStart w:id="18" w:name="_Toc144816286"/>
      <w:r>
        <w:t xml:space="preserve">Recommendation 11: </w:t>
      </w:r>
      <w:r w:rsidR="00601748">
        <w:t xml:space="preserve">Improving accuracy and </w:t>
      </w:r>
      <w:bookmarkEnd w:id="16"/>
      <w:r w:rsidR="00601748">
        <w:t>reducing volatility</w:t>
      </w:r>
      <w:bookmarkEnd w:id="18"/>
      <w:r w:rsidR="00601748">
        <w:t xml:space="preserve"> </w:t>
      </w:r>
    </w:p>
    <w:p w14:paraId="79519B27" w14:textId="574679D2" w:rsidR="00601748" w:rsidRPr="000C18B9" w:rsidRDefault="00172DE5" w:rsidP="00F9212C">
      <w:pPr>
        <w:pStyle w:val="CGC2025ParaNumbers"/>
      </w:pPr>
      <w:r>
        <w:rPr>
          <w:noProof/>
        </w:rPr>
        <w:t>P</w:t>
      </w:r>
      <w:r w:rsidR="00DB7910">
        <w:rPr>
          <w:noProof/>
        </w:rPr>
        <w:t xml:space="preserve">rofessor Preston </w:t>
      </w:r>
      <w:r w:rsidR="00BD1385">
        <w:rPr>
          <w:noProof/>
        </w:rPr>
        <w:t>recommends, t</w:t>
      </w:r>
      <w:r w:rsidR="00601748" w:rsidRPr="00BA658F">
        <w:rPr>
          <w:noProof/>
        </w:rPr>
        <w:t>o reduce the volatility of the geographic wage relativities</w:t>
      </w:r>
      <w:r w:rsidR="00BD1385">
        <w:rPr>
          <w:noProof/>
        </w:rPr>
        <w:t>,</w:t>
      </w:r>
      <w:r w:rsidR="00601748" w:rsidRPr="00BA658F">
        <w:rPr>
          <w:noProof/>
        </w:rPr>
        <w:t xml:space="preserve"> </w:t>
      </w:r>
      <w:r w:rsidR="00941974">
        <w:rPr>
          <w:noProof/>
        </w:rPr>
        <w:t xml:space="preserve">that </w:t>
      </w:r>
      <w:r w:rsidR="00601748" w:rsidRPr="00BA658F">
        <w:rPr>
          <w:noProof/>
        </w:rPr>
        <w:t xml:space="preserve">the Commission consider alternative approaches </w:t>
      </w:r>
      <w:r w:rsidR="00EC2D3F">
        <w:rPr>
          <w:noProof/>
        </w:rPr>
        <w:t>to that contained in the original consultation paper</w:t>
      </w:r>
      <w:r w:rsidR="0037762C">
        <w:rPr>
          <w:noProof/>
        </w:rPr>
        <w:t xml:space="preserve">, </w:t>
      </w:r>
      <w:r w:rsidR="00601748" w:rsidRPr="00BA658F">
        <w:rPr>
          <w:noProof/>
        </w:rPr>
        <w:t xml:space="preserve">such as pooling data over a moving </w:t>
      </w:r>
      <w:r w:rsidR="00A8355A">
        <w:rPr>
          <w:noProof/>
        </w:rPr>
        <w:t>3</w:t>
      </w:r>
      <w:r w:rsidR="00601748" w:rsidRPr="00BA658F">
        <w:rPr>
          <w:noProof/>
        </w:rPr>
        <w:t>-year period when estimating the geographic wage structure.</w:t>
      </w:r>
    </w:p>
    <w:p w14:paraId="762E1A75" w14:textId="1A8E8DBA" w:rsidR="00221D16" w:rsidRDefault="00601748" w:rsidP="00274318">
      <w:pPr>
        <w:pStyle w:val="CGC2025ParaNumbers"/>
      </w:pPr>
      <w:r>
        <w:lastRenderedPageBreak/>
        <w:t xml:space="preserve">Professor Preston </w:t>
      </w:r>
      <w:r w:rsidR="00F1205C">
        <w:t>acknowledges</w:t>
      </w:r>
      <w:r>
        <w:t xml:space="preserve"> that the proposed</w:t>
      </w:r>
      <w:r w:rsidR="00E417E4">
        <w:t xml:space="preserve"> approach</w:t>
      </w:r>
      <w:r w:rsidR="00EB74D0">
        <w:t xml:space="preserve"> </w:t>
      </w:r>
      <w:r w:rsidR="00017A5E">
        <w:t>in the or</w:t>
      </w:r>
      <w:r w:rsidR="00EB74D0">
        <w:t>igina</w:t>
      </w:r>
      <w:r w:rsidR="00115F98">
        <w:t xml:space="preserve">l consultation </w:t>
      </w:r>
      <w:r w:rsidR="00575BA6">
        <w:t xml:space="preserve">paper </w:t>
      </w:r>
      <w:r w:rsidR="00BA1289">
        <w:t xml:space="preserve">to reduce </w:t>
      </w:r>
      <w:r w:rsidR="00410C53">
        <w:t xml:space="preserve">volatility by using indexed </w:t>
      </w:r>
      <w:r w:rsidR="007F7E3B">
        <w:t>and weighted annual data since 2016</w:t>
      </w:r>
      <w:r w:rsidR="00E11BD2">
        <w:t>–</w:t>
      </w:r>
      <w:r w:rsidR="007F7E3B">
        <w:t>17</w:t>
      </w:r>
      <w:r w:rsidR="00CA5411">
        <w:t>,</w:t>
      </w:r>
      <w:r>
        <w:t xml:space="preserve"> is sound but complex. </w:t>
      </w:r>
      <w:r w:rsidR="006A1F13">
        <w:t xml:space="preserve">An alternative, simpler approach </w:t>
      </w:r>
      <w:r>
        <w:t>recommend</w:t>
      </w:r>
      <w:r w:rsidR="006A1F13">
        <w:t xml:space="preserve">ed </w:t>
      </w:r>
      <w:r>
        <w:t xml:space="preserve">by Professor Preston </w:t>
      </w:r>
      <w:r w:rsidR="00AD566A">
        <w:t xml:space="preserve">is </w:t>
      </w:r>
      <w:r>
        <w:t xml:space="preserve">to use pooled data </w:t>
      </w:r>
      <w:r w:rsidR="00AA2ED3">
        <w:t xml:space="preserve">over </w:t>
      </w:r>
      <w:r w:rsidR="0015551D">
        <w:t xml:space="preserve">a moving 3-year </w:t>
      </w:r>
      <w:r w:rsidR="00DA7F2E">
        <w:t xml:space="preserve">period. </w:t>
      </w:r>
      <w:r w:rsidR="0057729A" w:rsidRPr="0057729A">
        <w:t xml:space="preserve"> </w:t>
      </w:r>
    </w:p>
    <w:p w14:paraId="517918D4" w14:textId="66F80720" w:rsidR="00FA2496" w:rsidRPr="00FA2496" w:rsidRDefault="00FA2496" w:rsidP="00FA2496">
      <w:pPr>
        <w:pStyle w:val="CGC2025ParaNumbers"/>
      </w:pPr>
      <w:r w:rsidRPr="00FA2496">
        <w:t xml:space="preserve">By using data from more than </w:t>
      </w:r>
      <w:r w:rsidR="003F1B5C">
        <w:t>3</w:t>
      </w:r>
      <w:r w:rsidRPr="00FA2496">
        <w:t xml:space="preserve"> years, the Commission’s proposed approach further increases the effective sample </w:t>
      </w:r>
      <w:r w:rsidR="00F5148A">
        <w:t xml:space="preserve">size </w:t>
      </w:r>
      <w:r w:rsidRPr="00FA2496">
        <w:t xml:space="preserve">and therefore reduces the sampling variability. Contemporaneity </w:t>
      </w:r>
      <w:r w:rsidR="00E464F2">
        <w:t xml:space="preserve">would be </w:t>
      </w:r>
      <w:r w:rsidRPr="00FA2496">
        <w:t xml:space="preserve">preserved by indexing older estimates with the wage price index and discounting less contemporary data. </w:t>
      </w:r>
    </w:p>
    <w:p w14:paraId="3844205D" w14:textId="2F2F59F2" w:rsidR="00601748" w:rsidRDefault="00601748" w:rsidP="00601748">
      <w:pPr>
        <w:pStyle w:val="CGC2025ParaNumbers"/>
      </w:pPr>
      <w:r>
        <w:t xml:space="preserve">Between </w:t>
      </w:r>
      <w:r w:rsidR="00FB40F7">
        <w:t>2019</w:t>
      </w:r>
      <w:r w:rsidR="002B7C1A">
        <w:t>–</w:t>
      </w:r>
      <w:r w:rsidR="00FB40F7">
        <w:t>20</w:t>
      </w:r>
      <w:r>
        <w:t xml:space="preserve"> and 2021</w:t>
      </w:r>
      <w:r w:rsidR="002B7C1A">
        <w:t>–</w:t>
      </w:r>
      <w:r>
        <w:t xml:space="preserve">22, the average absolute annual movement in state relative wages using the Commission’s </w:t>
      </w:r>
      <w:r w:rsidR="00FE6661">
        <w:t xml:space="preserve">initial </w:t>
      </w:r>
      <w:r>
        <w:t xml:space="preserve">proposed approach was </w:t>
      </w:r>
      <w:r w:rsidR="003B4621">
        <w:t>0.3</w:t>
      </w:r>
      <w:r>
        <w:t>%</w:t>
      </w:r>
      <w:r w:rsidR="00E412DC">
        <w:t>.</w:t>
      </w:r>
      <w:r>
        <w:t xml:space="preserve"> </w:t>
      </w:r>
      <w:r w:rsidR="00E412DC">
        <w:t>U</w:t>
      </w:r>
      <w:r>
        <w:t xml:space="preserve">sing Professor Preston’s approach it was </w:t>
      </w:r>
      <w:r w:rsidR="003B4621">
        <w:t>0.6</w:t>
      </w:r>
      <w:r>
        <w:t xml:space="preserve">%. </w:t>
      </w:r>
      <w:r w:rsidR="00D25599">
        <w:t>T</w:t>
      </w:r>
      <w:r>
        <w:t xml:space="preserve">his difference primarily reflects </w:t>
      </w:r>
      <w:r w:rsidR="008F6D90">
        <w:t>a</w:t>
      </w:r>
      <w:r>
        <w:t xml:space="preserve"> higher </w:t>
      </w:r>
      <w:r w:rsidR="00D25599">
        <w:t>sensitivity to the survey sample</w:t>
      </w:r>
      <w:r>
        <w:t xml:space="preserve"> </w:t>
      </w:r>
      <w:r w:rsidR="006E2669">
        <w:t>when using</w:t>
      </w:r>
      <w:r>
        <w:t xml:space="preserve"> </w:t>
      </w:r>
      <w:r w:rsidR="00D72408">
        <w:t>the pooled sample approach</w:t>
      </w:r>
      <w:r>
        <w:t xml:space="preserve">. </w:t>
      </w:r>
    </w:p>
    <w:p w14:paraId="7F6E359C" w14:textId="561D899E" w:rsidR="00407E27" w:rsidRDefault="00DF7BB0" w:rsidP="00601748">
      <w:pPr>
        <w:pStyle w:val="CGC2025ParaNumbers"/>
      </w:pPr>
      <w:r>
        <w:t xml:space="preserve">The </w:t>
      </w:r>
      <w:r w:rsidR="00610191">
        <w:t>estimates for</w:t>
      </w:r>
      <w:r w:rsidR="009E177E">
        <w:t xml:space="preserve"> each of the</w:t>
      </w:r>
      <w:r w:rsidR="00610191">
        <w:t xml:space="preserve"> </w:t>
      </w:r>
      <w:r w:rsidR="005828A3">
        <w:t>3</w:t>
      </w:r>
      <w:r w:rsidR="00610191">
        <w:t xml:space="preserve"> assessment years for the 2023 Update </w:t>
      </w:r>
      <w:r w:rsidR="009E177E">
        <w:t xml:space="preserve">using </w:t>
      </w:r>
      <w:r w:rsidR="000B11A0">
        <w:t xml:space="preserve">the </w:t>
      </w:r>
      <w:r w:rsidR="005828A3">
        <w:t>2</w:t>
      </w:r>
      <w:r w:rsidR="003F1B5C">
        <w:t> </w:t>
      </w:r>
      <w:r w:rsidR="00610191">
        <w:t>method</w:t>
      </w:r>
      <w:r w:rsidR="000B11A0">
        <w:t>s</w:t>
      </w:r>
      <w:r w:rsidR="00610191">
        <w:t xml:space="preserve"> of combining data can be seen in </w:t>
      </w:r>
      <w:r w:rsidR="002A2689">
        <w:fldChar w:fldCharType="begin"/>
      </w:r>
      <w:r w:rsidR="002A2689">
        <w:instrText xml:space="preserve"> REF _Ref144201674 \h </w:instrText>
      </w:r>
      <w:r w:rsidR="002A2689">
        <w:fldChar w:fldCharType="separate"/>
      </w:r>
      <w:r w:rsidR="00064890">
        <w:t xml:space="preserve">Figure </w:t>
      </w:r>
      <w:r w:rsidR="00064890">
        <w:rPr>
          <w:noProof/>
        </w:rPr>
        <w:t>2</w:t>
      </w:r>
      <w:r w:rsidR="002A2689">
        <w:fldChar w:fldCharType="end"/>
      </w:r>
      <w:r w:rsidR="002A2689">
        <w:t xml:space="preserve"> and </w:t>
      </w:r>
      <w:r w:rsidR="002A2689">
        <w:fldChar w:fldCharType="begin"/>
      </w:r>
      <w:r w:rsidR="002A2689">
        <w:instrText xml:space="preserve"> REF _Ref144201688 \h </w:instrText>
      </w:r>
      <w:r w:rsidR="002A2689">
        <w:fldChar w:fldCharType="separate"/>
      </w:r>
      <w:r w:rsidR="00064890">
        <w:t xml:space="preserve">Figure </w:t>
      </w:r>
      <w:r w:rsidR="00064890">
        <w:rPr>
          <w:noProof/>
        </w:rPr>
        <w:t>3</w:t>
      </w:r>
      <w:r w:rsidR="002A2689">
        <w:fldChar w:fldCharType="end"/>
      </w:r>
      <w:r w:rsidR="002A2689">
        <w:t xml:space="preserve"> below.</w:t>
      </w:r>
    </w:p>
    <w:p w14:paraId="57BB56F2" w14:textId="664B8CDF" w:rsidR="007B2219" w:rsidRDefault="00610191" w:rsidP="007B2219">
      <w:pPr>
        <w:pStyle w:val="CGC2025Caption"/>
        <w:keepLines/>
        <w:ind w:left="1134" w:hanging="1134"/>
      </w:pPr>
      <w:bookmarkStart w:id="19" w:name="_Ref144201674"/>
      <w:r>
        <w:t xml:space="preserve">Figure </w:t>
      </w:r>
      <w:fldSimple w:instr=" SEQ Figure \* ARABIC ">
        <w:r w:rsidR="00BB5F91">
          <w:rPr>
            <w:noProof/>
          </w:rPr>
          <w:t>2</w:t>
        </w:r>
      </w:fldSimple>
      <w:bookmarkEnd w:id="19"/>
      <w:r>
        <w:tab/>
      </w:r>
      <w:r w:rsidR="004E78A5">
        <w:t xml:space="preserve">Estimates of relative state wage levels </w:t>
      </w:r>
      <w:r w:rsidR="004302F2">
        <w:t xml:space="preserve">combining </w:t>
      </w:r>
      <w:r w:rsidR="00084D76">
        <w:t xml:space="preserve">indexed </w:t>
      </w:r>
      <w:r w:rsidR="004302F2">
        <w:t>annual estimates, 2019</w:t>
      </w:r>
      <w:r w:rsidR="004302F2">
        <w:softHyphen/>
      </w:r>
      <w:r w:rsidR="000B13A4">
        <w:t>–</w:t>
      </w:r>
      <w:r w:rsidR="004302F2">
        <w:t>20 to 20</w:t>
      </w:r>
      <w:r w:rsidR="008E0C5E">
        <w:t>21</w:t>
      </w:r>
      <w:r w:rsidR="008E0C5E">
        <w:softHyphen/>
      </w:r>
      <w:r w:rsidR="000B13A4">
        <w:t>–</w:t>
      </w:r>
      <w:r w:rsidR="008E0C5E">
        <w:t>22</w:t>
      </w:r>
    </w:p>
    <w:p w14:paraId="4396B6B0" w14:textId="6BB69D3E" w:rsidR="008E0C5E" w:rsidRDefault="00447C57" w:rsidP="007B2219">
      <w:pPr>
        <w:pStyle w:val="CGC2025Caption"/>
        <w:keepLines/>
        <w:ind w:left="1134" w:hanging="1134"/>
      </w:pPr>
      <w:r w:rsidRPr="00447C57">
        <w:rPr>
          <w:noProof/>
        </w:rPr>
        <w:drawing>
          <wp:inline distT="0" distB="0" distL="0" distR="0" wp14:anchorId="24B2909E" wp14:editId="04B24D31">
            <wp:extent cx="5657850" cy="245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2457450"/>
                    </a:xfrm>
                    <a:prstGeom prst="rect">
                      <a:avLst/>
                    </a:prstGeom>
                    <a:noFill/>
                    <a:ln>
                      <a:noFill/>
                    </a:ln>
                  </pic:spPr>
                </pic:pic>
              </a:graphicData>
            </a:graphic>
          </wp:inline>
        </w:drawing>
      </w:r>
    </w:p>
    <w:p w14:paraId="68F16D4D" w14:textId="18423AF6" w:rsidR="001B4D67" w:rsidRDefault="001B4D67" w:rsidP="003F1B5C">
      <w:pPr>
        <w:pStyle w:val="CGC2025TableNote"/>
        <w:ind w:left="709" w:hanging="596"/>
      </w:pPr>
      <w:r>
        <w:t>Notes:</w:t>
      </w:r>
      <w:r>
        <w:tab/>
      </w:r>
      <w:r>
        <w:tab/>
        <w:t>Annual estimates were generated using the proposed model in Table 1, with individuals working fewer than 5 or more than 60 hours per week omitted from the sample.</w:t>
      </w:r>
    </w:p>
    <w:p w14:paraId="6D8BB486" w14:textId="6A4D08E5" w:rsidR="005A1123" w:rsidRDefault="005A1123" w:rsidP="009A4569">
      <w:pPr>
        <w:pStyle w:val="CGC2025TableNote"/>
        <w:keepLines/>
      </w:pPr>
      <w:r>
        <w:t>Source: Commission calculation</w:t>
      </w:r>
      <w:r w:rsidR="001D167C">
        <w:t>.</w:t>
      </w:r>
    </w:p>
    <w:p w14:paraId="7AECE7D8" w14:textId="2108864C" w:rsidR="005A1123" w:rsidRDefault="005E2709" w:rsidP="003F1B5C">
      <w:pPr>
        <w:pStyle w:val="CGC2025Caption"/>
        <w:keepNext/>
        <w:keepLines/>
        <w:ind w:left="1134" w:hanging="992"/>
      </w:pPr>
      <w:bookmarkStart w:id="20" w:name="_Ref144201688"/>
      <w:r>
        <w:lastRenderedPageBreak/>
        <w:t xml:space="preserve">Figure </w:t>
      </w:r>
      <w:fldSimple w:instr=" SEQ Figure \* ARABIC ">
        <w:r w:rsidR="00BB5F91">
          <w:rPr>
            <w:noProof/>
          </w:rPr>
          <w:t>3</w:t>
        </w:r>
      </w:fldSimple>
      <w:bookmarkEnd w:id="20"/>
      <w:r w:rsidR="005A1123">
        <w:tab/>
        <w:t>Estimates of relative state wage levels using 3</w:t>
      </w:r>
      <w:r w:rsidR="002B4164">
        <w:t>-</w:t>
      </w:r>
      <w:r w:rsidR="005A1123">
        <w:t>year pooled samples, 2019</w:t>
      </w:r>
      <w:r w:rsidR="005A1123">
        <w:softHyphen/>
      </w:r>
      <w:r w:rsidR="00B879DD">
        <w:t>–</w:t>
      </w:r>
      <w:r w:rsidR="005A1123">
        <w:t>20 to 2021</w:t>
      </w:r>
      <w:r w:rsidR="005A1123">
        <w:softHyphen/>
      </w:r>
      <w:r w:rsidR="00B879DD">
        <w:t>–</w:t>
      </w:r>
      <w:r w:rsidR="005A1123">
        <w:t>22</w:t>
      </w:r>
    </w:p>
    <w:p w14:paraId="294E00EB" w14:textId="29255843" w:rsidR="00D3517E" w:rsidRDefault="00525261" w:rsidP="00A25297">
      <w:pPr>
        <w:pStyle w:val="CGCTablenote"/>
        <w:keepNext/>
        <w:keepLines/>
      </w:pPr>
      <w:r w:rsidRPr="00525261">
        <w:rPr>
          <w:noProof/>
        </w:rPr>
        <w:drawing>
          <wp:inline distT="0" distB="0" distL="0" distR="0" wp14:anchorId="3E2A5900" wp14:editId="20B3B4A1">
            <wp:extent cx="5657850" cy="245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2457450"/>
                    </a:xfrm>
                    <a:prstGeom prst="rect">
                      <a:avLst/>
                    </a:prstGeom>
                    <a:noFill/>
                    <a:ln>
                      <a:noFill/>
                    </a:ln>
                  </pic:spPr>
                </pic:pic>
              </a:graphicData>
            </a:graphic>
          </wp:inline>
        </w:drawing>
      </w:r>
    </w:p>
    <w:p w14:paraId="2B764E3E" w14:textId="500CDA73" w:rsidR="006E4371" w:rsidRDefault="006E4371" w:rsidP="003F1B5C">
      <w:pPr>
        <w:pStyle w:val="CGC2025TableNote"/>
        <w:ind w:left="709" w:hanging="596"/>
      </w:pPr>
      <w:r>
        <w:t>Notes:</w:t>
      </w:r>
      <w:r>
        <w:tab/>
      </w:r>
      <w:r>
        <w:tab/>
      </w:r>
      <w:r w:rsidR="002407BB">
        <w:t>Thes</w:t>
      </w:r>
      <w:r w:rsidR="001B4D67">
        <w:t>e</w:t>
      </w:r>
      <w:r w:rsidR="002407BB">
        <w:t xml:space="preserve"> estimates were generated using the proposed model in Table 1, with </w:t>
      </w:r>
      <w:r w:rsidR="00252519">
        <w:t>individuals working fewer than 5 or more than 60 hours per week omitted from the sample.</w:t>
      </w:r>
    </w:p>
    <w:p w14:paraId="6D874459" w14:textId="207D8EA8" w:rsidR="005A1123" w:rsidRDefault="005A1123" w:rsidP="00A25297">
      <w:pPr>
        <w:pStyle w:val="CGC2025TableNote"/>
      </w:pPr>
      <w:r>
        <w:t>Source:</w:t>
      </w:r>
      <w:r w:rsidR="006E4371">
        <w:tab/>
      </w:r>
      <w:r>
        <w:t>Commission calculation</w:t>
      </w:r>
      <w:r w:rsidR="001D167C">
        <w:t>.</w:t>
      </w:r>
    </w:p>
    <w:p w14:paraId="503B6474" w14:textId="5C509B49" w:rsidR="00F33DE5" w:rsidRDefault="006D5A5E">
      <w:pPr>
        <w:pStyle w:val="CGC2025ParaNumbers"/>
      </w:pPr>
      <w:r>
        <w:t>The Commission proposes to use the full time series of available survey estimates of relative state wage costs, beginning from 2016–17, to estimate relative wage costs in each assessment year, and to revise assessment year data as more data become available. These estimates would be generated by indexing and weighting the estimates from each contributing year. T</w:t>
      </w:r>
      <w:r w:rsidR="00F53952">
        <w:t>he Commission remains of the view that the increase in complexity is warranted by the decrease in volatility and reduced risk of bias.</w:t>
      </w:r>
    </w:p>
    <w:p w14:paraId="289A6BCD" w14:textId="77777777" w:rsidR="00601748" w:rsidRDefault="00601748" w:rsidP="00601748">
      <w:pPr>
        <w:pStyle w:val="Heading4"/>
      </w:pPr>
      <w:r>
        <w:t>Consultation question</w:t>
      </w:r>
    </w:p>
    <w:p w14:paraId="47264D0C" w14:textId="77777777" w:rsidR="00601748" w:rsidRPr="003E458E" w:rsidRDefault="00601748" w:rsidP="00601748">
      <w:r w:rsidRPr="001C4DF3">
        <w:rPr>
          <w:noProof/>
        </w:rPr>
        <mc:AlternateContent>
          <mc:Choice Requires="wps">
            <w:drawing>
              <wp:inline distT="0" distB="0" distL="0" distR="0" wp14:anchorId="23669A55" wp14:editId="4F752F1E">
                <wp:extent cx="5648325" cy="600075"/>
                <wp:effectExtent l="0" t="0" r="9525" b="9525"/>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600075"/>
                        </a:xfrm>
                        <a:prstGeom prst="rect">
                          <a:avLst/>
                        </a:prstGeom>
                        <a:solidFill>
                          <a:srgbClr val="EBF3F5"/>
                        </a:solidFill>
                        <a:ln w="25400" cap="flat" cmpd="sng" algn="ctr">
                          <a:noFill/>
                          <a:prstDash val="solid"/>
                        </a:ln>
                        <a:effectLst/>
                      </wps:spPr>
                      <wps:txbx>
                        <w:txbxContent>
                          <w:p w14:paraId="2723A3F5" w14:textId="77777777" w:rsidR="00601748" w:rsidRPr="003E458E" w:rsidRDefault="00601748" w:rsidP="005E2AB7">
                            <w:pPr>
                              <w:pStyle w:val="CGC2025QuestionNumbers"/>
                            </w:pPr>
                            <w:r w:rsidRPr="00B800F5">
                              <w:t>Do states agree with the proposed approach to combine estimates of relative differences in states’ wages across years</w:t>
                            </w:r>
                            <w:r w:rsidRPr="003E458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669A55" id="Rectangle 6" o:spid="_x0000_s1031" alt="&quot;&quot;" style="width:444.75pt;height:4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" fillcolor="#ebf3f5" stroked="f" strokeweight="2pt">
                <v:textbox>
                  <w:txbxContent>
                    <w:p w14:paraId="2723A3F5" w14:textId="77777777" w:rsidR="00601748" w:rsidRPr="003E458E" w:rsidRDefault="00601748" w:rsidP="005E2AB7">
                      <w:pPr>
                        <w:pStyle w:val="CGC2025QuestionNumbers"/>
                      </w:pPr>
                      <w:r w:rsidRPr="00B800F5">
                        <w:t>Do states agree with the proposed approach to combine estimates of relative differences in states’ wages across years</w:t>
                      </w:r>
                      <w:r w:rsidRPr="003E458E">
                        <w:t>?</w:t>
                      </w:r>
                    </w:p>
                  </w:txbxContent>
                </v:textbox>
                <w10:anchorlock/>
              </v:rect>
            </w:pict>
          </mc:Fallback>
        </mc:AlternateContent>
      </w:r>
    </w:p>
    <w:p w14:paraId="732860A3" w14:textId="263942FF" w:rsidR="003E458E" w:rsidRDefault="003E458E" w:rsidP="003E458E">
      <w:pPr>
        <w:pStyle w:val="Heading3"/>
      </w:pPr>
      <w:bookmarkStart w:id="21" w:name="_Toc144816287"/>
      <w:r>
        <w:t>Discounting of the wage</w:t>
      </w:r>
      <w:r w:rsidR="00BC0C95">
        <w:t xml:space="preserve"> cost</w:t>
      </w:r>
      <w:r>
        <w:t>s assessment</w:t>
      </w:r>
      <w:bookmarkEnd w:id="17"/>
      <w:bookmarkEnd w:id="21"/>
    </w:p>
    <w:p w14:paraId="64E3A799" w14:textId="23DDC0EF" w:rsidR="003E458E" w:rsidRDefault="00FE1670" w:rsidP="003E458E">
      <w:pPr>
        <w:pStyle w:val="CGC2025ParaNumbers"/>
      </w:pPr>
      <w:r>
        <w:t xml:space="preserve">Professor Preston’s report did not raise any issues </w:t>
      </w:r>
      <w:r w:rsidR="006E5F22">
        <w:t>that</w:t>
      </w:r>
      <w:r>
        <w:t xml:space="preserve"> suggest the 12.5% discount should be changed. </w:t>
      </w:r>
      <w:r w:rsidR="003E458E">
        <w:t>The Commission’s preliminary view</w:t>
      </w:r>
      <w:r w:rsidR="004D2115">
        <w:t xml:space="preserve"> </w:t>
      </w:r>
      <w:r w:rsidR="00926E12">
        <w:t xml:space="preserve">regarding </w:t>
      </w:r>
      <w:r w:rsidR="003E458E">
        <w:t xml:space="preserve">proposed </w:t>
      </w:r>
      <w:r w:rsidR="0034030F">
        <w:t xml:space="preserve">changes </w:t>
      </w:r>
      <w:r w:rsidR="001542DD">
        <w:t xml:space="preserve">to </w:t>
      </w:r>
      <w:r w:rsidR="00CE4B23">
        <w:t xml:space="preserve">the wage costs assessment should </w:t>
      </w:r>
      <w:r w:rsidR="003E458E">
        <w:t>improve reliability and reduce volatility</w:t>
      </w:r>
      <w:r w:rsidR="0057206F">
        <w:t xml:space="preserve">. </w:t>
      </w:r>
      <w:r w:rsidR="00040915">
        <w:t xml:space="preserve">However, </w:t>
      </w:r>
      <w:r w:rsidR="00CD03B2">
        <w:t>there remains a low level of uncertainty</w:t>
      </w:r>
      <w:r w:rsidR="0013777B">
        <w:t xml:space="preserve"> from</w:t>
      </w:r>
      <w:r w:rsidR="007D5BD4">
        <w:t xml:space="preserve"> </w:t>
      </w:r>
      <w:r w:rsidR="00A03FE0">
        <w:t>using</w:t>
      </w:r>
      <w:r w:rsidR="003E458E">
        <w:t xml:space="preserve"> private sector wages as a proxy for public sector wage costs</w:t>
      </w:r>
      <w:r w:rsidR="009D7B09">
        <w:t xml:space="preserve"> and other elements of the </w:t>
      </w:r>
      <w:r w:rsidR="00121140">
        <w:t>assessment</w:t>
      </w:r>
      <w:r w:rsidR="00FF1637">
        <w:t>,</w:t>
      </w:r>
      <w:r w:rsidR="009D7B09">
        <w:t xml:space="preserve"> </w:t>
      </w:r>
      <w:r w:rsidR="000A40EF">
        <w:t xml:space="preserve">such </w:t>
      </w:r>
      <w:r w:rsidR="002574B8">
        <w:t>that</w:t>
      </w:r>
      <w:r w:rsidR="00121140">
        <w:t xml:space="preserve"> </w:t>
      </w:r>
      <w:r w:rsidR="003E458E">
        <w:t>the low-level discount of 12.5% remains appropriate.</w:t>
      </w:r>
      <w:r w:rsidR="00F26BBB">
        <w:t xml:space="preserve"> </w:t>
      </w:r>
    </w:p>
    <w:p w14:paraId="3C51F833" w14:textId="77777777" w:rsidR="001021AD" w:rsidRPr="00BE48C8" w:rsidRDefault="001021AD" w:rsidP="001021AD">
      <w:pPr>
        <w:pStyle w:val="Heading4"/>
      </w:pPr>
      <w:r>
        <w:t>Consultation questions</w:t>
      </w:r>
    </w:p>
    <w:p w14:paraId="2FAB95B1" w14:textId="77777777" w:rsidR="001021AD" w:rsidRDefault="001021AD" w:rsidP="001021AD">
      <w:pPr>
        <w:pStyle w:val="CGCParaNumber"/>
        <w:numPr>
          <w:ilvl w:val="0"/>
          <w:numId w:val="0"/>
        </w:numPr>
      </w:pPr>
      <w:r w:rsidRPr="001C4DF3">
        <w:rPr>
          <w:noProof/>
        </w:rPr>
        <mc:AlternateContent>
          <mc:Choice Requires="wps">
            <w:drawing>
              <wp:inline distT="0" distB="0" distL="0" distR="0" wp14:anchorId="649A86FB" wp14:editId="513501FE">
                <wp:extent cx="5688965" cy="429371"/>
                <wp:effectExtent l="0" t="0" r="6985" b="8890"/>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8965" cy="429371"/>
                        </a:xfrm>
                        <a:prstGeom prst="rect">
                          <a:avLst/>
                        </a:prstGeom>
                        <a:solidFill>
                          <a:srgbClr val="EBF3F5"/>
                        </a:solidFill>
                        <a:ln w="25400" cap="flat" cmpd="sng" algn="ctr">
                          <a:noFill/>
                          <a:prstDash val="solid"/>
                        </a:ln>
                        <a:effectLst/>
                      </wps:spPr>
                      <wps:txbx>
                        <w:txbxContent>
                          <w:p w14:paraId="646CEBA9" w14:textId="26E39E18" w:rsidR="001021AD" w:rsidRDefault="001021AD" w:rsidP="000F0269">
                            <w:pPr>
                              <w:pStyle w:val="CGC2025QuestionNumbers"/>
                              <w:rPr>
                                <w:lang w:eastAsia="en-AU"/>
                              </w:rPr>
                            </w:pPr>
                            <w:r>
                              <w:rPr>
                                <w:lang w:eastAsia="en-AU"/>
                              </w:rPr>
                              <w:t xml:space="preserve">Do states agree </w:t>
                            </w:r>
                            <w:r w:rsidRPr="00E5244D">
                              <w:t>that a 12.5% discount</w:t>
                            </w:r>
                            <w:r w:rsidRPr="00E5244D" w:rsidDel="00794506">
                              <w:t xml:space="preserve"> </w:t>
                            </w:r>
                            <w:r w:rsidRPr="00E5244D">
                              <w:t>remains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9A86FB" id="Rectangle 8" o:spid="_x0000_s1032" alt="&quot;&quot;" style="width:447.95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" fillcolor="#ebf3f5" stroked="f" strokeweight="2pt">
                <v:textbox>
                  <w:txbxContent>
                    <w:p w14:paraId="646CEBA9" w14:textId="26E39E18" w:rsidR="001021AD" w:rsidRDefault="001021AD" w:rsidP="000F0269">
                      <w:pPr>
                        <w:pStyle w:val="CGC2025QuestionNumbers"/>
                        <w:rPr>
                          <w:lang w:eastAsia="en-AU"/>
                        </w:rPr>
                      </w:pPr>
                      <w:r>
                        <w:rPr>
                          <w:lang w:eastAsia="en-AU"/>
                        </w:rPr>
                        <w:t xml:space="preserve">Do states agree </w:t>
                      </w:r>
                      <w:r w:rsidRPr="00E5244D">
                        <w:t>that a 12.5% discount</w:t>
                      </w:r>
                      <w:r w:rsidRPr="00E5244D" w:rsidDel="00794506">
                        <w:t xml:space="preserve"> </w:t>
                      </w:r>
                      <w:r w:rsidRPr="00E5244D">
                        <w:t>remains appropriate?</w:t>
                      </w:r>
                    </w:p>
                  </w:txbxContent>
                </v:textbox>
                <w10:anchorlock/>
              </v:rect>
            </w:pict>
          </mc:Fallback>
        </mc:AlternateContent>
      </w:r>
    </w:p>
    <w:p w14:paraId="19721CA7" w14:textId="77777777" w:rsidR="00BC00B7" w:rsidRDefault="00BC00B7">
      <w:pPr>
        <w:tabs>
          <w:tab w:val="clear" w:pos="567"/>
        </w:tabs>
        <w:spacing w:before="0" w:after="200" w:line="276" w:lineRule="auto"/>
        <w:rPr>
          <w:rFonts w:ascii="Work Sans" w:eastAsia="Times New Roman" w:hAnsi="Work Sans" w:cs="Open Sans"/>
          <w:b/>
          <w:bCs/>
          <w:color w:val="006991"/>
          <w:sz w:val="36"/>
          <w:szCs w:val="36"/>
        </w:rPr>
      </w:pPr>
      <w:r>
        <w:br w:type="page"/>
      </w:r>
    </w:p>
    <w:p w14:paraId="6DCD76B2" w14:textId="1C58E5BC" w:rsidR="00F427F0" w:rsidRPr="00FE3C19" w:rsidRDefault="00F427F0" w:rsidP="006656D9">
      <w:pPr>
        <w:pStyle w:val="Heading2"/>
      </w:pPr>
      <w:bookmarkStart w:id="22" w:name="_Toc144816288"/>
      <w:r w:rsidRPr="00FE3C19">
        <w:lastRenderedPageBreak/>
        <w:t>Proposed assessment</w:t>
      </w:r>
      <w:bookmarkEnd w:id="9"/>
      <w:bookmarkEnd w:id="10"/>
      <w:bookmarkEnd w:id="11"/>
      <w:bookmarkEnd w:id="12"/>
      <w:bookmarkEnd w:id="13"/>
      <w:bookmarkEnd w:id="22"/>
    </w:p>
    <w:p w14:paraId="7E4F72A9" w14:textId="77777777" w:rsidR="00F427F0" w:rsidRPr="00FE3C19" w:rsidRDefault="00F427F0" w:rsidP="001F4B1F">
      <w:pPr>
        <w:pStyle w:val="Heading3"/>
      </w:pPr>
      <w:bookmarkStart w:id="23" w:name="_Toc132729114"/>
      <w:bookmarkStart w:id="24" w:name="_Toc133236155"/>
      <w:bookmarkStart w:id="25" w:name="_Toc133236181"/>
      <w:bookmarkStart w:id="26" w:name="_Toc144816289"/>
      <w:r w:rsidRPr="00FE3C19">
        <w:t>Differences from the 2020 Review approach</w:t>
      </w:r>
      <w:bookmarkEnd w:id="23"/>
      <w:bookmarkEnd w:id="24"/>
      <w:bookmarkEnd w:id="25"/>
      <w:bookmarkEnd w:id="26"/>
    </w:p>
    <w:p w14:paraId="4196C2F3" w14:textId="7B03A329" w:rsidR="006E3A5C" w:rsidRDefault="006E3A5C" w:rsidP="006E3A5C">
      <w:pPr>
        <w:pStyle w:val="CGC2025ParaNumbers"/>
      </w:pPr>
      <w:bookmarkStart w:id="27" w:name="_Toc132729115"/>
      <w:bookmarkStart w:id="28" w:name="_Toc133236156"/>
      <w:bookmarkStart w:id="29" w:name="_Toc133236182"/>
      <w:r>
        <w:t>Subject to state views the Commission proposes 2 changes:</w:t>
      </w:r>
    </w:p>
    <w:p w14:paraId="5B7025DE" w14:textId="28695C24" w:rsidR="005B0BE7" w:rsidRDefault="005B0BE7" w:rsidP="005B0BE7">
      <w:pPr>
        <w:pStyle w:val="CGC2025Bullet1"/>
      </w:pPr>
      <w:r>
        <w:t>changing the specification of the regression model to increase the robustness of survey estimates and reduce the complexity of the model</w:t>
      </w:r>
    </w:p>
    <w:p w14:paraId="4FC1CC34" w14:textId="59533A4A" w:rsidR="006E3A5C" w:rsidRDefault="006E3A5C" w:rsidP="006E3A5C">
      <w:pPr>
        <w:pStyle w:val="CGC2025Bullet1"/>
      </w:pPr>
      <w:r>
        <w:t>combining annual survey estimates to increase the reliability and reduce the volatility of estimated relative state wage levels</w:t>
      </w:r>
      <w:r w:rsidR="00843BF0">
        <w:t>.</w:t>
      </w:r>
    </w:p>
    <w:p w14:paraId="6866BBDF" w14:textId="3653ED1E" w:rsidR="006E3A5C" w:rsidRDefault="006E3A5C" w:rsidP="006E3A5C">
      <w:pPr>
        <w:pStyle w:val="CGC2025ParaNumbers"/>
      </w:pPr>
      <w:r>
        <w:t>The Commission proposes to use the full</w:t>
      </w:r>
      <w:r w:rsidR="00266152">
        <w:t>-</w:t>
      </w:r>
      <w:r>
        <w:t xml:space="preserve">time series of available survey estimates of relative state wage costs, </w:t>
      </w:r>
      <w:r w:rsidR="00337BDE">
        <w:t>beginning</w:t>
      </w:r>
      <w:r w:rsidR="003C0E43">
        <w:t xml:space="preserve"> from</w:t>
      </w:r>
      <w:r w:rsidR="00337BDE">
        <w:t xml:space="preserve"> </w:t>
      </w:r>
      <w:r>
        <w:t>2016</w:t>
      </w:r>
      <w:r w:rsidR="00940EEB">
        <w:t>–</w:t>
      </w:r>
      <w:r>
        <w:t>17, to estimate relative wage costs in each assessment year. These estimates would be generated by indexing and weighting the estimates from each contributing year</w:t>
      </w:r>
      <w:r w:rsidRPr="007441CC">
        <w:t>.</w:t>
      </w:r>
    </w:p>
    <w:p w14:paraId="29018D7A" w14:textId="1DC2D2C9" w:rsidR="00A767AA" w:rsidRDefault="006E3A5C">
      <w:pPr>
        <w:pStyle w:val="CGC2025ParaNumbers"/>
      </w:pPr>
      <w:r>
        <w:t xml:space="preserve">The Commission proposes to </w:t>
      </w:r>
      <w:r w:rsidR="0018606D">
        <w:t xml:space="preserve">change the model specification as outlined in </w:t>
      </w:r>
      <w:r w:rsidR="0018606D">
        <w:fldChar w:fldCharType="begin"/>
      </w:r>
      <w:r w:rsidR="0018606D">
        <w:instrText xml:space="preserve"> REF _Ref144132942 \h </w:instrText>
      </w:r>
      <w:r w:rsidR="0018606D">
        <w:fldChar w:fldCharType="separate"/>
      </w:r>
      <w:r w:rsidR="0018606D">
        <w:t xml:space="preserve">Table </w:t>
      </w:r>
      <w:r w:rsidR="0018606D">
        <w:rPr>
          <w:noProof/>
        </w:rPr>
        <w:t>1</w:t>
      </w:r>
      <w:r w:rsidR="0018606D">
        <w:fldChar w:fldCharType="end"/>
      </w:r>
      <w:r w:rsidR="0018606D">
        <w:t>.</w:t>
      </w:r>
    </w:p>
    <w:p w14:paraId="24BE0C6E" w14:textId="77777777" w:rsidR="00AB6FFE" w:rsidRPr="00AB6FFE" w:rsidRDefault="00AB6FFE" w:rsidP="00F971B0">
      <w:pPr>
        <w:pStyle w:val="Heading3"/>
      </w:pPr>
      <w:bookmarkStart w:id="30" w:name="_Toc132729116"/>
      <w:bookmarkStart w:id="31" w:name="_Toc133236157"/>
      <w:bookmarkStart w:id="32" w:name="_Toc133236183"/>
      <w:bookmarkStart w:id="33" w:name="_Toc144816290"/>
      <w:bookmarkEnd w:id="27"/>
      <w:bookmarkEnd w:id="28"/>
      <w:bookmarkEnd w:id="29"/>
      <w:r w:rsidRPr="00AB6FFE">
        <w:t>New data requirements</w:t>
      </w:r>
      <w:bookmarkEnd w:id="30"/>
      <w:bookmarkEnd w:id="31"/>
      <w:bookmarkEnd w:id="32"/>
      <w:bookmarkEnd w:id="33"/>
    </w:p>
    <w:p w14:paraId="05E36B09" w14:textId="77777777" w:rsidR="006E3A5C" w:rsidRPr="006E3A5C" w:rsidRDefault="006E3A5C" w:rsidP="006E3A5C">
      <w:pPr>
        <w:pStyle w:val="CGC2025ParaNumbers"/>
      </w:pPr>
      <w:bookmarkStart w:id="34" w:name="_Toc121741493"/>
      <w:bookmarkStart w:id="35" w:name="_Toc127428362"/>
      <w:bookmarkStart w:id="36" w:name="_Toc132729117"/>
      <w:bookmarkStart w:id="37" w:name="_Toc133236158"/>
      <w:bookmarkStart w:id="38" w:name="_Toc133236184"/>
      <w:r w:rsidRPr="006E3A5C">
        <w:t>No new data will be required from states.</w:t>
      </w:r>
    </w:p>
    <w:p w14:paraId="008DE7B4" w14:textId="54358345" w:rsidR="006E3A5C" w:rsidRPr="006E3A5C" w:rsidRDefault="006E3A5C" w:rsidP="006E3A5C">
      <w:pPr>
        <w:pStyle w:val="CGC2025ParaNumbers"/>
      </w:pPr>
      <w:r w:rsidRPr="006E3A5C">
        <w:t>The wage cost proportions for each expense category will be recalculated from the ABS</w:t>
      </w:r>
      <w:r w:rsidR="0091149A">
        <w:t>’</w:t>
      </w:r>
      <w:r w:rsidRPr="006E3A5C">
        <w:t xml:space="preserve"> </w:t>
      </w:r>
      <w:r w:rsidR="0091149A">
        <w:t>G</w:t>
      </w:r>
      <w:r w:rsidRPr="006E3A5C">
        <w:t xml:space="preserve">overnment </w:t>
      </w:r>
      <w:r w:rsidR="0091149A">
        <w:t>F</w:t>
      </w:r>
      <w:r w:rsidRPr="006E3A5C">
        <w:t xml:space="preserve">inance </w:t>
      </w:r>
      <w:r w:rsidR="0091149A">
        <w:t>S</w:t>
      </w:r>
      <w:r w:rsidRPr="006E3A5C">
        <w:t>tatistics data</w:t>
      </w:r>
      <w:r w:rsidR="00FB430E">
        <w:t xml:space="preserve"> </w:t>
      </w:r>
      <w:r w:rsidR="002601A2">
        <w:t xml:space="preserve">for </w:t>
      </w:r>
      <w:r w:rsidR="00F42881">
        <w:t>2021</w:t>
      </w:r>
      <w:r w:rsidR="00A51668">
        <w:t>–</w:t>
      </w:r>
      <w:r w:rsidR="00F42881">
        <w:t>22 to 2023</w:t>
      </w:r>
      <w:r w:rsidR="00A51668">
        <w:t>–</w:t>
      </w:r>
      <w:r w:rsidR="00F42881">
        <w:t>24</w:t>
      </w:r>
      <w:r w:rsidR="0044772F">
        <w:t xml:space="preserve"> and frozen for the life of the 2025 </w:t>
      </w:r>
      <w:r w:rsidR="00836525">
        <w:t>R</w:t>
      </w:r>
      <w:r w:rsidR="0044772F">
        <w:t>eview methods</w:t>
      </w:r>
      <w:r w:rsidRPr="006E3A5C">
        <w:t xml:space="preserve">, following the same method as the 2020 Review. </w:t>
      </w:r>
    </w:p>
    <w:p w14:paraId="672F4910" w14:textId="51CC00F0" w:rsidR="00AB6FFE" w:rsidRDefault="00AB6FFE" w:rsidP="00F971B0">
      <w:pPr>
        <w:pStyle w:val="Heading2"/>
      </w:pPr>
      <w:bookmarkStart w:id="39" w:name="_Toc144816291"/>
      <w:r w:rsidRPr="00AB6FFE">
        <w:t>Consultation</w:t>
      </w:r>
      <w:bookmarkEnd w:id="34"/>
      <w:bookmarkEnd w:id="35"/>
      <w:bookmarkEnd w:id="36"/>
      <w:bookmarkEnd w:id="37"/>
      <w:bookmarkEnd w:id="38"/>
      <w:bookmarkEnd w:id="39"/>
    </w:p>
    <w:p w14:paraId="1B116B9D" w14:textId="78D5E44C" w:rsidR="00C965B0" w:rsidRPr="002D2FC4" w:rsidRDefault="006E3A5C" w:rsidP="00836525">
      <w:pPr>
        <w:pStyle w:val="CGC2025ParaNumbers"/>
      </w:pPr>
      <w:bookmarkStart w:id="40" w:name="_Hlk121314611"/>
      <w:r w:rsidRPr="00D10FD0">
        <w:t>The Commission welcomes state views on the consultation question</w:t>
      </w:r>
      <w:r>
        <w:t>s</w:t>
      </w:r>
      <w:r w:rsidRPr="00D10FD0">
        <w:t xml:space="preserve"> identified in this paper (outlined below) and the proposed assessment. State submissions should accord with the 2025 Review framework. States are welcome to raise other relevant issues with the Commission.</w:t>
      </w:r>
      <w:r>
        <w:t xml:space="preserve"> </w:t>
      </w:r>
      <w:bookmarkEnd w:id="40"/>
    </w:p>
    <w:p w14:paraId="205045C0" w14:textId="7ACB10FD" w:rsidR="006E3A5C" w:rsidRPr="00D10FD0" w:rsidRDefault="006E3A5C" w:rsidP="006E3A5C">
      <w:pPr>
        <w:pStyle w:val="CGC2025ParaNumbers"/>
      </w:pPr>
      <w:r w:rsidRPr="00B37E36">
        <w:t>State</w:t>
      </w:r>
      <w:r w:rsidR="007A58DA">
        <w:t xml:space="preserve"> </w:t>
      </w:r>
      <w:r>
        <w:t xml:space="preserve">submissions on the wage costs assessment paper should be with the Commission by </w:t>
      </w:r>
      <w:r w:rsidRPr="00C26376">
        <w:rPr>
          <w:b/>
          <w:bCs/>
        </w:rPr>
        <w:t xml:space="preserve">13 </w:t>
      </w:r>
      <w:r w:rsidR="00276C79" w:rsidRPr="00C26376">
        <w:rPr>
          <w:b/>
          <w:bCs/>
        </w:rPr>
        <w:t>November</w:t>
      </w:r>
      <w:r w:rsidRPr="00C26376">
        <w:rPr>
          <w:b/>
          <w:bCs/>
        </w:rPr>
        <w:t xml:space="preserve"> 2023</w:t>
      </w:r>
      <w:r>
        <w:t>.</w:t>
      </w:r>
    </w:p>
    <w:p w14:paraId="5EBBAE71" w14:textId="77777777" w:rsidR="00B17FBC" w:rsidRDefault="00B17FBC" w:rsidP="00A5102B">
      <w:pPr>
        <w:rPr>
          <w:rFonts w:ascii="Work Sans" w:hAnsi="Work Sans"/>
          <w:szCs w:val="20"/>
        </w:rPr>
      </w:pPr>
      <w:r w:rsidRPr="001C4DF3">
        <w:rPr>
          <w:noProof/>
        </w:rPr>
        <w:lastRenderedPageBreak/>
        <mc:AlternateContent>
          <mc:Choice Requires="wps">
            <w:drawing>
              <wp:inline distT="0" distB="0" distL="0" distR="0" wp14:anchorId="1E4C6780" wp14:editId="3302FE7F">
                <wp:extent cx="5648325" cy="4067175"/>
                <wp:effectExtent l="0" t="0" r="9525" b="9525"/>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4067175"/>
                        </a:xfrm>
                        <a:prstGeom prst="rect">
                          <a:avLst/>
                        </a:prstGeom>
                        <a:solidFill>
                          <a:srgbClr val="EBF3F5"/>
                        </a:solidFill>
                        <a:ln w="25400" cap="flat" cmpd="sng" algn="ctr">
                          <a:noFill/>
                          <a:prstDash val="solid"/>
                        </a:ln>
                        <a:effectLst/>
                      </wps:spPr>
                      <wps:txbx>
                        <w:txbxContent>
                          <w:p w14:paraId="5482C5ED" w14:textId="77777777" w:rsidR="00BE491E" w:rsidRPr="00B800F5" w:rsidRDefault="00BE491E" w:rsidP="00BE491E">
                            <w:pPr>
                              <w:pStyle w:val="CGC2025Questionsnumbers2"/>
                            </w:pPr>
                            <w:r w:rsidRPr="00E76FF9">
                              <w:t>Do states agree on continuing to use private sector wages as a policy neutral proxy for the market pressures faced by public sector employers</w:t>
                            </w:r>
                            <w:r w:rsidRPr="00B800F5">
                              <w:t>?</w:t>
                            </w:r>
                          </w:p>
                          <w:p w14:paraId="37EFFBAD" w14:textId="77777777" w:rsidR="00BE491E" w:rsidRPr="005B0BE7" w:rsidRDefault="00BE491E" w:rsidP="00BE491E">
                            <w:pPr>
                              <w:pStyle w:val="CGC2025Questionsnumbers2"/>
                            </w:pPr>
                            <w:r w:rsidRPr="00B800F5">
                              <w:t xml:space="preserve">Do states agree </w:t>
                            </w:r>
                            <w:r w:rsidRPr="005B0BE7">
                              <w:t>that the Commission should continue to use all private sector employees to proxy for public sector drivers of costs?</w:t>
                            </w:r>
                          </w:p>
                          <w:p w14:paraId="0C96E8E1" w14:textId="77777777" w:rsidR="00BE491E" w:rsidRPr="005B0BE7" w:rsidRDefault="00BE491E" w:rsidP="00BE491E">
                            <w:pPr>
                              <w:pStyle w:val="CGC2025Questionsnumbers2"/>
                            </w:pPr>
                            <w:r w:rsidRPr="005B0BE7">
                              <w:t>Do states support the continued use of the Characteristics of Employment survey data?</w:t>
                            </w:r>
                          </w:p>
                          <w:p w14:paraId="4C81AB01" w14:textId="77777777" w:rsidR="00A82005" w:rsidRPr="005B0BE7" w:rsidRDefault="00A82005" w:rsidP="00A82005">
                            <w:pPr>
                              <w:pStyle w:val="CGC2025Questionsnumbers2"/>
                            </w:pPr>
                            <w:r w:rsidRPr="005B0BE7">
                              <w:t>Do states agree the Commission should use hourly wages rather than weekly wages as the dependent variable?</w:t>
                            </w:r>
                          </w:p>
                          <w:p w14:paraId="258A31C0" w14:textId="1E4C1B3C" w:rsidR="00A82005" w:rsidRPr="005B0BE7" w:rsidRDefault="00A82005" w:rsidP="00A82005">
                            <w:pPr>
                              <w:pStyle w:val="CGC2025Questionsnumbers2"/>
                            </w:pPr>
                            <w:r w:rsidRPr="005B0BE7">
                              <w:t xml:space="preserve">Do states support including usual hours of work in the model as </w:t>
                            </w:r>
                            <w:r w:rsidR="00034CAA">
                              <w:t>3</w:t>
                            </w:r>
                            <w:r w:rsidRPr="005B0BE7">
                              <w:t xml:space="preserve"> categories, part</w:t>
                            </w:r>
                            <w:r w:rsidR="004B451A">
                              <w:noBreakHyphen/>
                            </w:r>
                            <w:r w:rsidRPr="005B0BE7">
                              <w:t>time, full-time and more than full-time</w:t>
                            </w:r>
                            <w:r w:rsidR="004B451A">
                              <w:t xml:space="preserve"> hours</w:t>
                            </w:r>
                            <w:r w:rsidRPr="005B0BE7">
                              <w:t>?</w:t>
                            </w:r>
                          </w:p>
                          <w:p w14:paraId="41A34F98" w14:textId="1C654CA2" w:rsidR="00A82005" w:rsidRPr="005B0BE7" w:rsidRDefault="00A82005" w:rsidP="00A82005">
                            <w:pPr>
                              <w:pStyle w:val="CGC2025Questionsnumbers2"/>
                            </w:pPr>
                            <w:r w:rsidRPr="005B0BE7">
                              <w:t xml:space="preserve">Do states support replacing imputed work experience and imputed work experience squared with 5-year </w:t>
                            </w:r>
                            <w:r w:rsidR="00051AA9" w:rsidRPr="005B0BE7">
                              <w:t xml:space="preserve">age </w:t>
                            </w:r>
                            <w:r w:rsidR="00530031" w:rsidRPr="005B0BE7">
                              <w:t>groups</w:t>
                            </w:r>
                            <w:r w:rsidRPr="005B0BE7">
                              <w:t>?</w:t>
                            </w:r>
                          </w:p>
                          <w:p w14:paraId="31314094" w14:textId="77777777" w:rsidR="00A82005" w:rsidRPr="00B800F5" w:rsidRDefault="00A82005" w:rsidP="00A82005">
                            <w:pPr>
                              <w:pStyle w:val="CGC2025Questionsnumbers2"/>
                            </w:pPr>
                            <w:r w:rsidRPr="005B0BE7">
                              <w:t>Do states agree with the Commission’s</w:t>
                            </w:r>
                            <w:r w:rsidRPr="00B800F5">
                              <w:t xml:space="preserve"> proposed</w:t>
                            </w:r>
                            <w:r>
                              <w:t xml:space="preserve"> criteria for including control variables in the model</w:t>
                            </w:r>
                            <w:r w:rsidRPr="00B800F5">
                              <w:t>?</w:t>
                            </w:r>
                          </w:p>
                          <w:p w14:paraId="570BD936" w14:textId="77777777" w:rsidR="00A82005" w:rsidRDefault="00A82005" w:rsidP="00A82005">
                            <w:pPr>
                              <w:pStyle w:val="CGC2025Questionsnumbers2"/>
                            </w:pPr>
                            <w:r w:rsidRPr="00B800F5">
                              <w:t xml:space="preserve">Do states support </w:t>
                            </w:r>
                            <w:r>
                              <w:t xml:space="preserve">using a less complex </w:t>
                            </w:r>
                            <w:r w:rsidRPr="00B800F5">
                              <w:t xml:space="preserve">model </w:t>
                            </w:r>
                            <w:r>
                              <w:t>by replacing industry group categories with industry division categories and removing the interaction terms with gender and every other independent variable?</w:t>
                            </w:r>
                          </w:p>
                          <w:p w14:paraId="485F8CD0" w14:textId="77777777" w:rsidR="00A82005" w:rsidRDefault="00A82005" w:rsidP="00A82005">
                            <w:pPr>
                              <w:pStyle w:val="CGC2025Questionsnumbers2"/>
                            </w:pPr>
                            <w:r w:rsidRPr="00B800F5">
                              <w:t>Do states agree with the proposed approach to combine estimates of relative differences in states’ wages across years</w:t>
                            </w:r>
                            <w:r w:rsidRPr="003E458E">
                              <w:t>?</w:t>
                            </w:r>
                          </w:p>
                          <w:p w14:paraId="03DA326D" w14:textId="77777777" w:rsidR="00A82005" w:rsidRDefault="00A82005" w:rsidP="00A82005">
                            <w:pPr>
                              <w:pStyle w:val="CGC2025Questionsnumbers2"/>
                              <w:rPr>
                                <w:lang w:eastAsia="en-AU"/>
                              </w:rPr>
                            </w:pPr>
                            <w:r>
                              <w:rPr>
                                <w:lang w:eastAsia="en-AU"/>
                              </w:rPr>
                              <w:t xml:space="preserve">Do states agree </w:t>
                            </w:r>
                            <w:r w:rsidRPr="00E5244D">
                              <w:t>that a 12.5% discount</w:t>
                            </w:r>
                            <w:r w:rsidRPr="00E5244D" w:rsidDel="00794506">
                              <w:t xml:space="preserve"> </w:t>
                            </w:r>
                            <w:r w:rsidRPr="00E5244D">
                              <w:t>remains appropriate?</w:t>
                            </w:r>
                          </w:p>
                          <w:p w14:paraId="3DAD5832" w14:textId="11F76BA0" w:rsidR="00B17FBC" w:rsidRPr="00F733EB" w:rsidRDefault="00B17FBC" w:rsidP="00A82005">
                            <w:pPr>
                              <w:pStyle w:val="CGC2025Questionsnumbers2"/>
                              <w:numPr>
                                <w:ilvl w:val="0"/>
                                <w:numId w:val="0"/>
                              </w:numPr>
                              <w:ind w:left="454"/>
                              <w:rPr>
                                <w:lang w:eastAsia="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4C6780" id="Rectangle 1" o:spid="_x0000_s1033" alt="&quot;&quot;" style="width:444.75pt;height:3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" fillcolor="#ebf3f5" stroked="f" strokeweight="2pt">
                <v:textbox>
                  <w:txbxContent>
                    <w:p w14:paraId="5482C5ED" w14:textId="77777777" w:rsidR="00BE491E" w:rsidRPr="00B800F5" w:rsidRDefault="00BE491E" w:rsidP="00BE491E">
                      <w:pPr>
                        <w:pStyle w:val="CGC2025Questionsnumbers2"/>
                      </w:pPr>
                      <w:r w:rsidRPr="00E76FF9">
                        <w:t>Do states agree on continuing to use private sector wages as a policy neutral proxy for the market pressures faced by public sector employers</w:t>
                      </w:r>
                      <w:r w:rsidRPr="00B800F5">
                        <w:t>?</w:t>
                      </w:r>
                    </w:p>
                    <w:p w14:paraId="37EFFBAD" w14:textId="77777777" w:rsidR="00BE491E" w:rsidRPr="005B0BE7" w:rsidRDefault="00BE491E" w:rsidP="00BE491E">
                      <w:pPr>
                        <w:pStyle w:val="CGC2025Questionsnumbers2"/>
                      </w:pPr>
                      <w:r w:rsidRPr="00B800F5">
                        <w:t xml:space="preserve">Do states agree </w:t>
                      </w:r>
                      <w:r w:rsidRPr="005B0BE7">
                        <w:t>that the Commission should continue to use all private sector employees to proxy for public sector drivers of costs?</w:t>
                      </w:r>
                    </w:p>
                    <w:p w14:paraId="0C96E8E1" w14:textId="77777777" w:rsidR="00BE491E" w:rsidRPr="005B0BE7" w:rsidRDefault="00BE491E" w:rsidP="00BE491E">
                      <w:pPr>
                        <w:pStyle w:val="CGC2025Questionsnumbers2"/>
                      </w:pPr>
                      <w:r w:rsidRPr="005B0BE7">
                        <w:t>Do states support the continued use of the Characteristics of Employment survey data?</w:t>
                      </w:r>
                    </w:p>
                    <w:p w14:paraId="4C81AB01" w14:textId="77777777" w:rsidR="00A82005" w:rsidRPr="005B0BE7" w:rsidRDefault="00A82005" w:rsidP="00A82005">
                      <w:pPr>
                        <w:pStyle w:val="CGC2025Questionsnumbers2"/>
                      </w:pPr>
                      <w:r w:rsidRPr="005B0BE7">
                        <w:t>Do states agree the Commission should use hourly wages rather than weekly wages as the dependent variable?</w:t>
                      </w:r>
                    </w:p>
                    <w:p w14:paraId="258A31C0" w14:textId="1E4C1B3C" w:rsidR="00A82005" w:rsidRPr="005B0BE7" w:rsidRDefault="00A82005" w:rsidP="00A82005">
                      <w:pPr>
                        <w:pStyle w:val="CGC2025Questionsnumbers2"/>
                      </w:pPr>
                      <w:r w:rsidRPr="005B0BE7">
                        <w:t xml:space="preserve">Do states support including usual hours of work in the model as </w:t>
                      </w:r>
                      <w:r w:rsidR="00034CAA">
                        <w:t>3</w:t>
                      </w:r>
                      <w:r w:rsidRPr="005B0BE7">
                        <w:t xml:space="preserve"> categories, part</w:t>
                      </w:r>
                      <w:r w:rsidR="004B451A">
                        <w:noBreakHyphen/>
                      </w:r>
                      <w:r w:rsidRPr="005B0BE7">
                        <w:t>time, full-time and more than full-time</w:t>
                      </w:r>
                      <w:r w:rsidR="004B451A">
                        <w:t xml:space="preserve"> hours</w:t>
                      </w:r>
                      <w:r w:rsidRPr="005B0BE7">
                        <w:t>?</w:t>
                      </w:r>
                    </w:p>
                    <w:p w14:paraId="41A34F98" w14:textId="1C654CA2" w:rsidR="00A82005" w:rsidRPr="005B0BE7" w:rsidRDefault="00A82005" w:rsidP="00A82005">
                      <w:pPr>
                        <w:pStyle w:val="CGC2025Questionsnumbers2"/>
                      </w:pPr>
                      <w:r w:rsidRPr="005B0BE7">
                        <w:t xml:space="preserve">Do states support replacing imputed work experience and imputed work experience squared with 5-year </w:t>
                      </w:r>
                      <w:r w:rsidR="00051AA9" w:rsidRPr="005B0BE7">
                        <w:t xml:space="preserve">age </w:t>
                      </w:r>
                      <w:r w:rsidR="00530031" w:rsidRPr="005B0BE7">
                        <w:t>groups</w:t>
                      </w:r>
                      <w:r w:rsidRPr="005B0BE7">
                        <w:t>?</w:t>
                      </w:r>
                    </w:p>
                    <w:p w14:paraId="31314094" w14:textId="77777777" w:rsidR="00A82005" w:rsidRPr="00B800F5" w:rsidRDefault="00A82005" w:rsidP="00A82005">
                      <w:pPr>
                        <w:pStyle w:val="CGC2025Questionsnumbers2"/>
                      </w:pPr>
                      <w:r w:rsidRPr="005B0BE7">
                        <w:t>Do states agree with the Commission’s</w:t>
                      </w:r>
                      <w:r w:rsidRPr="00B800F5">
                        <w:t xml:space="preserve"> proposed</w:t>
                      </w:r>
                      <w:r>
                        <w:t xml:space="preserve"> criteria for including control variables in the model</w:t>
                      </w:r>
                      <w:r w:rsidRPr="00B800F5">
                        <w:t>?</w:t>
                      </w:r>
                    </w:p>
                    <w:p w14:paraId="570BD936" w14:textId="77777777" w:rsidR="00A82005" w:rsidRDefault="00A82005" w:rsidP="00A82005">
                      <w:pPr>
                        <w:pStyle w:val="CGC2025Questionsnumbers2"/>
                      </w:pPr>
                      <w:r w:rsidRPr="00B800F5">
                        <w:t xml:space="preserve">Do states support </w:t>
                      </w:r>
                      <w:r>
                        <w:t xml:space="preserve">using a less complex </w:t>
                      </w:r>
                      <w:r w:rsidRPr="00B800F5">
                        <w:t xml:space="preserve">model </w:t>
                      </w:r>
                      <w:r>
                        <w:t>by replacing industry group categories with industry division categories and removing the interaction terms with gender and every other independent variable?</w:t>
                      </w:r>
                    </w:p>
                    <w:p w14:paraId="485F8CD0" w14:textId="77777777" w:rsidR="00A82005" w:rsidRDefault="00A82005" w:rsidP="00A82005">
                      <w:pPr>
                        <w:pStyle w:val="CGC2025Questionsnumbers2"/>
                      </w:pPr>
                      <w:r w:rsidRPr="00B800F5">
                        <w:t>Do states agree with the proposed approach to combine estimates of relative differences in states’ wages across years</w:t>
                      </w:r>
                      <w:r w:rsidRPr="003E458E">
                        <w:t>?</w:t>
                      </w:r>
                    </w:p>
                    <w:p w14:paraId="03DA326D" w14:textId="77777777" w:rsidR="00A82005" w:rsidRDefault="00A82005" w:rsidP="00A82005">
                      <w:pPr>
                        <w:pStyle w:val="CGC2025Questionsnumbers2"/>
                        <w:rPr>
                          <w:lang w:eastAsia="en-AU"/>
                        </w:rPr>
                      </w:pPr>
                      <w:r>
                        <w:rPr>
                          <w:lang w:eastAsia="en-AU"/>
                        </w:rPr>
                        <w:t xml:space="preserve">Do states agree </w:t>
                      </w:r>
                      <w:r w:rsidRPr="00E5244D">
                        <w:t>that a 12.5% discount</w:t>
                      </w:r>
                      <w:r w:rsidRPr="00E5244D" w:rsidDel="00794506">
                        <w:t xml:space="preserve"> </w:t>
                      </w:r>
                      <w:r w:rsidRPr="00E5244D">
                        <w:t>remains appropriate?</w:t>
                      </w:r>
                    </w:p>
                    <w:p w14:paraId="3DAD5832" w14:textId="11F76BA0" w:rsidR="00B17FBC" w:rsidRPr="00F733EB" w:rsidRDefault="00B17FBC" w:rsidP="00A82005">
                      <w:pPr>
                        <w:pStyle w:val="CGC2025Questionsnumbers2"/>
                        <w:numPr>
                          <w:ilvl w:val="0"/>
                          <w:numId w:val="0"/>
                        </w:numPr>
                        <w:ind w:left="454"/>
                        <w:rPr>
                          <w:lang w:eastAsia="en-AU"/>
                        </w:rPr>
                      </w:pPr>
                    </w:p>
                  </w:txbxContent>
                </v:textbox>
                <w10:anchorlock/>
              </v:rect>
            </w:pict>
          </mc:Fallback>
        </mc:AlternateContent>
      </w:r>
    </w:p>
    <w:p w14:paraId="27CE4A65" w14:textId="77777777" w:rsidR="001D7D52" w:rsidRDefault="001D7D52">
      <w:pPr>
        <w:tabs>
          <w:tab w:val="clear" w:pos="567"/>
        </w:tabs>
        <w:spacing w:before="0" w:after="200" w:line="276" w:lineRule="auto"/>
        <w:rPr>
          <w:rStyle w:val="Heading2Char"/>
          <w:rFonts w:eastAsiaTheme="minorHAnsi"/>
        </w:rPr>
      </w:pPr>
      <w:bookmarkStart w:id="41" w:name="A"/>
      <w:bookmarkStart w:id="42" w:name="_Toc133236159"/>
      <w:bookmarkStart w:id="43" w:name="_Toc133236185"/>
      <w:bookmarkEnd w:id="41"/>
      <w:r>
        <w:rPr>
          <w:rStyle w:val="Heading2Char"/>
          <w:rFonts w:eastAsiaTheme="minorHAnsi"/>
        </w:rPr>
        <w:br w:type="page"/>
      </w:r>
    </w:p>
    <w:p w14:paraId="0E52ECDA" w14:textId="75A328B0" w:rsidR="007E3F41" w:rsidRDefault="007E3F41" w:rsidP="007E3F41">
      <w:pPr>
        <w:pStyle w:val="CGC2025Heading2AttachmentFollower"/>
      </w:pPr>
      <w:bookmarkStart w:id="44" w:name="_Toc144816292"/>
      <w:r w:rsidRPr="001D7D52">
        <w:rPr>
          <w:rStyle w:val="Heading2Char"/>
        </w:rPr>
        <w:lastRenderedPageBreak/>
        <w:t xml:space="preserve">Attachment </w:t>
      </w:r>
      <w:r>
        <w:rPr>
          <w:rStyle w:val="Heading2Char"/>
        </w:rPr>
        <w:t>A</w:t>
      </w:r>
      <w:r w:rsidRPr="001D7D52">
        <w:rPr>
          <w:rStyle w:val="Heading2Char"/>
        </w:rPr>
        <w:t>:</w:t>
      </w:r>
      <w:r w:rsidRPr="00DB7A2E">
        <w:t xml:space="preserve"> </w:t>
      </w:r>
      <w:r w:rsidR="00EF7910">
        <w:t>Consultant r</w:t>
      </w:r>
      <w:r w:rsidR="001E1BAB">
        <w:t>ecommendations</w:t>
      </w:r>
      <w:bookmarkEnd w:id="44"/>
    </w:p>
    <w:p w14:paraId="40660767" w14:textId="2CB333E2" w:rsidR="001653EF" w:rsidRPr="00E74405" w:rsidRDefault="001653EF" w:rsidP="00232265">
      <w:pPr>
        <w:pStyle w:val="Heading5"/>
        <w:spacing w:before="360" w:after="240"/>
      </w:pPr>
      <w:r w:rsidRPr="00E74405">
        <w:t>Recommendation 1: The Commission continue to use the regional wage structure in the private sector as a proxy for labour market pressures in the state/territory public sector.</w:t>
      </w:r>
    </w:p>
    <w:p w14:paraId="2536D4B5" w14:textId="493D21BE" w:rsidR="001653EF" w:rsidRPr="00E74405" w:rsidRDefault="001653EF" w:rsidP="00232265">
      <w:pPr>
        <w:pStyle w:val="Heading5"/>
        <w:spacing w:before="360" w:after="240"/>
      </w:pPr>
      <w:r w:rsidRPr="00E74405">
        <w:t>Recommendation 2: Given the different sex composition of the public and private sectors, the Commission give consideration to using the FEMALE private sector regional wage structure as a proxy for labour market pressures in the state/territory public sector.</w:t>
      </w:r>
    </w:p>
    <w:p w14:paraId="438AF8DF" w14:textId="77777777" w:rsidR="001653EF" w:rsidRPr="00E74405" w:rsidRDefault="001653EF" w:rsidP="00232265">
      <w:pPr>
        <w:pStyle w:val="Heading5"/>
        <w:spacing w:before="360" w:after="240"/>
        <w:rPr>
          <w:rStyle w:val="Hyperlink"/>
          <w:color w:val="636466"/>
          <w:u w:val="none"/>
        </w:rPr>
      </w:pPr>
      <w:r w:rsidRPr="00E74405">
        <w:t>Recommendation 3: The Commission remain with the COES for estimation purposes.</w:t>
      </w:r>
      <w:r w:rsidRPr="00E74405">
        <w:rPr>
          <w:rStyle w:val="Hyperlink"/>
          <w:color w:val="636466"/>
          <w:u w:val="none"/>
        </w:rPr>
        <w:t xml:space="preserve"> </w:t>
      </w:r>
    </w:p>
    <w:p w14:paraId="457A6A0A" w14:textId="77777777" w:rsidR="001653EF" w:rsidRPr="00E74405" w:rsidRDefault="001653EF" w:rsidP="00232265">
      <w:pPr>
        <w:pStyle w:val="Heading5"/>
        <w:spacing w:before="360" w:after="240"/>
      </w:pPr>
      <w:r w:rsidRPr="00E74405">
        <w:t>Recommendation 4: The Commission use hourly wages as the dependent variable.</w:t>
      </w:r>
    </w:p>
    <w:p w14:paraId="0442D21C" w14:textId="77777777" w:rsidR="001653EF" w:rsidRPr="00E74405" w:rsidRDefault="001653EF" w:rsidP="00232265">
      <w:pPr>
        <w:pStyle w:val="Heading5"/>
        <w:spacing w:before="360" w:after="240"/>
      </w:pPr>
      <w:r w:rsidRPr="00E74405">
        <w:t>Recommendation 5: The Commission deals with potential measurement error in hourly wages by excluding sample members who report working less than 5 hours per week in their main job and those working 60 or more hours per week in their main job.</w:t>
      </w:r>
    </w:p>
    <w:p w14:paraId="128332CC" w14:textId="77777777" w:rsidR="001653EF" w:rsidRPr="00E74405" w:rsidRDefault="001653EF" w:rsidP="00232265">
      <w:pPr>
        <w:pStyle w:val="Heading5"/>
        <w:spacing w:before="360" w:after="240"/>
      </w:pPr>
      <w:r w:rsidRPr="00E74405">
        <w:t>Recommendation 6: If the Commission has strong a-priori reason to believe that the hours-wage relationship differs across the distribution the recommendation is to adopt a simpler specification using a dummy variable approach with controls for part-time hours and long-hours.</w:t>
      </w:r>
    </w:p>
    <w:p w14:paraId="4E407F8B" w14:textId="3AA29B22" w:rsidR="001653EF" w:rsidRPr="00E74405" w:rsidRDefault="001653EF" w:rsidP="00232265">
      <w:pPr>
        <w:pStyle w:val="Heading5"/>
        <w:spacing w:before="360" w:after="240"/>
      </w:pPr>
      <w:r w:rsidRPr="00E74405">
        <w:t>Recommendation 7: The Commission should use a series of age dummy variables to capture labour market experience rather than a measure of potential experience.</w:t>
      </w:r>
    </w:p>
    <w:p w14:paraId="1B69E39F" w14:textId="77777777" w:rsidR="001653EF" w:rsidRPr="00E74405" w:rsidRDefault="001653EF" w:rsidP="00232265">
      <w:pPr>
        <w:pStyle w:val="Heading5"/>
        <w:spacing w:before="360" w:after="240"/>
      </w:pPr>
      <w:r w:rsidRPr="00E74405">
        <w:t>Recommendation 8: The Commission does not include age-education (interactions) in its model.</w:t>
      </w:r>
    </w:p>
    <w:p w14:paraId="484E025C" w14:textId="77777777" w:rsidR="001653EF" w:rsidRPr="00E74405" w:rsidRDefault="001653EF" w:rsidP="00232265">
      <w:pPr>
        <w:pStyle w:val="Heading5"/>
        <w:spacing w:before="360" w:after="240"/>
      </w:pPr>
      <w:r w:rsidRPr="00E74405">
        <w:t>Recommendation 9: The Commission include tenure as a continuous variable.</w:t>
      </w:r>
    </w:p>
    <w:p w14:paraId="73BD54B7" w14:textId="77777777" w:rsidR="001653EF" w:rsidRPr="00E74405" w:rsidRDefault="001653EF" w:rsidP="00232265">
      <w:pPr>
        <w:pStyle w:val="Heading5"/>
        <w:spacing w:before="360" w:after="240"/>
      </w:pPr>
      <w:r w:rsidRPr="00E74405">
        <w:t>Recommendation 10: The Commission seek to estimate a parsimonious model (fewer predictor variables).</w:t>
      </w:r>
    </w:p>
    <w:p w14:paraId="0F7F1CEB" w14:textId="4167F3C1" w:rsidR="001E1BAB" w:rsidRPr="00E74405" w:rsidRDefault="001653EF" w:rsidP="00232265">
      <w:pPr>
        <w:pStyle w:val="Heading5"/>
        <w:spacing w:before="360" w:after="240"/>
      </w:pPr>
      <w:r w:rsidRPr="00E74405">
        <w:t>Recommendation 11: To reduce the volatility of the geographic wage relativities the Commission consider alternative approaches such as pooling data over a moving three-year period when estimating the geographic wage structure.</w:t>
      </w:r>
    </w:p>
    <w:p w14:paraId="33F96503" w14:textId="37DE9ADB" w:rsidR="007E3F41" w:rsidRDefault="007E3F41">
      <w:pPr>
        <w:tabs>
          <w:tab w:val="clear" w:pos="567"/>
        </w:tabs>
        <w:spacing w:before="0" w:after="200" w:line="276" w:lineRule="auto"/>
        <w:rPr>
          <w:rStyle w:val="Heading2Char"/>
          <w:rFonts w:eastAsiaTheme="minorHAnsi"/>
        </w:rPr>
      </w:pPr>
      <w:r>
        <w:rPr>
          <w:rStyle w:val="Heading2Char"/>
          <w:rFonts w:eastAsiaTheme="minorHAnsi"/>
        </w:rPr>
        <w:br w:type="page"/>
      </w:r>
    </w:p>
    <w:p w14:paraId="21BD5759" w14:textId="63A7B5E1" w:rsidR="00A5102B" w:rsidRDefault="00A5102B" w:rsidP="00294D2F">
      <w:pPr>
        <w:pStyle w:val="CGC2025Heading2AttachmentFollower"/>
      </w:pPr>
      <w:bookmarkStart w:id="45" w:name="_Toc144816293"/>
      <w:r w:rsidRPr="001D7D52">
        <w:rPr>
          <w:rStyle w:val="Heading2Char"/>
        </w:rPr>
        <w:lastRenderedPageBreak/>
        <w:t xml:space="preserve">Attachment </w:t>
      </w:r>
      <w:r w:rsidR="00E63625">
        <w:rPr>
          <w:rStyle w:val="Heading2Char"/>
        </w:rPr>
        <w:t>B</w:t>
      </w:r>
      <w:r w:rsidRPr="001D7D52">
        <w:rPr>
          <w:rStyle w:val="Heading2Char"/>
        </w:rPr>
        <w:t>:</w:t>
      </w:r>
      <w:r w:rsidRPr="00DB7A2E">
        <w:t xml:space="preserve"> </w:t>
      </w:r>
      <w:bookmarkEnd w:id="42"/>
      <w:bookmarkEnd w:id="43"/>
      <w:r w:rsidR="00A508E7">
        <w:t>Comparing models</w:t>
      </w:r>
      <w:bookmarkEnd w:id="45"/>
    </w:p>
    <w:p w14:paraId="52497DF0" w14:textId="61E6CA29" w:rsidR="00201FC7" w:rsidRDefault="0009502C" w:rsidP="002545C9">
      <w:pPr>
        <w:pStyle w:val="CGC2025ParaNumbers"/>
      </w:pPr>
      <w:r>
        <w:t xml:space="preserve">Following the </w:t>
      </w:r>
      <w:r w:rsidR="006D7BF2">
        <w:t xml:space="preserve">report from Professor Preston, </w:t>
      </w:r>
      <w:r w:rsidR="006D3700">
        <w:t xml:space="preserve">the Commission has decided to reconsider the regression model </w:t>
      </w:r>
      <w:r w:rsidR="00554EA1">
        <w:t xml:space="preserve">starting from a very simple specification, rather than from the 2020 Review model. </w:t>
      </w:r>
      <w:r w:rsidR="00201FC7">
        <w:t xml:space="preserve">For a control variable to earn a place in the model the Commission proposes that it should satisfy </w:t>
      </w:r>
      <w:r w:rsidR="008819AC">
        <w:t>4</w:t>
      </w:r>
      <w:r w:rsidR="00201FC7">
        <w:t xml:space="preserve"> criteria:</w:t>
      </w:r>
    </w:p>
    <w:p w14:paraId="50E9FDDD" w14:textId="77777777" w:rsidR="006D5A5E" w:rsidRDefault="006D5A5E" w:rsidP="006D5A5E">
      <w:pPr>
        <w:pStyle w:val="CGC2025Bullet1"/>
      </w:pPr>
      <w:r>
        <w:t>there should be a strong conceptual case for it to affect an individual’s wages</w:t>
      </w:r>
    </w:p>
    <w:p w14:paraId="68712F9C" w14:textId="3FBBD4F6" w:rsidR="00201FC7" w:rsidRDefault="00201FC7" w:rsidP="00201FC7">
      <w:pPr>
        <w:pStyle w:val="CGC2025Bullet1"/>
      </w:pPr>
      <w:r>
        <w:t>it should affect average state coefficients over the 5 years for which consistent data</w:t>
      </w:r>
      <w:r w:rsidR="003F24CE">
        <w:t xml:space="preserve"> exist</w:t>
      </w:r>
    </w:p>
    <w:p w14:paraId="593C6231" w14:textId="12C2D9E1" w:rsidR="00201FC7" w:rsidRDefault="00201FC7" w:rsidP="00201FC7">
      <w:pPr>
        <w:pStyle w:val="CGC2025Bullet1"/>
      </w:pPr>
      <w:r>
        <w:t>it should improve the overall fit of the model</w:t>
      </w:r>
    </w:p>
    <w:p w14:paraId="7C8FC890" w14:textId="318A0947" w:rsidR="00201FC7" w:rsidRDefault="00201FC7" w:rsidP="005B3E4C">
      <w:pPr>
        <w:pStyle w:val="CGC2025Bullet1"/>
      </w:pPr>
      <w:r>
        <w:t>it should not increase the average standard error of state coefficients over the 5</w:t>
      </w:r>
      <w:r w:rsidR="00045FD0">
        <w:t> </w:t>
      </w:r>
      <w:r>
        <w:t>years for which consistent data</w:t>
      </w:r>
      <w:r w:rsidR="005B3E4C">
        <w:t xml:space="preserve"> exist</w:t>
      </w:r>
      <w:r>
        <w:t>.</w:t>
      </w:r>
    </w:p>
    <w:p w14:paraId="22F37A6E" w14:textId="5AFD0997" w:rsidR="00A00F5D" w:rsidRDefault="00B41056" w:rsidP="00A508E7">
      <w:pPr>
        <w:pStyle w:val="CGC2025ParaNumbers"/>
      </w:pPr>
      <w:r>
        <w:t xml:space="preserve">To </w:t>
      </w:r>
      <w:r w:rsidR="00824789">
        <w:t>measure prospective models against</w:t>
      </w:r>
      <w:r>
        <w:t xml:space="preserve"> these </w:t>
      </w:r>
      <w:r w:rsidR="003D78BF">
        <w:t xml:space="preserve">criteria, the Commission ran a series of </w:t>
      </w:r>
      <w:r w:rsidR="00AD2CD4">
        <w:t xml:space="preserve">prospective regression </w:t>
      </w:r>
      <w:r w:rsidR="003D78BF">
        <w:t>models on the data</w:t>
      </w:r>
      <w:r w:rsidR="00AD2CD4">
        <w:t xml:space="preserve">. </w:t>
      </w:r>
      <w:r w:rsidR="009B235A">
        <w:t>S</w:t>
      </w:r>
      <w:r w:rsidR="003D78BF">
        <w:t>tarting with a simple model including only t</w:t>
      </w:r>
      <w:r w:rsidR="00D3255B">
        <w:t xml:space="preserve">he state of usual residence and the sex of </w:t>
      </w:r>
      <w:r w:rsidR="00A00F5D">
        <w:t>individuals</w:t>
      </w:r>
      <w:r w:rsidR="009B235A">
        <w:t>,</w:t>
      </w:r>
      <w:r w:rsidR="00A00F5D">
        <w:t xml:space="preserve"> then</w:t>
      </w:r>
      <w:r w:rsidR="009B235A">
        <w:t xml:space="preserve"> adding variables individually or in related groups</w:t>
      </w:r>
      <w:r w:rsidR="00A00F5D">
        <w:t>.</w:t>
      </w:r>
      <w:r w:rsidR="000E4411">
        <w:t xml:space="preserve"> </w:t>
      </w:r>
      <w:r w:rsidR="00E6216A">
        <w:t xml:space="preserve">The order in which variables are added would make a difference to the final optimised model. The order has been based on the Commission’s </w:t>
      </w:r>
      <w:r w:rsidR="00A747BB">
        <w:t xml:space="preserve">view, informed by Professor Preston’s work, </w:t>
      </w:r>
      <w:r w:rsidR="004E1259">
        <w:t xml:space="preserve">of the relative conceptual strength of each variable. </w:t>
      </w:r>
    </w:p>
    <w:p w14:paraId="7FD2DB73" w14:textId="67410822" w:rsidR="00C05863" w:rsidRDefault="00697271" w:rsidP="009B54AB">
      <w:pPr>
        <w:pStyle w:val="CGC2025ParaNumbers"/>
      </w:pPr>
      <w:r>
        <w:t>These models were all run once for each survey yea</w:t>
      </w:r>
      <w:r w:rsidR="00E426AB">
        <w:t xml:space="preserve">r from 2018 to 2022 inclusive. The average coefficients, standard errors and model fit statistics </w:t>
      </w:r>
      <w:r w:rsidR="00FF1CE2">
        <w:t xml:space="preserve">for each model over the </w:t>
      </w:r>
      <w:r w:rsidR="00D57C69">
        <w:t>5</w:t>
      </w:r>
      <w:r w:rsidR="00FF1CE2">
        <w:t xml:space="preserve"> survey years are presented below</w:t>
      </w:r>
      <w:r w:rsidR="00473914">
        <w:t xml:space="preserve"> in Figures </w:t>
      </w:r>
      <w:r w:rsidR="006D014E">
        <w:t>B-1</w:t>
      </w:r>
      <w:r w:rsidR="00473914">
        <w:t xml:space="preserve"> to </w:t>
      </w:r>
      <w:r w:rsidR="006D014E">
        <w:t>B-4</w:t>
      </w:r>
      <w:r w:rsidR="00473914">
        <w:t xml:space="preserve"> and Tables </w:t>
      </w:r>
      <w:r w:rsidR="006D014E">
        <w:t>B-1</w:t>
      </w:r>
      <w:r w:rsidR="00473914">
        <w:t xml:space="preserve"> to </w:t>
      </w:r>
      <w:r w:rsidR="006D014E">
        <w:t>B-3</w:t>
      </w:r>
      <w:r w:rsidR="004B69FB">
        <w:t>.</w:t>
      </w:r>
    </w:p>
    <w:p w14:paraId="3FC12CA4" w14:textId="64F63AC2" w:rsidR="00160CA4" w:rsidRDefault="00230A00" w:rsidP="009B54AB">
      <w:pPr>
        <w:pStyle w:val="CGC2025ParaNumbers"/>
      </w:pPr>
      <w:r>
        <w:t xml:space="preserve">While there is no single </w:t>
      </w:r>
      <w:r w:rsidR="00DF2A69">
        <w:t xml:space="preserve">model that optimises all criteria, the Commission considers that a model including </w:t>
      </w:r>
      <w:r w:rsidR="006A0FA3">
        <w:t xml:space="preserve">all variables up to </w:t>
      </w:r>
      <w:r w:rsidR="00DF2A69">
        <w:t>usual hours</w:t>
      </w:r>
      <w:r w:rsidR="006A0FA3">
        <w:t xml:space="preserve"> is most appropriate.</w:t>
      </w:r>
    </w:p>
    <w:p w14:paraId="70253FD3" w14:textId="70CF1A39" w:rsidR="009B54AB" w:rsidRDefault="0070055D" w:rsidP="00335FA0">
      <w:pPr>
        <w:pStyle w:val="CGC2025ParaNumbers"/>
      </w:pPr>
      <w:r>
        <w:t>Model</w:t>
      </w:r>
      <w:r w:rsidR="00037D0F">
        <w:t xml:space="preserve"> fit as measured by </w:t>
      </w:r>
      <w:r w:rsidR="00B74022">
        <w:t>R squared, adjusted R squared</w:t>
      </w:r>
      <w:r w:rsidR="00405148">
        <w:t xml:space="preserve"> and</w:t>
      </w:r>
      <w:r w:rsidR="00B74022">
        <w:t xml:space="preserve"> log</w:t>
      </w:r>
      <w:r w:rsidR="0031562D">
        <w:noBreakHyphen/>
      </w:r>
      <w:r w:rsidR="00B74022">
        <w:t>Likelihood</w:t>
      </w:r>
      <w:r w:rsidR="0023430C">
        <w:t xml:space="preserve"> continues to increase for all </w:t>
      </w:r>
      <w:r w:rsidR="00994987">
        <w:t xml:space="preserve">tested models. </w:t>
      </w:r>
      <w:r w:rsidR="00994987" w:rsidRPr="001F25D9">
        <w:t xml:space="preserve">Model fit as measured by the Bayesian information criterion </w:t>
      </w:r>
      <w:r w:rsidR="00E32B2E" w:rsidRPr="001F25D9">
        <w:t xml:space="preserve">is optimised in the </w:t>
      </w:r>
      <w:r w:rsidR="00B3062A" w:rsidRPr="001F25D9">
        <w:t xml:space="preserve">model </w:t>
      </w:r>
      <w:r w:rsidR="00205F78" w:rsidRPr="001F25D9">
        <w:t>with interactions between sex and family variables added</w:t>
      </w:r>
      <w:r w:rsidR="00817172">
        <w:t>, one variable more than the Commission’s preferred approach</w:t>
      </w:r>
      <w:r>
        <w:t>.</w:t>
      </w:r>
      <w:r w:rsidR="00405148">
        <w:t xml:space="preserve"> Model fit as measured by the Akaike information criterion </w:t>
      </w:r>
      <w:r w:rsidR="00335FA0">
        <w:t>is optimised when including detailed industry coefficients but not interacting everything with sex</w:t>
      </w:r>
      <w:r w:rsidR="00170D1D">
        <w:t xml:space="preserve">, </w:t>
      </w:r>
      <w:r w:rsidR="00E90B44">
        <w:t>4</w:t>
      </w:r>
      <w:r w:rsidR="00045FD0">
        <w:t> </w:t>
      </w:r>
      <w:r w:rsidR="00170D1D">
        <w:t>variables more than the Commission’s preferred approach</w:t>
      </w:r>
      <w:r w:rsidR="00335FA0">
        <w:t>.</w:t>
      </w:r>
    </w:p>
    <w:p w14:paraId="6FDBA278" w14:textId="31ED14B1" w:rsidR="00D22D5A" w:rsidRDefault="00B066E7" w:rsidP="005E5DF3">
      <w:pPr>
        <w:pStyle w:val="CGC2025ParaNumbers"/>
      </w:pPr>
      <w:r>
        <w:t xml:space="preserve">The average standard errors for state coefficients </w:t>
      </w:r>
      <w:r w:rsidR="00961E7E">
        <w:t xml:space="preserve">are minimised in the model that includes </w:t>
      </w:r>
      <w:r w:rsidR="001B3C90">
        <w:t xml:space="preserve">all variables up to </w:t>
      </w:r>
      <w:r w:rsidR="00961E7E">
        <w:t xml:space="preserve">interaction </w:t>
      </w:r>
      <w:r w:rsidR="009B64FF">
        <w:t xml:space="preserve">between </w:t>
      </w:r>
      <w:r w:rsidR="00961E7E">
        <w:t>education and age</w:t>
      </w:r>
      <w:r w:rsidR="00CF5840">
        <w:t xml:space="preserve">, </w:t>
      </w:r>
      <w:r w:rsidR="00826577">
        <w:t>2</w:t>
      </w:r>
      <w:r w:rsidR="00CF5840">
        <w:t xml:space="preserve"> variab</w:t>
      </w:r>
      <w:r w:rsidR="00A4796D">
        <w:t>les</w:t>
      </w:r>
      <w:r w:rsidR="008A6824">
        <w:t xml:space="preserve"> more than the Commission’s preferred approach</w:t>
      </w:r>
      <w:r w:rsidR="00B77787">
        <w:t>.</w:t>
      </w:r>
      <w:r>
        <w:t xml:space="preserve"> </w:t>
      </w:r>
      <w:r w:rsidR="0056754C">
        <w:t>Including</w:t>
      </w:r>
      <w:r w:rsidR="00702E50">
        <w:t xml:space="preserve"> limited interaction terms would </w:t>
      </w:r>
      <w:r w:rsidR="004D079A">
        <w:t xml:space="preserve">not </w:t>
      </w:r>
      <w:r w:rsidR="00702E50">
        <w:t>ma</w:t>
      </w:r>
      <w:r w:rsidR="004D079A">
        <w:t xml:space="preserve">terially </w:t>
      </w:r>
      <w:r w:rsidR="00702E50">
        <w:t>change state coefficients,</w:t>
      </w:r>
      <w:r w:rsidR="00AA15D2">
        <w:t xml:space="preserve"> </w:t>
      </w:r>
      <w:r w:rsidR="004D079A">
        <w:t>but it would</w:t>
      </w:r>
      <w:r w:rsidR="00702E50">
        <w:t xml:space="preserve"> slightly reduce the </w:t>
      </w:r>
      <w:r w:rsidR="00855893">
        <w:t>average standard er</w:t>
      </w:r>
      <w:r w:rsidR="00E03B07">
        <w:t>ror</w:t>
      </w:r>
      <w:r w:rsidR="00855893">
        <w:t>s</w:t>
      </w:r>
      <w:r w:rsidR="00855893" w:rsidRPr="00CA110D">
        <w:t>.</w:t>
      </w:r>
      <w:r w:rsidR="00E03B07">
        <w:t xml:space="preserve"> </w:t>
      </w:r>
      <w:r w:rsidR="00554AEC" w:rsidRPr="009F0C36">
        <w:rPr>
          <w:rStyle w:val="Strong"/>
          <w:b w:val="0"/>
        </w:rPr>
        <w:t xml:space="preserve">Each additional variable up to and including the usual hours categories changes </w:t>
      </w:r>
      <w:r w:rsidR="00033D45" w:rsidRPr="009F0C36">
        <w:rPr>
          <w:rStyle w:val="Strong"/>
          <w:b w:val="0"/>
        </w:rPr>
        <w:t>most</w:t>
      </w:r>
      <w:r w:rsidR="00554AEC" w:rsidRPr="009F0C36">
        <w:rPr>
          <w:rStyle w:val="Strong"/>
          <w:b w:val="0"/>
        </w:rPr>
        <w:t xml:space="preserve"> state coefficients in a consistent direction in all </w:t>
      </w:r>
      <w:r w:rsidR="00826577">
        <w:rPr>
          <w:rStyle w:val="Strong"/>
          <w:b w:val="0"/>
        </w:rPr>
        <w:t>5</w:t>
      </w:r>
      <w:r w:rsidR="00554AEC" w:rsidRPr="009F0C36">
        <w:rPr>
          <w:rStyle w:val="Strong"/>
          <w:b w:val="0"/>
        </w:rPr>
        <w:t xml:space="preserve"> years of data. Additional variables beyond that point have inconsistent effects for </w:t>
      </w:r>
      <w:r w:rsidR="005F7411" w:rsidRPr="009F0C36">
        <w:rPr>
          <w:rStyle w:val="Strong"/>
          <w:b w:val="0"/>
        </w:rPr>
        <w:t>most</w:t>
      </w:r>
      <w:r w:rsidR="00554AEC" w:rsidRPr="009F0C36">
        <w:rPr>
          <w:rStyle w:val="Strong"/>
          <w:b w:val="0"/>
        </w:rPr>
        <w:t xml:space="preserve"> states.</w:t>
      </w:r>
      <w:r w:rsidR="000A44DA" w:rsidRPr="009F0C36">
        <w:rPr>
          <w:b/>
        </w:rPr>
        <w:t xml:space="preserve"> </w:t>
      </w:r>
      <w:r w:rsidR="000A44DA" w:rsidRPr="009F0C36">
        <w:t xml:space="preserve">This suggests that after </w:t>
      </w:r>
      <w:r w:rsidR="001A45E0" w:rsidRPr="009F0C36">
        <w:t xml:space="preserve">usual hours, </w:t>
      </w:r>
      <w:r w:rsidR="00D95DC4" w:rsidRPr="009F0C36">
        <w:t xml:space="preserve">additional variables reflect the particular sample in that year, rather than </w:t>
      </w:r>
      <w:r w:rsidR="00CC3234" w:rsidRPr="009F0C36">
        <w:t xml:space="preserve">underlying differences between the actual labour markets in different states. </w:t>
      </w:r>
    </w:p>
    <w:p w14:paraId="11730812" w14:textId="25EE7E19" w:rsidR="00A83520" w:rsidRDefault="001A4DEC" w:rsidP="005E5DF3">
      <w:pPr>
        <w:pStyle w:val="CGC2025ParaNumbers"/>
      </w:pPr>
      <w:r>
        <w:lastRenderedPageBreak/>
        <w:t xml:space="preserve">Overall, </w:t>
      </w:r>
      <w:r w:rsidR="00732E41">
        <w:t xml:space="preserve">the Commission considers that any model between </w:t>
      </w:r>
      <w:r w:rsidR="0076165A">
        <w:t>that including usual hours and that</w:t>
      </w:r>
      <w:r w:rsidR="0076165A" w:rsidDel="00F13D3C">
        <w:t xml:space="preserve"> </w:t>
      </w:r>
      <w:r w:rsidR="0076165A">
        <w:t xml:space="preserve">including age by sex </w:t>
      </w:r>
      <w:r w:rsidR="00062F28">
        <w:t>have very similar statistical comparability and reliability</w:t>
      </w:r>
      <w:r w:rsidR="00EC0F86">
        <w:t xml:space="preserve">. </w:t>
      </w:r>
      <w:r w:rsidR="00FD23C4">
        <w:t>Following Professor Preston</w:t>
      </w:r>
      <w:r w:rsidR="00600BCD">
        <w:t>’</w:t>
      </w:r>
      <w:r w:rsidR="00FD23C4">
        <w:t xml:space="preserve">s advice to place some value on simplicity </w:t>
      </w:r>
      <w:r w:rsidR="00600BCD">
        <w:t>in</w:t>
      </w:r>
      <w:r w:rsidR="00FD23C4">
        <w:t xml:space="preserve"> the </w:t>
      </w:r>
      <w:r w:rsidR="00A83520">
        <w:t>model, the Commission’s preliminary position is</w:t>
      </w:r>
      <w:r w:rsidR="008C584A">
        <w:t xml:space="preserve"> to</w:t>
      </w:r>
      <w:r w:rsidR="00A83520">
        <w:t xml:space="preserve"> </w:t>
      </w:r>
      <w:r w:rsidR="00D11564">
        <w:t>cho</w:t>
      </w:r>
      <w:r w:rsidR="008720F7">
        <w:t>o</w:t>
      </w:r>
      <w:r w:rsidR="00D11564">
        <w:t xml:space="preserve">se the simplest of these. This means that there </w:t>
      </w:r>
      <w:r w:rsidR="008720F7">
        <w:t xml:space="preserve">are no interaction terms in the model. </w:t>
      </w:r>
    </w:p>
    <w:p w14:paraId="172D968B" w14:textId="4BFBBD76" w:rsidR="00641433" w:rsidRDefault="00641433" w:rsidP="004E0005">
      <w:pPr>
        <w:pStyle w:val="CGC2025Caption"/>
        <w:keepNext/>
        <w:keepLines/>
        <w:ind w:left="1134" w:hanging="1134"/>
      </w:pPr>
      <w:bookmarkStart w:id="46" w:name="_Ref144295635"/>
      <w:r>
        <w:t xml:space="preserve">Figure </w:t>
      </w:r>
      <w:r w:rsidR="000E4266">
        <w:t>B</w:t>
      </w:r>
      <w:r w:rsidR="00730C22">
        <w:t>-1</w:t>
      </w:r>
      <w:r>
        <w:t xml:space="preserve"> </w:t>
      </w:r>
      <w:bookmarkEnd w:id="46"/>
      <w:r>
        <w:tab/>
      </w:r>
      <w:r w:rsidR="00AB008F">
        <w:t xml:space="preserve">Average state coefficients </w:t>
      </w:r>
      <w:r w:rsidR="00263B0F">
        <w:t>when</w:t>
      </w:r>
      <w:r w:rsidR="00AB008F">
        <w:t xml:space="preserve"> </w:t>
      </w:r>
      <w:r w:rsidR="00732E32">
        <w:t>including additional</w:t>
      </w:r>
      <w:r w:rsidR="00AB008F">
        <w:t xml:space="preserve"> control variables </w:t>
      </w:r>
      <w:r w:rsidR="00AB1424">
        <w:t>in the regression</w:t>
      </w:r>
      <w:r w:rsidR="00AB008F">
        <w:t xml:space="preserve"> model (20</w:t>
      </w:r>
      <w:r w:rsidR="00732E32">
        <w:t>18</w:t>
      </w:r>
      <w:r w:rsidR="002545C9">
        <w:t>–</w:t>
      </w:r>
      <w:r w:rsidR="00732E32">
        <w:t>22)</w:t>
      </w:r>
    </w:p>
    <w:p w14:paraId="0BFF7D8F" w14:textId="1F090EC0" w:rsidR="00D26BB6" w:rsidRDefault="009241D4" w:rsidP="00E3617F">
      <w:pPr>
        <w:pStyle w:val="CGC2025ParaNumbers"/>
        <w:keepNext/>
        <w:keepLines/>
        <w:numPr>
          <w:ilvl w:val="0"/>
          <w:numId w:val="0"/>
        </w:numPr>
      </w:pPr>
      <w:r w:rsidRPr="009241D4">
        <w:rPr>
          <w:noProof/>
        </w:rPr>
        <w:drawing>
          <wp:inline distT="0" distB="0" distL="0" distR="0" wp14:anchorId="4B1C120F" wp14:editId="0800BAC0">
            <wp:extent cx="5695950" cy="2981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2981325"/>
                    </a:xfrm>
                    <a:prstGeom prst="rect">
                      <a:avLst/>
                    </a:prstGeom>
                    <a:noFill/>
                    <a:ln>
                      <a:noFill/>
                    </a:ln>
                  </pic:spPr>
                </pic:pic>
              </a:graphicData>
            </a:graphic>
          </wp:inline>
        </w:drawing>
      </w:r>
    </w:p>
    <w:p w14:paraId="63E3948B" w14:textId="5AF12007" w:rsidR="006106A6" w:rsidRDefault="00AB1424" w:rsidP="004E0005">
      <w:pPr>
        <w:pStyle w:val="CGC2025TableNote"/>
        <w:keepNext/>
        <w:keepLines/>
        <w:ind w:left="709" w:hanging="596"/>
      </w:pPr>
      <w:r>
        <w:t>Note</w:t>
      </w:r>
      <w:r w:rsidR="00F70FD1">
        <w:t>s</w:t>
      </w:r>
      <w:r>
        <w:t xml:space="preserve">: </w:t>
      </w:r>
      <w:r w:rsidR="004E0005">
        <w:tab/>
      </w:r>
      <w:r w:rsidR="00E85A34">
        <w:t>Horizontal g</w:t>
      </w:r>
      <w:r w:rsidR="00F70FD1">
        <w:t xml:space="preserve">ridlines represent the approximate </w:t>
      </w:r>
      <w:r w:rsidR="000B3DFA">
        <w:t>amount of change that w</w:t>
      </w:r>
      <w:r w:rsidR="007325BD">
        <w:t>ould</w:t>
      </w:r>
      <w:r w:rsidR="000B3DFA">
        <w:t xml:space="preserve"> materially affect </w:t>
      </w:r>
      <w:r w:rsidR="007325BD">
        <w:t xml:space="preserve">the </w:t>
      </w:r>
      <w:r w:rsidR="000B3DFA">
        <w:t xml:space="preserve">GST distribution for </w:t>
      </w:r>
      <w:r w:rsidR="007325BD">
        <w:t>an average state.</w:t>
      </w:r>
    </w:p>
    <w:p w14:paraId="5BF1E460" w14:textId="6F669690" w:rsidR="00A6194E" w:rsidRDefault="00A6194E" w:rsidP="004E0005">
      <w:pPr>
        <w:pStyle w:val="CGC2025TableNote"/>
        <w:keepNext/>
        <w:keepLines/>
        <w:ind w:left="709" w:hanging="596"/>
      </w:pPr>
      <w:r>
        <w:tab/>
      </w:r>
      <w:r w:rsidR="004E0005">
        <w:tab/>
      </w:r>
      <w:r>
        <w:t xml:space="preserve">The vertical gridline at usual hours represents the Commission’s preliminary proposed model. </w:t>
      </w:r>
    </w:p>
    <w:p w14:paraId="167EEB43" w14:textId="4DAB1357" w:rsidR="00A47789" w:rsidRDefault="0097252E" w:rsidP="004E0005">
      <w:pPr>
        <w:pStyle w:val="CGC2025TableNote"/>
        <w:keepNext/>
        <w:keepLines/>
        <w:ind w:left="709" w:hanging="596"/>
      </w:pPr>
      <w:r>
        <w:tab/>
      </w:r>
      <w:r w:rsidR="004E0005">
        <w:tab/>
      </w:r>
      <w:r>
        <w:t>Employment includes a permanent/casual indicator and tenure in current job</w:t>
      </w:r>
      <w:r w:rsidR="00A47789">
        <w:t>.</w:t>
      </w:r>
    </w:p>
    <w:p w14:paraId="4831E1B4" w14:textId="3711C25A" w:rsidR="00A47789" w:rsidRDefault="00A47789" w:rsidP="004E0005">
      <w:pPr>
        <w:pStyle w:val="CGC2025TableNote"/>
        <w:keepNext/>
        <w:keepLines/>
        <w:ind w:left="709" w:hanging="596"/>
      </w:pPr>
      <w:r>
        <w:tab/>
      </w:r>
      <w:r w:rsidR="004E0005">
        <w:tab/>
      </w:r>
      <w:r>
        <w:t xml:space="preserve">Person characteristics include marital status, migrant status and </w:t>
      </w:r>
      <w:r w:rsidR="00DD49C4">
        <w:t xml:space="preserve">having </w:t>
      </w:r>
      <w:r>
        <w:t>dependent children.</w:t>
      </w:r>
    </w:p>
    <w:p w14:paraId="1187B1BF" w14:textId="3F59D70E" w:rsidR="00A47789" w:rsidRDefault="00A47789" w:rsidP="004E0005">
      <w:pPr>
        <w:pStyle w:val="CGC2025TableNote"/>
        <w:keepNext/>
        <w:keepLines/>
        <w:ind w:left="709" w:hanging="596"/>
      </w:pPr>
      <w:r>
        <w:tab/>
      </w:r>
      <w:r w:rsidR="004E0005">
        <w:tab/>
      </w:r>
      <w:r w:rsidR="007C0AEE">
        <w:t xml:space="preserve">Family by sex </w:t>
      </w:r>
      <w:r w:rsidR="00D1221E">
        <w:t xml:space="preserve">allows for </w:t>
      </w:r>
      <w:r w:rsidR="00934480">
        <w:t xml:space="preserve">marital status and dependent children to have a different effect on male and female wages. </w:t>
      </w:r>
    </w:p>
    <w:p w14:paraId="55E37F70" w14:textId="749BFE30" w:rsidR="007E5685" w:rsidRDefault="00481C62" w:rsidP="004E0005">
      <w:pPr>
        <w:pStyle w:val="CGC2025TableNote"/>
        <w:keepNext/>
        <w:keepLines/>
        <w:ind w:left="709" w:hanging="596"/>
      </w:pPr>
      <w:r>
        <w:tab/>
      </w:r>
      <w:r w:rsidR="004E0005">
        <w:tab/>
      </w:r>
      <w:r>
        <w:t>Individuals working fewer than 5 hours or 60 or more hours are excluded from the model</w:t>
      </w:r>
      <w:r w:rsidR="001D1EE2">
        <w:t>.</w:t>
      </w:r>
    </w:p>
    <w:p w14:paraId="6D4B9148" w14:textId="3D93D229" w:rsidR="004E08BD" w:rsidRDefault="004E08BD" w:rsidP="00E3617F">
      <w:pPr>
        <w:pStyle w:val="CGC2025TableNote"/>
        <w:keepLines/>
      </w:pPr>
      <w:r>
        <w:t>Source: Commission calculation</w:t>
      </w:r>
      <w:r w:rsidR="005A656C">
        <w:t>.</w:t>
      </w:r>
    </w:p>
    <w:p w14:paraId="45228022" w14:textId="27C6F960" w:rsidR="007D0C43" w:rsidRDefault="007D0C43" w:rsidP="004E0005">
      <w:pPr>
        <w:pStyle w:val="CGC2025Caption"/>
        <w:keepNext/>
        <w:keepLines/>
        <w:ind w:left="1134" w:hanging="1134"/>
      </w:pPr>
      <w:r>
        <w:lastRenderedPageBreak/>
        <w:t xml:space="preserve">Figure </w:t>
      </w:r>
      <w:r w:rsidR="000E4266">
        <w:t>B</w:t>
      </w:r>
      <w:r w:rsidR="00730C22">
        <w:t>-2</w:t>
      </w:r>
      <w:r>
        <w:tab/>
      </w:r>
      <w:r w:rsidR="00D26067">
        <w:t xml:space="preserve">Average standard errors of </w:t>
      </w:r>
      <w:r w:rsidR="00263B0F">
        <w:t xml:space="preserve">state coefficients when </w:t>
      </w:r>
      <w:r w:rsidR="00D26067">
        <w:t xml:space="preserve">including additional control variables in the regression model </w:t>
      </w:r>
      <w:r w:rsidR="000B69D4">
        <w:t>(2018</w:t>
      </w:r>
      <w:r w:rsidR="00B01F87">
        <w:t>–</w:t>
      </w:r>
      <w:r w:rsidR="000B69D4">
        <w:t>22)</w:t>
      </w:r>
    </w:p>
    <w:p w14:paraId="1148AF6E" w14:textId="78B6449C" w:rsidR="006106A6" w:rsidRDefault="004E08BD" w:rsidP="00E3617F">
      <w:pPr>
        <w:pStyle w:val="CGC2025ParaNumbers"/>
        <w:keepNext/>
        <w:keepLines/>
        <w:numPr>
          <w:ilvl w:val="0"/>
          <w:numId w:val="0"/>
        </w:numPr>
      </w:pPr>
      <w:r w:rsidRPr="004E08BD">
        <w:rPr>
          <w:noProof/>
        </w:rPr>
        <w:drawing>
          <wp:inline distT="0" distB="0" distL="0" distR="0" wp14:anchorId="1C6DCCFA" wp14:editId="7C9EF1FC">
            <wp:extent cx="5695950" cy="2905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2905125"/>
                    </a:xfrm>
                    <a:prstGeom prst="rect">
                      <a:avLst/>
                    </a:prstGeom>
                    <a:noFill/>
                    <a:ln>
                      <a:noFill/>
                    </a:ln>
                  </pic:spPr>
                </pic:pic>
              </a:graphicData>
            </a:graphic>
          </wp:inline>
        </w:drawing>
      </w:r>
    </w:p>
    <w:p w14:paraId="67CD5566" w14:textId="407414EF" w:rsidR="007679AC" w:rsidRDefault="005A656C" w:rsidP="007679AC">
      <w:pPr>
        <w:pStyle w:val="CGC2025TableNote"/>
        <w:keepNext/>
        <w:keepLines/>
      </w:pPr>
      <w:r>
        <w:t xml:space="preserve">Notes: </w:t>
      </w:r>
      <w:r>
        <w:tab/>
      </w:r>
      <w:r w:rsidR="007679AC">
        <w:t xml:space="preserve">See notes to </w:t>
      </w:r>
      <w:r w:rsidR="004E0005">
        <w:t>F</w:t>
      </w:r>
      <w:r w:rsidR="007679AC">
        <w:t xml:space="preserve">igure </w:t>
      </w:r>
      <w:r w:rsidR="006E30C6">
        <w:t>B-1</w:t>
      </w:r>
      <w:r w:rsidR="001D167C">
        <w:t>.</w:t>
      </w:r>
    </w:p>
    <w:p w14:paraId="6D995DFB" w14:textId="77777777" w:rsidR="00F56011" w:rsidRDefault="00F56011" w:rsidP="00F56011">
      <w:pPr>
        <w:pStyle w:val="CGC2025TableNote"/>
        <w:keepLines/>
      </w:pPr>
      <w:r>
        <w:t>Source: Commission calculation.</w:t>
      </w:r>
    </w:p>
    <w:p w14:paraId="20A01E3D" w14:textId="0D137E94" w:rsidR="00227A1C" w:rsidRDefault="00805451" w:rsidP="004E0005">
      <w:pPr>
        <w:pStyle w:val="CGC2025Caption"/>
        <w:keepNext/>
        <w:keepLines/>
        <w:ind w:left="1134" w:hanging="1134"/>
      </w:pPr>
      <w:r>
        <w:t>Figure</w:t>
      </w:r>
      <w:r w:rsidR="00730C22">
        <w:t xml:space="preserve"> </w:t>
      </w:r>
      <w:r w:rsidR="000E4266">
        <w:t>B</w:t>
      </w:r>
      <w:r w:rsidR="00730C22">
        <w:t>-3</w:t>
      </w:r>
      <w:r>
        <w:tab/>
      </w:r>
      <w:r w:rsidR="00A7779F">
        <w:t>Average R squared values of regression models including additional variables (2018</w:t>
      </w:r>
      <w:r w:rsidR="008F576E">
        <w:t>–</w:t>
      </w:r>
      <w:r w:rsidR="00A7779F">
        <w:t>22)</w:t>
      </w:r>
    </w:p>
    <w:p w14:paraId="4869B19E" w14:textId="52E99947" w:rsidR="00A7779F" w:rsidRDefault="007877DD" w:rsidP="00E3617F">
      <w:pPr>
        <w:keepNext/>
        <w:keepLines/>
      </w:pPr>
      <w:r w:rsidRPr="007877DD">
        <w:rPr>
          <w:noProof/>
        </w:rPr>
        <w:drawing>
          <wp:inline distT="0" distB="0" distL="0" distR="0" wp14:anchorId="2EE52DF5" wp14:editId="30A55CE5">
            <wp:extent cx="5705475" cy="2819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2819400"/>
                    </a:xfrm>
                    <a:prstGeom prst="rect">
                      <a:avLst/>
                    </a:prstGeom>
                    <a:noFill/>
                    <a:ln>
                      <a:noFill/>
                    </a:ln>
                  </pic:spPr>
                </pic:pic>
              </a:graphicData>
            </a:graphic>
          </wp:inline>
        </w:drawing>
      </w:r>
    </w:p>
    <w:p w14:paraId="53F24E26" w14:textId="57BAF9A2" w:rsidR="007679AC" w:rsidRDefault="00493044" w:rsidP="007679AC">
      <w:pPr>
        <w:pStyle w:val="CGC2025TableNote"/>
        <w:keepNext/>
        <w:keepLines/>
      </w:pPr>
      <w:r>
        <w:t xml:space="preserve">Notes: </w:t>
      </w:r>
      <w:r>
        <w:tab/>
      </w:r>
      <w:r w:rsidR="007679AC">
        <w:t xml:space="preserve">See notes to </w:t>
      </w:r>
      <w:r w:rsidR="004E0005">
        <w:t>F</w:t>
      </w:r>
      <w:r w:rsidR="007679AC">
        <w:t xml:space="preserve">igure </w:t>
      </w:r>
      <w:r w:rsidR="006E30C6">
        <w:t>B-1</w:t>
      </w:r>
      <w:r w:rsidR="001D167C">
        <w:t>.</w:t>
      </w:r>
    </w:p>
    <w:p w14:paraId="36B51795" w14:textId="77777777" w:rsidR="009A4E10" w:rsidRDefault="009A4E10" w:rsidP="009A4E10">
      <w:pPr>
        <w:pStyle w:val="CGC2025TableNote"/>
        <w:keepLines/>
      </w:pPr>
      <w:r>
        <w:t>Source: Commission calculation.</w:t>
      </w:r>
    </w:p>
    <w:p w14:paraId="0A4DC990" w14:textId="398A4FFE" w:rsidR="00BB5F91" w:rsidRDefault="00BB5F91" w:rsidP="004E0005">
      <w:pPr>
        <w:pStyle w:val="CGC2025Caption"/>
        <w:keepNext/>
        <w:keepLines/>
        <w:ind w:left="1134" w:hanging="1134"/>
      </w:pPr>
      <w:r>
        <w:lastRenderedPageBreak/>
        <w:t xml:space="preserve">Figure </w:t>
      </w:r>
      <w:r w:rsidR="000E4266">
        <w:t>B</w:t>
      </w:r>
      <w:r w:rsidR="00730C22">
        <w:t>-</w:t>
      </w:r>
      <w:r w:rsidR="004400FC">
        <w:t>4</w:t>
      </w:r>
      <w:r>
        <w:tab/>
      </w:r>
      <w:r w:rsidR="00A55273">
        <w:t xml:space="preserve">Average model fit statistics </w:t>
      </w:r>
      <w:r w:rsidR="004B02C6">
        <w:t>of regression models including additional variables (2018</w:t>
      </w:r>
      <w:r w:rsidR="008F576E">
        <w:t>–</w:t>
      </w:r>
      <w:r w:rsidR="004B02C6">
        <w:t>22)</w:t>
      </w:r>
    </w:p>
    <w:p w14:paraId="796AD0B4" w14:textId="12F15F89" w:rsidR="004B02C6" w:rsidRDefault="00A8125B" w:rsidP="00E3617F">
      <w:pPr>
        <w:keepNext/>
        <w:keepLines/>
      </w:pPr>
      <w:r w:rsidRPr="00A8125B">
        <w:rPr>
          <w:noProof/>
        </w:rPr>
        <w:drawing>
          <wp:inline distT="0" distB="0" distL="0" distR="0" wp14:anchorId="035DC78F" wp14:editId="35B24442">
            <wp:extent cx="5695950" cy="2809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2809875"/>
                    </a:xfrm>
                    <a:prstGeom prst="rect">
                      <a:avLst/>
                    </a:prstGeom>
                    <a:noFill/>
                    <a:ln>
                      <a:noFill/>
                    </a:ln>
                  </pic:spPr>
                </pic:pic>
              </a:graphicData>
            </a:graphic>
          </wp:inline>
        </w:drawing>
      </w:r>
    </w:p>
    <w:p w14:paraId="2B6408A1" w14:textId="5BC022AA" w:rsidR="00541981" w:rsidRDefault="00541981" w:rsidP="00541981">
      <w:pPr>
        <w:pStyle w:val="CGC2025TableNote"/>
        <w:keepNext/>
        <w:keepLines/>
      </w:pPr>
      <w:r>
        <w:t xml:space="preserve">Notes: </w:t>
      </w:r>
      <w:r>
        <w:tab/>
        <w:t xml:space="preserve">See notes to </w:t>
      </w:r>
      <w:r w:rsidR="004E0005">
        <w:t>F</w:t>
      </w:r>
      <w:r>
        <w:t xml:space="preserve">igure </w:t>
      </w:r>
      <w:r w:rsidR="006E30C6">
        <w:t>B-1</w:t>
      </w:r>
      <w:r w:rsidR="001D167C">
        <w:t>.</w:t>
      </w:r>
    </w:p>
    <w:p w14:paraId="4F76CBE9" w14:textId="37ABD358" w:rsidR="009A4E10" w:rsidRDefault="009A4E10" w:rsidP="00541981">
      <w:pPr>
        <w:pStyle w:val="CGC2025TableNote"/>
        <w:keepNext/>
        <w:keepLines/>
      </w:pPr>
      <w:r>
        <w:t>Source: Commission calculation.</w:t>
      </w:r>
    </w:p>
    <w:p w14:paraId="448F7CEE" w14:textId="5E93904E" w:rsidR="00C56885" w:rsidRDefault="00C56885" w:rsidP="004E0005">
      <w:pPr>
        <w:pStyle w:val="CGC2025Caption"/>
        <w:keepNext/>
        <w:keepLines/>
        <w:ind w:left="1134" w:hanging="1134"/>
      </w:pPr>
      <w:r>
        <w:t>Table</w:t>
      </w:r>
      <w:r w:rsidR="004400FC">
        <w:t xml:space="preserve"> </w:t>
      </w:r>
      <w:r w:rsidR="000E4266">
        <w:t>B</w:t>
      </w:r>
      <w:r w:rsidR="004400FC">
        <w:t>-1</w:t>
      </w:r>
      <w:r>
        <w:tab/>
      </w:r>
      <w:r w:rsidR="007F3A7E">
        <w:t>Average state coefficients when including additional control variables</w:t>
      </w:r>
      <w:r w:rsidR="00FC69C0">
        <w:t xml:space="preserve"> in the regression model (2018</w:t>
      </w:r>
      <w:r w:rsidR="008F576E">
        <w:t>–</w:t>
      </w:r>
      <w:r w:rsidR="00FC69C0">
        <w:t>20)</w:t>
      </w:r>
    </w:p>
    <w:tbl>
      <w:tblPr>
        <w:tblW w:w="8959" w:type="dxa"/>
        <w:tblLook w:val="04A0" w:firstRow="1" w:lastRow="0" w:firstColumn="1" w:lastColumn="0" w:noHBand="0" w:noVBand="1"/>
      </w:tblPr>
      <w:tblGrid>
        <w:gridCol w:w="1879"/>
        <w:gridCol w:w="885"/>
        <w:gridCol w:w="885"/>
        <w:gridCol w:w="885"/>
        <w:gridCol w:w="885"/>
        <w:gridCol w:w="885"/>
        <w:gridCol w:w="885"/>
        <w:gridCol w:w="885"/>
        <w:gridCol w:w="885"/>
      </w:tblGrid>
      <w:tr w:rsidR="00D44DB6" w:rsidRPr="00D44DB6" w14:paraId="46E3AC2C" w14:textId="77777777" w:rsidTr="0062582F">
        <w:trPr>
          <w:trHeight w:val="270"/>
        </w:trPr>
        <w:tc>
          <w:tcPr>
            <w:tcW w:w="1879" w:type="dxa"/>
            <w:tcBorders>
              <w:top w:val="nil"/>
              <w:left w:val="nil"/>
              <w:bottom w:val="nil"/>
              <w:right w:val="nil"/>
            </w:tcBorders>
            <w:shd w:val="clear" w:color="000000" w:fill="006991"/>
            <w:vAlign w:val="bottom"/>
            <w:hideMark/>
          </w:tcPr>
          <w:p w14:paraId="4FA44BFD" w14:textId="77777777" w:rsidR="00D44DB6" w:rsidRPr="00D44DB6" w:rsidRDefault="00D44DB6" w:rsidP="00E07EF5">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D44DB6">
              <w:rPr>
                <w:rFonts w:ascii="Open Sans Semibold" w:eastAsia="Times New Roman" w:hAnsi="Open Sans Semibold" w:cs="Open Sans Semibold"/>
                <w:color w:val="FFFFFF"/>
                <w:sz w:val="16"/>
                <w:szCs w:val="16"/>
                <w:lang w:eastAsia="en-AU"/>
              </w:rPr>
              <w:t> </w:t>
            </w:r>
          </w:p>
        </w:tc>
        <w:tc>
          <w:tcPr>
            <w:tcW w:w="885" w:type="dxa"/>
            <w:tcBorders>
              <w:top w:val="nil"/>
              <w:left w:val="nil"/>
              <w:bottom w:val="nil"/>
              <w:right w:val="nil"/>
            </w:tcBorders>
            <w:shd w:val="clear" w:color="000000" w:fill="006991"/>
            <w:vAlign w:val="center"/>
            <w:hideMark/>
          </w:tcPr>
          <w:p w14:paraId="6D040F1C"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44DB6">
              <w:rPr>
                <w:rFonts w:ascii="Open Sans Semibold" w:eastAsia="Times New Roman" w:hAnsi="Open Sans Semibold" w:cs="Open Sans Semibold"/>
                <w:color w:val="FFFFFF"/>
                <w:sz w:val="16"/>
                <w:szCs w:val="16"/>
                <w:lang w:eastAsia="en-AU"/>
              </w:rPr>
              <w:t>NSW</w:t>
            </w:r>
          </w:p>
        </w:tc>
        <w:tc>
          <w:tcPr>
            <w:tcW w:w="885" w:type="dxa"/>
            <w:tcBorders>
              <w:top w:val="nil"/>
              <w:left w:val="nil"/>
              <w:bottom w:val="nil"/>
              <w:right w:val="nil"/>
            </w:tcBorders>
            <w:shd w:val="clear" w:color="000000" w:fill="006991"/>
            <w:vAlign w:val="center"/>
            <w:hideMark/>
          </w:tcPr>
          <w:p w14:paraId="4FC49C15"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44DB6">
              <w:rPr>
                <w:rFonts w:ascii="Open Sans Semibold" w:eastAsia="Times New Roman" w:hAnsi="Open Sans Semibold" w:cs="Open Sans Semibold"/>
                <w:color w:val="FFFFFF"/>
                <w:sz w:val="16"/>
                <w:szCs w:val="16"/>
                <w:lang w:eastAsia="en-AU"/>
              </w:rPr>
              <w:t>Vic</w:t>
            </w:r>
          </w:p>
        </w:tc>
        <w:tc>
          <w:tcPr>
            <w:tcW w:w="885" w:type="dxa"/>
            <w:tcBorders>
              <w:top w:val="nil"/>
              <w:left w:val="nil"/>
              <w:bottom w:val="nil"/>
              <w:right w:val="nil"/>
            </w:tcBorders>
            <w:shd w:val="clear" w:color="000000" w:fill="006991"/>
            <w:vAlign w:val="center"/>
            <w:hideMark/>
          </w:tcPr>
          <w:p w14:paraId="44A4B5A9"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44DB6">
              <w:rPr>
                <w:rFonts w:ascii="Open Sans Semibold" w:eastAsia="Times New Roman" w:hAnsi="Open Sans Semibold" w:cs="Open Sans Semibold"/>
                <w:color w:val="FFFFFF"/>
                <w:sz w:val="16"/>
                <w:szCs w:val="16"/>
                <w:lang w:eastAsia="en-AU"/>
              </w:rPr>
              <w:t>Qld</w:t>
            </w:r>
          </w:p>
        </w:tc>
        <w:tc>
          <w:tcPr>
            <w:tcW w:w="885" w:type="dxa"/>
            <w:tcBorders>
              <w:top w:val="nil"/>
              <w:left w:val="nil"/>
              <w:bottom w:val="nil"/>
              <w:right w:val="nil"/>
            </w:tcBorders>
            <w:shd w:val="clear" w:color="000000" w:fill="006991"/>
            <w:vAlign w:val="center"/>
            <w:hideMark/>
          </w:tcPr>
          <w:p w14:paraId="7DD9DAAC"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44DB6">
              <w:rPr>
                <w:rFonts w:ascii="Open Sans Semibold" w:eastAsia="Times New Roman" w:hAnsi="Open Sans Semibold" w:cs="Open Sans Semibold"/>
                <w:color w:val="FFFFFF"/>
                <w:sz w:val="16"/>
                <w:szCs w:val="16"/>
                <w:lang w:eastAsia="en-AU"/>
              </w:rPr>
              <w:t>WA</w:t>
            </w:r>
          </w:p>
        </w:tc>
        <w:tc>
          <w:tcPr>
            <w:tcW w:w="885" w:type="dxa"/>
            <w:tcBorders>
              <w:top w:val="nil"/>
              <w:left w:val="nil"/>
              <w:bottom w:val="nil"/>
              <w:right w:val="nil"/>
            </w:tcBorders>
            <w:shd w:val="clear" w:color="000000" w:fill="006991"/>
            <w:vAlign w:val="center"/>
            <w:hideMark/>
          </w:tcPr>
          <w:p w14:paraId="29A70739"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44DB6">
              <w:rPr>
                <w:rFonts w:ascii="Open Sans Semibold" w:eastAsia="Times New Roman" w:hAnsi="Open Sans Semibold" w:cs="Open Sans Semibold"/>
                <w:color w:val="FFFFFF"/>
                <w:sz w:val="16"/>
                <w:szCs w:val="16"/>
                <w:lang w:eastAsia="en-AU"/>
              </w:rPr>
              <w:t>SA</w:t>
            </w:r>
          </w:p>
        </w:tc>
        <w:tc>
          <w:tcPr>
            <w:tcW w:w="885" w:type="dxa"/>
            <w:tcBorders>
              <w:top w:val="nil"/>
              <w:left w:val="nil"/>
              <w:bottom w:val="nil"/>
              <w:right w:val="nil"/>
            </w:tcBorders>
            <w:shd w:val="clear" w:color="000000" w:fill="006991"/>
            <w:vAlign w:val="center"/>
            <w:hideMark/>
          </w:tcPr>
          <w:p w14:paraId="07CCF099"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44DB6">
              <w:rPr>
                <w:rFonts w:ascii="Open Sans Semibold" w:eastAsia="Times New Roman" w:hAnsi="Open Sans Semibold" w:cs="Open Sans Semibold"/>
                <w:color w:val="FFFFFF"/>
                <w:sz w:val="16"/>
                <w:szCs w:val="16"/>
                <w:lang w:eastAsia="en-AU"/>
              </w:rPr>
              <w:t>Tas</w:t>
            </w:r>
          </w:p>
        </w:tc>
        <w:tc>
          <w:tcPr>
            <w:tcW w:w="885" w:type="dxa"/>
            <w:tcBorders>
              <w:top w:val="nil"/>
              <w:left w:val="nil"/>
              <w:bottom w:val="nil"/>
              <w:right w:val="nil"/>
            </w:tcBorders>
            <w:shd w:val="clear" w:color="000000" w:fill="006991"/>
            <w:vAlign w:val="center"/>
            <w:hideMark/>
          </w:tcPr>
          <w:p w14:paraId="5C36DDB8"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44DB6">
              <w:rPr>
                <w:rFonts w:ascii="Open Sans Semibold" w:eastAsia="Times New Roman" w:hAnsi="Open Sans Semibold" w:cs="Open Sans Semibold"/>
                <w:color w:val="FFFFFF"/>
                <w:sz w:val="16"/>
                <w:szCs w:val="16"/>
                <w:lang w:eastAsia="en-AU"/>
              </w:rPr>
              <w:t>ACT</w:t>
            </w:r>
          </w:p>
        </w:tc>
        <w:tc>
          <w:tcPr>
            <w:tcW w:w="885" w:type="dxa"/>
            <w:tcBorders>
              <w:top w:val="nil"/>
              <w:left w:val="nil"/>
              <w:bottom w:val="nil"/>
              <w:right w:val="nil"/>
            </w:tcBorders>
            <w:shd w:val="clear" w:color="000000" w:fill="006991"/>
            <w:vAlign w:val="center"/>
            <w:hideMark/>
          </w:tcPr>
          <w:p w14:paraId="3FE4C844"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44DB6">
              <w:rPr>
                <w:rFonts w:ascii="Open Sans Semibold" w:eastAsia="Times New Roman" w:hAnsi="Open Sans Semibold" w:cs="Open Sans Semibold"/>
                <w:color w:val="FFFFFF"/>
                <w:sz w:val="16"/>
                <w:szCs w:val="16"/>
                <w:lang w:eastAsia="en-AU"/>
              </w:rPr>
              <w:t>NT</w:t>
            </w:r>
          </w:p>
        </w:tc>
      </w:tr>
      <w:tr w:rsidR="00D44DB6" w:rsidRPr="00D44DB6" w14:paraId="6DFCE966"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2750FB2A"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State and sex</w:t>
            </w:r>
          </w:p>
        </w:tc>
        <w:tc>
          <w:tcPr>
            <w:tcW w:w="885" w:type="dxa"/>
            <w:tcBorders>
              <w:top w:val="single" w:sz="4" w:space="0" w:color="ADD6EA"/>
              <w:left w:val="nil"/>
              <w:bottom w:val="nil"/>
              <w:right w:val="nil"/>
            </w:tcBorders>
            <w:shd w:val="clear" w:color="auto" w:fill="auto"/>
            <w:vAlign w:val="bottom"/>
            <w:hideMark/>
          </w:tcPr>
          <w:p w14:paraId="68C0324D"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0.0390</w:t>
            </w:r>
          </w:p>
        </w:tc>
        <w:tc>
          <w:tcPr>
            <w:tcW w:w="885" w:type="dxa"/>
            <w:tcBorders>
              <w:top w:val="single" w:sz="4" w:space="0" w:color="ADD6EA"/>
              <w:left w:val="nil"/>
              <w:bottom w:val="nil"/>
              <w:right w:val="nil"/>
            </w:tcBorders>
            <w:shd w:val="clear" w:color="auto" w:fill="auto"/>
            <w:vAlign w:val="bottom"/>
            <w:hideMark/>
          </w:tcPr>
          <w:p w14:paraId="3056AF15"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0.0245</w:t>
            </w:r>
          </w:p>
        </w:tc>
        <w:tc>
          <w:tcPr>
            <w:tcW w:w="885" w:type="dxa"/>
            <w:tcBorders>
              <w:top w:val="single" w:sz="4" w:space="0" w:color="ADD6EA"/>
              <w:left w:val="nil"/>
              <w:bottom w:val="nil"/>
              <w:right w:val="nil"/>
            </w:tcBorders>
            <w:shd w:val="clear" w:color="auto" w:fill="auto"/>
            <w:vAlign w:val="bottom"/>
            <w:hideMark/>
          </w:tcPr>
          <w:p w14:paraId="08877CD1"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-0.0398</w:t>
            </w:r>
          </w:p>
        </w:tc>
        <w:tc>
          <w:tcPr>
            <w:tcW w:w="885" w:type="dxa"/>
            <w:tcBorders>
              <w:top w:val="single" w:sz="4" w:space="0" w:color="ADD6EA"/>
              <w:left w:val="nil"/>
              <w:bottom w:val="nil"/>
              <w:right w:val="nil"/>
            </w:tcBorders>
            <w:shd w:val="clear" w:color="auto" w:fill="auto"/>
            <w:vAlign w:val="bottom"/>
            <w:hideMark/>
          </w:tcPr>
          <w:p w14:paraId="50CC1CA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0.0584</w:t>
            </w:r>
          </w:p>
        </w:tc>
        <w:tc>
          <w:tcPr>
            <w:tcW w:w="885" w:type="dxa"/>
            <w:tcBorders>
              <w:top w:val="single" w:sz="4" w:space="0" w:color="ADD6EA"/>
              <w:left w:val="nil"/>
              <w:bottom w:val="nil"/>
              <w:right w:val="nil"/>
            </w:tcBorders>
            <w:shd w:val="clear" w:color="auto" w:fill="auto"/>
            <w:vAlign w:val="bottom"/>
            <w:hideMark/>
          </w:tcPr>
          <w:p w14:paraId="41739AB1"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-0.0626</w:t>
            </w:r>
          </w:p>
        </w:tc>
        <w:tc>
          <w:tcPr>
            <w:tcW w:w="885" w:type="dxa"/>
            <w:tcBorders>
              <w:top w:val="single" w:sz="4" w:space="0" w:color="ADD6EA"/>
              <w:left w:val="nil"/>
              <w:bottom w:val="nil"/>
              <w:right w:val="nil"/>
            </w:tcBorders>
            <w:shd w:val="clear" w:color="auto" w:fill="auto"/>
            <w:vAlign w:val="bottom"/>
            <w:hideMark/>
          </w:tcPr>
          <w:p w14:paraId="0B024D59"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-0.0955</w:t>
            </w:r>
          </w:p>
        </w:tc>
        <w:tc>
          <w:tcPr>
            <w:tcW w:w="885" w:type="dxa"/>
            <w:tcBorders>
              <w:top w:val="single" w:sz="4" w:space="0" w:color="ADD6EA"/>
              <w:left w:val="nil"/>
              <w:bottom w:val="nil"/>
              <w:right w:val="nil"/>
            </w:tcBorders>
            <w:shd w:val="clear" w:color="auto" w:fill="auto"/>
            <w:vAlign w:val="bottom"/>
            <w:hideMark/>
          </w:tcPr>
          <w:p w14:paraId="725E090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0.0903</w:t>
            </w:r>
          </w:p>
        </w:tc>
        <w:tc>
          <w:tcPr>
            <w:tcW w:w="885" w:type="dxa"/>
            <w:tcBorders>
              <w:top w:val="single" w:sz="4" w:space="0" w:color="ADD6EA"/>
              <w:left w:val="nil"/>
              <w:bottom w:val="nil"/>
              <w:right w:val="nil"/>
            </w:tcBorders>
            <w:shd w:val="clear" w:color="auto" w:fill="auto"/>
            <w:vAlign w:val="bottom"/>
            <w:hideMark/>
          </w:tcPr>
          <w:p w14:paraId="1C8D262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-0.0143</w:t>
            </w:r>
          </w:p>
        </w:tc>
      </w:tr>
      <w:tr w:rsidR="00D44DB6" w:rsidRPr="00D44DB6" w14:paraId="43722B97"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1A92E259"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Education</w:t>
            </w:r>
          </w:p>
        </w:tc>
        <w:tc>
          <w:tcPr>
            <w:tcW w:w="885" w:type="dxa"/>
            <w:tcBorders>
              <w:top w:val="single" w:sz="4" w:space="0" w:color="ADD6EA"/>
              <w:left w:val="nil"/>
              <w:bottom w:val="nil"/>
              <w:right w:val="nil"/>
            </w:tcBorders>
            <w:shd w:val="clear" w:color="auto" w:fill="auto"/>
            <w:vAlign w:val="bottom"/>
            <w:hideMark/>
          </w:tcPr>
          <w:p w14:paraId="10022037"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0.0185</w:t>
            </w:r>
          </w:p>
        </w:tc>
        <w:tc>
          <w:tcPr>
            <w:tcW w:w="885" w:type="dxa"/>
            <w:tcBorders>
              <w:top w:val="single" w:sz="4" w:space="0" w:color="ADD6EA"/>
              <w:left w:val="nil"/>
              <w:bottom w:val="nil"/>
              <w:right w:val="nil"/>
            </w:tcBorders>
            <w:shd w:val="clear" w:color="auto" w:fill="auto"/>
            <w:vAlign w:val="bottom"/>
            <w:hideMark/>
          </w:tcPr>
          <w:p w14:paraId="3C9A941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-0.0030</w:t>
            </w:r>
          </w:p>
        </w:tc>
        <w:tc>
          <w:tcPr>
            <w:tcW w:w="885" w:type="dxa"/>
            <w:tcBorders>
              <w:top w:val="single" w:sz="4" w:space="0" w:color="ADD6EA"/>
              <w:left w:val="nil"/>
              <w:bottom w:val="nil"/>
              <w:right w:val="nil"/>
            </w:tcBorders>
            <w:shd w:val="clear" w:color="auto" w:fill="auto"/>
            <w:vAlign w:val="bottom"/>
            <w:hideMark/>
          </w:tcPr>
          <w:p w14:paraId="112FA2A7"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-0.0189</w:t>
            </w:r>
          </w:p>
        </w:tc>
        <w:tc>
          <w:tcPr>
            <w:tcW w:w="885" w:type="dxa"/>
            <w:tcBorders>
              <w:top w:val="single" w:sz="4" w:space="0" w:color="ADD6EA"/>
              <w:left w:val="nil"/>
              <w:bottom w:val="nil"/>
              <w:right w:val="nil"/>
            </w:tcBorders>
            <w:shd w:val="clear" w:color="auto" w:fill="auto"/>
            <w:vAlign w:val="bottom"/>
            <w:hideMark/>
          </w:tcPr>
          <w:p w14:paraId="6B7F9CE8"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0.0639</w:t>
            </w:r>
          </w:p>
        </w:tc>
        <w:tc>
          <w:tcPr>
            <w:tcW w:w="885" w:type="dxa"/>
            <w:tcBorders>
              <w:top w:val="single" w:sz="4" w:space="0" w:color="ADD6EA"/>
              <w:left w:val="nil"/>
              <w:bottom w:val="nil"/>
              <w:right w:val="nil"/>
            </w:tcBorders>
            <w:shd w:val="clear" w:color="auto" w:fill="auto"/>
            <w:vAlign w:val="bottom"/>
            <w:hideMark/>
          </w:tcPr>
          <w:p w14:paraId="19B371FC"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-0.0436</w:t>
            </w:r>
          </w:p>
        </w:tc>
        <w:tc>
          <w:tcPr>
            <w:tcW w:w="885" w:type="dxa"/>
            <w:tcBorders>
              <w:top w:val="single" w:sz="4" w:space="0" w:color="ADD6EA"/>
              <w:left w:val="nil"/>
              <w:bottom w:val="nil"/>
              <w:right w:val="nil"/>
            </w:tcBorders>
            <w:shd w:val="clear" w:color="auto" w:fill="auto"/>
            <w:vAlign w:val="bottom"/>
            <w:hideMark/>
          </w:tcPr>
          <w:p w14:paraId="1428943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-0.0645</w:t>
            </w:r>
          </w:p>
        </w:tc>
        <w:tc>
          <w:tcPr>
            <w:tcW w:w="885" w:type="dxa"/>
            <w:tcBorders>
              <w:top w:val="single" w:sz="4" w:space="0" w:color="ADD6EA"/>
              <w:left w:val="nil"/>
              <w:bottom w:val="nil"/>
              <w:right w:val="nil"/>
            </w:tcBorders>
            <w:shd w:val="clear" w:color="auto" w:fill="auto"/>
            <w:vAlign w:val="bottom"/>
            <w:hideMark/>
          </w:tcPr>
          <w:p w14:paraId="73CA8FEA"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0.0527</w:t>
            </w:r>
          </w:p>
        </w:tc>
        <w:tc>
          <w:tcPr>
            <w:tcW w:w="885" w:type="dxa"/>
            <w:tcBorders>
              <w:top w:val="single" w:sz="4" w:space="0" w:color="ADD6EA"/>
              <w:left w:val="nil"/>
              <w:bottom w:val="nil"/>
              <w:right w:val="nil"/>
            </w:tcBorders>
            <w:shd w:val="clear" w:color="auto" w:fill="auto"/>
            <w:vAlign w:val="bottom"/>
            <w:hideMark/>
          </w:tcPr>
          <w:p w14:paraId="3CFFFBF8"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-0.0051</w:t>
            </w:r>
          </w:p>
        </w:tc>
      </w:tr>
      <w:tr w:rsidR="00D44DB6" w:rsidRPr="00D44DB6" w14:paraId="0212F944"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0DFF192C"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Employment</w:t>
            </w:r>
          </w:p>
        </w:tc>
        <w:tc>
          <w:tcPr>
            <w:tcW w:w="885" w:type="dxa"/>
            <w:tcBorders>
              <w:top w:val="single" w:sz="4" w:space="0" w:color="ADD6EA"/>
              <w:left w:val="nil"/>
              <w:bottom w:val="nil"/>
              <w:right w:val="nil"/>
            </w:tcBorders>
            <w:shd w:val="clear" w:color="auto" w:fill="auto"/>
            <w:vAlign w:val="bottom"/>
            <w:hideMark/>
          </w:tcPr>
          <w:p w14:paraId="0E75743F"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0.0124</w:t>
            </w:r>
          </w:p>
        </w:tc>
        <w:tc>
          <w:tcPr>
            <w:tcW w:w="885" w:type="dxa"/>
            <w:tcBorders>
              <w:top w:val="single" w:sz="4" w:space="0" w:color="ADD6EA"/>
              <w:left w:val="nil"/>
              <w:bottom w:val="nil"/>
              <w:right w:val="nil"/>
            </w:tcBorders>
            <w:shd w:val="clear" w:color="auto" w:fill="auto"/>
            <w:vAlign w:val="bottom"/>
            <w:hideMark/>
          </w:tcPr>
          <w:p w14:paraId="4AF93E6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-0.0098</w:t>
            </w:r>
          </w:p>
        </w:tc>
        <w:tc>
          <w:tcPr>
            <w:tcW w:w="885" w:type="dxa"/>
            <w:tcBorders>
              <w:top w:val="single" w:sz="4" w:space="0" w:color="ADD6EA"/>
              <w:left w:val="nil"/>
              <w:bottom w:val="nil"/>
              <w:right w:val="nil"/>
            </w:tcBorders>
            <w:shd w:val="clear" w:color="auto" w:fill="auto"/>
            <w:vAlign w:val="bottom"/>
            <w:hideMark/>
          </w:tcPr>
          <w:p w14:paraId="56DB9AA8"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-0.0152</w:t>
            </w:r>
          </w:p>
        </w:tc>
        <w:tc>
          <w:tcPr>
            <w:tcW w:w="885" w:type="dxa"/>
            <w:tcBorders>
              <w:top w:val="single" w:sz="4" w:space="0" w:color="ADD6EA"/>
              <w:left w:val="nil"/>
              <w:bottom w:val="nil"/>
              <w:right w:val="nil"/>
            </w:tcBorders>
            <w:shd w:val="clear" w:color="auto" w:fill="auto"/>
            <w:vAlign w:val="bottom"/>
            <w:hideMark/>
          </w:tcPr>
          <w:p w14:paraId="41C9036F"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0.0645</w:t>
            </w:r>
          </w:p>
        </w:tc>
        <w:tc>
          <w:tcPr>
            <w:tcW w:w="885" w:type="dxa"/>
            <w:tcBorders>
              <w:top w:val="single" w:sz="4" w:space="0" w:color="ADD6EA"/>
              <w:left w:val="nil"/>
              <w:bottom w:val="nil"/>
              <w:right w:val="nil"/>
            </w:tcBorders>
            <w:shd w:val="clear" w:color="auto" w:fill="auto"/>
            <w:vAlign w:val="bottom"/>
            <w:hideMark/>
          </w:tcPr>
          <w:p w14:paraId="5795A273"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-0.0501</w:t>
            </w:r>
          </w:p>
        </w:tc>
        <w:tc>
          <w:tcPr>
            <w:tcW w:w="885" w:type="dxa"/>
            <w:tcBorders>
              <w:top w:val="single" w:sz="4" w:space="0" w:color="ADD6EA"/>
              <w:left w:val="nil"/>
              <w:bottom w:val="nil"/>
              <w:right w:val="nil"/>
            </w:tcBorders>
            <w:shd w:val="clear" w:color="auto" w:fill="auto"/>
            <w:vAlign w:val="bottom"/>
            <w:hideMark/>
          </w:tcPr>
          <w:p w14:paraId="2285E98D"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-0.0712</w:t>
            </w:r>
          </w:p>
        </w:tc>
        <w:tc>
          <w:tcPr>
            <w:tcW w:w="885" w:type="dxa"/>
            <w:tcBorders>
              <w:top w:val="single" w:sz="4" w:space="0" w:color="ADD6EA"/>
              <w:left w:val="nil"/>
              <w:bottom w:val="nil"/>
              <w:right w:val="nil"/>
            </w:tcBorders>
            <w:shd w:val="clear" w:color="auto" w:fill="auto"/>
            <w:vAlign w:val="bottom"/>
            <w:hideMark/>
          </w:tcPr>
          <w:p w14:paraId="065D7C8D"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0.0635</w:t>
            </w:r>
          </w:p>
        </w:tc>
        <w:tc>
          <w:tcPr>
            <w:tcW w:w="885" w:type="dxa"/>
            <w:tcBorders>
              <w:top w:val="single" w:sz="4" w:space="0" w:color="ADD6EA"/>
              <w:left w:val="nil"/>
              <w:bottom w:val="nil"/>
              <w:right w:val="nil"/>
            </w:tcBorders>
            <w:shd w:val="clear" w:color="auto" w:fill="auto"/>
            <w:vAlign w:val="bottom"/>
            <w:hideMark/>
          </w:tcPr>
          <w:p w14:paraId="4B7FD4C9"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0.0058</w:t>
            </w:r>
          </w:p>
        </w:tc>
      </w:tr>
      <w:tr w:rsidR="00D44DB6" w:rsidRPr="00D44DB6" w14:paraId="4D4343E9"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2CF15BCE" w14:textId="57F38D0E"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 xml:space="preserve">Age (5 year </w:t>
            </w:r>
            <w:r w:rsidR="00051AA9">
              <w:rPr>
                <w:rFonts w:eastAsia="Times New Roman" w:cs="Open Sans Light"/>
                <w:color w:val="000000"/>
                <w:sz w:val="16"/>
                <w:szCs w:val="16"/>
                <w:lang w:eastAsia="en-AU"/>
              </w:rPr>
              <w:t>groups</w:t>
            </w:r>
            <w:r w:rsidRPr="00D44DB6">
              <w:rPr>
                <w:rFonts w:eastAsia="Times New Roman" w:cs="Open Sans Light"/>
                <w:color w:val="000000"/>
                <w:sz w:val="16"/>
                <w:szCs w:val="16"/>
                <w:lang w:eastAsia="en-AU"/>
              </w:rPr>
              <w:t>)</w:t>
            </w:r>
          </w:p>
        </w:tc>
        <w:tc>
          <w:tcPr>
            <w:tcW w:w="885" w:type="dxa"/>
            <w:tcBorders>
              <w:top w:val="single" w:sz="4" w:space="0" w:color="ADD6EA"/>
              <w:left w:val="nil"/>
              <w:bottom w:val="nil"/>
              <w:right w:val="nil"/>
            </w:tcBorders>
            <w:shd w:val="clear" w:color="auto" w:fill="auto"/>
            <w:vAlign w:val="bottom"/>
            <w:hideMark/>
          </w:tcPr>
          <w:p w14:paraId="425BA6DC"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0.0161</w:t>
            </w:r>
          </w:p>
        </w:tc>
        <w:tc>
          <w:tcPr>
            <w:tcW w:w="885" w:type="dxa"/>
            <w:tcBorders>
              <w:top w:val="single" w:sz="4" w:space="0" w:color="ADD6EA"/>
              <w:left w:val="nil"/>
              <w:bottom w:val="nil"/>
              <w:right w:val="nil"/>
            </w:tcBorders>
            <w:shd w:val="clear" w:color="auto" w:fill="auto"/>
            <w:vAlign w:val="bottom"/>
            <w:hideMark/>
          </w:tcPr>
          <w:p w14:paraId="511D192B"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-0.0090</w:t>
            </w:r>
          </w:p>
        </w:tc>
        <w:tc>
          <w:tcPr>
            <w:tcW w:w="885" w:type="dxa"/>
            <w:tcBorders>
              <w:top w:val="single" w:sz="4" w:space="0" w:color="ADD6EA"/>
              <w:left w:val="nil"/>
              <w:bottom w:val="nil"/>
              <w:right w:val="nil"/>
            </w:tcBorders>
            <w:shd w:val="clear" w:color="auto" w:fill="auto"/>
            <w:vAlign w:val="bottom"/>
            <w:hideMark/>
          </w:tcPr>
          <w:p w14:paraId="645B58E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-0.0145</w:t>
            </w:r>
          </w:p>
        </w:tc>
        <w:tc>
          <w:tcPr>
            <w:tcW w:w="885" w:type="dxa"/>
            <w:tcBorders>
              <w:top w:val="single" w:sz="4" w:space="0" w:color="ADD6EA"/>
              <w:left w:val="nil"/>
              <w:bottom w:val="nil"/>
              <w:right w:val="nil"/>
            </w:tcBorders>
            <w:shd w:val="clear" w:color="auto" w:fill="auto"/>
            <w:vAlign w:val="bottom"/>
            <w:hideMark/>
          </w:tcPr>
          <w:p w14:paraId="1F6E0D9A"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0.0597</w:t>
            </w:r>
          </w:p>
        </w:tc>
        <w:tc>
          <w:tcPr>
            <w:tcW w:w="885" w:type="dxa"/>
            <w:tcBorders>
              <w:top w:val="single" w:sz="4" w:space="0" w:color="ADD6EA"/>
              <w:left w:val="nil"/>
              <w:bottom w:val="nil"/>
              <w:right w:val="nil"/>
            </w:tcBorders>
            <w:shd w:val="clear" w:color="auto" w:fill="auto"/>
            <w:vAlign w:val="bottom"/>
            <w:hideMark/>
          </w:tcPr>
          <w:p w14:paraId="5C0CA090"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-0.0510</w:t>
            </w:r>
          </w:p>
        </w:tc>
        <w:tc>
          <w:tcPr>
            <w:tcW w:w="885" w:type="dxa"/>
            <w:tcBorders>
              <w:top w:val="single" w:sz="4" w:space="0" w:color="ADD6EA"/>
              <w:left w:val="nil"/>
              <w:bottom w:val="nil"/>
              <w:right w:val="nil"/>
            </w:tcBorders>
            <w:shd w:val="clear" w:color="auto" w:fill="auto"/>
            <w:vAlign w:val="bottom"/>
            <w:hideMark/>
          </w:tcPr>
          <w:p w14:paraId="6B78A96C"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-0.0689</w:t>
            </w:r>
          </w:p>
        </w:tc>
        <w:tc>
          <w:tcPr>
            <w:tcW w:w="885" w:type="dxa"/>
            <w:tcBorders>
              <w:top w:val="single" w:sz="4" w:space="0" w:color="ADD6EA"/>
              <w:left w:val="nil"/>
              <w:bottom w:val="nil"/>
              <w:right w:val="nil"/>
            </w:tcBorders>
            <w:shd w:val="clear" w:color="auto" w:fill="auto"/>
            <w:vAlign w:val="bottom"/>
            <w:hideMark/>
          </w:tcPr>
          <w:p w14:paraId="0F0890C5"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0.0709</w:t>
            </w:r>
          </w:p>
        </w:tc>
        <w:tc>
          <w:tcPr>
            <w:tcW w:w="885" w:type="dxa"/>
            <w:tcBorders>
              <w:top w:val="single" w:sz="4" w:space="0" w:color="ADD6EA"/>
              <w:left w:val="nil"/>
              <w:bottom w:val="nil"/>
              <w:right w:val="nil"/>
            </w:tcBorders>
            <w:shd w:val="clear" w:color="auto" w:fill="auto"/>
            <w:vAlign w:val="bottom"/>
            <w:hideMark/>
          </w:tcPr>
          <w:p w14:paraId="56A684D8"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-0.0033</w:t>
            </w:r>
          </w:p>
        </w:tc>
      </w:tr>
      <w:tr w:rsidR="00D44DB6" w:rsidRPr="00D44DB6" w14:paraId="5E4320BE"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28911BA3"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Person characteristics</w:t>
            </w:r>
          </w:p>
        </w:tc>
        <w:tc>
          <w:tcPr>
            <w:tcW w:w="885" w:type="dxa"/>
            <w:tcBorders>
              <w:top w:val="single" w:sz="4" w:space="0" w:color="ADD6EA"/>
              <w:left w:val="nil"/>
              <w:bottom w:val="nil"/>
              <w:right w:val="nil"/>
            </w:tcBorders>
            <w:shd w:val="clear" w:color="auto" w:fill="auto"/>
            <w:vAlign w:val="bottom"/>
            <w:hideMark/>
          </w:tcPr>
          <w:p w14:paraId="61DDF575"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0.0217</w:t>
            </w:r>
          </w:p>
        </w:tc>
        <w:tc>
          <w:tcPr>
            <w:tcW w:w="885" w:type="dxa"/>
            <w:tcBorders>
              <w:top w:val="single" w:sz="4" w:space="0" w:color="ADD6EA"/>
              <w:left w:val="nil"/>
              <w:bottom w:val="nil"/>
              <w:right w:val="nil"/>
            </w:tcBorders>
            <w:shd w:val="clear" w:color="auto" w:fill="auto"/>
            <w:vAlign w:val="bottom"/>
            <w:hideMark/>
          </w:tcPr>
          <w:p w14:paraId="1B1E810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-0.0033</w:t>
            </w:r>
          </w:p>
        </w:tc>
        <w:tc>
          <w:tcPr>
            <w:tcW w:w="885" w:type="dxa"/>
            <w:tcBorders>
              <w:top w:val="single" w:sz="4" w:space="0" w:color="ADD6EA"/>
              <w:left w:val="nil"/>
              <w:bottom w:val="nil"/>
              <w:right w:val="nil"/>
            </w:tcBorders>
            <w:shd w:val="clear" w:color="auto" w:fill="auto"/>
            <w:vAlign w:val="bottom"/>
            <w:hideMark/>
          </w:tcPr>
          <w:p w14:paraId="7C48456D"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-0.0260</w:t>
            </w:r>
          </w:p>
        </w:tc>
        <w:tc>
          <w:tcPr>
            <w:tcW w:w="885" w:type="dxa"/>
            <w:tcBorders>
              <w:top w:val="single" w:sz="4" w:space="0" w:color="ADD6EA"/>
              <w:left w:val="nil"/>
              <w:bottom w:val="nil"/>
              <w:right w:val="nil"/>
            </w:tcBorders>
            <w:shd w:val="clear" w:color="auto" w:fill="auto"/>
            <w:vAlign w:val="bottom"/>
            <w:hideMark/>
          </w:tcPr>
          <w:p w14:paraId="7B9C51AB"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0.0559</w:t>
            </w:r>
          </w:p>
        </w:tc>
        <w:tc>
          <w:tcPr>
            <w:tcW w:w="885" w:type="dxa"/>
            <w:tcBorders>
              <w:top w:val="single" w:sz="4" w:space="0" w:color="ADD6EA"/>
              <w:left w:val="nil"/>
              <w:bottom w:val="nil"/>
              <w:right w:val="nil"/>
            </w:tcBorders>
            <w:shd w:val="clear" w:color="auto" w:fill="auto"/>
            <w:vAlign w:val="bottom"/>
            <w:hideMark/>
          </w:tcPr>
          <w:p w14:paraId="36F5FCB1"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-0.0562</w:t>
            </w:r>
          </w:p>
        </w:tc>
        <w:tc>
          <w:tcPr>
            <w:tcW w:w="885" w:type="dxa"/>
            <w:tcBorders>
              <w:top w:val="single" w:sz="4" w:space="0" w:color="ADD6EA"/>
              <w:left w:val="nil"/>
              <w:bottom w:val="nil"/>
              <w:right w:val="nil"/>
            </w:tcBorders>
            <w:shd w:val="clear" w:color="auto" w:fill="auto"/>
            <w:vAlign w:val="bottom"/>
            <w:hideMark/>
          </w:tcPr>
          <w:p w14:paraId="15EBD79D"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-0.0786</w:t>
            </w:r>
          </w:p>
        </w:tc>
        <w:tc>
          <w:tcPr>
            <w:tcW w:w="885" w:type="dxa"/>
            <w:tcBorders>
              <w:top w:val="single" w:sz="4" w:space="0" w:color="ADD6EA"/>
              <w:left w:val="nil"/>
              <w:bottom w:val="nil"/>
              <w:right w:val="nil"/>
            </w:tcBorders>
            <w:shd w:val="clear" w:color="auto" w:fill="auto"/>
            <w:vAlign w:val="bottom"/>
            <w:hideMark/>
          </w:tcPr>
          <w:p w14:paraId="13BB5630"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0.0752</w:t>
            </w:r>
          </w:p>
        </w:tc>
        <w:tc>
          <w:tcPr>
            <w:tcW w:w="885" w:type="dxa"/>
            <w:tcBorders>
              <w:top w:val="single" w:sz="4" w:space="0" w:color="ADD6EA"/>
              <w:left w:val="nil"/>
              <w:bottom w:val="nil"/>
              <w:right w:val="nil"/>
            </w:tcBorders>
            <w:shd w:val="clear" w:color="auto" w:fill="auto"/>
            <w:vAlign w:val="bottom"/>
            <w:hideMark/>
          </w:tcPr>
          <w:p w14:paraId="14E6331A"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0.0114</w:t>
            </w:r>
          </w:p>
        </w:tc>
      </w:tr>
      <w:tr w:rsidR="00D44DB6" w:rsidRPr="00D44DB6" w14:paraId="1B6E1113"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504C10FC"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Occupation (broad)</w:t>
            </w:r>
          </w:p>
        </w:tc>
        <w:tc>
          <w:tcPr>
            <w:tcW w:w="885" w:type="dxa"/>
            <w:tcBorders>
              <w:top w:val="single" w:sz="4" w:space="0" w:color="ADD6EA"/>
              <w:left w:val="nil"/>
              <w:bottom w:val="nil"/>
              <w:right w:val="nil"/>
            </w:tcBorders>
            <w:shd w:val="clear" w:color="auto" w:fill="auto"/>
            <w:vAlign w:val="bottom"/>
            <w:hideMark/>
          </w:tcPr>
          <w:p w14:paraId="113465F9"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0.0141</w:t>
            </w:r>
          </w:p>
        </w:tc>
        <w:tc>
          <w:tcPr>
            <w:tcW w:w="885" w:type="dxa"/>
            <w:tcBorders>
              <w:top w:val="single" w:sz="4" w:space="0" w:color="ADD6EA"/>
              <w:left w:val="nil"/>
              <w:bottom w:val="nil"/>
              <w:right w:val="nil"/>
            </w:tcBorders>
            <w:shd w:val="clear" w:color="auto" w:fill="auto"/>
            <w:vAlign w:val="bottom"/>
            <w:hideMark/>
          </w:tcPr>
          <w:p w14:paraId="2238AD71"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-0.0047</w:t>
            </w:r>
          </w:p>
        </w:tc>
        <w:tc>
          <w:tcPr>
            <w:tcW w:w="885" w:type="dxa"/>
            <w:tcBorders>
              <w:top w:val="single" w:sz="4" w:space="0" w:color="ADD6EA"/>
              <w:left w:val="nil"/>
              <w:bottom w:val="nil"/>
              <w:right w:val="nil"/>
            </w:tcBorders>
            <w:shd w:val="clear" w:color="auto" w:fill="auto"/>
            <w:vAlign w:val="bottom"/>
            <w:hideMark/>
          </w:tcPr>
          <w:p w14:paraId="7362936D"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-0.0238</w:t>
            </w:r>
          </w:p>
        </w:tc>
        <w:tc>
          <w:tcPr>
            <w:tcW w:w="885" w:type="dxa"/>
            <w:tcBorders>
              <w:top w:val="single" w:sz="4" w:space="0" w:color="ADD6EA"/>
              <w:left w:val="nil"/>
              <w:bottom w:val="nil"/>
              <w:right w:val="nil"/>
            </w:tcBorders>
            <w:shd w:val="clear" w:color="auto" w:fill="auto"/>
            <w:vAlign w:val="bottom"/>
            <w:hideMark/>
          </w:tcPr>
          <w:p w14:paraId="27BEB27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0.0587</w:t>
            </w:r>
          </w:p>
        </w:tc>
        <w:tc>
          <w:tcPr>
            <w:tcW w:w="885" w:type="dxa"/>
            <w:tcBorders>
              <w:top w:val="single" w:sz="4" w:space="0" w:color="ADD6EA"/>
              <w:left w:val="nil"/>
              <w:bottom w:val="nil"/>
              <w:right w:val="nil"/>
            </w:tcBorders>
            <w:shd w:val="clear" w:color="auto" w:fill="auto"/>
            <w:vAlign w:val="bottom"/>
            <w:hideMark/>
          </w:tcPr>
          <w:p w14:paraId="59D12811"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-0.0520</w:t>
            </w:r>
          </w:p>
        </w:tc>
        <w:tc>
          <w:tcPr>
            <w:tcW w:w="885" w:type="dxa"/>
            <w:tcBorders>
              <w:top w:val="single" w:sz="4" w:space="0" w:color="ADD6EA"/>
              <w:left w:val="nil"/>
              <w:bottom w:val="nil"/>
              <w:right w:val="nil"/>
            </w:tcBorders>
            <w:shd w:val="clear" w:color="auto" w:fill="auto"/>
            <w:vAlign w:val="bottom"/>
            <w:hideMark/>
          </w:tcPr>
          <w:p w14:paraId="47FAEDCA"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-0.0678</w:t>
            </w:r>
          </w:p>
        </w:tc>
        <w:tc>
          <w:tcPr>
            <w:tcW w:w="885" w:type="dxa"/>
            <w:tcBorders>
              <w:top w:val="single" w:sz="4" w:space="0" w:color="ADD6EA"/>
              <w:left w:val="nil"/>
              <w:bottom w:val="nil"/>
              <w:right w:val="nil"/>
            </w:tcBorders>
            <w:shd w:val="clear" w:color="auto" w:fill="auto"/>
            <w:vAlign w:val="bottom"/>
            <w:hideMark/>
          </w:tcPr>
          <w:p w14:paraId="0081418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0.0633</w:t>
            </w:r>
          </w:p>
        </w:tc>
        <w:tc>
          <w:tcPr>
            <w:tcW w:w="885" w:type="dxa"/>
            <w:tcBorders>
              <w:top w:val="single" w:sz="4" w:space="0" w:color="ADD6EA"/>
              <w:left w:val="nil"/>
              <w:bottom w:val="nil"/>
              <w:right w:val="nil"/>
            </w:tcBorders>
            <w:shd w:val="clear" w:color="auto" w:fill="auto"/>
            <w:vAlign w:val="bottom"/>
            <w:hideMark/>
          </w:tcPr>
          <w:p w14:paraId="79BB2457"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0.0120</w:t>
            </w:r>
          </w:p>
        </w:tc>
      </w:tr>
      <w:tr w:rsidR="00D44DB6" w:rsidRPr="00D44DB6" w14:paraId="039D8BC2"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6891C178"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Occupation (detailed)</w:t>
            </w:r>
          </w:p>
        </w:tc>
        <w:tc>
          <w:tcPr>
            <w:tcW w:w="885" w:type="dxa"/>
            <w:tcBorders>
              <w:top w:val="single" w:sz="4" w:space="0" w:color="ADD6EA"/>
              <w:left w:val="nil"/>
              <w:bottom w:val="nil"/>
              <w:right w:val="nil"/>
            </w:tcBorders>
            <w:shd w:val="clear" w:color="auto" w:fill="auto"/>
            <w:vAlign w:val="bottom"/>
            <w:hideMark/>
          </w:tcPr>
          <w:p w14:paraId="3AB801F2"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0.0085</w:t>
            </w:r>
          </w:p>
        </w:tc>
        <w:tc>
          <w:tcPr>
            <w:tcW w:w="885" w:type="dxa"/>
            <w:tcBorders>
              <w:top w:val="single" w:sz="4" w:space="0" w:color="ADD6EA"/>
              <w:left w:val="nil"/>
              <w:bottom w:val="nil"/>
              <w:right w:val="nil"/>
            </w:tcBorders>
            <w:shd w:val="clear" w:color="auto" w:fill="auto"/>
            <w:vAlign w:val="bottom"/>
            <w:hideMark/>
          </w:tcPr>
          <w:p w14:paraId="402F633A"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-0.0039</w:t>
            </w:r>
          </w:p>
        </w:tc>
        <w:tc>
          <w:tcPr>
            <w:tcW w:w="885" w:type="dxa"/>
            <w:tcBorders>
              <w:top w:val="single" w:sz="4" w:space="0" w:color="ADD6EA"/>
              <w:left w:val="nil"/>
              <w:bottom w:val="nil"/>
              <w:right w:val="nil"/>
            </w:tcBorders>
            <w:shd w:val="clear" w:color="auto" w:fill="auto"/>
            <w:vAlign w:val="bottom"/>
            <w:hideMark/>
          </w:tcPr>
          <w:p w14:paraId="74FE786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-0.0242</w:t>
            </w:r>
          </w:p>
        </w:tc>
        <w:tc>
          <w:tcPr>
            <w:tcW w:w="885" w:type="dxa"/>
            <w:tcBorders>
              <w:top w:val="single" w:sz="4" w:space="0" w:color="ADD6EA"/>
              <w:left w:val="nil"/>
              <w:bottom w:val="nil"/>
              <w:right w:val="nil"/>
            </w:tcBorders>
            <w:shd w:val="clear" w:color="auto" w:fill="auto"/>
            <w:vAlign w:val="bottom"/>
            <w:hideMark/>
          </w:tcPr>
          <w:p w14:paraId="615D89BD"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0.0497</w:t>
            </w:r>
          </w:p>
        </w:tc>
        <w:tc>
          <w:tcPr>
            <w:tcW w:w="885" w:type="dxa"/>
            <w:tcBorders>
              <w:top w:val="single" w:sz="4" w:space="0" w:color="ADD6EA"/>
              <w:left w:val="nil"/>
              <w:bottom w:val="nil"/>
              <w:right w:val="nil"/>
            </w:tcBorders>
            <w:shd w:val="clear" w:color="auto" w:fill="auto"/>
            <w:vAlign w:val="bottom"/>
            <w:hideMark/>
          </w:tcPr>
          <w:p w14:paraId="5C7A09C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-0.0477</w:t>
            </w:r>
          </w:p>
        </w:tc>
        <w:tc>
          <w:tcPr>
            <w:tcW w:w="885" w:type="dxa"/>
            <w:tcBorders>
              <w:top w:val="single" w:sz="4" w:space="0" w:color="ADD6EA"/>
              <w:left w:val="nil"/>
              <w:bottom w:val="nil"/>
              <w:right w:val="nil"/>
            </w:tcBorders>
            <w:shd w:val="clear" w:color="auto" w:fill="auto"/>
            <w:vAlign w:val="bottom"/>
            <w:hideMark/>
          </w:tcPr>
          <w:p w14:paraId="50D5E345"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-0.0555</w:t>
            </w:r>
          </w:p>
        </w:tc>
        <w:tc>
          <w:tcPr>
            <w:tcW w:w="885" w:type="dxa"/>
            <w:tcBorders>
              <w:top w:val="single" w:sz="4" w:space="0" w:color="ADD6EA"/>
              <w:left w:val="nil"/>
              <w:bottom w:val="nil"/>
              <w:right w:val="nil"/>
            </w:tcBorders>
            <w:shd w:val="clear" w:color="auto" w:fill="auto"/>
            <w:vAlign w:val="bottom"/>
            <w:hideMark/>
          </w:tcPr>
          <w:p w14:paraId="387CAEF3"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0.0552</w:t>
            </w:r>
          </w:p>
        </w:tc>
        <w:tc>
          <w:tcPr>
            <w:tcW w:w="885" w:type="dxa"/>
            <w:tcBorders>
              <w:top w:val="single" w:sz="4" w:space="0" w:color="ADD6EA"/>
              <w:left w:val="nil"/>
              <w:bottom w:val="nil"/>
              <w:right w:val="nil"/>
            </w:tcBorders>
            <w:shd w:val="clear" w:color="auto" w:fill="auto"/>
            <w:vAlign w:val="bottom"/>
            <w:hideMark/>
          </w:tcPr>
          <w:p w14:paraId="225074CC"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0.0179</w:t>
            </w:r>
          </w:p>
        </w:tc>
      </w:tr>
      <w:tr w:rsidR="00D44DB6" w:rsidRPr="00D44DB6" w14:paraId="01F3862A"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4E073631"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Industry (broad)</w:t>
            </w:r>
          </w:p>
        </w:tc>
        <w:tc>
          <w:tcPr>
            <w:tcW w:w="885" w:type="dxa"/>
            <w:tcBorders>
              <w:top w:val="single" w:sz="4" w:space="0" w:color="ADD6EA"/>
              <w:left w:val="nil"/>
              <w:bottom w:val="nil"/>
              <w:right w:val="nil"/>
            </w:tcBorders>
            <w:shd w:val="clear" w:color="auto" w:fill="auto"/>
            <w:vAlign w:val="bottom"/>
            <w:hideMark/>
          </w:tcPr>
          <w:p w14:paraId="05B6CFCB"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0.0097</w:t>
            </w:r>
          </w:p>
        </w:tc>
        <w:tc>
          <w:tcPr>
            <w:tcW w:w="885" w:type="dxa"/>
            <w:tcBorders>
              <w:top w:val="single" w:sz="4" w:space="0" w:color="ADD6EA"/>
              <w:left w:val="nil"/>
              <w:bottom w:val="nil"/>
              <w:right w:val="nil"/>
            </w:tcBorders>
            <w:shd w:val="clear" w:color="auto" w:fill="auto"/>
            <w:vAlign w:val="bottom"/>
            <w:hideMark/>
          </w:tcPr>
          <w:p w14:paraId="514E57FE"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0.0009</w:t>
            </w:r>
          </w:p>
        </w:tc>
        <w:tc>
          <w:tcPr>
            <w:tcW w:w="885" w:type="dxa"/>
            <w:tcBorders>
              <w:top w:val="single" w:sz="4" w:space="0" w:color="ADD6EA"/>
              <w:left w:val="nil"/>
              <w:bottom w:val="nil"/>
              <w:right w:val="nil"/>
            </w:tcBorders>
            <w:shd w:val="clear" w:color="auto" w:fill="auto"/>
            <w:vAlign w:val="bottom"/>
            <w:hideMark/>
          </w:tcPr>
          <w:p w14:paraId="45927C6C"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-0.0240</w:t>
            </w:r>
          </w:p>
        </w:tc>
        <w:tc>
          <w:tcPr>
            <w:tcW w:w="885" w:type="dxa"/>
            <w:tcBorders>
              <w:top w:val="single" w:sz="4" w:space="0" w:color="ADD6EA"/>
              <w:left w:val="nil"/>
              <w:bottom w:val="nil"/>
              <w:right w:val="nil"/>
            </w:tcBorders>
            <w:shd w:val="clear" w:color="auto" w:fill="auto"/>
            <w:vAlign w:val="bottom"/>
            <w:hideMark/>
          </w:tcPr>
          <w:p w14:paraId="1FBC0A3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0.0309</w:t>
            </w:r>
          </w:p>
        </w:tc>
        <w:tc>
          <w:tcPr>
            <w:tcW w:w="885" w:type="dxa"/>
            <w:tcBorders>
              <w:top w:val="single" w:sz="4" w:space="0" w:color="ADD6EA"/>
              <w:left w:val="nil"/>
              <w:bottom w:val="nil"/>
              <w:right w:val="nil"/>
            </w:tcBorders>
            <w:shd w:val="clear" w:color="auto" w:fill="auto"/>
            <w:vAlign w:val="bottom"/>
            <w:hideMark/>
          </w:tcPr>
          <w:p w14:paraId="0BE07E5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-0.0449</w:t>
            </w:r>
          </w:p>
        </w:tc>
        <w:tc>
          <w:tcPr>
            <w:tcW w:w="885" w:type="dxa"/>
            <w:tcBorders>
              <w:top w:val="single" w:sz="4" w:space="0" w:color="ADD6EA"/>
              <w:left w:val="nil"/>
              <w:bottom w:val="nil"/>
              <w:right w:val="nil"/>
            </w:tcBorders>
            <w:shd w:val="clear" w:color="auto" w:fill="auto"/>
            <w:vAlign w:val="bottom"/>
            <w:hideMark/>
          </w:tcPr>
          <w:p w14:paraId="3E5B25A5"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-0.0517</w:t>
            </w:r>
          </w:p>
        </w:tc>
        <w:tc>
          <w:tcPr>
            <w:tcW w:w="885" w:type="dxa"/>
            <w:tcBorders>
              <w:top w:val="single" w:sz="4" w:space="0" w:color="ADD6EA"/>
              <w:left w:val="nil"/>
              <w:bottom w:val="nil"/>
              <w:right w:val="nil"/>
            </w:tcBorders>
            <w:shd w:val="clear" w:color="auto" w:fill="auto"/>
            <w:vAlign w:val="bottom"/>
            <w:hideMark/>
          </w:tcPr>
          <w:p w14:paraId="49C00F92"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0.0619</w:t>
            </w:r>
          </w:p>
        </w:tc>
        <w:tc>
          <w:tcPr>
            <w:tcW w:w="885" w:type="dxa"/>
            <w:tcBorders>
              <w:top w:val="single" w:sz="4" w:space="0" w:color="ADD6EA"/>
              <w:left w:val="nil"/>
              <w:bottom w:val="nil"/>
              <w:right w:val="nil"/>
            </w:tcBorders>
            <w:shd w:val="clear" w:color="auto" w:fill="auto"/>
            <w:vAlign w:val="bottom"/>
            <w:hideMark/>
          </w:tcPr>
          <w:p w14:paraId="68222BB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0.0171</w:t>
            </w:r>
          </w:p>
        </w:tc>
      </w:tr>
      <w:tr w:rsidR="00D44DB6" w:rsidRPr="00D44DB6" w14:paraId="04BAD86F" w14:textId="77777777" w:rsidTr="0062582F">
        <w:trPr>
          <w:trHeight w:val="270"/>
        </w:trPr>
        <w:tc>
          <w:tcPr>
            <w:tcW w:w="1879" w:type="dxa"/>
            <w:tcBorders>
              <w:top w:val="single" w:sz="4" w:space="0" w:color="ADD6EA"/>
              <w:left w:val="nil"/>
              <w:bottom w:val="single" w:sz="4" w:space="0" w:color="ADD6EA"/>
              <w:right w:val="nil"/>
            </w:tcBorders>
            <w:shd w:val="clear" w:color="000000" w:fill="D6E7F0"/>
            <w:vAlign w:val="bottom"/>
            <w:hideMark/>
          </w:tcPr>
          <w:p w14:paraId="766EB0B4" w14:textId="77777777" w:rsidR="00D44DB6" w:rsidRPr="00D44DB6" w:rsidRDefault="00D44DB6" w:rsidP="00E07EF5">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44DB6">
              <w:rPr>
                <w:rFonts w:ascii="Open Sans Semibold" w:eastAsia="Times New Roman" w:hAnsi="Open Sans Semibold" w:cs="Open Sans Semibold"/>
                <w:color w:val="000000"/>
                <w:sz w:val="16"/>
                <w:szCs w:val="16"/>
                <w:lang w:eastAsia="en-AU"/>
              </w:rPr>
              <w:t>Usual hours</w:t>
            </w:r>
          </w:p>
        </w:tc>
        <w:tc>
          <w:tcPr>
            <w:tcW w:w="885" w:type="dxa"/>
            <w:tcBorders>
              <w:top w:val="single" w:sz="4" w:space="0" w:color="ADD6EA"/>
              <w:left w:val="nil"/>
              <w:bottom w:val="single" w:sz="4" w:space="0" w:color="ADD6EA"/>
              <w:right w:val="nil"/>
            </w:tcBorders>
            <w:shd w:val="clear" w:color="000000" w:fill="D6E7F0"/>
            <w:noWrap/>
            <w:vAlign w:val="bottom"/>
            <w:hideMark/>
          </w:tcPr>
          <w:p w14:paraId="0F7DD31F"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44DB6">
              <w:rPr>
                <w:rFonts w:ascii="Open Sans Semibold" w:eastAsia="Times New Roman" w:hAnsi="Open Sans Semibold" w:cs="Open Sans Semibold"/>
                <w:color w:val="000000"/>
                <w:sz w:val="16"/>
                <w:szCs w:val="16"/>
                <w:lang w:eastAsia="en-AU"/>
              </w:rPr>
              <w:t>0.0099</w:t>
            </w:r>
          </w:p>
        </w:tc>
        <w:tc>
          <w:tcPr>
            <w:tcW w:w="885" w:type="dxa"/>
            <w:tcBorders>
              <w:top w:val="single" w:sz="4" w:space="0" w:color="ADD6EA"/>
              <w:left w:val="nil"/>
              <w:bottom w:val="single" w:sz="4" w:space="0" w:color="ADD6EA"/>
              <w:right w:val="nil"/>
            </w:tcBorders>
            <w:shd w:val="clear" w:color="000000" w:fill="D6E7F0"/>
            <w:noWrap/>
            <w:vAlign w:val="bottom"/>
            <w:hideMark/>
          </w:tcPr>
          <w:p w14:paraId="6918FBB0"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44DB6">
              <w:rPr>
                <w:rFonts w:ascii="Open Sans Semibold" w:eastAsia="Times New Roman" w:hAnsi="Open Sans Semibold" w:cs="Open Sans Semibold"/>
                <w:color w:val="000000"/>
                <w:sz w:val="16"/>
                <w:szCs w:val="16"/>
                <w:lang w:eastAsia="en-AU"/>
              </w:rPr>
              <w:t>0.0018</w:t>
            </w:r>
          </w:p>
        </w:tc>
        <w:tc>
          <w:tcPr>
            <w:tcW w:w="885" w:type="dxa"/>
            <w:tcBorders>
              <w:top w:val="single" w:sz="4" w:space="0" w:color="ADD6EA"/>
              <w:left w:val="nil"/>
              <w:bottom w:val="single" w:sz="4" w:space="0" w:color="ADD6EA"/>
              <w:right w:val="nil"/>
            </w:tcBorders>
            <w:shd w:val="clear" w:color="000000" w:fill="D6E7F0"/>
            <w:noWrap/>
            <w:vAlign w:val="bottom"/>
            <w:hideMark/>
          </w:tcPr>
          <w:p w14:paraId="7E7C8E50"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44DB6">
              <w:rPr>
                <w:rFonts w:ascii="Open Sans Semibold" w:eastAsia="Times New Roman" w:hAnsi="Open Sans Semibold" w:cs="Open Sans Semibold"/>
                <w:color w:val="000000"/>
                <w:sz w:val="16"/>
                <w:szCs w:val="16"/>
                <w:lang w:eastAsia="en-AU"/>
              </w:rPr>
              <w:t>-0.0255</w:t>
            </w:r>
          </w:p>
        </w:tc>
        <w:tc>
          <w:tcPr>
            <w:tcW w:w="885" w:type="dxa"/>
            <w:tcBorders>
              <w:top w:val="single" w:sz="4" w:space="0" w:color="ADD6EA"/>
              <w:left w:val="nil"/>
              <w:bottom w:val="single" w:sz="4" w:space="0" w:color="ADD6EA"/>
              <w:right w:val="nil"/>
            </w:tcBorders>
            <w:shd w:val="clear" w:color="000000" w:fill="D6E7F0"/>
            <w:noWrap/>
            <w:vAlign w:val="bottom"/>
            <w:hideMark/>
          </w:tcPr>
          <w:p w14:paraId="0B6C8B2D"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44DB6">
              <w:rPr>
                <w:rFonts w:ascii="Open Sans Semibold" w:eastAsia="Times New Roman" w:hAnsi="Open Sans Semibold" w:cs="Open Sans Semibold"/>
                <w:color w:val="000000"/>
                <w:sz w:val="16"/>
                <w:szCs w:val="16"/>
                <w:lang w:eastAsia="en-AU"/>
              </w:rPr>
              <w:t>0.0298</w:t>
            </w:r>
          </w:p>
        </w:tc>
        <w:tc>
          <w:tcPr>
            <w:tcW w:w="885" w:type="dxa"/>
            <w:tcBorders>
              <w:top w:val="single" w:sz="4" w:space="0" w:color="ADD6EA"/>
              <w:left w:val="nil"/>
              <w:bottom w:val="single" w:sz="4" w:space="0" w:color="ADD6EA"/>
              <w:right w:val="nil"/>
            </w:tcBorders>
            <w:shd w:val="clear" w:color="000000" w:fill="D6E7F0"/>
            <w:noWrap/>
            <w:vAlign w:val="bottom"/>
            <w:hideMark/>
          </w:tcPr>
          <w:p w14:paraId="5E23F76A"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44DB6">
              <w:rPr>
                <w:rFonts w:ascii="Open Sans Semibold" w:eastAsia="Times New Roman" w:hAnsi="Open Sans Semibold" w:cs="Open Sans Semibold"/>
                <w:color w:val="000000"/>
                <w:sz w:val="16"/>
                <w:szCs w:val="16"/>
                <w:lang w:eastAsia="en-AU"/>
              </w:rPr>
              <w:t>-0.0437</w:t>
            </w:r>
          </w:p>
        </w:tc>
        <w:tc>
          <w:tcPr>
            <w:tcW w:w="885" w:type="dxa"/>
            <w:tcBorders>
              <w:top w:val="single" w:sz="4" w:space="0" w:color="ADD6EA"/>
              <w:left w:val="nil"/>
              <w:bottom w:val="single" w:sz="4" w:space="0" w:color="ADD6EA"/>
              <w:right w:val="nil"/>
            </w:tcBorders>
            <w:shd w:val="clear" w:color="000000" w:fill="D6E7F0"/>
            <w:noWrap/>
            <w:vAlign w:val="bottom"/>
            <w:hideMark/>
          </w:tcPr>
          <w:p w14:paraId="24D794F2"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44DB6">
              <w:rPr>
                <w:rFonts w:ascii="Open Sans Semibold" w:eastAsia="Times New Roman" w:hAnsi="Open Sans Semibold" w:cs="Open Sans Semibold"/>
                <w:color w:val="000000"/>
                <w:sz w:val="16"/>
                <w:szCs w:val="16"/>
                <w:lang w:eastAsia="en-AU"/>
              </w:rPr>
              <w:t>-0.0486</w:t>
            </w:r>
          </w:p>
        </w:tc>
        <w:tc>
          <w:tcPr>
            <w:tcW w:w="885" w:type="dxa"/>
            <w:tcBorders>
              <w:top w:val="single" w:sz="4" w:space="0" w:color="ADD6EA"/>
              <w:left w:val="nil"/>
              <w:bottom w:val="single" w:sz="4" w:space="0" w:color="ADD6EA"/>
              <w:right w:val="nil"/>
            </w:tcBorders>
            <w:shd w:val="clear" w:color="000000" w:fill="D6E7F0"/>
            <w:noWrap/>
            <w:vAlign w:val="bottom"/>
            <w:hideMark/>
          </w:tcPr>
          <w:p w14:paraId="7D79CFEB"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44DB6">
              <w:rPr>
                <w:rFonts w:ascii="Open Sans Semibold" w:eastAsia="Times New Roman" w:hAnsi="Open Sans Semibold" w:cs="Open Sans Semibold"/>
                <w:color w:val="000000"/>
                <w:sz w:val="16"/>
                <w:szCs w:val="16"/>
                <w:lang w:eastAsia="en-AU"/>
              </w:rPr>
              <w:t>0.0627</w:t>
            </w:r>
          </w:p>
        </w:tc>
        <w:tc>
          <w:tcPr>
            <w:tcW w:w="885" w:type="dxa"/>
            <w:tcBorders>
              <w:top w:val="single" w:sz="4" w:space="0" w:color="ADD6EA"/>
              <w:left w:val="nil"/>
              <w:bottom w:val="single" w:sz="4" w:space="0" w:color="ADD6EA"/>
              <w:right w:val="nil"/>
            </w:tcBorders>
            <w:shd w:val="clear" w:color="000000" w:fill="D6E7F0"/>
            <w:noWrap/>
            <w:vAlign w:val="bottom"/>
            <w:hideMark/>
          </w:tcPr>
          <w:p w14:paraId="452A5991" w14:textId="77777777" w:rsidR="00D44DB6" w:rsidRPr="00D44DB6" w:rsidRDefault="00D44DB6" w:rsidP="00E07EF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44DB6">
              <w:rPr>
                <w:rFonts w:ascii="Open Sans Semibold" w:eastAsia="Times New Roman" w:hAnsi="Open Sans Semibold" w:cs="Open Sans Semibold"/>
                <w:color w:val="000000"/>
                <w:sz w:val="16"/>
                <w:szCs w:val="16"/>
                <w:lang w:eastAsia="en-AU"/>
              </w:rPr>
              <w:t>0.0137</w:t>
            </w:r>
          </w:p>
        </w:tc>
      </w:tr>
      <w:tr w:rsidR="00D44DB6" w:rsidRPr="00D44DB6" w14:paraId="519CF872" w14:textId="77777777" w:rsidTr="0062582F">
        <w:trPr>
          <w:trHeight w:val="270"/>
        </w:trPr>
        <w:tc>
          <w:tcPr>
            <w:tcW w:w="1879" w:type="dxa"/>
            <w:tcBorders>
              <w:top w:val="nil"/>
              <w:left w:val="nil"/>
              <w:bottom w:val="nil"/>
              <w:right w:val="nil"/>
            </w:tcBorders>
            <w:shd w:val="clear" w:color="auto" w:fill="auto"/>
            <w:vAlign w:val="bottom"/>
            <w:hideMark/>
          </w:tcPr>
          <w:p w14:paraId="0F0DDC1D"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Family by sex</w:t>
            </w:r>
          </w:p>
        </w:tc>
        <w:tc>
          <w:tcPr>
            <w:tcW w:w="885" w:type="dxa"/>
            <w:tcBorders>
              <w:top w:val="nil"/>
              <w:left w:val="nil"/>
              <w:bottom w:val="nil"/>
              <w:right w:val="nil"/>
            </w:tcBorders>
            <w:shd w:val="clear" w:color="auto" w:fill="auto"/>
            <w:vAlign w:val="bottom"/>
            <w:hideMark/>
          </w:tcPr>
          <w:p w14:paraId="21C20A72"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0.0098</w:t>
            </w:r>
          </w:p>
        </w:tc>
        <w:tc>
          <w:tcPr>
            <w:tcW w:w="885" w:type="dxa"/>
            <w:tcBorders>
              <w:top w:val="nil"/>
              <w:left w:val="nil"/>
              <w:bottom w:val="nil"/>
              <w:right w:val="nil"/>
            </w:tcBorders>
            <w:shd w:val="clear" w:color="auto" w:fill="auto"/>
            <w:vAlign w:val="bottom"/>
            <w:hideMark/>
          </w:tcPr>
          <w:p w14:paraId="2C177CF3"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0.0015</w:t>
            </w:r>
          </w:p>
        </w:tc>
        <w:tc>
          <w:tcPr>
            <w:tcW w:w="885" w:type="dxa"/>
            <w:tcBorders>
              <w:top w:val="nil"/>
              <w:left w:val="nil"/>
              <w:bottom w:val="nil"/>
              <w:right w:val="nil"/>
            </w:tcBorders>
            <w:shd w:val="clear" w:color="auto" w:fill="auto"/>
            <w:vAlign w:val="bottom"/>
            <w:hideMark/>
          </w:tcPr>
          <w:p w14:paraId="1C213F5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-0.0256</w:t>
            </w:r>
          </w:p>
        </w:tc>
        <w:tc>
          <w:tcPr>
            <w:tcW w:w="885" w:type="dxa"/>
            <w:tcBorders>
              <w:top w:val="nil"/>
              <w:left w:val="nil"/>
              <w:bottom w:val="nil"/>
              <w:right w:val="nil"/>
            </w:tcBorders>
            <w:shd w:val="clear" w:color="auto" w:fill="auto"/>
            <w:vAlign w:val="bottom"/>
            <w:hideMark/>
          </w:tcPr>
          <w:p w14:paraId="42877D8A"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0.0299</w:t>
            </w:r>
          </w:p>
        </w:tc>
        <w:tc>
          <w:tcPr>
            <w:tcW w:w="885" w:type="dxa"/>
            <w:tcBorders>
              <w:top w:val="nil"/>
              <w:left w:val="nil"/>
              <w:bottom w:val="nil"/>
              <w:right w:val="nil"/>
            </w:tcBorders>
            <w:shd w:val="clear" w:color="auto" w:fill="auto"/>
            <w:vAlign w:val="bottom"/>
            <w:hideMark/>
          </w:tcPr>
          <w:p w14:paraId="62E7F2EB"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-0.0441</w:t>
            </w:r>
          </w:p>
        </w:tc>
        <w:tc>
          <w:tcPr>
            <w:tcW w:w="885" w:type="dxa"/>
            <w:tcBorders>
              <w:top w:val="nil"/>
              <w:left w:val="nil"/>
              <w:bottom w:val="nil"/>
              <w:right w:val="nil"/>
            </w:tcBorders>
            <w:shd w:val="clear" w:color="auto" w:fill="auto"/>
            <w:vAlign w:val="bottom"/>
            <w:hideMark/>
          </w:tcPr>
          <w:p w14:paraId="775F0EC3"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-0.0492</w:t>
            </w:r>
          </w:p>
        </w:tc>
        <w:tc>
          <w:tcPr>
            <w:tcW w:w="885" w:type="dxa"/>
            <w:tcBorders>
              <w:top w:val="nil"/>
              <w:left w:val="nil"/>
              <w:bottom w:val="nil"/>
              <w:right w:val="nil"/>
            </w:tcBorders>
            <w:shd w:val="clear" w:color="auto" w:fill="auto"/>
            <w:vAlign w:val="bottom"/>
            <w:hideMark/>
          </w:tcPr>
          <w:p w14:paraId="14C6568A"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0.0623</w:t>
            </w:r>
          </w:p>
        </w:tc>
        <w:tc>
          <w:tcPr>
            <w:tcW w:w="885" w:type="dxa"/>
            <w:tcBorders>
              <w:top w:val="nil"/>
              <w:left w:val="nil"/>
              <w:bottom w:val="nil"/>
              <w:right w:val="nil"/>
            </w:tcBorders>
            <w:shd w:val="clear" w:color="auto" w:fill="auto"/>
            <w:vAlign w:val="bottom"/>
            <w:hideMark/>
          </w:tcPr>
          <w:p w14:paraId="17F29DD0"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0.0154</w:t>
            </w:r>
          </w:p>
        </w:tc>
      </w:tr>
      <w:tr w:rsidR="00D44DB6" w:rsidRPr="00D44DB6" w14:paraId="2963832D"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0DF41CFC"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Education by age</w:t>
            </w:r>
          </w:p>
        </w:tc>
        <w:tc>
          <w:tcPr>
            <w:tcW w:w="885" w:type="dxa"/>
            <w:tcBorders>
              <w:top w:val="single" w:sz="4" w:space="0" w:color="ADD6EA"/>
              <w:left w:val="nil"/>
              <w:bottom w:val="nil"/>
              <w:right w:val="nil"/>
            </w:tcBorders>
            <w:shd w:val="clear" w:color="auto" w:fill="auto"/>
            <w:vAlign w:val="bottom"/>
            <w:hideMark/>
          </w:tcPr>
          <w:p w14:paraId="6908B4C7"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0.0107</w:t>
            </w:r>
          </w:p>
        </w:tc>
        <w:tc>
          <w:tcPr>
            <w:tcW w:w="885" w:type="dxa"/>
            <w:tcBorders>
              <w:top w:val="single" w:sz="4" w:space="0" w:color="ADD6EA"/>
              <w:left w:val="nil"/>
              <w:bottom w:val="nil"/>
              <w:right w:val="nil"/>
            </w:tcBorders>
            <w:shd w:val="clear" w:color="auto" w:fill="auto"/>
            <w:vAlign w:val="bottom"/>
            <w:hideMark/>
          </w:tcPr>
          <w:p w14:paraId="0E0C303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0.0030</w:t>
            </w:r>
          </w:p>
        </w:tc>
        <w:tc>
          <w:tcPr>
            <w:tcW w:w="885" w:type="dxa"/>
            <w:tcBorders>
              <w:top w:val="single" w:sz="4" w:space="0" w:color="ADD6EA"/>
              <w:left w:val="nil"/>
              <w:bottom w:val="nil"/>
              <w:right w:val="nil"/>
            </w:tcBorders>
            <w:shd w:val="clear" w:color="auto" w:fill="auto"/>
            <w:vAlign w:val="bottom"/>
            <w:hideMark/>
          </w:tcPr>
          <w:p w14:paraId="04A202AD"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-0.0253</w:t>
            </w:r>
          </w:p>
        </w:tc>
        <w:tc>
          <w:tcPr>
            <w:tcW w:w="885" w:type="dxa"/>
            <w:tcBorders>
              <w:top w:val="single" w:sz="4" w:space="0" w:color="ADD6EA"/>
              <w:left w:val="nil"/>
              <w:bottom w:val="nil"/>
              <w:right w:val="nil"/>
            </w:tcBorders>
            <w:shd w:val="clear" w:color="auto" w:fill="auto"/>
            <w:vAlign w:val="bottom"/>
            <w:hideMark/>
          </w:tcPr>
          <w:p w14:paraId="564D5AC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0.0288</w:t>
            </w:r>
          </w:p>
        </w:tc>
        <w:tc>
          <w:tcPr>
            <w:tcW w:w="885" w:type="dxa"/>
            <w:tcBorders>
              <w:top w:val="single" w:sz="4" w:space="0" w:color="ADD6EA"/>
              <w:left w:val="nil"/>
              <w:bottom w:val="nil"/>
              <w:right w:val="nil"/>
            </w:tcBorders>
            <w:shd w:val="clear" w:color="auto" w:fill="auto"/>
            <w:vAlign w:val="bottom"/>
            <w:hideMark/>
          </w:tcPr>
          <w:p w14:paraId="70A0330C"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-0.0444</w:t>
            </w:r>
          </w:p>
        </w:tc>
        <w:tc>
          <w:tcPr>
            <w:tcW w:w="885" w:type="dxa"/>
            <w:tcBorders>
              <w:top w:val="single" w:sz="4" w:space="0" w:color="ADD6EA"/>
              <w:left w:val="nil"/>
              <w:bottom w:val="nil"/>
              <w:right w:val="nil"/>
            </w:tcBorders>
            <w:shd w:val="clear" w:color="auto" w:fill="auto"/>
            <w:vAlign w:val="bottom"/>
            <w:hideMark/>
          </w:tcPr>
          <w:p w14:paraId="4CD33A63"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-0.0482</w:t>
            </w:r>
          </w:p>
        </w:tc>
        <w:tc>
          <w:tcPr>
            <w:tcW w:w="885" w:type="dxa"/>
            <w:tcBorders>
              <w:top w:val="single" w:sz="4" w:space="0" w:color="ADD6EA"/>
              <w:left w:val="nil"/>
              <w:bottom w:val="nil"/>
              <w:right w:val="nil"/>
            </w:tcBorders>
            <w:shd w:val="clear" w:color="auto" w:fill="auto"/>
            <w:vAlign w:val="bottom"/>
            <w:hideMark/>
          </w:tcPr>
          <w:p w14:paraId="5E73B883"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0.0627</w:t>
            </w:r>
          </w:p>
        </w:tc>
        <w:tc>
          <w:tcPr>
            <w:tcW w:w="885" w:type="dxa"/>
            <w:tcBorders>
              <w:top w:val="single" w:sz="4" w:space="0" w:color="ADD6EA"/>
              <w:left w:val="nil"/>
              <w:bottom w:val="nil"/>
              <w:right w:val="nil"/>
            </w:tcBorders>
            <w:shd w:val="clear" w:color="auto" w:fill="auto"/>
            <w:vAlign w:val="bottom"/>
            <w:hideMark/>
          </w:tcPr>
          <w:p w14:paraId="187A5D8C"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0.0128</w:t>
            </w:r>
          </w:p>
        </w:tc>
      </w:tr>
      <w:tr w:rsidR="00D44DB6" w:rsidRPr="00D44DB6" w14:paraId="4776CE15"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69AC1B7A"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Age by sex</w:t>
            </w:r>
          </w:p>
        </w:tc>
        <w:tc>
          <w:tcPr>
            <w:tcW w:w="885" w:type="dxa"/>
            <w:tcBorders>
              <w:top w:val="single" w:sz="4" w:space="0" w:color="ADD6EA"/>
              <w:left w:val="nil"/>
              <w:bottom w:val="nil"/>
              <w:right w:val="nil"/>
            </w:tcBorders>
            <w:shd w:val="clear" w:color="auto" w:fill="auto"/>
            <w:vAlign w:val="bottom"/>
            <w:hideMark/>
          </w:tcPr>
          <w:p w14:paraId="0AA71820"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0.0111</w:t>
            </w:r>
          </w:p>
        </w:tc>
        <w:tc>
          <w:tcPr>
            <w:tcW w:w="885" w:type="dxa"/>
            <w:tcBorders>
              <w:top w:val="single" w:sz="4" w:space="0" w:color="ADD6EA"/>
              <w:left w:val="nil"/>
              <w:bottom w:val="nil"/>
              <w:right w:val="nil"/>
            </w:tcBorders>
            <w:shd w:val="clear" w:color="auto" w:fill="auto"/>
            <w:vAlign w:val="bottom"/>
            <w:hideMark/>
          </w:tcPr>
          <w:p w14:paraId="47554051"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0.0031</w:t>
            </w:r>
          </w:p>
        </w:tc>
        <w:tc>
          <w:tcPr>
            <w:tcW w:w="885" w:type="dxa"/>
            <w:tcBorders>
              <w:top w:val="single" w:sz="4" w:space="0" w:color="ADD6EA"/>
              <w:left w:val="nil"/>
              <w:bottom w:val="nil"/>
              <w:right w:val="nil"/>
            </w:tcBorders>
            <w:shd w:val="clear" w:color="auto" w:fill="auto"/>
            <w:vAlign w:val="bottom"/>
            <w:hideMark/>
          </w:tcPr>
          <w:p w14:paraId="2C91423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-0.0247</w:t>
            </w:r>
          </w:p>
        </w:tc>
        <w:tc>
          <w:tcPr>
            <w:tcW w:w="885" w:type="dxa"/>
            <w:tcBorders>
              <w:top w:val="single" w:sz="4" w:space="0" w:color="ADD6EA"/>
              <w:left w:val="nil"/>
              <w:bottom w:val="nil"/>
              <w:right w:val="nil"/>
            </w:tcBorders>
            <w:shd w:val="clear" w:color="auto" w:fill="auto"/>
            <w:vAlign w:val="bottom"/>
            <w:hideMark/>
          </w:tcPr>
          <w:p w14:paraId="5BA5E2D7"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0.0288</w:t>
            </w:r>
          </w:p>
        </w:tc>
        <w:tc>
          <w:tcPr>
            <w:tcW w:w="885" w:type="dxa"/>
            <w:tcBorders>
              <w:top w:val="single" w:sz="4" w:space="0" w:color="ADD6EA"/>
              <w:left w:val="nil"/>
              <w:bottom w:val="nil"/>
              <w:right w:val="nil"/>
            </w:tcBorders>
            <w:shd w:val="clear" w:color="auto" w:fill="auto"/>
            <w:vAlign w:val="bottom"/>
            <w:hideMark/>
          </w:tcPr>
          <w:p w14:paraId="05FC280D"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-0.0444</w:t>
            </w:r>
          </w:p>
        </w:tc>
        <w:tc>
          <w:tcPr>
            <w:tcW w:w="885" w:type="dxa"/>
            <w:tcBorders>
              <w:top w:val="single" w:sz="4" w:space="0" w:color="ADD6EA"/>
              <w:left w:val="nil"/>
              <w:bottom w:val="nil"/>
              <w:right w:val="nil"/>
            </w:tcBorders>
            <w:shd w:val="clear" w:color="auto" w:fill="auto"/>
            <w:vAlign w:val="bottom"/>
            <w:hideMark/>
          </w:tcPr>
          <w:p w14:paraId="35993B50"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-0.0484</w:t>
            </w:r>
          </w:p>
        </w:tc>
        <w:tc>
          <w:tcPr>
            <w:tcW w:w="885" w:type="dxa"/>
            <w:tcBorders>
              <w:top w:val="single" w:sz="4" w:space="0" w:color="ADD6EA"/>
              <w:left w:val="nil"/>
              <w:bottom w:val="nil"/>
              <w:right w:val="nil"/>
            </w:tcBorders>
            <w:shd w:val="clear" w:color="auto" w:fill="auto"/>
            <w:vAlign w:val="bottom"/>
            <w:hideMark/>
          </w:tcPr>
          <w:p w14:paraId="52853591"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0.0627</w:t>
            </w:r>
          </w:p>
        </w:tc>
        <w:tc>
          <w:tcPr>
            <w:tcW w:w="885" w:type="dxa"/>
            <w:tcBorders>
              <w:top w:val="single" w:sz="4" w:space="0" w:color="ADD6EA"/>
              <w:left w:val="nil"/>
              <w:bottom w:val="nil"/>
              <w:right w:val="nil"/>
            </w:tcBorders>
            <w:shd w:val="clear" w:color="auto" w:fill="auto"/>
            <w:vAlign w:val="bottom"/>
            <w:hideMark/>
          </w:tcPr>
          <w:p w14:paraId="5B64DCC8"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0.0117</w:t>
            </w:r>
          </w:p>
        </w:tc>
      </w:tr>
      <w:tr w:rsidR="00D44DB6" w:rsidRPr="00D44DB6" w14:paraId="214D2B27" w14:textId="77777777" w:rsidTr="0062582F">
        <w:trPr>
          <w:trHeight w:val="270"/>
        </w:trPr>
        <w:tc>
          <w:tcPr>
            <w:tcW w:w="1879" w:type="dxa"/>
            <w:tcBorders>
              <w:top w:val="single" w:sz="4" w:space="0" w:color="ADD6EA"/>
              <w:left w:val="nil"/>
              <w:bottom w:val="nil"/>
              <w:right w:val="nil"/>
            </w:tcBorders>
            <w:shd w:val="clear" w:color="auto" w:fill="auto"/>
            <w:vAlign w:val="bottom"/>
            <w:hideMark/>
          </w:tcPr>
          <w:p w14:paraId="33CCC4E9"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Industry (detailed)</w:t>
            </w:r>
          </w:p>
        </w:tc>
        <w:tc>
          <w:tcPr>
            <w:tcW w:w="885" w:type="dxa"/>
            <w:tcBorders>
              <w:top w:val="single" w:sz="4" w:space="0" w:color="ADD6EA"/>
              <w:left w:val="nil"/>
              <w:bottom w:val="nil"/>
              <w:right w:val="nil"/>
            </w:tcBorders>
            <w:shd w:val="clear" w:color="auto" w:fill="auto"/>
            <w:vAlign w:val="bottom"/>
            <w:hideMark/>
          </w:tcPr>
          <w:p w14:paraId="51AAEAD9"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0.0122</w:t>
            </w:r>
          </w:p>
        </w:tc>
        <w:tc>
          <w:tcPr>
            <w:tcW w:w="885" w:type="dxa"/>
            <w:tcBorders>
              <w:top w:val="single" w:sz="4" w:space="0" w:color="ADD6EA"/>
              <w:left w:val="nil"/>
              <w:bottom w:val="nil"/>
              <w:right w:val="nil"/>
            </w:tcBorders>
            <w:shd w:val="clear" w:color="auto" w:fill="auto"/>
            <w:vAlign w:val="bottom"/>
            <w:hideMark/>
          </w:tcPr>
          <w:p w14:paraId="25005642"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0.0042</w:t>
            </w:r>
          </w:p>
        </w:tc>
        <w:tc>
          <w:tcPr>
            <w:tcW w:w="885" w:type="dxa"/>
            <w:tcBorders>
              <w:top w:val="single" w:sz="4" w:space="0" w:color="ADD6EA"/>
              <w:left w:val="nil"/>
              <w:bottom w:val="nil"/>
              <w:right w:val="nil"/>
            </w:tcBorders>
            <w:shd w:val="clear" w:color="auto" w:fill="auto"/>
            <w:vAlign w:val="bottom"/>
            <w:hideMark/>
          </w:tcPr>
          <w:p w14:paraId="18F9EA23"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-0.0241</w:t>
            </w:r>
          </w:p>
        </w:tc>
        <w:tc>
          <w:tcPr>
            <w:tcW w:w="885" w:type="dxa"/>
            <w:tcBorders>
              <w:top w:val="single" w:sz="4" w:space="0" w:color="ADD6EA"/>
              <w:left w:val="nil"/>
              <w:bottom w:val="nil"/>
              <w:right w:val="nil"/>
            </w:tcBorders>
            <w:shd w:val="clear" w:color="auto" w:fill="auto"/>
            <w:vAlign w:val="bottom"/>
            <w:hideMark/>
          </w:tcPr>
          <w:p w14:paraId="4697F11E"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0.0273</w:t>
            </w:r>
          </w:p>
        </w:tc>
        <w:tc>
          <w:tcPr>
            <w:tcW w:w="885" w:type="dxa"/>
            <w:tcBorders>
              <w:top w:val="single" w:sz="4" w:space="0" w:color="ADD6EA"/>
              <w:left w:val="nil"/>
              <w:bottom w:val="nil"/>
              <w:right w:val="nil"/>
            </w:tcBorders>
            <w:shd w:val="clear" w:color="auto" w:fill="auto"/>
            <w:vAlign w:val="bottom"/>
            <w:hideMark/>
          </w:tcPr>
          <w:p w14:paraId="4E09F2C6"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-0.0442</w:t>
            </w:r>
          </w:p>
        </w:tc>
        <w:tc>
          <w:tcPr>
            <w:tcW w:w="885" w:type="dxa"/>
            <w:tcBorders>
              <w:top w:val="single" w:sz="4" w:space="0" w:color="ADD6EA"/>
              <w:left w:val="nil"/>
              <w:bottom w:val="nil"/>
              <w:right w:val="nil"/>
            </w:tcBorders>
            <w:shd w:val="clear" w:color="auto" w:fill="auto"/>
            <w:vAlign w:val="bottom"/>
            <w:hideMark/>
          </w:tcPr>
          <w:p w14:paraId="6EB37ED4"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-0.0476</w:t>
            </w:r>
          </w:p>
        </w:tc>
        <w:tc>
          <w:tcPr>
            <w:tcW w:w="885" w:type="dxa"/>
            <w:tcBorders>
              <w:top w:val="single" w:sz="4" w:space="0" w:color="ADD6EA"/>
              <w:left w:val="nil"/>
              <w:bottom w:val="nil"/>
              <w:right w:val="nil"/>
            </w:tcBorders>
            <w:shd w:val="clear" w:color="auto" w:fill="auto"/>
            <w:vAlign w:val="bottom"/>
            <w:hideMark/>
          </w:tcPr>
          <w:p w14:paraId="7715703E"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0.0642</w:t>
            </w:r>
          </w:p>
        </w:tc>
        <w:tc>
          <w:tcPr>
            <w:tcW w:w="885" w:type="dxa"/>
            <w:tcBorders>
              <w:top w:val="single" w:sz="4" w:space="0" w:color="ADD6EA"/>
              <w:left w:val="nil"/>
              <w:bottom w:val="nil"/>
              <w:right w:val="nil"/>
            </w:tcBorders>
            <w:shd w:val="clear" w:color="auto" w:fill="auto"/>
            <w:vAlign w:val="bottom"/>
            <w:hideMark/>
          </w:tcPr>
          <w:p w14:paraId="0C7FE3A7"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0.0080</w:t>
            </w:r>
          </w:p>
        </w:tc>
      </w:tr>
      <w:tr w:rsidR="00D44DB6" w:rsidRPr="00D44DB6" w14:paraId="28A33038" w14:textId="77777777" w:rsidTr="0062582F">
        <w:trPr>
          <w:trHeight w:val="270"/>
        </w:trPr>
        <w:tc>
          <w:tcPr>
            <w:tcW w:w="1879" w:type="dxa"/>
            <w:tcBorders>
              <w:top w:val="single" w:sz="4" w:space="0" w:color="ADD6EA"/>
              <w:left w:val="nil"/>
              <w:bottom w:val="single" w:sz="4" w:space="0" w:color="ADD6EA"/>
              <w:right w:val="nil"/>
            </w:tcBorders>
            <w:shd w:val="clear" w:color="auto" w:fill="auto"/>
            <w:vAlign w:val="bottom"/>
            <w:hideMark/>
          </w:tcPr>
          <w:p w14:paraId="287D3476" w14:textId="77777777" w:rsidR="00D44DB6" w:rsidRPr="00D44DB6" w:rsidRDefault="00D44DB6" w:rsidP="00E07EF5">
            <w:pPr>
              <w:keepNext/>
              <w:keepLines/>
              <w:tabs>
                <w:tab w:val="clear" w:pos="567"/>
              </w:tabs>
              <w:spacing w:before="0" w:line="240" w:lineRule="auto"/>
              <w:rPr>
                <w:rFonts w:eastAsia="Times New Roman" w:cs="Open Sans Light"/>
                <w:color w:val="000000"/>
                <w:sz w:val="16"/>
                <w:szCs w:val="16"/>
                <w:lang w:eastAsia="en-AU"/>
              </w:rPr>
            </w:pPr>
            <w:r w:rsidRPr="00D44DB6">
              <w:rPr>
                <w:rFonts w:eastAsia="Times New Roman" w:cs="Open Sans Light"/>
                <w:color w:val="000000"/>
                <w:sz w:val="16"/>
                <w:szCs w:val="16"/>
                <w:lang w:eastAsia="en-AU"/>
              </w:rPr>
              <w:t>Everything by sex</w:t>
            </w:r>
          </w:p>
        </w:tc>
        <w:tc>
          <w:tcPr>
            <w:tcW w:w="885" w:type="dxa"/>
            <w:tcBorders>
              <w:top w:val="single" w:sz="4" w:space="0" w:color="ADD6EA"/>
              <w:left w:val="nil"/>
              <w:bottom w:val="single" w:sz="4" w:space="0" w:color="ADD6EA"/>
              <w:right w:val="nil"/>
            </w:tcBorders>
            <w:shd w:val="clear" w:color="auto" w:fill="auto"/>
            <w:noWrap/>
            <w:vAlign w:val="bottom"/>
            <w:hideMark/>
          </w:tcPr>
          <w:p w14:paraId="66525CAB"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0.0117</w:t>
            </w:r>
          </w:p>
        </w:tc>
        <w:tc>
          <w:tcPr>
            <w:tcW w:w="885" w:type="dxa"/>
            <w:tcBorders>
              <w:top w:val="single" w:sz="4" w:space="0" w:color="ADD6EA"/>
              <w:left w:val="nil"/>
              <w:bottom w:val="single" w:sz="4" w:space="0" w:color="ADD6EA"/>
              <w:right w:val="nil"/>
            </w:tcBorders>
            <w:shd w:val="clear" w:color="auto" w:fill="auto"/>
            <w:noWrap/>
            <w:vAlign w:val="bottom"/>
            <w:hideMark/>
          </w:tcPr>
          <w:p w14:paraId="00BA091B"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0.0026</w:t>
            </w:r>
          </w:p>
        </w:tc>
        <w:tc>
          <w:tcPr>
            <w:tcW w:w="885" w:type="dxa"/>
            <w:tcBorders>
              <w:top w:val="single" w:sz="4" w:space="0" w:color="ADD6EA"/>
              <w:left w:val="nil"/>
              <w:bottom w:val="single" w:sz="4" w:space="0" w:color="ADD6EA"/>
              <w:right w:val="nil"/>
            </w:tcBorders>
            <w:shd w:val="clear" w:color="auto" w:fill="auto"/>
            <w:noWrap/>
            <w:vAlign w:val="bottom"/>
            <w:hideMark/>
          </w:tcPr>
          <w:p w14:paraId="7BFC0362"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-0.0236</w:t>
            </w:r>
          </w:p>
        </w:tc>
        <w:tc>
          <w:tcPr>
            <w:tcW w:w="885" w:type="dxa"/>
            <w:tcBorders>
              <w:top w:val="single" w:sz="4" w:space="0" w:color="ADD6EA"/>
              <w:left w:val="nil"/>
              <w:bottom w:val="single" w:sz="4" w:space="0" w:color="ADD6EA"/>
              <w:right w:val="nil"/>
            </w:tcBorders>
            <w:shd w:val="clear" w:color="auto" w:fill="auto"/>
            <w:noWrap/>
            <w:vAlign w:val="bottom"/>
            <w:hideMark/>
          </w:tcPr>
          <w:p w14:paraId="0E1AB7BF"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0.0288</w:t>
            </w:r>
          </w:p>
        </w:tc>
        <w:tc>
          <w:tcPr>
            <w:tcW w:w="885" w:type="dxa"/>
            <w:tcBorders>
              <w:top w:val="single" w:sz="4" w:space="0" w:color="ADD6EA"/>
              <w:left w:val="nil"/>
              <w:bottom w:val="single" w:sz="4" w:space="0" w:color="ADD6EA"/>
              <w:right w:val="nil"/>
            </w:tcBorders>
            <w:shd w:val="clear" w:color="auto" w:fill="auto"/>
            <w:noWrap/>
            <w:vAlign w:val="bottom"/>
            <w:hideMark/>
          </w:tcPr>
          <w:p w14:paraId="3207E40B"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-0.0447</w:t>
            </w:r>
          </w:p>
        </w:tc>
        <w:tc>
          <w:tcPr>
            <w:tcW w:w="885" w:type="dxa"/>
            <w:tcBorders>
              <w:top w:val="single" w:sz="4" w:space="0" w:color="ADD6EA"/>
              <w:left w:val="nil"/>
              <w:bottom w:val="single" w:sz="4" w:space="0" w:color="ADD6EA"/>
              <w:right w:val="nil"/>
            </w:tcBorders>
            <w:shd w:val="clear" w:color="auto" w:fill="auto"/>
            <w:noWrap/>
            <w:vAlign w:val="bottom"/>
            <w:hideMark/>
          </w:tcPr>
          <w:p w14:paraId="73C442AC"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-0.0467</w:t>
            </w:r>
          </w:p>
        </w:tc>
        <w:tc>
          <w:tcPr>
            <w:tcW w:w="885" w:type="dxa"/>
            <w:tcBorders>
              <w:top w:val="single" w:sz="4" w:space="0" w:color="ADD6EA"/>
              <w:left w:val="nil"/>
              <w:bottom w:val="single" w:sz="4" w:space="0" w:color="ADD6EA"/>
              <w:right w:val="nil"/>
            </w:tcBorders>
            <w:shd w:val="clear" w:color="auto" w:fill="auto"/>
            <w:noWrap/>
            <w:vAlign w:val="bottom"/>
            <w:hideMark/>
          </w:tcPr>
          <w:p w14:paraId="4B3EC808"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0.0621</w:t>
            </w:r>
          </w:p>
        </w:tc>
        <w:tc>
          <w:tcPr>
            <w:tcW w:w="885" w:type="dxa"/>
            <w:tcBorders>
              <w:top w:val="single" w:sz="4" w:space="0" w:color="ADD6EA"/>
              <w:left w:val="nil"/>
              <w:bottom w:val="single" w:sz="4" w:space="0" w:color="ADD6EA"/>
              <w:right w:val="nil"/>
            </w:tcBorders>
            <w:shd w:val="clear" w:color="auto" w:fill="auto"/>
            <w:noWrap/>
            <w:vAlign w:val="bottom"/>
            <w:hideMark/>
          </w:tcPr>
          <w:p w14:paraId="428CA503" w14:textId="77777777" w:rsidR="00D44DB6" w:rsidRPr="00D44DB6" w:rsidRDefault="00D44DB6" w:rsidP="00E07EF5">
            <w:pPr>
              <w:keepNext/>
              <w:keepLines/>
              <w:tabs>
                <w:tab w:val="clear" w:pos="567"/>
              </w:tabs>
              <w:spacing w:before="0" w:line="240" w:lineRule="auto"/>
              <w:jc w:val="right"/>
              <w:rPr>
                <w:rFonts w:eastAsia="Times New Roman" w:cs="Open Sans Light"/>
                <w:color w:val="000000"/>
                <w:sz w:val="16"/>
                <w:szCs w:val="16"/>
                <w:lang w:eastAsia="en-AU"/>
              </w:rPr>
            </w:pPr>
            <w:r w:rsidRPr="00D44DB6">
              <w:rPr>
                <w:rFonts w:eastAsia="Times New Roman" w:cs="Open Sans Light"/>
                <w:color w:val="000000"/>
                <w:sz w:val="16"/>
                <w:szCs w:val="16"/>
                <w:lang w:eastAsia="en-AU"/>
              </w:rPr>
              <w:t>0.0097</w:t>
            </w:r>
          </w:p>
        </w:tc>
      </w:tr>
    </w:tbl>
    <w:p w14:paraId="5BBB9570" w14:textId="1F7572B5" w:rsidR="0062582F" w:rsidRDefault="0062582F" w:rsidP="004B51F7">
      <w:pPr>
        <w:pStyle w:val="CGC2025TableNote"/>
        <w:keepNext/>
        <w:keepLines/>
      </w:pPr>
      <w:r>
        <w:t xml:space="preserve">Notes: </w:t>
      </w:r>
      <w:r>
        <w:tab/>
      </w:r>
      <w:r w:rsidR="004B51F7">
        <w:t xml:space="preserve">See notes to </w:t>
      </w:r>
      <w:r w:rsidR="004E0005">
        <w:t>F</w:t>
      </w:r>
      <w:r w:rsidR="004B51F7">
        <w:t xml:space="preserve">igure </w:t>
      </w:r>
      <w:r w:rsidR="006E30C6">
        <w:t>B-1</w:t>
      </w:r>
      <w:r w:rsidR="001D167C">
        <w:t>.</w:t>
      </w:r>
    </w:p>
    <w:p w14:paraId="4660CF97" w14:textId="77777777" w:rsidR="0062582F" w:rsidRDefault="0062582F" w:rsidP="0062582F">
      <w:pPr>
        <w:pStyle w:val="CGC2025TableNote"/>
        <w:keepLines/>
      </w:pPr>
      <w:r>
        <w:t>Source: Commission calculation.</w:t>
      </w:r>
    </w:p>
    <w:p w14:paraId="25959CA7" w14:textId="38C062E3" w:rsidR="00FC69C0" w:rsidRDefault="00A33C48" w:rsidP="004E0005">
      <w:pPr>
        <w:pStyle w:val="CGC2025Caption"/>
        <w:keepNext/>
        <w:keepLines/>
        <w:ind w:left="1134" w:hanging="1134"/>
      </w:pPr>
      <w:r>
        <w:lastRenderedPageBreak/>
        <w:t>Table</w:t>
      </w:r>
      <w:r w:rsidR="000E4266">
        <w:t xml:space="preserve"> B</w:t>
      </w:r>
      <w:r w:rsidR="004400FC">
        <w:t>-2</w:t>
      </w:r>
      <w:r>
        <w:tab/>
        <w:t xml:space="preserve">Average </w:t>
      </w:r>
      <w:r w:rsidR="007025B8">
        <w:t xml:space="preserve">standard errors of state </w:t>
      </w:r>
      <w:r w:rsidR="007025B8" w:rsidRPr="007025B8">
        <w:t>coefficients when including additional control variables in the regression model (2018</w:t>
      </w:r>
      <w:r w:rsidR="00CD6882">
        <w:t>–</w:t>
      </w:r>
      <w:r w:rsidR="007025B8" w:rsidRPr="007025B8">
        <w:t>20)</w:t>
      </w:r>
    </w:p>
    <w:tbl>
      <w:tblPr>
        <w:tblW w:w="8959" w:type="dxa"/>
        <w:tblLook w:val="04A0" w:firstRow="1" w:lastRow="0" w:firstColumn="1" w:lastColumn="0" w:noHBand="0" w:noVBand="1"/>
      </w:tblPr>
      <w:tblGrid>
        <w:gridCol w:w="1876"/>
        <w:gridCol w:w="780"/>
        <w:gridCol w:w="780"/>
        <w:gridCol w:w="780"/>
        <w:gridCol w:w="780"/>
        <w:gridCol w:w="780"/>
        <w:gridCol w:w="780"/>
        <w:gridCol w:w="780"/>
        <w:gridCol w:w="780"/>
        <w:gridCol w:w="843"/>
      </w:tblGrid>
      <w:tr w:rsidR="00C170B2" w:rsidRPr="00C170B2" w14:paraId="5116DED0" w14:textId="77777777" w:rsidTr="00C170B2">
        <w:trPr>
          <w:trHeight w:val="270"/>
        </w:trPr>
        <w:tc>
          <w:tcPr>
            <w:tcW w:w="2020" w:type="dxa"/>
            <w:tcBorders>
              <w:top w:val="nil"/>
              <w:left w:val="nil"/>
              <w:bottom w:val="nil"/>
              <w:right w:val="nil"/>
            </w:tcBorders>
            <w:shd w:val="clear" w:color="000000" w:fill="006991"/>
            <w:vAlign w:val="bottom"/>
            <w:hideMark/>
          </w:tcPr>
          <w:p w14:paraId="11DD0354" w14:textId="77777777" w:rsidR="00C170B2" w:rsidRPr="00C170B2" w:rsidRDefault="00C170B2" w:rsidP="00565BFE">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 </w:t>
            </w:r>
          </w:p>
        </w:tc>
        <w:tc>
          <w:tcPr>
            <w:tcW w:w="780" w:type="dxa"/>
            <w:tcBorders>
              <w:top w:val="nil"/>
              <w:left w:val="nil"/>
              <w:bottom w:val="nil"/>
              <w:right w:val="nil"/>
            </w:tcBorders>
            <w:shd w:val="clear" w:color="000000" w:fill="006991"/>
            <w:vAlign w:val="center"/>
            <w:hideMark/>
          </w:tcPr>
          <w:p w14:paraId="66D57A8A" w14:textId="77777777" w:rsidR="00C170B2" w:rsidRPr="00C170B2" w:rsidRDefault="00C170B2" w:rsidP="00565BF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NSW</w:t>
            </w:r>
          </w:p>
        </w:tc>
        <w:tc>
          <w:tcPr>
            <w:tcW w:w="780" w:type="dxa"/>
            <w:tcBorders>
              <w:top w:val="nil"/>
              <w:left w:val="nil"/>
              <w:bottom w:val="nil"/>
              <w:right w:val="nil"/>
            </w:tcBorders>
            <w:shd w:val="clear" w:color="000000" w:fill="006991"/>
            <w:vAlign w:val="center"/>
            <w:hideMark/>
          </w:tcPr>
          <w:p w14:paraId="26CAF5D9" w14:textId="77777777" w:rsidR="00C170B2" w:rsidRPr="00C170B2" w:rsidRDefault="00C170B2" w:rsidP="00565BF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Vic</w:t>
            </w:r>
          </w:p>
        </w:tc>
        <w:tc>
          <w:tcPr>
            <w:tcW w:w="780" w:type="dxa"/>
            <w:tcBorders>
              <w:top w:val="nil"/>
              <w:left w:val="nil"/>
              <w:bottom w:val="nil"/>
              <w:right w:val="nil"/>
            </w:tcBorders>
            <w:shd w:val="clear" w:color="000000" w:fill="006991"/>
            <w:vAlign w:val="center"/>
            <w:hideMark/>
          </w:tcPr>
          <w:p w14:paraId="53464705" w14:textId="77777777" w:rsidR="00C170B2" w:rsidRPr="00C170B2" w:rsidRDefault="00C170B2" w:rsidP="00565BF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Qld</w:t>
            </w:r>
          </w:p>
        </w:tc>
        <w:tc>
          <w:tcPr>
            <w:tcW w:w="780" w:type="dxa"/>
            <w:tcBorders>
              <w:top w:val="nil"/>
              <w:left w:val="nil"/>
              <w:bottom w:val="nil"/>
              <w:right w:val="nil"/>
            </w:tcBorders>
            <w:shd w:val="clear" w:color="000000" w:fill="006991"/>
            <w:vAlign w:val="center"/>
            <w:hideMark/>
          </w:tcPr>
          <w:p w14:paraId="4A1F65B4" w14:textId="77777777" w:rsidR="00C170B2" w:rsidRPr="00C170B2" w:rsidRDefault="00C170B2" w:rsidP="00565BF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WA</w:t>
            </w:r>
          </w:p>
        </w:tc>
        <w:tc>
          <w:tcPr>
            <w:tcW w:w="780" w:type="dxa"/>
            <w:tcBorders>
              <w:top w:val="nil"/>
              <w:left w:val="nil"/>
              <w:bottom w:val="nil"/>
              <w:right w:val="nil"/>
            </w:tcBorders>
            <w:shd w:val="clear" w:color="000000" w:fill="006991"/>
            <w:vAlign w:val="center"/>
            <w:hideMark/>
          </w:tcPr>
          <w:p w14:paraId="318D90E5" w14:textId="77777777" w:rsidR="00C170B2" w:rsidRPr="00C170B2" w:rsidRDefault="00C170B2" w:rsidP="00565BF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SA</w:t>
            </w:r>
          </w:p>
        </w:tc>
        <w:tc>
          <w:tcPr>
            <w:tcW w:w="780" w:type="dxa"/>
            <w:tcBorders>
              <w:top w:val="nil"/>
              <w:left w:val="nil"/>
              <w:bottom w:val="nil"/>
              <w:right w:val="nil"/>
            </w:tcBorders>
            <w:shd w:val="clear" w:color="000000" w:fill="006991"/>
            <w:vAlign w:val="center"/>
            <w:hideMark/>
          </w:tcPr>
          <w:p w14:paraId="1EFC6740" w14:textId="77777777" w:rsidR="00C170B2" w:rsidRPr="00C170B2" w:rsidRDefault="00C170B2" w:rsidP="00565BF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Tas</w:t>
            </w:r>
          </w:p>
        </w:tc>
        <w:tc>
          <w:tcPr>
            <w:tcW w:w="780" w:type="dxa"/>
            <w:tcBorders>
              <w:top w:val="nil"/>
              <w:left w:val="nil"/>
              <w:bottom w:val="nil"/>
              <w:right w:val="nil"/>
            </w:tcBorders>
            <w:shd w:val="clear" w:color="000000" w:fill="006991"/>
            <w:vAlign w:val="center"/>
            <w:hideMark/>
          </w:tcPr>
          <w:p w14:paraId="5411D5B8" w14:textId="77777777" w:rsidR="00C170B2" w:rsidRPr="00C170B2" w:rsidRDefault="00C170B2" w:rsidP="00565BF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ACT</w:t>
            </w:r>
          </w:p>
        </w:tc>
        <w:tc>
          <w:tcPr>
            <w:tcW w:w="780" w:type="dxa"/>
            <w:tcBorders>
              <w:top w:val="nil"/>
              <w:left w:val="nil"/>
              <w:bottom w:val="nil"/>
              <w:right w:val="nil"/>
            </w:tcBorders>
            <w:shd w:val="clear" w:color="000000" w:fill="006991"/>
            <w:vAlign w:val="center"/>
            <w:hideMark/>
          </w:tcPr>
          <w:p w14:paraId="4B40DB05" w14:textId="77777777" w:rsidR="00C170B2" w:rsidRPr="00C170B2" w:rsidRDefault="00C170B2" w:rsidP="00565BF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NT</w:t>
            </w:r>
          </w:p>
        </w:tc>
        <w:tc>
          <w:tcPr>
            <w:tcW w:w="780" w:type="dxa"/>
            <w:tcBorders>
              <w:top w:val="nil"/>
              <w:left w:val="nil"/>
              <w:bottom w:val="nil"/>
              <w:right w:val="nil"/>
            </w:tcBorders>
            <w:shd w:val="clear" w:color="000000" w:fill="006991"/>
            <w:vAlign w:val="center"/>
            <w:hideMark/>
          </w:tcPr>
          <w:p w14:paraId="121F2D3B" w14:textId="77777777" w:rsidR="00C170B2" w:rsidRPr="00C170B2" w:rsidRDefault="00C170B2" w:rsidP="00565BF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70B2">
              <w:rPr>
                <w:rFonts w:ascii="Open Sans Semibold" w:eastAsia="Times New Roman" w:hAnsi="Open Sans Semibold" w:cs="Open Sans Semibold"/>
                <w:color w:val="FFFFFF"/>
                <w:sz w:val="16"/>
                <w:szCs w:val="16"/>
                <w:lang w:eastAsia="en-AU"/>
              </w:rPr>
              <w:t>Average</w:t>
            </w:r>
          </w:p>
        </w:tc>
      </w:tr>
      <w:tr w:rsidR="00C170B2" w:rsidRPr="00C170B2" w14:paraId="37F9D6CA"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756EBC1C"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State and sex</w:t>
            </w:r>
          </w:p>
        </w:tc>
        <w:tc>
          <w:tcPr>
            <w:tcW w:w="780" w:type="dxa"/>
            <w:tcBorders>
              <w:top w:val="single" w:sz="4" w:space="0" w:color="ADD6EA"/>
              <w:left w:val="nil"/>
              <w:bottom w:val="nil"/>
              <w:right w:val="nil"/>
            </w:tcBorders>
            <w:shd w:val="clear" w:color="auto" w:fill="auto"/>
            <w:vAlign w:val="bottom"/>
            <w:hideMark/>
          </w:tcPr>
          <w:p w14:paraId="34336340"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0.0102</w:t>
            </w:r>
          </w:p>
        </w:tc>
        <w:tc>
          <w:tcPr>
            <w:tcW w:w="780" w:type="dxa"/>
            <w:tcBorders>
              <w:top w:val="single" w:sz="4" w:space="0" w:color="ADD6EA"/>
              <w:left w:val="nil"/>
              <w:bottom w:val="nil"/>
              <w:right w:val="nil"/>
            </w:tcBorders>
            <w:shd w:val="clear" w:color="auto" w:fill="auto"/>
            <w:vAlign w:val="bottom"/>
            <w:hideMark/>
          </w:tcPr>
          <w:p w14:paraId="32736970"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0.0102</w:t>
            </w:r>
          </w:p>
        </w:tc>
        <w:tc>
          <w:tcPr>
            <w:tcW w:w="780" w:type="dxa"/>
            <w:tcBorders>
              <w:top w:val="single" w:sz="4" w:space="0" w:color="ADD6EA"/>
              <w:left w:val="nil"/>
              <w:bottom w:val="nil"/>
              <w:right w:val="nil"/>
            </w:tcBorders>
            <w:shd w:val="clear" w:color="auto" w:fill="auto"/>
            <w:vAlign w:val="bottom"/>
            <w:hideMark/>
          </w:tcPr>
          <w:p w14:paraId="10A0C9B4"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0.0107</w:t>
            </w:r>
          </w:p>
        </w:tc>
        <w:tc>
          <w:tcPr>
            <w:tcW w:w="780" w:type="dxa"/>
            <w:tcBorders>
              <w:top w:val="single" w:sz="4" w:space="0" w:color="ADD6EA"/>
              <w:left w:val="nil"/>
              <w:bottom w:val="nil"/>
              <w:right w:val="nil"/>
            </w:tcBorders>
            <w:shd w:val="clear" w:color="auto" w:fill="auto"/>
            <w:vAlign w:val="bottom"/>
            <w:hideMark/>
          </w:tcPr>
          <w:p w14:paraId="0366B3F8"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0.0129</w:t>
            </w:r>
          </w:p>
        </w:tc>
        <w:tc>
          <w:tcPr>
            <w:tcW w:w="780" w:type="dxa"/>
            <w:tcBorders>
              <w:top w:val="single" w:sz="4" w:space="0" w:color="ADD6EA"/>
              <w:left w:val="nil"/>
              <w:bottom w:val="nil"/>
              <w:right w:val="nil"/>
            </w:tcBorders>
            <w:shd w:val="clear" w:color="auto" w:fill="auto"/>
            <w:vAlign w:val="bottom"/>
            <w:hideMark/>
          </w:tcPr>
          <w:p w14:paraId="1612DFB4"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0.0116</w:t>
            </w:r>
          </w:p>
        </w:tc>
        <w:tc>
          <w:tcPr>
            <w:tcW w:w="780" w:type="dxa"/>
            <w:tcBorders>
              <w:top w:val="single" w:sz="4" w:space="0" w:color="ADD6EA"/>
              <w:left w:val="nil"/>
              <w:bottom w:val="nil"/>
              <w:right w:val="nil"/>
            </w:tcBorders>
            <w:shd w:val="clear" w:color="auto" w:fill="auto"/>
            <w:vAlign w:val="bottom"/>
            <w:hideMark/>
          </w:tcPr>
          <w:p w14:paraId="6D1CAF1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0.0145</w:t>
            </w:r>
          </w:p>
        </w:tc>
        <w:tc>
          <w:tcPr>
            <w:tcW w:w="780" w:type="dxa"/>
            <w:tcBorders>
              <w:top w:val="single" w:sz="4" w:space="0" w:color="ADD6EA"/>
              <w:left w:val="nil"/>
              <w:bottom w:val="nil"/>
              <w:right w:val="nil"/>
            </w:tcBorders>
            <w:shd w:val="clear" w:color="auto" w:fill="auto"/>
            <w:vAlign w:val="bottom"/>
            <w:hideMark/>
          </w:tcPr>
          <w:p w14:paraId="0076EA9E"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0.0237</w:t>
            </w:r>
          </w:p>
        </w:tc>
        <w:tc>
          <w:tcPr>
            <w:tcW w:w="780" w:type="dxa"/>
            <w:tcBorders>
              <w:top w:val="single" w:sz="4" w:space="0" w:color="ADD6EA"/>
              <w:left w:val="nil"/>
              <w:bottom w:val="nil"/>
              <w:right w:val="nil"/>
            </w:tcBorders>
            <w:shd w:val="clear" w:color="auto" w:fill="auto"/>
            <w:vAlign w:val="bottom"/>
            <w:hideMark/>
          </w:tcPr>
          <w:p w14:paraId="6D13654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0.0210</w:t>
            </w:r>
          </w:p>
        </w:tc>
        <w:tc>
          <w:tcPr>
            <w:tcW w:w="780" w:type="dxa"/>
            <w:tcBorders>
              <w:top w:val="single" w:sz="4" w:space="0" w:color="ADD6EA"/>
              <w:left w:val="nil"/>
              <w:bottom w:val="nil"/>
              <w:right w:val="nil"/>
            </w:tcBorders>
            <w:shd w:val="clear" w:color="auto" w:fill="auto"/>
            <w:vAlign w:val="bottom"/>
            <w:hideMark/>
          </w:tcPr>
          <w:p w14:paraId="1C20F8E9"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0.0144</w:t>
            </w:r>
          </w:p>
        </w:tc>
      </w:tr>
      <w:tr w:rsidR="00C170B2" w:rsidRPr="00C170B2" w14:paraId="289E0129"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06B1DC8D"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Education</w:t>
            </w:r>
          </w:p>
        </w:tc>
        <w:tc>
          <w:tcPr>
            <w:tcW w:w="780" w:type="dxa"/>
            <w:tcBorders>
              <w:top w:val="single" w:sz="4" w:space="0" w:color="ADD6EA"/>
              <w:left w:val="nil"/>
              <w:bottom w:val="nil"/>
              <w:right w:val="nil"/>
            </w:tcBorders>
            <w:shd w:val="clear" w:color="auto" w:fill="auto"/>
            <w:vAlign w:val="bottom"/>
            <w:hideMark/>
          </w:tcPr>
          <w:p w14:paraId="7066C68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0.0095</w:t>
            </w:r>
          </w:p>
        </w:tc>
        <w:tc>
          <w:tcPr>
            <w:tcW w:w="780" w:type="dxa"/>
            <w:tcBorders>
              <w:top w:val="single" w:sz="4" w:space="0" w:color="ADD6EA"/>
              <w:left w:val="nil"/>
              <w:bottom w:val="nil"/>
              <w:right w:val="nil"/>
            </w:tcBorders>
            <w:shd w:val="clear" w:color="auto" w:fill="auto"/>
            <w:vAlign w:val="bottom"/>
            <w:hideMark/>
          </w:tcPr>
          <w:p w14:paraId="31DB9A9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0.0097</w:t>
            </w:r>
          </w:p>
        </w:tc>
        <w:tc>
          <w:tcPr>
            <w:tcW w:w="780" w:type="dxa"/>
            <w:tcBorders>
              <w:top w:val="single" w:sz="4" w:space="0" w:color="ADD6EA"/>
              <w:left w:val="nil"/>
              <w:bottom w:val="nil"/>
              <w:right w:val="nil"/>
            </w:tcBorders>
            <w:shd w:val="clear" w:color="auto" w:fill="auto"/>
            <w:vAlign w:val="bottom"/>
            <w:hideMark/>
          </w:tcPr>
          <w:p w14:paraId="50C743E3"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0.0100</w:t>
            </w:r>
          </w:p>
        </w:tc>
        <w:tc>
          <w:tcPr>
            <w:tcW w:w="780" w:type="dxa"/>
            <w:tcBorders>
              <w:top w:val="single" w:sz="4" w:space="0" w:color="ADD6EA"/>
              <w:left w:val="nil"/>
              <w:bottom w:val="nil"/>
              <w:right w:val="nil"/>
            </w:tcBorders>
            <w:shd w:val="clear" w:color="auto" w:fill="auto"/>
            <w:vAlign w:val="bottom"/>
            <w:hideMark/>
          </w:tcPr>
          <w:p w14:paraId="078446E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0.0120</w:t>
            </w:r>
          </w:p>
        </w:tc>
        <w:tc>
          <w:tcPr>
            <w:tcW w:w="780" w:type="dxa"/>
            <w:tcBorders>
              <w:top w:val="single" w:sz="4" w:space="0" w:color="ADD6EA"/>
              <w:left w:val="nil"/>
              <w:bottom w:val="nil"/>
              <w:right w:val="nil"/>
            </w:tcBorders>
            <w:shd w:val="clear" w:color="auto" w:fill="auto"/>
            <w:vAlign w:val="bottom"/>
            <w:hideMark/>
          </w:tcPr>
          <w:p w14:paraId="78A1449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0.0108</w:t>
            </w:r>
          </w:p>
        </w:tc>
        <w:tc>
          <w:tcPr>
            <w:tcW w:w="780" w:type="dxa"/>
            <w:tcBorders>
              <w:top w:val="single" w:sz="4" w:space="0" w:color="ADD6EA"/>
              <w:left w:val="nil"/>
              <w:bottom w:val="nil"/>
              <w:right w:val="nil"/>
            </w:tcBorders>
            <w:shd w:val="clear" w:color="auto" w:fill="auto"/>
            <w:vAlign w:val="bottom"/>
            <w:hideMark/>
          </w:tcPr>
          <w:p w14:paraId="5DD2316C"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0.0137</w:t>
            </w:r>
          </w:p>
        </w:tc>
        <w:tc>
          <w:tcPr>
            <w:tcW w:w="780" w:type="dxa"/>
            <w:tcBorders>
              <w:top w:val="single" w:sz="4" w:space="0" w:color="ADD6EA"/>
              <w:left w:val="nil"/>
              <w:bottom w:val="nil"/>
              <w:right w:val="nil"/>
            </w:tcBorders>
            <w:shd w:val="clear" w:color="auto" w:fill="auto"/>
            <w:vAlign w:val="bottom"/>
            <w:hideMark/>
          </w:tcPr>
          <w:p w14:paraId="63BED5C6"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0.0225</w:t>
            </w:r>
          </w:p>
        </w:tc>
        <w:tc>
          <w:tcPr>
            <w:tcW w:w="780" w:type="dxa"/>
            <w:tcBorders>
              <w:top w:val="single" w:sz="4" w:space="0" w:color="ADD6EA"/>
              <w:left w:val="nil"/>
              <w:bottom w:val="nil"/>
              <w:right w:val="nil"/>
            </w:tcBorders>
            <w:shd w:val="clear" w:color="auto" w:fill="auto"/>
            <w:vAlign w:val="bottom"/>
            <w:hideMark/>
          </w:tcPr>
          <w:p w14:paraId="2B1BE918"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0.0205</w:t>
            </w:r>
          </w:p>
        </w:tc>
        <w:tc>
          <w:tcPr>
            <w:tcW w:w="780" w:type="dxa"/>
            <w:tcBorders>
              <w:top w:val="single" w:sz="4" w:space="0" w:color="ADD6EA"/>
              <w:left w:val="nil"/>
              <w:bottom w:val="nil"/>
              <w:right w:val="nil"/>
            </w:tcBorders>
            <w:shd w:val="clear" w:color="auto" w:fill="auto"/>
            <w:vAlign w:val="bottom"/>
            <w:hideMark/>
          </w:tcPr>
          <w:p w14:paraId="68CA013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0.0136</w:t>
            </w:r>
          </w:p>
        </w:tc>
      </w:tr>
      <w:tr w:rsidR="00C170B2" w:rsidRPr="00C170B2" w14:paraId="0DB35EF3"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509F5BBC"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Employment</w:t>
            </w:r>
          </w:p>
        </w:tc>
        <w:tc>
          <w:tcPr>
            <w:tcW w:w="780" w:type="dxa"/>
            <w:tcBorders>
              <w:top w:val="single" w:sz="4" w:space="0" w:color="ADD6EA"/>
              <w:left w:val="nil"/>
              <w:bottom w:val="nil"/>
              <w:right w:val="nil"/>
            </w:tcBorders>
            <w:shd w:val="clear" w:color="auto" w:fill="auto"/>
            <w:vAlign w:val="bottom"/>
            <w:hideMark/>
          </w:tcPr>
          <w:p w14:paraId="0C8F0CF9"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0.0093</w:t>
            </w:r>
          </w:p>
        </w:tc>
        <w:tc>
          <w:tcPr>
            <w:tcW w:w="780" w:type="dxa"/>
            <w:tcBorders>
              <w:top w:val="single" w:sz="4" w:space="0" w:color="ADD6EA"/>
              <w:left w:val="nil"/>
              <w:bottom w:val="nil"/>
              <w:right w:val="nil"/>
            </w:tcBorders>
            <w:shd w:val="clear" w:color="auto" w:fill="auto"/>
            <w:vAlign w:val="bottom"/>
            <w:hideMark/>
          </w:tcPr>
          <w:p w14:paraId="66F15F7B"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0.0088</w:t>
            </w:r>
          </w:p>
        </w:tc>
        <w:tc>
          <w:tcPr>
            <w:tcW w:w="780" w:type="dxa"/>
            <w:tcBorders>
              <w:top w:val="single" w:sz="4" w:space="0" w:color="ADD6EA"/>
              <w:left w:val="nil"/>
              <w:bottom w:val="nil"/>
              <w:right w:val="nil"/>
            </w:tcBorders>
            <w:shd w:val="clear" w:color="auto" w:fill="auto"/>
            <w:vAlign w:val="bottom"/>
            <w:hideMark/>
          </w:tcPr>
          <w:p w14:paraId="54E8E64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0.0095</w:t>
            </w:r>
          </w:p>
        </w:tc>
        <w:tc>
          <w:tcPr>
            <w:tcW w:w="780" w:type="dxa"/>
            <w:tcBorders>
              <w:top w:val="single" w:sz="4" w:space="0" w:color="ADD6EA"/>
              <w:left w:val="nil"/>
              <w:bottom w:val="nil"/>
              <w:right w:val="nil"/>
            </w:tcBorders>
            <w:shd w:val="clear" w:color="auto" w:fill="auto"/>
            <w:vAlign w:val="bottom"/>
            <w:hideMark/>
          </w:tcPr>
          <w:p w14:paraId="05D6D730"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0.0117</w:t>
            </w:r>
          </w:p>
        </w:tc>
        <w:tc>
          <w:tcPr>
            <w:tcW w:w="780" w:type="dxa"/>
            <w:tcBorders>
              <w:top w:val="single" w:sz="4" w:space="0" w:color="ADD6EA"/>
              <w:left w:val="nil"/>
              <w:bottom w:val="nil"/>
              <w:right w:val="nil"/>
            </w:tcBorders>
            <w:shd w:val="clear" w:color="auto" w:fill="auto"/>
            <w:vAlign w:val="bottom"/>
            <w:hideMark/>
          </w:tcPr>
          <w:p w14:paraId="1E09F20E"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0.0110</w:t>
            </w:r>
          </w:p>
        </w:tc>
        <w:tc>
          <w:tcPr>
            <w:tcW w:w="780" w:type="dxa"/>
            <w:tcBorders>
              <w:top w:val="single" w:sz="4" w:space="0" w:color="ADD6EA"/>
              <w:left w:val="nil"/>
              <w:bottom w:val="nil"/>
              <w:right w:val="nil"/>
            </w:tcBorders>
            <w:shd w:val="clear" w:color="auto" w:fill="auto"/>
            <w:vAlign w:val="bottom"/>
            <w:hideMark/>
          </w:tcPr>
          <w:p w14:paraId="7E97BD9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0.0130</w:t>
            </w:r>
          </w:p>
        </w:tc>
        <w:tc>
          <w:tcPr>
            <w:tcW w:w="780" w:type="dxa"/>
            <w:tcBorders>
              <w:top w:val="single" w:sz="4" w:space="0" w:color="ADD6EA"/>
              <w:left w:val="nil"/>
              <w:bottom w:val="nil"/>
              <w:right w:val="nil"/>
            </w:tcBorders>
            <w:shd w:val="clear" w:color="auto" w:fill="auto"/>
            <w:vAlign w:val="bottom"/>
            <w:hideMark/>
          </w:tcPr>
          <w:p w14:paraId="1E51B7D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0.0223</w:t>
            </w:r>
          </w:p>
        </w:tc>
        <w:tc>
          <w:tcPr>
            <w:tcW w:w="780" w:type="dxa"/>
            <w:tcBorders>
              <w:top w:val="single" w:sz="4" w:space="0" w:color="ADD6EA"/>
              <w:left w:val="nil"/>
              <w:bottom w:val="nil"/>
              <w:right w:val="nil"/>
            </w:tcBorders>
            <w:shd w:val="clear" w:color="auto" w:fill="auto"/>
            <w:vAlign w:val="bottom"/>
            <w:hideMark/>
          </w:tcPr>
          <w:p w14:paraId="400615A9"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0.0199</w:t>
            </w:r>
          </w:p>
        </w:tc>
        <w:tc>
          <w:tcPr>
            <w:tcW w:w="780" w:type="dxa"/>
            <w:tcBorders>
              <w:top w:val="single" w:sz="4" w:space="0" w:color="ADD6EA"/>
              <w:left w:val="nil"/>
              <w:bottom w:val="nil"/>
              <w:right w:val="nil"/>
            </w:tcBorders>
            <w:shd w:val="clear" w:color="auto" w:fill="auto"/>
            <w:vAlign w:val="bottom"/>
            <w:hideMark/>
          </w:tcPr>
          <w:p w14:paraId="4479BF79"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0.0132</w:t>
            </w:r>
          </w:p>
        </w:tc>
      </w:tr>
      <w:tr w:rsidR="00C170B2" w:rsidRPr="00C170B2" w14:paraId="7B2BCD9F"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354E4986" w14:textId="3056D28E"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 xml:space="preserve">Age (5 year </w:t>
            </w:r>
            <w:r w:rsidR="00051AA9">
              <w:rPr>
                <w:rFonts w:eastAsia="Times New Roman" w:cs="Open Sans Light"/>
                <w:color w:val="000000"/>
                <w:sz w:val="16"/>
                <w:szCs w:val="16"/>
                <w:lang w:eastAsia="en-AU"/>
              </w:rPr>
              <w:t>groups</w:t>
            </w:r>
            <w:r w:rsidRPr="00C170B2">
              <w:rPr>
                <w:rFonts w:eastAsia="Times New Roman" w:cs="Open Sans Light"/>
                <w:color w:val="000000"/>
                <w:sz w:val="16"/>
                <w:szCs w:val="16"/>
                <w:lang w:eastAsia="en-AU"/>
              </w:rPr>
              <w:t>)</w:t>
            </w:r>
          </w:p>
        </w:tc>
        <w:tc>
          <w:tcPr>
            <w:tcW w:w="780" w:type="dxa"/>
            <w:tcBorders>
              <w:top w:val="single" w:sz="4" w:space="0" w:color="ADD6EA"/>
              <w:left w:val="nil"/>
              <w:bottom w:val="nil"/>
              <w:right w:val="nil"/>
            </w:tcBorders>
            <w:shd w:val="clear" w:color="auto" w:fill="auto"/>
            <w:vAlign w:val="bottom"/>
            <w:hideMark/>
          </w:tcPr>
          <w:p w14:paraId="17676AD4"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0.0092</w:t>
            </w:r>
          </w:p>
        </w:tc>
        <w:tc>
          <w:tcPr>
            <w:tcW w:w="780" w:type="dxa"/>
            <w:tcBorders>
              <w:top w:val="single" w:sz="4" w:space="0" w:color="ADD6EA"/>
              <w:left w:val="nil"/>
              <w:bottom w:val="nil"/>
              <w:right w:val="nil"/>
            </w:tcBorders>
            <w:shd w:val="clear" w:color="auto" w:fill="auto"/>
            <w:vAlign w:val="bottom"/>
            <w:hideMark/>
          </w:tcPr>
          <w:p w14:paraId="757A15F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0.0088</w:t>
            </w:r>
          </w:p>
        </w:tc>
        <w:tc>
          <w:tcPr>
            <w:tcW w:w="780" w:type="dxa"/>
            <w:tcBorders>
              <w:top w:val="single" w:sz="4" w:space="0" w:color="ADD6EA"/>
              <w:left w:val="nil"/>
              <w:bottom w:val="nil"/>
              <w:right w:val="nil"/>
            </w:tcBorders>
            <w:shd w:val="clear" w:color="auto" w:fill="auto"/>
            <w:vAlign w:val="bottom"/>
            <w:hideMark/>
          </w:tcPr>
          <w:p w14:paraId="67AA75FB"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0.0095</w:t>
            </w:r>
          </w:p>
        </w:tc>
        <w:tc>
          <w:tcPr>
            <w:tcW w:w="780" w:type="dxa"/>
            <w:tcBorders>
              <w:top w:val="single" w:sz="4" w:space="0" w:color="ADD6EA"/>
              <w:left w:val="nil"/>
              <w:bottom w:val="nil"/>
              <w:right w:val="nil"/>
            </w:tcBorders>
            <w:shd w:val="clear" w:color="auto" w:fill="auto"/>
            <w:vAlign w:val="bottom"/>
            <w:hideMark/>
          </w:tcPr>
          <w:p w14:paraId="117D0DC1"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0.0119</w:t>
            </w:r>
          </w:p>
        </w:tc>
        <w:tc>
          <w:tcPr>
            <w:tcW w:w="780" w:type="dxa"/>
            <w:tcBorders>
              <w:top w:val="single" w:sz="4" w:space="0" w:color="ADD6EA"/>
              <w:left w:val="nil"/>
              <w:bottom w:val="nil"/>
              <w:right w:val="nil"/>
            </w:tcBorders>
            <w:shd w:val="clear" w:color="auto" w:fill="auto"/>
            <w:vAlign w:val="bottom"/>
            <w:hideMark/>
          </w:tcPr>
          <w:p w14:paraId="05856A5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0.0106</w:t>
            </w:r>
          </w:p>
        </w:tc>
        <w:tc>
          <w:tcPr>
            <w:tcW w:w="780" w:type="dxa"/>
            <w:tcBorders>
              <w:top w:val="single" w:sz="4" w:space="0" w:color="ADD6EA"/>
              <w:left w:val="nil"/>
              <w:bottom w:val="nil"/>
              <w:right w:val="nil"/>
            </w:tcBorders>
            <w:shd w:val="clear" w:color="auto" w:fill="auto"/>
            <w:vAlign w:val="bottom"/>
            <w:hideMark/>
          </w:tcPr>
          <w:p w14:paraId="6A4DABE0"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0.0130</w:t>
            </w:r>
          </w:p>
        </w:tc>
        <w:tc>
          <w:tcPr>
            <w:tcW w:w="780" w:type="dxa"/>
            <w:tcBorders>
              <w:top w:val="single" w:sz="4" w:space="0" w:color="ADD6EA"/>
              <w:left w:val="nil"/>
              <w:bottom w:val="nil"/>
              <w:right w:val="nil"/>
            </w:tcBorders>
            <w:shd w:val="clear" w:color="auto" w:fill="auto"/>
            <w:vAlign w:val="bottom"/>
            <w:hideMark/>
          </w:tcPr>
          <w:p w14:paraId="40C79E8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0.0213</w:t>
            </w:r>
          </w:p>
        </w:tc>
        <w:tc>
          <w:tcPr>
            <w:tcW w:w="780" w:type="dxa"/>
            <w:tcBorders>
              <w:top w:val="single" w:sz="4" w:space="0" w:color="ADD6EA"/>
              <w:left w:val="nil"/>
              <w:bottom w:val="nil"/>
              <w:right w:val="nil"/>
            </w:tcBorders>
            <w:shd w:val="clear" w:color="auto" w:fill="auto"/>
            <w:vAlign w:val="bottom"/>
            <w:hideMark/>
          </w:tcPr>
          <w:p w14:paraId="45192E9B"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0.0197</w:t>
            </w:r>
          </w:p>
        </w:tc>
        <w:tc>
          <w:tcPr>
            <w:tcW w:w="780" w:type="dxa"/>
            <w:tcBorders>
              <w:top w:val="single" w:sz="4" w:space="0" w:color="ADD6EA"/>
              <w:left w:val="nil"/>
              <w:bottom w:val="nil"/>
              <w:right w:val="nil"/>
            </w:tcBorders>
            <w:shd w:val="clear" w:color="auto" w:fill="auto"/>
            <w:vAlign w:val="bottom"/>
            <w:hideMark/>
          </w:tcPr>
          <w:p w14:paraId="721DC56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0.0130</w:t>
            </w:r>
          </w:p>
        </w:tc>
      </w:tr>
      <w:tr w:rsidR="00C170B2" w:rsidRPr="00C170B2" w14:paraId="72861B02"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5A7C43AC"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Person characteristics</w:t>
            </w:r>
          </w:p>
        </w:tc>
        <w:tc>
          <w:tcPr>
            <w:tcW w:w="780" w:type="dxa"/>
            <w:tcBorders>
              <w:top w:val="single" w:sz="4" w:space="0" w:color="ADD6EA"/>
              <w:left w:val="nil"/>
              <w:bottom w:val="nil"/>
              <w:right w:val="nil"/>
            </w:tcBorders>
            <w:shd w:val="clear" w:color="auto" w:fill="auto"/>
            <w:vAlign w:val="bottom"/>
            <w:hideMark/>
          </w:tcPr>
          <w:p w14:paraId="6C3D0183"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0.0089</w:t>
            </w:r>
          </w:p>
        </w:tc>
        <w:tc>
          <w:tcPr>
            <w:tcW w:w="780" w:type="dxa"/>
            <w:tcBorders>
              <w:top w:val="single" w:sz="4" w:space="0" w:color="ADD6EA"/>
              <w:left w:val="nil"/>
              <w:bottom w:val="nil"/>
              <w:right w:val="nil"/>
            </w:tcBorders>
            <w:shd w:val="clear" w:color="auto" w:fill="auto"/>
            <w:vAlign w:val="bottom"/>
            <w:hideMark/>
          </w:tcPr>
          <w:p w14:paraId="7B6FEB3C"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0.0087</w:t>
            </w:r>
          </w:p>
        </w:tc>
        <w:tc>
          <w:tcPr>
            <w:tcW w:w="780" w:type="dxa"/>
            <w:tcBorders>
              <w:top w:val="single" w:sz="4" w:space="0" w:color="ADD6EA"/>
              <w:left w:val="nil"/>
              <w:bottom w:val="nil"/>
              <w:right w:val="nil"/>
            </w:tcBorders>
            <w:shd w:val="clear" w:color="auto" w:fill="auto"/>
            <w:vAlign w:val="bottom"/>
            <w:hideMark/>
          </w:tcPr>
          <w:p w14:paraId="0FA04553"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0.0095</w:t>
            </w:r>
          </w:p>
        </w:tc>
        <w:tc>
          <w:tcPr>
            <w:tcW w:w="780" w:type="dxa"/>
            <w:tcBorders>
              <w:top w:val="single" w:sz="4" w:space="0" w:color="ADD6EA"/>
              <w:left w:val="nil"/>
              <w:bottom w:val="nil"/>
              <w:right w:val="nil"/>
            </w:tcBorders>
            <w:shd w:val="clear" w:color="auto" w:fill="auto"/>
            <w:vAlign w:val="bottom"/>
            <w:hideMark/>
          </w:tcPr>
          <w:p w14:paraId="1290439E"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0.0114</w:t>
            </w:r>
          </w:p>
        </w:tc>
        <w:tc>
          <w:tcPr>
            <w:tcW w:w="780" w:type="dxa"/>
            <w:tcBorders>
              <w:top w:val="single" w:sz="4" w:space="0" w:color="ADD6EA"/>
              <w:left w:val="nil"/>
              <w:bottom w:val="nil"/>
              <w:right w:val="nil"/>
            </w:tcBorders>
            <w:shd w:val="clear" w:color="auto" w:fill="auto"/>
            <w:vAlign w:val="bottom"/>
            <w:hideMark/>
          </w:tcPr>
          <w:p w14:paraId="437EBC4C"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0.0103</w:t>
            </w:r>
          </w:p>
        </w:tc>
        <w:tc>
          <w:tcPr>
            <w:tcW w:w="780" w:type="dxa"/>
            <w:tcBorders>
              <w:top w:val="single" w:sz="4" w:space="0" w:color="ADD6EA"/>
              <w:left w:val="nil"/>
              <w:bottom w:val="nil"/>
              <w:right w:val="nil"/>
            </w:tcBorders>
            <w:shd w:val="clear" w:color="auto" w:fill="auto"/>
            <w:vAlign w:val="bottom"/>
            <w:hideMark/>
          </w:tcPr>
          <w:p w14:paraId="700A766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0.0124</w:t>
            </w:r>
          </w:p>
        </w:tc>
        <w:tc>
          <w:tcPr>
            <w:tcW w:w="780" w:type="dxa"/>
            <w:tcBorders>
              <w:top w:val="single" w:sz="4" w:space="0" w:color="ADD6EA"/>
              <w:left w:val="nil"/>
              <w:bottom w:val="nil"/>
              <w:right w:val="nil"/>
            </w:tcBorders>
            <w:shd w:val="clear" w:color="auto" w:fill="auto"/>
            <w:vAlign w:val="bottom"/>
            <w:hideMark/>
          </w:tcPr>
          <w:p w14:paraId="5C6DB34C"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0.0201</w:t>
            </w:r>
          </w:p>
        </w:tc>
        <w:tc>
          <w:tcPr>
            <w:tcW w:w="780" w:type="dxa"/>
            <w:tcBorders>
              <w:top w:val="single" w:sz="4" w:space="0" w:color="ADD6EA"/>
              <w:left w:val="nil"/>
              <w:bottom w:val="nil"/>
              <w:right w:val="nil"/>
            </w:tcBorders>
            <w:shd w:val="clear" w:color="auto" w:fill="auto"/>
            <w:vAlign w:val="bottom"/>
            <w:hideMark/>
          </w:tcPr>
          <w:p w14:paraId="77844EEF"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0.0185</w:t>
            </w:r>
          </w:p>
        </w:tc>
        <w:tc>
          <w:tcPr>
            <w:tcW w:w="780" w:type="dxa"/>
            <w:tcBorders>
              <w:top w:val="single" w:sz="4" w:space="0" w:color="ADD6EA"/>
              <w:left w:val="nil"/>
              <w:bottom w:val="nil"/>
              <w:right w:val="nil"/>
            </w:tcBorders>
            <w:shd w:val="clear" w:color="auto" w:fill="auto"/>
            <w:vAlign w:val="bottom"/>
            <w:hideMark/>
          </w:tcPr>
          <w:p w14:paraId="29D52F58"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0.0125</w:t>
            </w:r>
          </w:p>
        </w:tc>
      </w:tr>
      <w:tr w:rsidR="00C170B2" w:rsidRPr="00C170B2" w14:paraId="454A5D8D"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1DC705FA"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Occupation (broad)</w:t>
            </w:r>
          </w:p>
        </w:tc>
        <w:tc>
          <w:tcPr>
            <w:tcW w:w="780" w:type="dxa"/>
            <w:tcBorders>
              <w:top w:val="single" w:sz="4" w:space="0" w:color="ADD6EA"/>
              <w:left w:val="nil"/>
              <w:bottom w:val="nil"/>
              <w:right w:val="nil"/>
            </w:tcBorders>
            <w:shd w:val="clear" w:color="auto" w:fill="auto"/>
            <w:vAlign w:val="bottom"/>
            <w:hideMark/>
          </w:tcPr>
          <w:p w14:paraId="773D112C"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0.0088</w:t>
            </w:r>
          </w:p>
        </w:tc>
        <w:tc>
          <w:tcPr>
            <w:tcW w:w="780" w:type="dxa"/>
            <w:tcBorders>
              <w:top w:val="single" w:sz="4" w:space="0" w:color="ADD6EA"/>
              <w:left w:val="nil"/>
              <w:bottom w:val="nil"/>
              <w:right w:val="nil"/>
            </w:tcBorders>
            <w:shd w:val="clear" w:color="auto" w:fill="auto"/>
            <w:vAlign w:val="bottom"/>
            <w:hideMark/>
          </w:tcPr>
          <w:p w14:paraId="7CC8BE84"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0.0081</w:t>
            </w:r>
          </w:p>
        </w:tc>
        <w:tc>
          <w:tcPr>
            <w:tcW w:w="780" w:type="dxa"/>
            <w:tcBorders>
              <w:top w:val="single" w:sz="4" w:space="0" w:color="ADD6EA"/>
              <w:left w:val="nil"/>
              <w:bottom w:val="nil"/>
              <w:right w:val="nil"/>
            </w:tcBorders>
            <w:shd w:val="clear" w:color="auto" w:fill="auto"/>
            <w:vAlign w:val="bottom"/>
            <w:hideMark/>
          </w:tcPr>
          <w:p w14:paraId="3C41BFC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0.0088</w:t>
            </w:r>
          </w:p>
        </w:tc>
        <w:tc>
          <w:tcPr>
            <w:tcW w:w="780" w:type="dxa"/>
            <w:tcBorders>
              <w:top w:val="single" w:sz="4" w:space="0" w:color="ADD6EA"/>
              <w:left w:val="nil"/>
              <w:bottom w:val="nil"/>
              <w:right w:val="nil"/>
            </w:tcBorders>
            <w:shd w:val="clear" w:color="auto" w:fill="auto"/>
            <w:vAlign w:val="bottom"/>
            <w:hideMark/>
          </w:tcPr>
          <w:p w14:paraId="4166BF1C"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0.0107</w:t>
            </w:r>
          </w:p>
        </w:tc>
        <w:tc>
          <w:tcPr>
            <w:tcW w:w="780" w:type="dxa"/>
            <w:tcBorders>
              <w:top w:val="single" w:sz="4" w:space="0" w:color="ADD6EA"/>
              <w:left w:val="nil"/>
              <w:bottom w:val="nil"/>
              <w:right w:val="nil"/>
            </w:tcBorders>
            <w:shd w:val="clear" w:color="auto" w:fill="auto"/>
            <w:vAlign w:val="bottom"/>
            <w:hideMark/>
          </w:tcPr>
          <w:p w14:paraId="1DBE672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0.0101</w:t>
            </w:r>
          </w:p>
        </w:tc>
        <w:tc>
          <w:tcPr>
            <w:tcW w:w="780" w:type="dxa"/>
            <w:tcBorders>
              <w:top w:val="single" w:sz="4" w:space="0" w:color="ADD6EA"/>
              <w:left w:val="nil"/>
              <w:bottom w:val="nil"/>
              <w:right w:val="nil"/>
            </w:tcBorders>
            <w:shd w:val="clear" w:color="auto" w:fill="auto"/>
            <w:vAlign w:val="bottom"/>
            <w:hideMark/>
          </w:tcPr>
          <w:p w14:paraId="2C87C558"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0.0119</w:t>
            </w:r>
          </w:p>
        </w:tc>
        <w:tc>
          <w:tcPr>
            <w:tcW w:w="780" w:type="dxa"/>
            <w:tcBorders>
              <w:top w:val="single" w:sz="4" w:space="0" w:color="ADD6EA"/>
              <w:left w:val="nil"/>
              <w:bottom w:val="nil"/>
              <w:right w:val="nil"/>
            </w:tcBorders>
            <w:shd w:val="clear" w:color="auto" w:fill="auto"/>
            <w:vAlign w:val="bottom"/>
            <w:hideMark/>
          </w:tcPr>
          <w:p w14:paraId="6FAA7EB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0.0190</w:t>
            </w:r>
          </w:p>
        </w:tc>
        <w:tc>
          <w:tcPr>
            <w:tcW w:w="780" w:type="dxa"/>
            <w:tcBorders>
              <w:top w:val="single" w:sz="4" w:space="0" w:color="ADD6EA"/>
              <w:left w:val="nil"/>
              <w:bottom w:val="nil"/>
              <w:right w:val="nil"/>
            </w:tcBorders>
            <w:shd w:val="clear" w:color="auto" w:fill="auto"/>
            <w:vAlign w:val="bottom"/>
            <w:hideMark/>
          </w:tcPr>
          <w:p w14:paraId="7ACBD95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0.0180</w:t>
            </w:r>
          </w:p>
        </w:tc>
        <w:tc>
          <w:tcPr>
            <w:tcW w:w="780" w:type="dxa"/>
            <w:tcBorders>
              <w:top w:val="single" w:sz="4" w:space="0" w:color="ADD6EA"/>
              <w:left w:val="nil"/>
              <w:bottom w:val="nil"/>
              <w:right w:val="nil"/>
            </w:tcBorders>
            <w:shd w:val="clear" w:color="auto" w:fill="auto"/>
            <w:vAlign w:val="bottom"/>
            <w:hideMark/>
          </w:tcPr>
          <w:p w14:paraId="795ECF79"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0.0119</w:t>
            </w:r>
          </w:p>
        </w:tc>
      </w:tr>
      <w:tr w:rsidR="00C170B2" w:rsidRPr="00C170B2" w14:paraId="36DD89D1"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50F3C928"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Occupation (detailed)</w:t>
            </w:r>
          </w:p>
        </w:tc>
        <w:tc>
          <w:tcPr>
            <w:tcW w:w="780" w:type="dxa"/>
            <w:tcBorders>
              <w:top w:val="single" w:sz="4" w:space="0" w:color="ADD6EA"/>
              <w:left w:val="nil"/>
              <w:bottom w:val="nil"/>
              <w:right w:val="nil"/>
            </w:tcBorders>
            <w:shd w:val="clear" w:color="auto" w:fill="auto"/>
            <w:vAlign w:val="bottom"/>
            <w:hideMark/>
          </w:tcPr>
          <w:p w14:paraId="3378E2B1"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0.0085</w:t>
            </w:r>
          </w:p>
        </w:tc>
        <w:tc>
          <w:tcPr>
            <w:tcW w:w="780" w:type="dxa"/>
            <w:tcBorders>
              <w:top w:val="single" w:sz="4" w:space="0" w:color="ADD6EA"/>
              <w:left w:val="nil"/>
              <w:bottom w:val="nil"/>
              <w:right w:val="nil"/>
            </w:tcBorders>
            <w:shd w:val="clear" w:color="auto" w:fill="auto"/>
            <w:vAlign w:val="bottom"/>
            <w:hideMark/>
          </w:tcPr>
          <w:p w14:paraId="3F9D6E00"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0.0081</w:t>
            </w:r>
          </w:p>
        </w:tc>
        <w:tc>
          <w:tcPr>
            <w:tcW w:w="780" w:type="dxa"/>
            <w:tcBorders>
              <w:top w:val="single" w:sz="4" w:space="0" w:color="ADD6EA"/>
              <w:left w:val="nil"/>
              <w:bottom w:val="nil"/>
              <w:right w:val="nil"/>
            </w:tcBorders>
            <w:shd w:val="clear" w:color="auto" w:fill="auto"/>
            <w:vAlign w:val="bottom"/>
            <w:hideMark/>
          </w:tcPr>
          <w:p w14:paraId="1591DDB4" w14:textId="77777777" w:rsidR="00C170B2" w:rsidRPr="00C170B2" w:rsidRDefault="00C170B2" w:rsidP="00565BFE">
            <w:pPr>
              <w:keepNext/>
              <w:keepLines/>
              <w:tabs>
                <w:tab w:val="clear" w:pos="567"/>
              </w:tabs>
              <w:spacing w:before="0" w:line="240" w:lineRule="auto"/>
              <w:jc w:val="right"/>
              <w:rPr>
                <w:rFonts w:eastAsia="Times New Roman" w:cs="Open Sans Light"/>
                <w:b/>
                <w:bCs/>
                <w:color w:val="000000"/>
                <w:sz w:val="16"/>
                <w:szCs w:val="16"/>
                <w:lang w:eastAsia="en-AU"/>
              </w:rPr>
            </w:pPr>
            <w:r w:rsidRPr="00C170B2">
              <w:rPr>
                <w:rFonts w:eastAsia="Times New Roman" w:cs="Open Sans Light"/>
                <w:b/>
                <w:bCs/>
                <w:color w:val="000000"/>
                <w:sz w:val="16"/>
                <w:szCs w:val="16"/>
                <w:lang w:eastAsia="en-AU"/>
              </w:rPr>
              <w:t>0.0085</w:t>
            </w:r>
          </w:p>
        </w:tc>
        <w:tc>
          <w:tcPr>
            <w:tcW w:w="780" w:type="dxa"/>
            <w:tcBorders>
              <w:top w:val="single" w:sz="4" w:space="0" w:color="ADD6EA"/>
              <w:left w:val="nil"/>
              <w:bottom w:val="nil"/>
              <w:right w:val="nil"/>
            </w:tcBorders>
            <w:shd w:val="clear" w:color="auto" w:fill="auto"/>
            <w:vAlign w:val="bottom"/>
            <w:hideMark/>
          </w:tcPr>
          <w:p w14:paraId="17F304DB"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0.0100</w:t>
            </w:r>
          </w:p>
        </w:tc>
        <w:tc>
          <w:tcPr>
            <w:tcW w:w="780" w:type="dxa"/>
            <w:tcBorders>
              <w:top w:val="single" w:sz="4" w:space="0" w:color="ADD6EA"/>
              <w:left w:val="nil"/>
              <w:bottom w:val="nil"/>
              <w:right w:val="nil"/>
            </w:tcBorders>
            <w:shd w:val="clear" w:color="auto" w:fill="auto"/>
            <w:vAlign w:val="bottom"/>
            <w:hideMark/>
          </w:tcPr>
          <w:p w14:paraId="610DFD74"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0.0101</w:t>
            </w:r>
          </w:p>
        </w:tc>
        <w:tc>
          <w:tcPr>
            <w:tcW w:w="780" w:type="dxa"/>
            <w:tcBorders>
              <w:top w:val="single" w:sz="4" w:space="0" w:color="ADD6EA"/>
              <w:left w:val="nil"/>
              <w:bottom w:val="nil"/>
              <w:right w:val="nil"/>
            </w:tcBorders>
            <w:shd w:val="clear" w:color="auto" w:fill="auto"/>
            <w:vAlign w:val="bottom"/>
            <w:hideMark/>
          </w:tcPr>
          <w:p w14:paraId="70C1384F"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0.0116</w:t>
            </w:r>
          </w:p>
        </w:tc>
        <w:tc>
          <w:tcPr>
            <w:tcW w:w="780" w:type="dxa"/>
            <w:tcBorders>
              <w:top w:val="single" w:sz="4" w:space="0" w:color="ADD6EA"/>
              <w:left w:val="nil"/>
              <w:bottom w:val="nil"/>
              <w:right w:val="nil"/>
            </w:tcBorders>
            <w:shd w:val="clear" w:color="auto" w:fill="auto"/>
            <w:vAlign w:val="bottom"/>
            <w:hideMark/>
          </w:tcPr>
          <w:p w14:paraId="3F9A217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0.0175</w:t>
            </w:r>
          </w:p>
        </w:tc>
        <w:tc>
          <w:tcPr>
            <w:tcW w:w="780" w:type="dxa"/>
            <w:tcBorders>
              <w:top w:val="single" w:sz="4" w:space="0" w:color="ADD6EA"/>
              <w:left w:val="nil"/>
              <w:bottom w:val="nil"/>
              <w:right w:val="nil"/>
            </w:tcBorders>
            <w:shd w:val="clear" w:color="auto" w:fill="auto"/>
            <w:vAlign w:val="bottom"/>
            <w:hideMark/>
          </w:tcPr>
          <w:p w14:paraId="17039CBE"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0.0172</w:t>
            </w:r>
          </w:p>
        </w:tc>
        <w:tc>
          <w:tcPr>
            <w:tcW w:w="780" w:type="dxa"/>
            <w:tcBorders>
              <w:top w:val="single" w:sz="4" w:space="0" w:color="ADD6EA"/>
              <w:left w:val="nil"/>
              <w:bottom w:val="nil"/>
              <w:right w:val="nil"/>
            </w:tcBorders>
            <w:shd w:val="clear" w:color="auto" w:fill="auto"/>
            <w:vAlign w:val="bottom"/>
            <w:hideMark/>
          </w:tcPr>
          <w:p w14:paraId="00A0E0D2"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0.0114</w:t>
            </w:r>
          </w:p>
        </w:tc>
      </w:tr>
      <w:tr w:rsidR="00C170B2" w:rsidRPr="00C170B2" w14:paraId="4C47C52B"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6BFCF33C"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Industry (broad)</w:t>
            </w:r>
          </w:p>
        </w:tc>
        <w:tc>
          <w:tcPr>
            <w:tcW w:w="780" w:type="dxa"/>
            <w:tcBorders>
              <w:top w:val="single" w:sz="4" w:space="0" w:color="ADD6EA"/>
              <w:left w:val="nil"/>
              <w:bottom w:val="nil"/>
              <w:right w:val="nil"/>
            </w:tcBorders>
            <w:shd w:val="clear" w:color="auto" w:fill="auto"/>
            <w:vAlign w:val="bottom"/>
            <w:hideMark/>
          </w:tcPr>
          <w:p w14:paraId="620C4812"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0.0084</w:t>
            </w:r>
          </w:p>
        </w:tc>
        <w:tc>
          <w:tcPr>
            <w:tcW w:w="780" w:type="dxa"/>
            <w:tcBorders>
              <w:top w:val="single" w:sz="4" w:space="0" w:color="ADD6EA"/>
              <w:left w:val="nil"/>
              <w:bottom w:val="nil"/>
              <w:right w:val="nil"/>
            </w:tcBorders>
            <w:shd w:val="clear" w:color="auto" w:fill="auto"/>
            <w:vAlign w:val="bottom"/>
            <w:hideMark/>
          </w:tcPr>
          <w:p w14:paraId="0C35BD5F"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0.0082</w:t>
            </w:r>
          </w:p>
        </w:tc>
        <w:tc>
          <w:tcPr>
            <w:tcW w:w="780" w:type="dxa"/>
            <w:tcBorders>
              <w:top w:val="single" w:sz="4" w:space="0" w:color="ADD6EA"/>
              <w:left w:val="nil"/>
              <w:bottom w:val="nil"/>
              <w:right w:val="nil"/>
            </w:tcBorders>
            <w:shd w:val="clear" w:color="auto" w:fill="auto"/>
            <w:vAlign w:val="bottom"/>
            <w:hideMark/>
          </w:tcPr>
          <w:p w14:paraId="04AEAF6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0.0086</w:t>
            </w:r>
          </w:p>
        </w:tc>
        <w:tc>
          <w:tcPr>
            <w:tcW w:w="780" w:type="dxa"/>
            <w:tcBorders>
              <w:top w:val="single" w:sz="4" w:space="0" w:color="ADD6EA"/>
              <w:left w:val="nil"/>
              <w:bottom w:val="nil"/>
              <w:right w:val="nil"/>
            </w:tcBorders>
            <w:shd w:val="clear" w:color="auto" w:fill="auto"/>
            <w:vAlign w:val="bottom"/>
            <w:hideMark/>
          </w:tcPr>
          <w:p w14:paraId="3C8B6CE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0.0098</w:t>
            </w:r>
          </w:p>
        </w:tc>
        <w:tc>
          <w:tcPr>
            <w:tcW w:w="780" w:type="dxa"/>
            <w:tcBorders>
              <w:top w:val="single" w:sz="4" w:space="0" w:color="ADD6EA"/>
              <w:left w:val="nil"/>
              <w:bottom w:val="nil"/>
              <w:right w:val="nil"/>
            </w:tcBorders>
            <w:shd w:val="clear" w:color="auto" w:fill="auto"/>
            <w:vAlign w:val="bottom"/>
            <w:hideMark/>
          </w:tcPr>
          <w:p w14:paraId="4BDE21D4"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0.0098</w:t>
            </w:r>
          </w:p>
        </w:tc>
        <w:tc>
          <w:tcPr>
            <w:tcW w:w="780" w:type="dxa"/>
            <w:tcBorders>
              <w:top w:val="single" w:sz="4" w:space="0" w:color="ADD6EA"/>
              <w:left w:val="nil"/>
              <w:bottom w:val="nil"/>
              <w:right w:val="nil"/>
            </w:tcBorders>
            <w:shd w:val="clear" w:color="auto" w:fill="auto"/>
            <w:vAlign w:val="bottom"/>
            <w:hideMark/>
          </w:tcPr>
          <w:p w14:paraId="23C48D2C"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0.0116</w:t>
            </w:r>
          </w:p>
        </w:tc>
        <w:tc>
          <w:tcPr>
            <w:tcW w:w="780" w:type="dxa"/>
            <w:tcBorders>
              <w:top w:val="single" w:sz="4" w:space="0" w:color="ADD6EA"/>
              <w:left w:val="nil"/>
              <w:bottom w:val="nil"/>
              <w:right w:val="nil"/>
            </w:tcBorders>
            <w:shd w:val="clear" w:color="auto" w:fill="auto"/>
            <w:vAlign w:val="bottom"/>
            <w:hideMark/>
          </w:tcPr>
          <w:p w14:paraId="46688B94"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0.0177</w:t>
            </w:r>
          </w:p>
        </w:tc>
        <w:tc>
          <w:tcPr>
            <w:tcW w:w="780" w:type="dxa"/>
            <w:tcBorders>
              <w:top w:val="single" w:sz="4" w:space="0" w:color="ADD6EA"/>
              <w:left w:val="nil"/>
              <w:bottom w:val="nil"/>
              <w:right w:val="nil"/>
            </w:tcBorders>
            <w:shd w:val="clear" w:color="auto" w:fill="auto"/>
            <w:vAlign w:val="bottom"/>
            <w:hideMark/>
          </w:tcPr>
          <w:p w14:paraId="33BF8841" w14:textId="77777777" w:rsidR="00C170B2" w:rsidRPr="00C170B2" w:rsidRDefault="00C170B2" w:rsidP="00565BFE">
            <w:pPr>
              <w:keepNext/>
              <w:keepLines/>
              <w:tabs>
                <w:tab w:val="clear" w:pos="567"/>
              </w:tabs>
              <w:spacing w:before="0" w:line="240" w:lineRule="auto"/>
              <w:jc w:val="right"/>
              <w:rPr>
                <w:rFonts w:eastAsia="Times New Roman" w:cs="Open Sans Light"/>
                <w:b/>
                <w:bCs/>
                <w:color w:val="000000"/>
                <w:sz w:val="16"/>
                <w:szCs w:val="16"/>
                <w:lang w:eastAsia="en-AU"/>
              </w:rPr>
            </w:pPr>
            <w:r w:rsidRPr="00C170B2">
              <w:rPr>
                <w:rFonts w:eastAsia="Times New Roman" w:cs="Open Sans Light"/>
                <w:b/>
                <w:bCs/>
                <w:color w:val="000000"/>
                <w:sz w:val="16"/>
                <w:szCs w:val="16"/>
                <w:lang w:eastAsia="en-AU"/>
              </w:rPr>
              <w:t>0.0169</w:t>
            </w:r>
          </w:p>
        </w:tc>
        <w:tc>
          <w:tcPr>
            <w:tcW w:w="780" w:type="dxa"/>
            <w:tcBorders>
              <w:top w:val="single" w:sz="4" w:space="0" w:color="ADD6EA"/>
              <w:left w:val="nil"/>
              <w:bottom w:val="nil"/>
              <w:right w:val="nil"/>
            </w:tcBorders>
            <w:shd w:val="clear" w:color="auto" w:fill="auto"/>
            <w:vAlign w:val="bottom"/>
            <w:hideMark/>
          </w:tcPr>
          <w:p w14:paraId="55DAF722"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0.0114</w:t>
            </w:r>
          </w:p>
        </w:tc>
      </w:tr>
      <w:tr w:rsidR="00C170B2" w:rsidRPr="00C170B2" w14:paraId="7C42F9C1" w14:textId="77777777" w:rsidTr="00C170B2">
        <w:trPr>
          <w:trHeight w:val="270"/>
        </w:trPr>
        <w:tc>
          <w:tcPr>
            <w:tcW w:w="2020" w:type="dxa"/>
            <w:tcBorders>
              <w:top w:val="single" w:sz="4" w:space="0" w:color="ADD6EA"/>
              <w:left w:val="nil"/>
              <w:bottom w:val="single" w:sz="4" w:space="0" w:color="ADD6EA"/>
              <w:right w:val="nil"/>
            </w:tcBorders>
            <w:shd w:val="clear" w:color="000000" w:fill="D6E7F0"/>
            <w:vAlign w:val="bottom"/>
            <w:hideMark/>
          </w:tcPr>
          <w:p w14:paraId="7863D916" w14:textId="77777777" w:rsidR="00C170B2" w:rsidRPr="00C170B2" w:rsidRDefault="00C170B2" w:rsidP="00565BFE">
            <w:pPr>
              <w:keepNext/>
              <w:keepLines/>
              <w:tabs>
                <w:tab w:val="clear" w:pos="567"/>
              </w:tabs>
              <w:spacing w:before="0" w:line="240" w:lineRule="auto"/>
              <w:rPr>
                <w:rFonts w:ascii="Work Sans" w:eastAsia="Times New Roman" w:hAnsi="Work Sans" w:cs="Open Sans Semibold"/>
                <w:color w:val="000000"/>
                <w:sz w:val="16"/>
                <w:szCs w:val="16"/>
                <w:lang w:eastAsia="en-AU"/>
              </w:rPr>
            </w:pPr>
            <w:r w:rsidRPr="00C170B2">
              <w:rPr>
                <w:rFonts w:ascii="Work Sans" w:eastAsia="Times New Roman" w:hAnsi="Work Sans" w:cs="Open Sans Semibold"/>
                <w:color w:val="000000"/>
                <w:sz w:val="16"/>
                <w:szCs w:val="16"/>
                <w:lang w:eastAsia="en-AU"/>
              </w:rPr>
              <w:t>Usual hours</w:t>
            </w:r>
          </w:p>
        </w:tc>
        <w:tc>
          <w:tcPr>
            <w:tcW w:w="780" w:type="dxa"/>
            <w:tcBorders>
              <w:top w:val="single" w:sz="4" w:space="0" w:color="ADD6EA"/>
              <w:left w:val="nil"/>
              <w:bottom w:val="single" w:sz="4" w:space="0" w:color="ADD6EA"/>
              <w:right w:val="nil"/>
            </w:tcBorders>
            <w:shd w:val="clear" w:color="000000" w:fill="D6E7F0"/>
            <w:noWrap/>
            <w:vAlign w:val="bottom"/>
            <w:hideMark/>
          </w:tcPr>
          <w:p w14:paraId="298C125C" w14:textId="77777777" w:rsidR="00C170B2" w:rsidRPr="00C170B2" w:rsidRDefault="00C170B2" w:rsidP="00565BFE">
            <w:pPr>
              <w:keepNext/>
              <w:keepLines/>
              <w:tabs>
                <w:tab w:val="clear" w:pos="567"/>
              </w:tabs>
              <w:spacing w:before="0" w:line="240" w:lineRule="auto"/>
              <w:jc w:val="right"/>
              <w:rPr>
                <w:rFonts w:ascii="Work Sans" w:eastAsia="Times New Roman" w:hAnsi="Work Sans" w:cs="Open Sans Semibold"/>
                <w:b/>
                <w:bCs/>
                <w:color w:val="000000"/>
                <w:sz w:val="16"/>
                <w:szCs w:val="16"/>
                <w:lang w:eastAsia="en-AU"/>
              </w:rPr>
            </w:pPr>
            <w:r w:rsidRPr="00C170B2">
              <w:rPr>
                <w:rFonts w:ascii="Work Sans" w:eastAsia="Times New Roman" w:hAnsi="Work Sans" w:cs="Open Sans Semibold"/>
                <w:b/>
                <w:bCs/>
                <w:color w:val="000000"/>
                <w:sz w:val="16"/>
                <w:szCs w:val="16"/>
                <w:lang w:eastAsia="en-AU"/>
              </w:rPr>
              <w:t>0.0082</w:t>
            </w:r>
          </w:p>
        </w:tc>
        <w:tc>
          <w:tcPr>
            <w:tcW w:w="780" w:type="dxa"/>
            <w:tcBorders>
              <w:top w:val="single" w:sz="4" w:space="0" w:color="ADD6EA"/>
              <w:left w:val="nil"/>
              <w:bottom w:val="single" w:sz="4" w:space="0" w:color="ADD6EA"/>
              <w:right w:val="nil"/>
            </w:tcBorders>
            <w:shd w:val="clear" w:color="000000" w:fill="D6E7F0"/>
            <w:noWrap/>
            <w:vAlign w:val="bottom"/>
            <w:hideMark/>
          </w:tcPr>
          <w:p w14:paraId="7DA92684" w14:textId="77777777" w:rsidR="00C170B2" w:rsidRPr="00C170B2" w:rsidRDefault="00C170B2" w:rsidP="00565BFE">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C170B2">
              <w:rPr>
                <w:rFonts w:ascii="Work Sans" w:eastAsia="Times New Roman" w:hAnsi="Work Sans" w:cs="Open Sans Semibold"/>
                <w:color w:val="000000"/>
                <w:sz w:val="16"/>
                <w:szCs w:val="16"/>
                <w:lang w:eastAsia="en-AU"/>
              </w:rPr>
              <w:t>0.0081</w:t>
            </w:r>
          </w:p>
        </w:tc>
        <w:tc>
          <w:tcPr>
            <w:tcW w:w="780" w:type="dxa"/>
            <w:tcBorders>
              <w:top w:val="single" w:sz="4" w:space="0" w:color="ADD6EA"/>
              <w:left w:val="nil"/>
              <w:bottom w:val="single" w:sz="4" w:space="0" w:color="ADD6EA"/>
              <w:right w:val="nil"/>
            </w:tcBorders>
            <w:shd w:val="clear" w:color="000000" w:fill="D6E7F0"/>
            <w:noWrap/>
            <w:vAlign w:val="bottom"/>
            <w:hideMark/>
          </w:tcPr>
          <w:p w14:paraId="5D3780A6" w14:textId="77777777" w:rsidR="00C170B2" w:rsidRPr="00C170B2" w:rsidRDefault="00C170B2" w:rsidP="00565BFE">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C170B2">
              <w:rPr>
                <w:rFonts w:ascii="Work Sans" w:eastAsia="Times New Roman" w:hAnsi="Work Sans" w:cs="Open Sans Semibold"/>
                <w:color w:val="000000"/>
                <w:sz w:val="16"/>
                <w:szCs w:val="16"/>
                <w:lang w:eastAsia="en-AU"/>
              </w:rPr>
              <w:t>0.0086</w:t>
            </w:r>
          </w:p>
        </w:tc>
        <w:tc>
          <w:tcPr>
            <w:tcW w:w="780" w:type="dxa"/>
            <w:tcBorders>
              <w:top w:val="single" w:sz="4" w:space="0" w:color="ADD6EA"/>
              <w:left w:val="nil"/>
              <w:bottom w:val="single" w:sz="4" w:space="0" w:color="ADD6EA"/>
              <w:right w:val="nil"/>
            </w:tcBorders>
            <w:shd w:val="clear" w:color="000000" w:fill="D6E7F0"/>
            <w:noWrap/>
            <w:vAlign w:val="bottom"/>
            <w:hideMark/>
          </w:tcPr>
          <w:p w14:paraId="354F5352" w14:textId="77777777" w:rsidR="00C170B2" w:rsidRPr="00C170B2" w:rsidRDefault="00C170B2" w:rsidP="00565BFE">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C170B2">
              <w:rPr>
                <w:rFonts w:ascii="Work Sans" w:eastAsia="Times New Roman" w:hAnsi="Work Sans" w:cs="Open Sans Semibold"/>
                <w:color w:val="000000"/>
                <w:sz w:val="16"/>
                <w:szCs w:val="16"/>
                <w:lang w:eastAsia="en-AU"/>
              </w:rPr>
              <w:t>0.0097</w:t>
            </w:r>
          </w:p>
        </w:tc>
        <w:tc>
          <w:tcPr>
            <w:tcW w:w="780" w:type="dxa"/>
            <w:tcBorders>
              <w:top w:val="single" w:sz="4" w:space="0" w:color="ADD6EA"/>
              <w:left w:val="nil"/>
              <w:bottom w:val="single" w:sz="4" w:space="0" w:color="ADD6EA"/>
              <w:right w:val="nil"/>
            </w:tcBorders>
            <w:shd w:val="clear" w:color="000000" w:fill="D6E7F0"/>
            <w:noWrap/>
            <w:vAlign w:val="bottom"/>
            <w:hideMark/>
          </w:tcPr>
          <w:p w14:paraId="3F3C43A9" w14:textId="77777777" w:rsidR="00C170B2" w:rsidRPr="00C170B2" w:rsidRDefault="00C170B2" w:rsidP="00565BFE">
            <w:pPr>
              <w:keepNext/>
              <w:keepLines/>
              <w:tabs>
                <w:tab w:val="clear" w:pos="567"/>
              </w:tabs>
              <w:spacing w:before="0" w:line="240" w:lineRule="auto"/>
              <w:jc w:val="right"/>
              <w:rPr>
                <w:rFonts w:ascii="Work Sans" w:eastAsia="Times New Roman" w:hAnsi="Work Sans" w:cs="Open Sans Semibold"/>
                <w:b/>
                <w:bCs/>
                <w:color w:val="000000"/>
                <w:sz w:val="16"/>
                <w:szCs w:val="16"/>
                <w:lang w:eastAsia="en-AU"/>
              </w:rPr>
            </w:pPr>
            <w:r w:rsidRPr="00C170B2">
              <w:rPr>
                <w:rFonts w:ascii="Work Sans" w:eastAsia="Times New Roman" w:hAnsi="Work Sans" w:cs="Open Sans Semibold"/>
                <w:b/>
                <w:bCs/>
                <w:color w:val="000000"/>
                <w:sz w:val="16"/>
                <w:szCs w:val="16"/>
                <w:lang w:eastAsia="en-AU"/>
              </w:rPr>
              <w:t>0.0098</w:t>
            </w:r>
          </w:p>
        </w:tc>
        <w:tc>
          <w:tcPr>
            <w:tcW w:w="780" w:type="dxa"/>
            <w:tcBorders>
              <w:top w:val="single" w:sz="4" w:space="0" w:color="ADD6EA"/>
              <w:left w:val="nil"/>
              <w:bottom w:val="single" w:sz="4" w:space="0" w:color="ADD6EA"/>
              <w:right w:val="nil"/>
            </w:tcBorders>
            <w:shd w:val="clear" w:color="000000" w:fill="D6E7F0"/>
            <w:noWrap/>
            <w:vAlign w:val="bottom"/>
            <w:hideMark/>
          </w:tcPr>
          <w:p w14:paraId="05FC8031" w14:textId="77777777" w:rsidR="00C170B2" w:rsidRPr="00C170B2" w:rsidRDefault="00C170B2" w:rsidP="00565BFE">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C170B2">
              <w:rPr>
                <w:rFonts w:ascii="Work Sans" w:eastAsia="Times New Roman" w:hAnsi="Work Sans" w:cs="Open Sans Semibold"/>
                <w:color w:val="000000"/>
                <w:sz w:val="16"/>
                <w:szCs w:val="16"/>
                <w:lang w:eastAsia="en-AU"/>
              </w:rPr>
              <w:t>0.0115</w:t>
            </w:r>
          </w:p>
        </w:tc>
        <w:tc>
          <w:tcPr>
            <w:tcW w:w="780" w:type="dxa"/>
            <w:tcBorders>
              <w:top w:val="single" w:sz="4" w:space="0" w:color="ADD6EA"/>
              <w:left w:val="nil"/>
              <w:bottom w:val="single" w:sz="4" w:space="0" w:color="ADD6EA"/>
              <w:right w:val="nil"/>
            </w:tcBorders>
            <w:shd w:val="clear" w:color="000000" w:fill="D6E7F0"/>
            <w:noWrap/>
            <w:vAlign w:val="bottom"/>
            <w:hideMark/>
          </w:tcPr>
          <w:p w14:paraId="42CE8A74" w14:textId="77777777" w:rsidR="00C170B2" w:rsidRPr="00C170B2" w:rsidRDefault="00C170B2" w:rsidP="00565BFE">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C170B2">
              <w:rPr>
                <w:rFonts w:ascii="Work Sans" w:eastAsia="Times New Roman" w:hAnsi="Work Sans" w:cs="Open Sans Semibold"/>
                <w:color w:val="000000"/>
                <w:sz w:val="16"/>
                <w:szCs w:val="16"/>
                <w:lang w:eastAsia="en-AU"/>
              </w:rPr>
              <w:t>0.0176</w:t>
            </w:r>
          </w:p>
        </w:tc>
        <w:tc>
          <w:tcPr>
            <w:tcW w:w="780" w:type="dxa"/>
            <w:tcBorders>
              <w:top w:val="single" w:sz="4" w:space="0" w:color="ADD6EA"/>
              <w:left w:val="nil"/>
              <w:bottom w:val="single" w:sz="4" w:space="0" w:color="ADD6EA"/>
              <w:right w:val="nil"/>
            </w:tcBorders>
            <w:shd w:val="clear" w:color="000000" w:fill="D6E7F0"/>
            <w:noWrap/>
            <w:vAlign w:val="bottom"/>
            <w:hideMark/>
          </w:tcPr>
          <w:p w14:paraId="08A255E4" w14:textId="77777777" w:rsidR="00C170B2" w:rsidRPr="00C170B2" w:rsidRDefault="00C170B2" w:rsidP="00565BFE">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C170B2">
              <w:rPr>
                <w:rFonts w:ascii="Work Sans" w:eastAsia="Times New Roman" w:hAnsi="Work Sans" w:cs="Open Sans Semibold"/>
                <w:color w:val="000000"/>
                <w:sz w:val="16"/>
                <w:szCs w:val="16"/>
                <w:lang w:eastAsia="en-AU"/>
              </w:rPr>
              <w:t>0.0170</w:t>
            </w:r>
          </w:p>
        </w:tc>
        <w:tc>
          <w:tcPr>
            <w:tcW w:w="780" w:type="dxa"/>
            <w:tcBorders>
              <w:top w:val="single" w:sz="4" w:space="0" w:color="ADD6EA"/>
              <w:left w:val="nil"/>
              <w:bottom w:val="single" w:sz="4" w:space="0" w:color="ADD6EA"/>
              <w:right w:val="nil"/>
            </w:tcBorders>
            <w:shd w:val="clear" w:color="000000" w:fill="D6E7F0"/>
            <w:noWrap/>
            <w:vAlign w:val="bottom"/>
            <w:hideMark/>
          </w:tcPr>
          <w:p w14:paraId="56C5C5D2" w14:textId="77777777" w:rsidR="00C170B2" w:rsidRPr="00C170B2" w:rsidRDefault="00C170B2" w:rsidP="00565BFE">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C170B2">
              <w:rPr>
                <w:rFonts w:ascii="Work Sans" w:eastAsia="Times New Roman" w:hAnsi="Work Sans" w:cs="Open Sans Semibold"/>
                <w:color w:val="000000"/>
                <w:sz w:val="16"/>
                <w:szCs w:val="16"/>
                <w:lang w:eastAsia="en-AU"/>
              </w:rPr>
              <w:t>0.0113</w:t>
            </w:r>
          </w:p>
        </w:tc>
      </w:tr>
      <w:tr w:rsidR="00C170B2" w:rsidRPr="00C170B2" w14:paraId="32B2CE37" w14:textId="77777777" w:rsidTr="00C170B2">
        <w:trPr>
          <w:trHeight w:val="270"/>
        </w:trPr>
        <w:tc>
          <w:tcPr>
            <w:tcW w:w="2020" w:type="dxa"/>
            <w:tcBorders>
              <w:top w:val="nil"/>
              <w:left w:val="nil"/>
              <w:bottom w:val="nil"/>
              <w:right w:val="nil"/>
            </w:tcBorders>
            <w:shd w:val="clear" w:color="auto" w:fill="auto"/>
            <w:vAlign w:val="bottom"/>
            <w:hideMark/>
          </w:tcPr>
          <w:p w14:paraId="3074539B"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Family by sex</w:t>
            </w:r>
          </w:p>
        </w:tc>
        <w:tc>
          <w:tcPr>
            <w:tcW w:w="780" w:type="dxa"/>
            <w:tcBorders>
              <w:top w:val="nil"/>
              <w:left w:val="nil"/>
              <w:bottom w:val="nil"/>
              <w:right w:val="nil"/>
            </w:tcBorders>
            <w:shd w:val="clear" w:color="auto" w:fill="auto"/>
            <w:vAlign w:val="bottom"/>
            <w:hideMark/>
          </w:tcPr>
          <w:p w14:paraId="79B829C3"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0.0082</w:t>
            </w:r>
          </w:p>
        </w:tc>
        <w:tc>
          <w:tcPr>
            <w:tcW w:w="780" w:type="dxa"/>
            <w:tcBorders>
              <w:top w:val="nil"/>
              <w:left w:val="nil"/>
              <w:bottom w:val="nil"/>
              <w:right w:val="nil"/>
            </w:tcBorders>
            <w:shd w:val="clear" w:color="auto" w:fill="auto"/>
            <w:vAlign w:val="bottom"/>
            <w:hideMark/>
          </w:tcPr>
          <w:p w14:paraId="2927107B"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0.0082</w:t>
            </w:r>
          </w:p>
        </w:tc>
        <w:tc>
          <w:tcPr>
            <w:tcW w:w="780" w:type="dxa"/>
            <w:tcBorders>
              <w:top w:val="nil"/>
              <w:left w:val="nil"/>
              <w:bottom w:val="nil"/>
              <w:right w:val="nil"/>
            </w:tcBorders>
            <w:shd w:val="clear" w:color="auto" w:fill="auto"/>
            <w:vAlign w:val="bottom"/>
            <w:hideMark/>
          </w:tcPr>
          <w:p w14:paraId="5AB01539"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0.0086</w:t>
            </w:r>
          </w:p>
        </w:tc>
        <w:tc>
          <w:tcPr>
            <w:tcW w:w="780" w:type="dxa"/>
            <w:tcBorders>
              <w:top w:val="nil"/>
              <w:left w:val="nil"/>
              <w:bottom w:val="nil"/>
              <w:right w:val="nil"/>
            </w:tcBorders>
            <w:shd w:val="clear" w:color="auto" w:fill="auto"/>
            <w:vAlign w:val="bottom"/>
            <w:hideMark/>
          </w:tcPr>
          <w:p w14:paraId="302B240B" w14:textId="77777777" w:rsidR="00C170B2" w:rsidRPr="00C170B2" w:rsidRDefault="00C170B2" w:rsidP="00565BFE">
            <w:pPr>
              <w:keepNext/>
              <w:keepLines/>
              <w:tabs>
                <w:tab w:val="clear" w:pos="567"/>
              </w:tabs>
              <w:spacing w:before="0" w:line="240" w:lineRule="auto"/>
              <w:jc w:val="right"/>
              <w:rPr>
                <w:rFonts w:eastAsia="Times New Roman" w:cs="Open Sans Light"/>
                <w:b/>
                <w:bCs/>
                <w:color w:val="000000"/>
                <w:sz w:val="16"/>
                <w:szCs w:val="16"/>
                <w:lang w:eastAsia="en-AU"/>
              </w:rPr>
            </w:pPr>
            <w:r w:rsidRPr="00C170B2">
              <w:rPr>
                <w:rFonts w:eastAsia="Times New Roman" w:cs="Open Sans Light"/>
                <w:b/>
                <w:bCs/>
                <w:color w:val="000000"/>
                <w:sz w:val="16"/>
                <w:szCs w:val="16"/>
                <w:lang w:eastAsia="en-AU"/>
              </w:rPr>
              <w:t>0.0097</w:t>
            </w:r>
          </w:p>
        </w:tc>
        <w:tc>
          <w:tcPr>
            <w:tcW w:w="780" w:type="dxa"/>
            <w:tcBorders>
              <w:top w:val="nil"/>
              <w:left w:val="nil"/>
              <w:bottom w:val="nil"/>
              <w:right w:val="nil"/>
            </w:tcBorders>
            <w:shd w:val="clear" w:color="auto" w:fill="auto"/>
            <w:vAlign w:val="bottom"/>
            <w:hideMark/>
          </w:tcPr>
          <w:p w14:paraId="021288E6"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0.0098</w:t>
            </w:r>
          </w:p>
        </w:tc>
        <w:tc>
          <w:tcPr>
            <w:tcW w:w="780" w:type="dxa"/>
            <w:tcBorders>
              <w:top w:val="nil"/>
              <w:left w:val="nil"/>
              <w:bottom w:val="nil"/>
              <w:right w:val="nil"/>
            </w:tcBorders>
            <w:shd w:val="clear" w:color="auto" w:fill="auto"/>
            <w:vAlign w:val="bottom"/>
            <w:hideMark/>
          </w:tcPr>
          <w:p w14:paraId="1C1A9D4C"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0.0115</w:t>
            </w:r>
          </w:p>
        </w:tc>
        <w:tc>
          <w:tcPr>
            <w:tcW w:w="780" w:type="dxa"/>
            <w:tcBorders>
              <w:top w:val="nil"/>
              <w:left w:val="nil"/>
              <w:bottom w:val="nil"/>
              <w:right w:val="nil"/>
            </w:tcBorders>
            <w:shd w:val="clear" w:color="auto" w:fill="auto"/>
            <w:vAlign w:val="bottom"/>
            <w:hideMark/>
          </w:tcPr>
          <w:p w14:paraId="441139D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0.0176</w:t>
            </w:r>
          </w:p>
        </w:tc>
        <w:tc>
          <w:tcPr>
            <w:tcW w:w="780" w:type="dxa"/>
            <w:tcBorders>
              <w:top w:val="nil"/>
              <w:left w:val="nil"/>
              <w:bottom w:val="nil"/>
              <w:right w:val="nil"/>
            </w:tcBorders>
            <w:shd w:val="clear" w:color="auto" w:fill="auto"/>
            <w:vAlign w:val="bottom"/>
            <w:hideMark/>
          </w:tcPr>
          <w:p w14:paraId="63E5A82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0.0169</w:t>
            </w:r>
          </w:p>
        </w:tc>
        <w:tc>
          <w:tcPr>
            <w:tcW w:w="780" w:type="dxa"/>
            <w:tcBorders>
              <w:top w:val="nil"/>
              <w:left w:val="nil"/>
              <w:bottom w:val="nil"/>
              <w:right w:val="nil"/>
            </w:tcBorders>
            <w:shd w:val="clear" w:color="auto" w:fill="auto"/>
            <w:vAlign w:val="bottom"/>
            <w:hideMark/>
          </w:tcPr>
          <w:p w14:paraId="7C71BED4"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0.0113</w:t>
            </w:r>
          </w:p>
        </w:tc>
      </w:tr>
      <w:tr w:rsidR="00C170B2" w:rsidRPr="00C170B2" w14:paraId="3275E824"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109DEFEC"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Education by age</w:t>
            </w:r>
          </w:p>
        </w:tc>
        <w:tc>
          <w:tcPr>
            <w:tcW w:w="780" w:type="dxa"/>
            <w:tcBorders>
              <w:top w:val="single" w:sz="4" w:space="0" w:color="ADD6EA"/>
              <w:left w:val="nil"/>
              <w:bottom w:val="nil"/>
              <w:right w:val="nil"/>
            </w:tcBorders>
            <w:shd w:val="clear" w:color="auto" w:fill="auto"/>
            <w:vAlign w:val="bottom"/>
            <w:hideMark/>
          </w:tcPr>
          <w:p w14:paraId="1609DF58"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0.0083</w:t>
            </w:r>
          </w:p>
        </w:tc>
        <w:tc>
          <w:tcPr>
            <w:tcW w:w="780" w:type="dxa"/>
            <w:tcBorders>
              <w:top w:val="single" w:sz="4" w:space="0" w:color="ADD6EA"/>
              <w:left w:val="nil"/>
              <w:bottom w:val="nil"/>
              <w:right w:val="nil"/>
            </w:tcBorders>
            <w:shd w:val="clear" w:color="auto" w:fill="auto"/>
            <w:vAlign w:val="bottom"/>
            <w:hideMark/>
          </w:tcPr>
          <w:p w14:paraId="13C9E5B3" w14:textId="77777777" w:rsidR="00C170B2" w:rsidRPr="00C170B2" w:rsidRDefault="00C170B2" w:rsidP="00565BFE">
            <w:pPr>
              <w:keepNext/>
              <w:keepLines/>
              <w:tabs>
                <w:tab w:val="clear" w:pos="567"/>
              </w:tabs>
              <w:spacing w:before="0" w:line="240" w:lineRule="auto"/>
              <w:jc w:val="right"/>
              <w:rPr>
                <w:rFonts w:eastAsia="Times New Roman" w:cs="Open Sans Light"/>
                <w:b/>
                <w:bCs/>
                <w:color w:val="000000"/>
                <w:sz w:val="16"/>
                <w:szCs w:val="16"/>
                <w:lang w:eastAsia="en-AU"/>
              </w:rPr>
            </w:pPr>
            <w:r w:rsidRPr="00C170B2">
              <w:rPr>
                <w:rFonts w:eastAsia="Times New Roman" w:cs="Open Sans Light"/>
                <w:b/>
                <w:bCs/>
                <w:color w:val="000000"/>
                <w:sz w:val="16"/>
                <w:szCs w:val="16"/>
                <w:lang w:eastAsia="en-AU"/>
              </w:rPr>
              <w:t>0.0079</w:t>
            </w:r>
          </w:p>
        </w:tc>
        <w:tc>
          <w:tcPr>
            <w:tcW w:w="780" w:type="dxa"/>
            <w:tcBorders>
              <w:top w:val="single" w:sz="4" w:space="0" w:color="ADD6EA"/>
              <w:left w:val="nil"/>
              <w:bottom w:val="nil"/>
              <w:right w:val="nil"/>
            </w:tcBorders>
            <w:shd w:val="clear" w:color="auto" w:fill="auto"/>
            <w:vAlign w:val="bottom"/>
            <w:hideMark/>
          </w:tcPr>
          <w:p w14:paraId="437DB661"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0.0086</w:t>
            </w:r>
          </w:p>
        </w:tc>
        <w:tc>
          <w:tcPr>
            <w:tcW w:w="780" w:type="dxa"/>
            <w:tcBorders>
              <w:top w:val="single" w:sz="4" w:space="0" w:color="ADD6EA"/>
              <w:left w:val="nil"/>
              <w:bottom w:val="nil"/>
              <w:right w:val="nil"/>
            </w:tcBorders>
            <w:shd w:val="clear" w:color="auto" w:fill="auto"/>
            <w:vAlign w:val="bottom"/>
            <w:hideMark/>
          </w:tcPr>
          <w:p w14:paraId="48CA837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0.0097</w:t>
            </w:r>
          </w:p>
        </w:tc>
        <w:tc>
          <w:tcPr>
            <w:tcW w:w="780" w:type="dxa"/>
            <w:tcBorders>
              <w:top w:val="single" w:sz="4" w:space="0" w:color="ADD6EA"/>
              <w:left w:val="nil"/>
              <w:bottom w:val="nil"/>
              <w:right w:val="nil"/>
            </w:tcBorders>
            <w:shd w:val="clear" w:color="auto" w:fill="auto"/>
            <w:vAlign w:val="bottom"/>
            <w:hideMark/>
          </w:tcPr>
          <w:p w14:paraId="1C22A9C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0.0099</w:t>
            </w:r>
          </w:p>
        </w:tc>
        <w:tc>
          <w:tcPr>
            <w:tcW w:w="780" w:type="dxa"/>
            <w:tcBorders>
              <w:top w:val="single" w:sz="4" w:space="0" w:color="ADD6EA"/>
              <w:left w:val="nil"/>
              <w:bottom w:val="nil"/>
              <w:right w:val="nil"/>
            </w:tcBorders>
            <w:shd w:val="clear" w:color="auto" w:fill="auto"/>
            <w:vAlign w:val="bottom"/>
            <w:hideMark/>
          </w:tcPr>
          <w:p w14:paraId="78D8E613" w14:textId="77777777" w:rsidR="00C170B2" w:rsidRPr="00C170B2" w:rsidRDefault="00C170B2" w:rsidP="00565BFE">
            <w:pPr>
              <w:keepNext/>
              <w:keepLines/>
              <w:tabs>
                <w:tab w:val="clear" w:pos="567"/>
              </w:tabs>
              <w:spacing w:before="0" w:line="240" w:lineRule="auto"/>
              <w:jc w:val="right"/>
              <w:rPr>
                <w:rFonts w:eastAsia="Times New Roman" w:cs="Open Sans Light"/>
                <w:b/>
                <w:bCs/>
                <w:color w:val="000000" w:themeColor="text1"/>
                <w:sz w:val="16"/>
                <w:szCs w:val="16"/>
                <w:lang w:eastAsia="en-AU"/>
              </w:rPr>
            </w:pPr>
            <w:r w:rsidRPr="00C170B2">
              <w:rPr>
                <w:rFonts w:eastAsia="Times New Roman" w:cs="Open Sans Light"/>
                <w:b/>
                <w:bCs/>
                <w:color w:val="000000" w:themeColor="text1"/>
                <w:sz w:val="16"/>
                <w:szCs w:val="16"/>
                <w:lang w:eastAsia="en-AU"/>
              </w:rPr>
              <w:t>0.0113</w:t>
            </w:r>
          </w:p>
        </w:tc>
        <w:tc>
          <w:tcPr>
            <w:tcW w:w="780" w:type="dxa"/>
            <w:tcBorders>
              <w:top w:val="single" w:sz="4" w:space="0" w:color="ADD6EA"/>
              <w:left w:val="nil"/>
              <w:bottom w:val="nil"/>
              <w:right w:val="nil"/>
            </w:tcBorders>
            <w:shd w:val="clear" w:color="auto" w:fill="auto"/>
            <w:vAlign w:val="bottom"/>
            <w:hideMark/>
          </w:tcPr>
          <w:p w14:paraId="33FF677B" w14:textId="77777777" w:rsidR="00C170B2" w:rsidRPr="00C170B2" w:rsidRDefault="00C170B2" w:rsidP="00565BFE">
            <w:pPr>
              <w:keepNext/>
              <w:keepLines/>
              <w:tabs>
                <w:tab w:val="clear" w:pos="567"/>
              </w:tabs>
              <w:spacing w:before="0" w:line="240" w:lineRule="auto"/>
              <w:jc w:val="right"/>
              <w:rPr>
                <w:rFonts w:eastAsia="Times New Roman" w:cs="Open Sans Light"/>
                <w:b/>
                <w:bCs/>
                <w:color w:val="000000" w:themeColor="text1"/>
                <w:sz w:val="16"/>
                <w:szCs w:val="16"/>
                <w:lang w:eastAsia="en-AU"/>
              </w:rPr>
            </w:pPr>
            <w:r w:rsidRPr="00C170B2">
              <w:rPr>
                <w:rFonts w:eastAsia="Times New Roman" w:cs="Open Sans Light"/>
                <w:b/>
                <w:bCs/>
                <w:color w:val="000000" w:themeColor="text1"/>
                <w:sz w:val="16"/>
                <w:szCs w:val="16"/>
                <w:lang w:eastAsia="en-AU"/>
              </w:rPr>
              <w:t>0.0174</w:t>
            </w:r>
          </w:p>
        </w:tc>
        <w:tc>
          <w:tcPr>
            <w:tcW w:w="780" w:type="dxa"/>
            <w:tcBorders>
              <w:top w:val="single" w:sz="4" w:space="0" w:color="ADD6EA"/>
              <w:left w:val="nil"/>
              <w:bottom w:val="nil"/>
              <w:right w:val="nil"/>
            </w:tcBorders>
            <w:shd w:val="clear" w:color="auto" w:fill="auto"/>
            <w:vAlign w:val="bottom"/>
            <w:hideMark/>
          </w:tcPr>
          <w:p w14:paraId="6831A7D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themeColor="text1"/>
                <w:sz w:val="16"/>
                <w:szCs w:val="16"/>
                <w:lang w:eastAsia="en-AU"/>
              </w:rPr>
            </w:pPr>
            <w:r w:rsidRPr="00C170B2">
              <w:rPr>
                <w:rFonts w:eastAsia="Times New Roman" w:cs="Open Sans Light"/>
                <w:color w:val="000000" w:themeColor="text1"/>
                <w:sz w:val="16"/>
                <w:szCs w:val="16"/>
                <w:lang w:eastAsia="en-AU"/>
              </w:rPr>
              <w:t>0.0169</w:t>
            </w:r>
          </w:p>
        </w:tc>
        <w:tc>
          <w:tcPr>
            <w:tcW w:w="780" w:type="dxa"/>
            <w:tcBorders>
              <w:top w:val="single" w:sz="4" w:space="0" w:color="ADD6EA"/>
              <w:left w:val="nil"/>
              <w:bottom w:val="nil"/>
              <w:right w:val="nil"/>
            </w:tcBorders>
            <w:shd w:val="clear" w:color="auto" w:fill="auto"/>
            <w:vAlign w:val="bottom"/>
            <w:hideMark/>
          </w:tcPr>
          <w:p w14:paraId="54008187" w14:textId="77777777" w:rsidR="00C170B2" w:rsidRPr="00C170B2" w:rsidRDefault="00C170B2" w:rsidP="00565BFE">
            <w:pPr>
              <w:keepNext/>
              <w:keepLines/>
              <w:tabs>
                <w:tab w:val="clear" w:pos="567"/>
              </w:tabs>
              <w:spacing w:before="0" w:line="240" w:lineRule="auto"/>
              <w:jc w:val="right"/>
              <w:rPr>
                <w:rFonts w:eastAsia="Times New Roman" w:cs="Open Sans Light"/>
                <w:b/>
                <w:bCs/>
                <w:color w:val="000000"/>
                <w:sz w:val="16"/>
                <w:szCs w:val="16"/>
                <w:lang w:eastAsia="en-AU"/>
              </w:rPr>
            </w:pPr>
            <w:r w:rsidRPr="00C170B2">
              <w:rPr>
                <w:rFonts w:eastAsia="Times New Roman" w:cs="Open Sans Light"/>
                <w:b/>
                <w:bCs/>
                <w:color w:val="000000"/>
                <w:sz w:val="16"/>
                <w:szCs w:val="16"/>
                <w:lang w:eastAsia="en-AU"/>
              </w:rPr>
              <w:t>0.0112</w:t>
            </w:r>
          </w:p>
        </w:tc>
      </w:tr>
      <w:tr w:rsidR="00C170B2" w:rsidRPr="00C170B2" w14:paraId="33E65D5A"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70578D95"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Age by sex</w:t>
            </w:r>
          </w:p>
        </w:tc>
        <w:tc>
          <w:tcPr>
            <w:tcW w:w="780" w:type="dxa"/>
            <w:tcBorders>
              <w:top w:val="single" w:sz="4" w:space="0" w:color="ADD6EA"/>
              <w:left w:val="nil"/>
              <w:bottom w:val="nil"/>
              <w:right w:val="nil"/>
            </w:tcBorders>
            <w:shd w:val="clear" w:color="auto" w:fill="auto"/>
            <w:vAlign w:val="bottom"/>
            <w:hideMark/>
          </w:tcPr>
          <w:p w14:paraId="69DF8B88"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0.0083</w:t>
            </w:r>
          </w:p>
        </w:tc>
        <w:tc>
          <w:tcPr>
            <w:tcW w:w="780" w:type="dxa"/>
            <w:tcBorders>
              <w:top w:val="single" w:sz="4" w:space="0" w:color="ADD6EA"/>
              <w:left w:val="nil"/>
              <w:bottom w:val="nil"/>
              <w:right w:val="nil"/>
            </w:tcBorders>
            <w:shd w:val="clear" w:color="auto" w:fill="auto"/>
            <w:vAlign w:val="bottom"/>
            <w:hideMark/>
          </w:tcPr>
          <w:p w14:paraId="3FF8CABB"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0.0079</w:t>
            </w:r>
          </w:p>
        </w:tc>
        <w:tc>
          <w:tcPr>
            <w:tcW w:w="780" w:type="dxa"/>
            <w:tcBorders>
              <w:top w:val="single" w:sz="4" w:space="0" w:color="ADD6EA"/>
              <w:left w:val="nil"/>
              <w:bottom w:val="nil"/>
              <w:right w:val="nil"/>
            </w:tcBorders>
            <w:shd w:val="clear" w:color="auto" w:fill="auto"/>
            <w:vAlign w:val="bottom"/>
            <w:hideMark/>
          </w:tcPr>
          <w:p w14:paraId="4686381B"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0.0086</w:t>
            </w:r>
          </w:p>
        </w:tc>
        <w:tc>
          <w:tcPr>
            <w:tcW w:w="780" w:type="dxa"/>
            <w:tcBorders>
              <w:top w:val="single" w:sz="4" w:space="0" w:color="ADD6EA"/>
              <w:left w:val="nil"/>
              <w:bottom w:val="nil"/>
              <w:right w:val="nil"/>
            </w:tcBorders>
            <w:shd w:val="clear" w:color="auto" w:fill="auto"/>
            <w:vAlign w:val="bottom"/>
            <w:hideMark/>
          </w:tcPr>
          <w:p w14:paraId="26234B49"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0.0097</w:t>
            </w:r>
          </w:p>
        </w:tc>
        <w:tc>
          <w:tcPr>
            <w:tcW w:w="780" w:type="dxa"/>
            <w:tcBorders>
              <w:top w:val="single" w:sz="4" w:space="0" w:color="ADD6EA"/>
              <w:left w:val="nil"/>
              <w:bottom w:val="nil"/>
              <w:right w:val="nil"/>
            </w:tcBorders>
            <w:shd w:val="clear" w:color="auto" w:fill="auto"/>
            <w:vAlign w:val="bottom"/>
            <w:hideMark/>
          </w:tcPr>
          <w:p w14:paraId="330C0371"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0.0099</w:t>
            </w:r>
          </w:p>
        </w:tc>
        <w:tc>
          <w:tcPr>
            <w:tcW w:w="780" w:type="dxa"/>
            <w:tcBorders>
              <w:top w:val="single" w:sz="4" w:space="0" w:color="ADD6EA"/>
              <w:left w:val="nil"/>
              <w:bottom w:val="nil"/>
              <w:right w:val="nil"/>
            </w:tcBorders>
            <w:shd w:val="clear" w:color="auto" w:fill="auto"/>
            <w:vAlign w:val="bottom"/>
            <w:hideMark/>
          </w:tcPr>
          <w:p w14:paraId="6EECCA4F"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0.0114</w:t>
            </w:r>
          </w:p>
        </w:tc>
        <w:tc>
          <w:tcPr>
            <w:tcW w:w="780" w:type="dxa"/>
            <w:tcBorders>
              <w:top w:val="single" w:sz="4" w:space="0" w:color="ADD6EA"/>
              <w:left w:val="nil"/>
              <w:bottom w:val="nil"/>
              <w:right w:val="nil"/>
            </w:tcBorders>
            <w:shd w:val="clear" w:color="auto" w:fill="auto"/>
            <w:vAlign w:val="bottom"/>
            <w:hideMark/>
          </w:tcPr>
          <w:p w14:paraId="0D1A24C0"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0.0175</w:t>
            </w:r>
          </w:p>
        </w:tc>
        <w:tc>
          <w:tcPr>
            <w:tcW w:w="780" w:type="dxa"/>
            <w:tcBorders>
              <w:top w:val="single" w:sz="4" w:space="0" w:color="ADD6EA"/>
              <w:left w:val="nil"/>
              <w:bottom w:val="nil"/>
              <w:right w:val="nil"/>
            </w:tcBorders>
            <w:shd w:val="clear" w:color="auto" w:fill="auto"/>
            <w:vAlign w:val="bottom"/>
            <w:hideMark/>
          </w:tcPr>
          <w:p w14:paraId="3F008A87"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0.0171</w:t>
            </w:r>
          </w:p>
        </w:tc>
        <w:tc>
          <w:tcPr>
            <w:tcW w:w="780" w:type="dxa"/>
            <w:tcBorders>
              <w:top w:val="single" w:sz="4" w:space="0" w:color="ADD6EA"/>
              <w:left w:val="nil"/>
              <w:bottom w:val="nil"/>
              <w:right w:val="nil"/>
            </w:tcBorders>
            <w:shd w:val="clear" w:color="auto" w:fill="auto"/>
            <w:vAlign w:val="bottom"/>
            <w:hideMark/>
          </w:tcPr>
          <w:p w14:paraId="12CF4067"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0.0113</w:t>
            </w:r>
          </w:p>
        </w:tc>
      </w:tr>
      <w:tr w:rsidR="00C170B2" w:rsidRPr="00C170B2" w14:paraId="5C1DCBF8" w14:textId="77777777" w:rsidTr="00C170B2">
        <w:trPr>
          <w:trHeight w:val="270"/>
        </w:trPr>
        <w:tc>
          <w:tcPr>
            <w:tcW w:w="2020" w:type="dxa"/>
            <w:tcBorders>
              <w:top w:val="single" w:sz="4" w:space="0" w:color="ADD6EA"/>
              <w:left w:val="nil"/>
              <w:bottom w:val="nil"/>
              <w:right w:val="nil"/>
            </w:tcBorders>
            <w:shd w:val="clear" w:color="auto" w:fill="auto"/>
            <w:vAlign w:val="bottom"/>
            <w:hideMark/>
          </w:tcPr>
          <w:p w14:paraId="2798066F"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Industry (detailed)</w:t>
            </w:r>
          </w:p>
        </w:tc>
        <w:tc>
          <w:tcPr>
            <w:tcW w:w="780" w:type="dxa"/>
            <w:tcBorders>
              <w:top w:val="single" w:sz="4" w:space="0" w:color="ADD6EA"/>
              <w:left w:val="nil"/>
              <w:bottom w:val="nil"/>
              <w:right w:val="nil"/>
            </w:tcBorders>
            <w:shd w:val="clear" w:color="auto" w:fill="auto"/>
            <w:vAlign w:val="bottom"/>
            <w:hideMark/>
          </w:tcPr>
          <w:p w14:paraId="0E3BA7C5"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0.0084</w:t>
            </w:r>
          </w:p>
        </w:tc>
        <w:tc>
          <w:tcPr>
            <w:tcW w:w="780" w:type="dxa"/>
            <w:tcBorders>
              <w:top w:val="single" w:sz="4" w:space="0" w:color="ADD6EA"/>
              <w:left w:val="nil"/>
              <w:bottom w:val="nil"/>
              <w:right w:val="nil"/>
            </w:tcBorders>
            <w:shd w:val="clear" w:color="auto" w:fill="auto"/>
            <w:vAlign w:val="bottom"/>
            <w:hideMark/>
          </w:tcPr>
          <w:p w14:paraId="219FE312"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0.0080</w:t>
            </w:r>
          </w:p>
        </w:tc>
        <w:tc>
          <w:tcPr>
            <w:tcW w:w="780" w:type="dxa"/>
            <w:tcBorders>
              <w:top w:val="single" w:sz="4" w:space="0" w:color="ADD6EA"/>
              <w:left w:val="nil"/>
              <w:bottom w:val="nil"/>
              <w:right w:val="nil"/>
            </w:tcBorders>
            <w:shd w:val="clear" w:color="auto" w:fill="auto"/>
            <w:vAlign w:val="bottom"/>
            <w:hideMark/>
          </w:tcPr>
          <w:p w14:paraId="0DD6ED5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0.0090</w:t>
            </w:r>
          </w:p>
        </w:tc>
        <w:tc>
          <w:tcPr>
            <w:tcW w:w="780" w:type="dxa"/>
            <w:tcBorders>
              <w:top w:val="single" w:sz="4" w:space="0" w:color="ADD6EA"/>
              <w:left w:val="nil"/>
              <w:bottom w:val="nil"/>
              <w:right w:val="nil"/>
            </w:tcBorders>
            <w:shd w:val="clear" w:color="auto" w:fill="auto"/>
            <w:vAlign w:val="bottom"/>
            <w:hideMark/>
          </w:tcPr>
          <w:p w14:paraId="095C57F0"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0.0098</w:t>
            </w:r>
          </w:p>
        </w:tc>
        <w:tc>
          <w:tcPr>
            <w:tcW w:w="780" w:type="dxa"/>
            <w:tcBorders>
              <w:top w:val="single" w:sz="4" w:space="0" w:color="ADD6EA"/>
              <w:left w:val="nil"/>
              <w:bottom w:val="nil"/>
              <w:right w:val="nil"/>
            </w:tcBorders>
            <w:shd w:val="clear" w:color="auto" w:fill="auto"/>
            <w:vAlign w:val="bottom"/>
            <w:hideMark/>
          </w:tcPr>
          <w:p w14:paraId="36A6352E"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0.0103</w:t>
            </w:r>
          </w:p>
        </w:tc>
        <w:tc>
          <w:tcPr>
            <w:tcW w:w="780" w:type="dxa"/>
            <w:tcBorders>
              <w:top w:val="single" w:sz="4" w:space="0" w:color="ADD6EA"/>
              <w:left w:val="nil"/>
              <w:bottom w:val="nil"/>
              <w:right w:val="nil"/>
            </w:tcBorders>
            <w:shd w:val="clear" w:color="auto" w:fill="auto"/>
            <w:vAlign w:val="bottom"/>
            <w:hideMark/>
          </w:tcPr>
          <w:p w14:paraId="2152F8E2"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0.0114</w:t>
            </w:r>
          </w:p>
        </w:tc>
        <w:tc>
          <w:tcPr>
            <w:tcW w:w="780" w:type="dxa"/>
            <w:tcBorders>
              <w:top w:val="single" w:sz="4" w:space="0" w:color="ADD6EA"/>
              <w:left w:val="nil"/>
              <w:bottom w:val="nil"/>
              <w:right w:val="nil"/>
            </w:tcBorders>
            <w:shd w:val="clear" w:color="auto" w:fill="auto"/>
            <w:vAlign w:val="bottom"/>
            <w:hideMark/>
          </w:tcPr>
          <w:p w14:paraId="0722C169"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0.0181</w:t>
            </w:r>
          </w:p>
        </w:tc>
        <w:tc>
          <w:tcPr>
            <w:tcW w:w="780" w:type="dxa"/>
            <w:tcBorders>
              <w:top w:val="single" w:sz="4" w:space="0" w:color="ADD6EA"/>
              <w:left w:val="nil"/>
              <w:bottom w:val="nil"/>
              <w:right w:val="nil"/>
            </w:tcBorders>
            <w:shd w:val="clear" w:color="auto" w:fill="auto"/>
            <w:vAlign w:val="bottom"/>
            <w:hideMark/>
          </w:tcPr>
          <w:p w14:paraId="5B627B4F"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0.0177</w:t>
            </w:r>
          </w:p>
        </w:tc>
        <w:tc>
          <w:tcPr>
            <w:tcW w:w="780" w:type="dxa"/>
            <w:tcBorders>
              <w:top w:val="single" w:sz="4" w:space="0" w:color="ADD6EA"/>
              <w:left w:val="nil"/>
              <w:bottom w:val="nil"/>
              <w:right w:val="nil"/>
            </w:tcBorders>
            <w:shd w:val="clear" w:color="auto" w:fill="auto"/>
            <w:vAlign w:val="bottom"/>
            <w:hideMark/>
          </w:tcPr>
          <w:p w14:paraId="6C217F4E"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0.0116</w:t>
            </w:r>
          </w:p>
        </w:tc>
      </w:tr>
      <w:tr w:rsidR="00C170B2" w:rsidRPr="00C170B2" w14:paraId="16EF2CDD" w14:textId="77777777" w:rsidTr="00C170B2">
        <w:trPr>
          <w:trHeight w:val="270"/>
        </w:trPr>
        <w:tc>
          <w:tcPr>
            <w:tcW w:w="2020" w:type="dxa"/>
            <w:tcBorders>
              <w:top w:val="single" w:sz="4" w:space="0" w:color="ADD6EA"/>
              <w:left w:val="nil"/>
              <w:bottom w:val="single" w:sz="4" w:space="0" w:color="ADD6EA"/>
              <w:right w:val="nil"/>
            </w:tcBorders>
            <w:shd w:val="clear" w:color="auto" w:fill="auto"/>
            <w:vAlign w:val="bottom"/>
            <w:hideMark/>
          </w:tcPr>
          <w:p w14:paraId="7E26D403" w14:textId="77777777" w:rsidR="00C170B2" w:rsidRPr="00C170B2" w:rsidRDefault="00C170B2" w:rsidP="00565BFE">
            <w:pPr>
              <w:keepNext/>
              <w:keepLines/>
              <w:tabs>
                <w:tab w:val="clear" w:pos="567"/>
              </w:tabs>
              <w:spacing w:before="0" w:line="240" w:lineRule="auto"/>
              <w:rPr>
                <w:rFonts w:eastAsia="Times New Roman" w:cs="Open Sans Light"/>
                <w:color w:val="000000"/>
                <w:sz w:val="16"/>
                <w:szCs w:val="16"/>
                <w:lang w:eastAsia="en-AU"/>
              </w:rPr>
            </w:pPr>
            <w:r w:rsidRPr="00C170B2">
              <w:rPr>
                <w:rFonts w:eastAsia="Times New Roman" w:cs="Open Sans Light"/>
                <w:color w:val="000000"/>
                <w:sz w:val="16"/>
                <w:szCs w:val="16"/>
                <w:lang w:eastAsia="en-AU"/>
              </w:rPr>
              <w:t>Everything by sex</w:t>
            </w:r>
          </w:p>
        </w:tc>
        <w:tc>
          <w:tcPr>
            <w:tcW w:w="780" w:type="dxa"/>
            <w:tcBorders>
              <w:top w:val="single" w:sz="4" w:space="0" w:color="ADD6EA"/>
              <w:left w:val="nil"/>
              <w:bottom w:val="single" w:sz="4" w:space="0" w:color="ADD6EA"/>
              <w:right w:val="nil"/>
            </w:tcBorders>
            <w:shd w:val="clear" w:color="auto" w:fill="auto"/>
            <w:noWrap/>
            <w:vAlign w:val="bottom"/>
            <w:hideMark/>
          </w:tcPr>
          <w:p w14:paraId="32A07F03"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0.0087</w:t>
            </w:r>
          </w:p>
        </w:tc>
        <w:tc>
          <w:tcPr>
            <w:tcW w:w="780" w:type="dxa"/>
            <w:tcBorders>
              <w:top w:val="single" w:sz="4" w:space="0" w:color="ADD6EA"/>
              <w:left w:val="nil"/>
              <w:bottom w:val="single" w:sz="4" w:space="0" w:color="ADD6EA"/>
              <w:right w:val="nil"/>
            </w:tcBorders>
            <w:shd w:val="clear" w:color="auto" w:fill="auto"/>
            <w:noWrap/>
            <w:vAlign w:val="bottom"/>
            <w:hideMark/>
          </w:tcPr>
          <w:p w14:paraId="52355CBF"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0.0083</w:t>
            </w:r>
          </w:p>
        </w:tc>
        <w:tc>
          <w:tcPr>
            <w:tcW w:w="780" w:type="dxa"/>
            <w:tcBorders>
              <w:top w:val="single" w:sz="4" w:space="0" w:color="ADD6EA"/>
              <w:left w:val="nil"/>
              <w:bottom w:val="single" w:sz="4" w:space="0" w:color="ADD6EA"/>
              <w:right w:val="nil"/>
            </w:tcBorders>
            <w:shd w:val="clear" w:color="auto" w:fill="auto"/>
            <w:noWrap/>
            <w:vAlign w:val="bottom"/>
            <w:hideMark/>
          </w:tcPr>
          <w:p w14:paraId="6433F03D"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0.0093</w:t>
            </w:r>
          </w:p>
        </w:tc>
        <w:tc>
          <w:tcPr>
            <w:tcW w:w="780" w:type="dxa"/>
            <w:tcBorders>
              <w:top w:val="single" w:sz="4" w:space="0" w:color="ADD6EA"/>
              <w:left w:val="nil"/>
              <w:bottom w:val="single" w:sz="4" w:space="0" w:color="ADD6EA"/>
              <w:right w:val="nil"/>
            </w:tcBorders>
            <w:shd w:val="clear" w:color="auto" w:fill="auto"/>
            <w:noWrap/>
            <w:vAlign w:val="bottom"/>
            <w:hideMark/>
          </w:tcPr>
          <w:p w14:paraId="379440BB"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0.0100</w:t>
            </w:r>
          </w:p>
        </w:tc>
        <w:tc>
          <w:tcPr>
            <w:tcW w:w="780" w:type="dxa"/>
            <w:tcBorders>
              <w:top w:val="single" w:sz="4" w:space="0" w:color="ADD6EA"/>
              <w:left w:val="nil"/>
              <w:bottom w:val="single" w:sz="4" w:space="0" w:color="ADD6EA"/>
              <w:right w:val="nil"/>
            </w:tcBorders>
            <w:shd w:val="clear" w:color="auto" w:fill="auto"/>
            <w:noWrap/>
            <w:vAlign w:val="bottom"/>
            <w:hideMark/>
          </w:tcPr>
          <w:p w14:paraId="4D842757"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0.0105</w:t>
            </w:r>
          </w:p>
        </w:tc>
        <w:tc>
          <w:tcPr>
            <w:tcW w:w="780" w:type="dxa"/>
            <w:tcBorders>
              <w:top w:val="single" w:sz="4" w:space="0" w:color="ADD6EA"/>
              <w:left w:val="nil"/>
              <w:bottom w:val="single" w:sz="4" w:space="0" w:color="ADD6EA"/>
              <w:right w:val="nil"/>
            </w:tcBorders>
            <w:shd w:val="clear" w:color="auto" w:fill="auto"/>
            <w:noWrap/>
            <w:vAlign w:val="bottom"/>
            <w:hideMark/>
          </w:tcPr>
          <w:p w14:paraId="61E6138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0.0116</w:t>
            </w:r>
          </w:p>
        </w:tc>
        <w:tc>
          <w:tcPr>
            <w:tcW w:w="780" w:type="dxa"/>
            <w:tcBorders>
              <w:top w:val="single" w:sz="4" w:space="0" w:color="ADD6EA"/>
              <w:left w:val="nil"/>
              <w:bottom w:val="single" w:sz="4" w:space="0" w:color="ADD6EA"/>
              <w:right w:val="nil"/>
            </w:tcBorders>
            <w:shd w:val="clear" w:color="auto" w:fill="auto"/>
            <w:noWrap/>
            <w:vAlign w:val="bottom"/>
            <w:hideMark/>
          </w:tcPr>
          <w:p w14:paraId="5288744A"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0.0189</w:t>
            </w:r>
          </w:p>
        </w:tc>
        <w:tc>
          <w:tcPr>
            <w:tcW w:w="780" w:type="dxa"/>
            <w:tcBorders>
              <w:top w:val="single" w:sz="4" w:space="0" w:color="ADD6EA"/>
              <w:left w:val="nil"/>
              <w:bottom w:val="single" w:sz="4" w:space="0" w:color="ADD6EA"/>
              <w:right w:val="nil"/>
            </w:tcBorders>
            <w:shd w:val="clear" w:color="auto" w:fill="auto"/>
            <w:noWrap/>
            <w:vAlign w:val="bottom"/>
            <w:hideMark/>
          </w:tcPr>
          <w:p w14:paraId="57E22EF2"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0.0178</w:t>
            </w:r>
          </w:p>
        </w:tc>
        <w:tc>
          <w:tcPr>
            <w:tcW w:w="780" w:type="dxa"/>
            <w:tcBorders>
              <w:top w:val="single" w:sz="4" w:space="0" w:color="ADD6EA"/>
              <w:left w:val="nil"/>
              <w:bottom w:val="single" w:sz="4" w:space="0" w:color="ADD6EA"/>
              <w:right w:val="nil"/>
            </w:tcBorders>
            <w:shd w:val="clear" w:color="auto" w:fill="auto"/>
            <w:noWrap/>
            <w:vAlign w:val="bottom"/>
            <w:hideMark/>
          </w:tcPr>
          <w:p w14:paraId="1B2FE19E" w14:textId="77777777" w:rsidR="00C170B2" w:rsidRPr="00C170B2" w:rsidRDefault="00C170B2" w:rsidP="00565BFE">
            <w:pPr>
              <w:keepNext/>
              <w:keepLines/>
              <w:tabs>
                <w:tab w:val="clear" w:pos="567"/>
              </w:tabs>
              <w:spacing w:before="0" w:line="240" w:lineRule="auto"/>
              <w:jc w:val="right"/>
              <w:rPr>
                <w:rFonts w:eastAsia="Times New Roman" w:cs="Open Sans Light"/>
                <w:color w:val="000000"/>
                <w:sz w:val="16"/>
                <w:szCs w:val="16"/>
                <w:lang w:eastAsia="en-AU"/>
              </w:rPr>
            </w:pPr>
            <w:r w:rsidRPr="00C170B2">
              <w:rPr>
                <w:rFonts w:eastAsia="Times New Roman" w:cs="Open Sans Light"/>
                <w:color w:val="000000"/>
                <w:sz w:val="16"/>
                <w:szCs w:val="16"/>
                <w:lang w:eastAsia="en-AU"/>
              </w:rPr>
              <w:t>0.0119</w:t>
            </w:r>
          </w:p>
        </w:tc>
      </w:tr>
    </w:tbl>
    <w:p w14:paraId="27C3148D" w14:textId="2A7007CE" w:rsidR="00D4469E" w:rsidRDefault="009B2391" w:rsidP="00565BFE">
      <w:pPr>
        <w:pStyle w:val="CGC2025TableNote"/>
        <w:keepNext/>
        <w:keepLines/>
      </w:pPr>
      <w:r>
        <w:t xml:space="preserve">Notes: </w:t>
      </w:r>
      <w:r>
        <w:tab/>
      </w:r>
      <w:r w:rsidR="00D4469E">
        <w:t>Minimum average standard errors for each column are in bold.</w:t>
      </w:r>
    </w:p>
    <w:p w14:paraId="0D8E7EA7" w14:textId="4AB66144" w:rsidR="009B2391" w:rsidRDefault="004B51F7" w:rsidP="00565BFE">
      <w:pPr>
        <w:pStyle w:val="CGC2025TableNote"/>
        <w:keepNext/>
        <w:keepLines/>
      </w:pPr>
      <w:r>
        <w:tab/>
      </w:r>
      <w:r>
        <w:tab/>
      </w:r>
      <w:r>
        <w:tab/>
        <w:t xml:space="preserve">See notes to </w:t>
      </w:r>
      <w:r w:rsidR="004E0005">
        <w:t>F</w:t>
      </w:r>
      <w:r>
        <w:t xml:space="preserve">igure </w:t>
      </w:r>
      <w:r w:rsidR="006E30C6">
        <w:t>B-1</w:t>
      </w:r>
      <w:r w:rsidR="004E0005">
        <w:t>.</w:t>
      </w:r>
    </w:p>
    <w:p w14:paraId="248C9B16" w14:textId="6F48012E" w:rsidR="00D25054" w:rsidRDefault="009B2391" w:rsidP="009B2391">
      <w:pPr>
        <w:pStyle w:val="CGC2025TableNote"/>
      </w:pPr>
      <w:r>
        <w:t>Source: Commission calculation</w:t>
      </w:r>
      <w:r w:rsidR="001D167C">
        <w:t>.</w:t>
      </w:r>
    </w:p>
    <w:p w14:paraId="7CDB7F28" w14:textId="59F36252" w:rsidR="00CC6144" w:rsidRDefault="00CC6144" w:rsidP="004E0005">
      <w:pPr>
        <w:pStyle w:val="CGC2025Caption"/>
        <w:keepNext/>
        <w:keepLines/>
        <w:ind w:left="1134" w:hanging="1134"/>
      </w:pPr>
      <w:r>
        <w:t>Table</w:t>
      </w:r>
      <w:r w:rsidR="004400FC">
        <w:t xml:space="preserve"> </w:t>
      </w:r>
      <w:r w:rsidR="000E4266">
        <w:t>B</w:t>
      </w:r>
      <w:r w:rsidR="004400FC">
        <w:t>-3</w:t>
      </w:r>
      <w:r w:rsidR="00075223">
        <w:tab/>
      </w:r>
      <w:r w:rsidR="00A17E1A">
        <w:t>Average model fit statistics of regression models including additional variables (2018</w:t>
      </w:r>
      <w:r w:rsidR="00E6414C">
        <w:t>–</w:t>
      </w:r>
      <w:r w:rsidR="00A17E1A">
        <w:t>22)</w:t>
      </w:r>
    </w:p>
    <w:tbl>
      <w:tblPr>
        <w:tblW w:w="8959" w:type="dxa"/>
        <w:tblLook w:val="04A0" w:firstRow="1" w:lastRow="0" w:firstColumn="1" w:lastColumn="0" w:noHBand="0" w:noVBand="1"/>
      </w:tblPr>
      <w:tblGrid>
        <w:gridCol w:w="2543"/>
        <w:gridCol w:w="1284"/>
        <w:gridCol w:w="1283"/>
        <w:gridCol w:w="1283"/>
        <w:gridCol w:w="1283"/>
        <w:gridCol w:w="1283"/>
      </w:tblGrid>
      <w:tr w:rsidR="00037A07" w:rsidRPr="00037A07" w14:paraId="35680BE6" w14:textId="77777777" w:rsidTr="00A03DE5">
        <w:trPr>
          <w:trHeight w:val="567"/>
        </w:trPr>
        <w:tc>
          <w:tcPr>
            <w:tcW w:w="2543" w:type="dxa"/>
            <w:tcBorders>
              <w:top w:val="nil"/>
              <w:left w:val="nil"/>
              <w:bottom w:val="nil"/>
              <w:right w:val="nil"/>
            </w:tcBorders>
            <w:shd w:val="clear" w:color="000000" w:fill="006991"/>
            <w:vAlign w:val="bottom"/>
            <w:hideMark/>
          </w:tcPr>
          <w:p w14:paraId="1D439372" w14:textId="77777777" w:rsidR="00037A07" w:rsidRPr="00037A07" w:rsidRDefault="00037A07" w:rsidP="00A03DE5">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037A07">
              <w:rPr>
                <w:rFonts w:ascii="Open Sans Semibold" w:eastAsia="Times New Roman" w:hAnsi="Open Sans Semibold" w:cs="Open Sans Semibold"/>
                <w:color w:val="FFFFFF"/>
                <w:sz w:val="16"/>
                <w:szCs w:val="16"/>
                <w:lang w:eastAsia="en-AU"/>
              </w:rPr>
              <w:t> </w:t>
            </w:r>
          </w:p>
        </w:tc>
        <w:tc>
          <w:tcPr>
            <w:tcW w:w="1284" w:type="dxa"/>
            <w:tcBorders>
              <w:top w:val="nil"/>
              <w:left w:val="nil"/>
              <w:bottom w:val="nil"/>
              <w:right w:val="nil"/>
            </w:tcBorders>
            <w:shd w:val="clear" w:color="000000" w:fill="006991"/>
            <w:vAlign w:val="center"/>
            <w:hideMark/>
          </w:tcPr>
          <w:p w14:paraId="447C3177" w14:textId="77777777" w:rsidR="00037A07" w:rsidRPr="00037A07" w:rsidRDefault="00037A07" w:rsidP="00A03DE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7A07">
              <w:rPr>
                <w:rFonts w:ascii="Open Sans Semibold" w:eastAsia="Times New Roman" w:hAnsi="Open Sans Semibold" w:cs="Open Sans Semibold"/>
                <w:color w:val="FFFFFF"/>
                <w:sz w:val="16"/>
                <w:szCs w:val="16"/>
                <w:lang w:eastAsia="en-AU"/>
              </w:rPr>
              <w:t>R</w:t>
            </w:r>
            <w:r w:rsidRPr="00037A07">
              <w:rPr>
                <w:rFonts w:ascii="Arial" w:eastAsia="Times New Roman" w:hAnsi="Arial" w:cs="Arial"/>
                <w:color w:val="FFFFFF"/>
                <w:szCs w:val="20"/>
                <w:vertAlign w:val="superscript"/>
                <w:lang w:eastAsia="en-AU"/>
              </w:rPr>
              <w:t>2</w:t>
            </w:r>
          </w:p>
        </w:tc>
        <w:tc>
          <w:tcPr>
            <w:tcW w:w="1283" w:type="dxa"/>
            <w:tcBorders>
              <w:top w:val="nil"/>
              <w:left w:val="nil"/>
              <w:bottom w:val="nil"/>
              <w:right w:val="nil"/>
            </w:tcBorders>
            <w:shd w:val="clear" w:color="000000" w:fill="006991"/>
            <w:vAlign w:val="center"/>
            <w:hideMark/>
          </w:tcPr>
          <w:p w14:paraId="6B826CC8" w14:textId="77777777" w:rsidR="00037A07" w:rsidRPr="00037A07" w:rsidRDefault="00037A07" w:rsidP="00A03DE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7A07">
              <w:rPr>
                <w:rFonts w:ascii="Open Sans Semibold" w:eastAsia="Times New Roman" w:hAnsi="Open Sans Semibold" w:cs="Open Sans Semibold"/>
                <w:color w:val="FFFFFF"/>
                <w:sz w:val="16"/>
                <w:szCs w:val="16"/>
                <w:lang w:eastAsia="en-AU"/>
              </w:rPr>
              <w:t>R</w:t>
            </w:r>
            <w:r w:rsidRPr="00037A07">
              <w:rPr>
                <w:rFonts w:ascii="Arial" w:eastAsia="Times New Roman" w:hAnsi="Arial" w:cs="Arial"/>
                <w:color w:val="FFFFFF"/>
                <w:szCs w:val="20"/>
                <w:vertAlign w:val="superscript"/>
                <w:lang w:eastAsia="en-AU"/>
              </w:rPr>
              <w:t>2</w:t>
            </w:r>
            <w:r w:rsidRPr="00037A07">
              <w:rPr>
                <w:rFonts w:ascii="Arial" w:eastAsia="Times New Roman" w:hAnsi="Arial" w:cs="Arial"/>
                <w:color w:val="FFFFFF"/>
                <w:szCs w:val="20"/>
                <w:lang w:eastAsia="en-AU"/>
              </w:rPr>
              <w:t xml:space="preserve"> (adj)</w:t>
            </w:r>
          </w:p>
        </w:tc>
        <w:tc>
          <w:tcPr>
            <w:tcW w:w="1283" w:type="dxa"/>
            <w:tcBorders>
              <w:top w:val="nil"/>
              <w:left w:val="nil"/>
              <w:bottom w:val="nil"/>
              <w:right w:val="nil"/>
            </w:tcBorders>
            <w:shd w:val="clear" w:color="000000" w:fill="006991"/>
            <w:vAlign w:val="center"/>
            <w:hideMark/>
          </w:tcPr>
          <w:p w14:paraId="05942A99" w14:textId="77777777" w:rsidR="00037A07" w:rsidRPr="00037A07" w:rsidRDefault="00037A07" w:rsidP="00A03DE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7A07">
              <w:rPr>
                <w:rFonts w:ascii="Open Sans Semibold" w:eastAsia="Times New Roman" w:hAnsi="Open Sans Semibold" w:cs="Open Sans Semibold"/>
                <w:color w:val="FFFFFF"/>
                <w:sz w:val="16"/>
                <w:szCs w:val="16"/>
                <w:lang w:eastAsia="en-AU"/>
              </w:rPr>
              <w:t>log Likelihood</w:t>
            </w:r>
          </w:p>
        </w:tc>
        <w:tc>
          <w:tcPr>
            <w:tcW w:w="1283" w:type="dxa"/>
            <w:tcBorders>
              <w:top w:val="nil"/>
              <w:left w:val="nil"/>
              <w:bottom w:val="nil"/>
              <w:right w:val="nil"/>
            </w:tcBorders>
            <w:shd w:val="clear" w:color="000000" w:fill="006991"/>
            <w:vAlign w:val="center"/>
            <w:hideMark/>
          </w:tcPr>
          <w:p w14:paraId="2032DF77" w14:textId="77777777" w:rsidR="00037A07" w:rsidRPr="00037A07" w:rsidRDefault="00037A07" w:rsidP="00A03DE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7A07">
              <w:rPr>
                <w:rFonts w:ascii="Open Sans Semibold" w:eastAsia="Times New Roman" w:hAnsi="Open Sans Semibold" w:cs="Open Sans Semibold"/>
                <w:color w:val="FFFFFF"/>
                <w:sz w:val="16"/>
                <w:szCs w:val="16"/>
                <w:lang w:eastAsia="en-AU"/>
              </w:rPr>
              <w:t>AIC</w:t>
            </w:r>
          </w:p>
        </w:tc>
        <w:tc>
          <w:tcPr>
            <w:tcW w:w="1283" w:type="dxa"/>
            <w:tcBorders>
              <w:top w:val="nil"/>
              <w:left w:val="nil"/>
              <w:bottom w:val="nil"/>
              <w:right w:val="nil"/>
            </w:tcBorders>
            <w:shd w:val="clear" w:color="000000" w:fill="006991"/>
            <w:vAlign w:val="center"/>
            <w:hideMark/>
          </w:tcPr>
          <w:p w14:paraId="5AB38E54" w14:textId="77777777" w:rsidR="00037A07" w:rsidRPr="00037A07" w:rsidRDefault="00037A07" w:rsidP="00A03DE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7A07">
              <w:rPr>
                <w:rFonts w:ascii="Open Sans Semibold" w:eastAsia="Times New Roman" w:hAnsi="Open Sans Semibold" w:cs="Open Sans Semibold"/>
                <w:color w:val="FFFFFF"/>
                <w:sz w:val="16"/>
                <w:szCs w:val="16"/>
                <w:lang w:eastAsia="en-AU"/>
              </w:rPr>
              <w:t>BIC</w:t>
            </w:r>
          </w:p>
        </w:tc>
      </w:tr>
      <w:tr w:rsidR="00037A07" w:rsidRPr="00037A07" w14:paraId="5263FA36"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739D5928"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Sex</w:t>
            </w:r>
          </w:p>
        </w:tc>
        <w:tc>
          <w:tcPr>
            <w:tcW w:w="1284" w:type="dxa"/>
            <w:tcBorders>
              <w:top w:val="single" w:sz="4" w:space="0" w:color="ADD6EA"/>
              <w:left w:val="nil"/>
              <w:bottom w:val="nil"/>
              <w:right w:val="nil"/>
            </w:tcBorders>
            <w:shd w:val="clear" w:color="auto" w:fill="auto"/>
            <w:vAlign w:val="bottom"/>
            <w:hideMark/>
          </w:tcPr>
          <w:p w14:paraId="7672553B"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0.0198</w:t>
            </w:r>
          </w:p>
        </w:tc>
        <w:tc>
          <w:tcPr>
            <w:tcW w:w="1283" w:type="dxa"/>
            <w:tcBorders>
              <w:top w:val="single" w:sz="4" w:space="0" w:color="ADD6EA"/>
              <w:left w:val="nil"/>
              <w:bottom w:val="nil"/>
              <w:right w:val="nil"/>
            </w:tcBorders>
            <w:shd w:val="clear" w:color="auto" w:fill="auto"/>
            <w:vAlign w:val="bottom"/>
            <w:hideMark/>
          </w:tcPr>
          <w:p w14:paraId="1B3CA276"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0.0193</w:t>
            </w:r>
          </w:p>
        </w:tc>
        <w:tc>
          <w:tcPr>
            <w:tcW w:w="1283" w:type="dxa"/>
            <w:tcBorders>
              <w:top w:val="single" w:sz="4" w:space="0" w:color="ADD6EA"/>
              <w:left w:val="nil"/>
              <w:bottom w:val="nil"/>
              <w:right w:val="nil"/>
            </w:tcBorders>
            <w:shd w:val="clear" w:color="auto" w:fill="auto"/>
            <w:vAlign w:val="bottom"/>
            <w:hideMark/>
          </w:tcPr>
          <w:p w14:paraId="00313D3F"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-12,863</w:t>
            </w:r>
          </w:p>
        </w:tc>
        <w:tc>
          <w:tcPr>
            <w:tcW w:w="1283" w:type="dxa"/>
            <w:tcBorders>
              <w:top w:val="single" w:sz="4" w:space="0" w:color="ADD6EA"/>
              <w:left w:val="nil"/>
              <w:bottom w:val="nil"/>
              <w:right w:val="nil"/>
            </w:tcBorders>
            <w:shd w:val="clear" w:color="auto" w:fill="auto"/>
            <w:vAlign w:val="bottom"/>
            <w:hideMark/>
          </w:tcPr>
          <w:p w14:paraId="7C074C16"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25,747</w:t>
            </w:r>
          </w:p>
        </w:tc>
        <w:tc>
          <w:tcPr>
            <w:tcW w:w="1283" w:type="dxa"/>
            <w:tcBorders>
              <w:top w:val="single" w:sz="4" w:space="0" w:color="ADD6EA"/>
              <w:left w:val="nil"/>
              <w:bottom w:val="nil"/>
              <w:right w:val="nil"/>
            </w:tcBorders>
            <w:shd w:val="clear" w:color="auto" w:fill="auto"/>
            <w:vAlign w:val="bottom"/>
            <w:hideMark/>
          </w:tcPr>
          <w:p w14:paraId="3EFEDCA8"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25,823</w:t>
            </w:r>
          </w:p>
        </w:tc>
      </w:tr>
      <w:tr w:rsidR="00037A07" w:rsidRPr="00037A07" w14:paraId="44DC870E"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6082DA02"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Education</w:t>
            </w:r>
          </w:p>
        </w:tc>
        <w:tc>
          <w:tcPr>
            <w:tcW w:w="1284" w:type="dxa"/>
            <w:tcBorders>
              <w:top w:val="single" w:sz="4" w:space="0" w:color="ADD6EA"/>
              <w:left w:val="nil"/>
              <w:bottom w:val="nil"/>
              <w:right w:val="nil"/>
            </w:tcBorders>
            <w:shd w:val="clear" w:color="auto" w:fill="auto"/>
            <w:vAlign w:val="bottom"/>
            <w:hideMark/>
          </w:tcPr>
          <w:p w14:paraId="16F26A40"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0.1345</w:t>
            </w:r>
          </w:p>
        </w:tc>
        <w:tc>
          <w:tcPr>
            <w:tcW w:w="1283" w:type="dxa"/>
            <w:tcBorders>
              <w:top w:val="single" w:sz="4" w:space="0" w:color="ADD6EA"/>
              <w:left w:val="nil"/>
              <w:bottom w:val="nil"/>
              <w:right w:val="nil"/>
            </w:tcBorders>
            <w:shd w:val="clear" w:color="auto" w:fill="auto"/>
            <w:vAlign w:val="bottom"/>
            <w:hideMark/>
          </w:tcPr>
          <w:p w14:paraId="6CE2E5D3"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0.1336</w:t>
            </w:r>
          </w:p>
        </w:tc>
        <w:tc>
          <w:tcPr>
            <w:tcW w:w="1283" w:type="dxa"/>
            <w:tcBorders>
              <w:top w:val="single" w:sz="4" w:space="0" w:color="ADD6EA"/>
              <w:left w:val="nil"/>
              <w:bottom w:val="nil"/>
              <w:right w:val="nil"/>
            </w:tcBorders>
            <w:shd w:val="clear" w:color="auto" w:fill="auto"/>
            <w:vAlign w:val="bottom"/>
            <w:hideMark/>
          </w:tcPr>
          <w:p w14:paraId="5797C1EB"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-11,878</w:t>
            </w:r>
          </w:p>
        </w:tc>
        <w:tc>
          <w:tcPr>
            <w:tcW w:w="1283" w:type="dxa"/>
            <w:tcBorders>
              <w:top w:val="single" w:sz="4" w:space="0" w:color="ADD6EA"/>
              <w:left w:val="nil"/>
              <w:bottom w:val="nil"/>
              <w:right w:val="nil"/>
            </w:tcBorders>
            <w:shd w:val="clear" w:color="auto" w:fill="auto"/>
            <w:vAlign w:val="bottom"/>
            <w:hideMark/>
          </w:tcPr>
          <w:p w14:paraId="73F72E5B"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23,790</w:t>
            </w:r>
          </w:p>
        </w:tc>
        <w:tc>
          <w:tcPr>
            <w:tcW w:w="1283" w:type="dxa"/>
            <w:tcBorders>
              <w:top w:val="single" w:sz="4" w:space="0" w:color="ADD6EA"/>
              <w:left w:val="nil"/>
              <w:bottom w:val="nil"/>
              <w:right w:val="nil"/>
            </w:tcBorders>
            <w:shd w:val="clear" w:color="auto" w:fill="auto"/>
            <w:vAlign w:val="bottom"/>
            <w:hideMark/>
          </w:tcPr>
          <w:p w14:paraId="6CBA5F07"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23,920</w:t>
            </w:r>
          </w:p>
        </w:tc>
      </w:tr>
      <w:tr w:rsidR="00037A07" w:rsidRPr="00037A07" w14:paraId="7EDE4E26"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5B35F322"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Employment</w:t>
            </w:r>
          </w:p>
        </w:tc>
        <w:tc>
          <w:tcPr>
            <w:tcW w:w="1284" w:type="dxa"/>
            <w:tcBorders>
              <w:top w:val="single" w:sz="4" w:space="0" w:color="ADD6EA"/>
              <w:left w:val="nil"/>
              <w:bottom w:val="nil"/>
              <w:right w:val="nil"/>
            </w:tcBorders>
            <w:shd w:val="clear" w:color="auto" w:fill="auto"/>
            <w:vAlign w:val="bottom"/>
            <w:hideMark/>
          </w:tcPr>
          <w:p w14:paraId="3FBD5165"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0.1832</w:t>
            </w:r>
          </w:p>
        </w:tc>
        <w:tc>
          <w:tcPr>
            <w:tcW w:w="1283" w:type="dxa"/>
            <w:tcBorders>
              <w:top w:val="single" w:sz="4" w:space="0" w:color="ADD6EA"/>
              <w:left w:val="nil"/>
              <w:bottom w:val="nil"/>
              <w:right w:val="nil"/>
            </w:tcBorders>
            <w:shd w:val="clear" w:color="auto" w:fill="auto"/>
            <w:vAlign w:val="bottom"/>
            <w:hideMark/>
          </w:tcPr>
          <w:p w14:paraId="5CE854B3"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0.1823</w:t>
            </w:r>
          </w:p>
        </w:tc>
        <w:tc>
          <w:tcPr>
            <w:tcW w:w="1283" w:type="dxa"/>
            <w:tcBorders>
              <w:top w:val="single" w:sz="4" w:space="0" w:color="ADD6EA"/>
              <w:left w:val="nil"/>
              <w:bottom w:val="nil"/>
              <w:right w:val="nil"/>
            </w:tcBorders>
            <w:shd w:val="clear" w:color="auto" w:fill="auto"/>
            <w:vAlign w:val="bottom"/>
            <w:hideMark/>
          </w:tcPr>
          <w:p w14:paraId="58063C08"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-11,422</w:t>
            </w:r>
          </w:p>
        </w:tc>
        <w:tc>
          <w:tcPr>
            <w:tcW w:w="1283" w:type="dxa"/>
            <w:tcBorders>
              <w:top w:val="single" w:sz="4" w:space="0" w:color="ADD6EA"/>
              <w:left w:val="nil"/>
              <w:bottom w:val="nil"/>
              <w:right w:val="nil"/>
            </w:tcBorders>
            <w:shd w:val="clear" w:color="auto" w:fill="auto"/>
            <w:vAlign w:val="bottom"/>
            <w:hideMark/>
          </w:tcPr>
          <w:p w14:paraId="0239D30E"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22,881</w:t>
            </w:r>
          </w:p>
        </w:tc>
        <w:tc>
          <w:tcPr>
            <w:tcW w:w="1283" w:type="dxa"/>
            <w:tcBorders>
              <w:top w:val="single" w:sz="4" w:space="0" w:color="ADD6EA"/>
              <w:left w:val="nil"/>
              <w:bottom w:val="nil"/>
              <w:right w:val="nil"/>
            </w:tcBorders>
            <w:shd w:val="clear" w:color="auto" w:fill="auto"/>
            <w:vAlign w:val="bottom"/>
            <w:hideMark/>
          </w:tcPr>
          <w:p w14:paraId="7F6272E2"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23,027</w:t>
            </w:r>
          </w:p>
        </w:tc>
      </w:tr>
      <w:tr w:rsidR="00037A07" w:rsidRPr="00037A07" w14:paraId="2ED1FA06"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3168F6ED" w14:textId="2370914F"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 xml:space="preserve">Age (5 year </w:t>
            </w:r>
            <w:r w:rsidR="00051AA9">
              <w:rPr>
                <w:rFonts w:eastAsia="Times New Roman" w:cs="Open Sans Light"/>
                <w:color w:val="000000"/>
                <w:sz w:val="16"/>
                <w:szCs w:val="16"/>
                <w:lang w:eastAsia="en-AU"/>
              </w:rPr>
              <w:t>groups</w:t>
            </w:r>
            <w:r w:rsidRPr="00037A07">
              <w:rPr>
                <w:rFonts w:eastAsia="Times New Roman" w:cs="Open Sans Light"/>
                <w:color w:val="000000"/>
                <w:sz w:val="16"/>
                <w:szCs w:val="16"/>
                <w:lang w:eastAsia="en-AU"/>
              </w:rPr>
              <w:t>)</w:t>
            </w:r>
          </w:p>
        </w:tc>
        <w:tc>
          <w:tcPr>
            <w:tcW w:w="1284" w:type="dxa"/>
            <w:tcBorders>
              <w:top w:val="single" w:sz="4" w:space="0" w:color="ADD6EA"/>
              <w:left w:val="nil"/>
              <w:bottom w:val="nil"/>
              <w:right w:val="nil"/>
            </w:tcBorders>
            <w:shd w:val="clear" w:color="auto" w:fill="auto"/>
            <w:vAlign w:val="bottom"/>
            <w:hideMark/>
          </w:tcPr>
          <w:p w14:paraId="22D5A3F6"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0.2402</w:t>
            </w:r>
          </w:p>
        </w:tc>
        <w:tc>
          <w:tcPr>
            <w:tcW w:w="1283" w:type="dxa"/>
            <w:tcBorders>
              <w:top w:val="single" w:sz="4" w:space="0" w:color="ADD6EA"/>
              <w:left w:val="nil"/>
              <w:bottom w:val="nil"/>
              <w:right w:val="nil"/>
            </w:tcBorders>
            <w:shd w:val="clear" w:color="auto" w:fill="auto"/>
            <w:vAlign w:val="bottom"/>
            <w:hideMark/>
          </w:tcPr>
          <w:p w14:paraId="78FFE13E"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0.2389</w:t>
            </w:r>
          </w:p>
        </w:tc>
        <w:tc>
          <w:tcPr>
            <w:tcW w:w="1283" w:type="dxa"/>
            <w:tcBorders>
              <w:top w:val="single" w:sz="4" w:space="0" w:color="ADD6EA"/>
              <w:left w:val="nil"/>
              <w:bottom w:val="nil"/>
              <w:right w:val="nil"/>
            </w:tcBorders>
            <w:shd w:val="clear" w:color="auto" w:fill="auto"/>
            <w:vAlign w:val="bottom"/>
            <w:hideMark/>
          </w:tcPr>
          <w:p w14:paraId="0B70EF4D"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-10,853</w:t>
            </w:r>
          </w:p>
        </w:tc>
        <w:tc>
          <w:tcPr>
            <w:tcW w:w="1283" w:type="dxa"/>
            <w:tcBorders>
              <w:top w:val="single" w:sz="4" w:space="0" w:color="ADD6EA"/>
              <w:left w:val="nil"/>
              <w:bottom w:val="nil"/>
              <w:right w:val="nil"/>
            </w:tcBorders>
            <w:shd w:val="clear" w:color="auto" w:fill="auto"/>
            <w:vAlign w:val="bottom"/>
            <w:hideMark/>
          </w:tcPr>
          <w:p w14:paraId="0699267B"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21,763</w:t>
            </w:r>
          </w:p>
        </w:tc>
        <w:tc>
          <w:tcPr>
            <w:tcW w:w="1283" w:type="dxa"/>
            <w:tcBorders>
              <w:top w:val="single" w:sz="4" w:space="0" w:color="ADD6EA"/>
              <w:left w:val="nil"/>
              <w:bottom w:val="nil"/>
              <w:right w:val="nil"/>
            </w:tcBorders>
            <w:shd w:val="clear" w:color="auto" w:fill="auto"/>
            <w:vAlign w:val="bottom"/>
            <w:hideMark/>
          </w:tcPr>
          <w:p w14:paraId="3C65F76E"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21,985</w:t>
            </w:r>
          </w:p>
        </w:tc>
      </w:tr>
      <w:tr w:rsidR="00037A07" w:rsidRPr="00037A07" w14:paraId="1D3D78AD"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48718176"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Person characteristics</w:t>
            </w:r>
          </w:p>
        </w:tc>
        <w:tc>
          <w:tcPr>
            <w:tcW w:w="1284" w:type="dxa"/>
            <w:tcBorders>
              <w:top w:val="single" w:sz="4" w:space="0" w:color="ADD6EA"/>
              <w:left w:val="nil"/>
              <w:bottom w:val="nil"/>
              <w:right w:val="nil"/>
            </w:tcBorders>
            <w:shd w:val="clear" w:color="auto" w:fill="auto"/>
            <w:vAlign w:val="bottom"/>
            <w:hideMark/>
          </w:tcPr>
          <w:p w14:paraId="45805812"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0.2592</w:t>
            </w:r>
          </w:p>
        </w:tc>
        <w:tc>
          <w:tcPr>
            <w:tcW w:w="1283" w:type="dxa"/>
            <w:tcBorders>
              <w:top w:val="single" w:sz="4" w:space="0" w:color="ADD6EA"/>
              <w:left w:val="nil"/>
              <w:bottom w:val="nil"/>
              <w:right w:val="nil"/>
            </w:tcBorders>
            <w:shd w:val="clear" w:color="auto" w:fill="auto"/>
            <w:vAlign w:val="bottom"/>
            <w:hideMark/>
          </w:tcPr>
          <w:p w14:paraId="67BF79F6"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0.2575</w:t>
            </w:r>
          </w:p>
        </w:tc>
        <w:tc>
          <w:tcPr>
            <w:tcW w:w="1283" w:type="dxa"/>
            <w:tcBorders>
              <w:top w:val="single" w:sz="4" w:space="0" w:color="ADD6EA"/>
              <w:left w:val="nil"/>
              <w:bottom w:val="nil"/>
              <w:right w:val="nil"/>
            </w:tcBorders>
            <w:shd w:val="clear" w:color="auto" w:fill="auto"/>
            <w:vAlign w:val="bottom"/>
            <w:hideMark/>
          </w:tcPr>
          <w:p w14:paraId="37B6C0E3"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-10,652</w:t>
            </w:r>
          </w:p>
        </w:tc>
        <w:tc>
          <w:tcPr>
            <w:tcW w:w="1283" w:type="dxa"/>
            <w:tcBorders>
              <w:top w:val="single" w:sz="4" w:space="0" w:color="ADD6EA"/>
              <w:left w:val="nil"/>
              <w:bottom w:val="nil"/>
              <w:right w:val="nil"/>
            </w:tcBorders>
            <w:shd w:val="clear" w:color="auto" w:fill="auto"/>
            <w:vAlign w:val="bottom"/>
            <w:hideMark/>
          </w:tcPr>
          <w:p w14:paraId="79129B3B"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21,378</w:t>
            </w:r>
          </w:p>
        </w:tc>
        <w:tc>
          <w:tcPr>
            <w:tcW w:w="1283" w:type="dxa"/>
            <w:tcBorders>
              <w:top w:val="single" w:sz="4" w:space="0" w:color="ADD6EA"/>
              <w:left w:val="nil"/>
              <w:bottom w:val="nil"/>
              <w:right w:val="nil"/>
            </w:tcBorders>
            <w:shd w:val="clear" w:color="auto" w:fill="auto"/>
            <w:vAlign w:val="bottom"/>
            <w:hideMark/>
          </w:tcPr>
          <w:p w14:paraId="59DA0D4F"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21,661</w:t>
            </w:r>
          </w:p>
        </w:tc>
      </w:tr>
      <w:tr w:rsidR="00037A07" w:rsidRPr="00037A07" w14:paraId="3B304816"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5A4B4AAE"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Occupation (broad)</w:t>
            </w:r>
          </w:p>
        </w:tc>
        <w:tc>
          <w:tcPr>
            <w:tcW w:w="1284" w:type="dxa"/>
            <w:tcBorders>
              <w:top w:val="single" w:sz="4" w:space="0" w:color="ADD6EA"/>
              <w:left w:val="nil"/>
              <w:bottom w:val="nil"/>
              <w:right w:val="nil"/>
            </w:tcBorders>
            <w:shd w:val="clear" w:color="auto" w:fill="auto"/>
            <w:vAlign w:val="bottom"/>
            <w:hideMark/>
          </w:tcPr>
          <w:p w14:paraId="157CDA24"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0.3116</w:t>
            </w:r>
          </w:p>
        </w:tc>
        <w:tc>
          <w:tcPr>
            <w:tcW w:w="1283" w:type="dxa"/>
            <w:tcBorders>
              <w:top w:val="single" w:sz="4" w:space="0" w:color="ADD6EA"/>
              <w:left w:val="nil"/>
              <w:bottom w:val="nil"/>
              <w:right w:val="nil"/>
            </w:tcBorders>
            <w:shd w:val="clear" w:color="auto" w:fill="auto"/>
            <w:vAlign w:val="bottom"/>
            <w:hideMark/>
          </w:tcPr>
          <w:p w14:paraId="71C96440"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0.3097</w:t>
            </w:r>
          </w:p>
        </w:tc>
        <w:tc>
          <w:tcPr>
            <w:tcW w:w="1283" w:type="dxa"/>
            <w:tcBorders>
              <w:top w:val="single" w:sz="4" w:space="0" w:color="ADD6EA"/>
              <w:left w:val="nil"/>
              <w:bottom w:val="nil"/>
              <w:right w:val="nil"/>
            </w:tcBorders>
            <w:shd w:val="clear" w:color="auto" w:fill="auto"/>
            <w:vAlign w:val="bottom"/>
            <w:hideMark/>
          </w:tcPr>
          <w:p w14:paraId="5617EEE6"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-10,075</w:t>
            </w:r>
          </w:p>
        </w:tc>
        <w:tc>
          <w:tcPr>
            <w:tcW w:w="1283" w:type="dxa"/>
            <w:tcBorders>
              <w:top w:val="single" w:sz="4" w:space="0" w:color="ADD6EA"/>
              <w:left w:val="nil"/>
              <w:bottom w:val="nil"/>
              <w:right w:val="nil"/>
            </w:tcBorders>
            <w:shd w:val="clear" w:color="auto" w:fill="auto"/>
            <w:vAlign w:val="bottom"/>
            <w:hideMark/>
          </w:tcPr>
          <w:p w14:paraId="6F34CCF0"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20,237</w:t>
            </w:r>
          </w:p>
        </w:tc>
        <w:tc>
          <w:tcPr>
            <w:tcW w:w="1283" w:type="dxa"/>
            <w:tcBorders>
              <w:top w:val="single" w:sz="4" w:space="0" w:color="ADD6EA"/>
              <w:left w:val="nil"/>
              <w:bottom w:val="nil"/>
              <w:right w:val="nil"/>
            </w:tcBorders>
            <w:shd w:val="clear" w:color="auto" w:fill="auto"/>
            <w:vAlign w:val="bottom"/>
            <w:hideMark/>
          </w:tcPr>
          <w:p w14:paraId="57A6F5CB"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20,574</w:t>
            </w:r>
          </w:p>
        </w:tc>
      </w:tr>
      <w:tr w:rsidR="00037A07" w:rsidRPr="00037A07" w14:paraId="48E7C42C"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464A3794"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Occupation (detailed)</w:t>
            </w:r>
          </w:p>
        </w:tc>
        <w:tc>
          <w:tcPr>
            <w:tcW w:w="1284" w:type="dxa"/>
            <w:tcBorders>
              <w:top w:val="single" w:sz="4" w:space="0" w:color="ADD6EA"/>
              <w:left w:val="nil"/>
              <w:bottom w:val="nil"/>
              <w:right w:val="nil"/>
            </w:tcBorders>
            <w:shd w:val="clear" w:color="auto" w:fill="auto"/>
            <w:vAlign w:val="bottom"/>
            <w:hideMark/>
          </w:tcPr>
          <w:p w14:paraId="2842FC76"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0.3563</w:t>
            </w:r>
          </w:p>
        </w:tc>
        <w:tc>
          <w:tcPr>
            <w:tcW w:w="1283" w:type="dxa"/>
            <w:tcBorders>
              <w:top w:val="single" w:sz="4" w:space="0" w:color="ADD6EA"/>
              <w:left w:val="nil"/>
              <w:bottom w:val="nil"/>
              <w:right w:val="nil"/>
            </w:tcBorders>
            <w:shd w:val="clear" w:color="auto" w:fill="auto"/>
            <w:vAlign w:val="bottom"/>
            <w:hideMark/>
          </w:tcPr>
          <w:p w14:paraId="2CDC1096"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0.3503</w:t>
            </w:r>
          </w:p>
        </w:tc>
        <w:tc>
          <w:tcPr>
            <w:tcW w:w="1283" w:type="dxa"/>
            <w:tcBorders>
              <w:top w:val="single" w:sz="4" w:space="0" w:color="ADD6EA"/>
              <w:left w:val="nil"/>
              <w:bottom w:val="nil"/>
              <w:right w:val="nil"/>
            </w:tcBorders>
            <w:shd w:val="clear" w:color="auto" w:fill="auto"/>
            <w:vAlign w:val="bottom"/>
            <w:hideMark/>
          </w:tcPr>
          <w:p w14:paraId="11751C8B"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-9,545</w:t>
            </w:r>
          </w:p>
        </w:tc>
        <w:tc>
          <w:tcPr>
            <w:tcW w:w="1283" w:type="dxa"/>
            <w:tcBorders>
              <w:top w:val="single" w:sz="4" w:space="0" w:color="ADD6EA"/>
              <w:left w:val="nil"/>
              <w:bottom w:val="nil"/>
              <w:right w:val="nil"/>
            </w:tcBorders>
            <w:shd w:val="clear" w:color="auto" w:fill="auto"/>
            <w:vAlign w:val="bottom"/>
            <w:hideMark/>
          </w:tcPr>
          <w:p w14:paraId="54D4B000"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19,385</w:t>
            </w:r>
          </w:p>
        </w:tc>
        <w:tc>
          <w:tcPr>
            <w:tcW w:w="1283" w:type="dxa"/>
            <w:tcBorders>
              <w:top w:val="single" w:sz="4" w:space="0" w:color="ADD6EA"/>
              <w:left w:val="nil"/>
              <w:bottom w:val="nil"/>
              <w:right w:val="nil"/>
            </w:tcBorders>
            <w:shd w:val="clear" w:color="auto" w:fill="auto"/>
            <w:vAlign w:val="bottom"/>
            <w:hideMark/>
          </w:tcPr>
          <w:p w14:paraId="7E70CFFB"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20,513</w:t>
            </w:r>
          </w:p>
        </w:tc>
      </w:tr>
      <w:tr w:rsidR="00037A07" w:rsidRPr="00037A07" w14:paraId="2D0966CD"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7E5DACB7"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Industry (broad)</w:t>
            </w:r>
          </w:p>
        </w:tc>
        <w:tc>
          <w:tcPr>
            <w:tcW w:w="1284" w:type="dxa"/>
            <w:tcBorders>
              <w:top w:val="single" w:sz="4" w:space="0" w:color="ADD6EA"/>
              <w:left w:val="nil"/>
              <w:bottom w:val="nil"/>
              <w:right w:val="nil"/>
            </w:tcBorders>
            <w:shd w:val="clear" w:color="auto" w:fill="auto"/>
            <w:vAlign w:val="bottom"/>
            <w:hideMark/>
          </w:tcPr>
          <w:p w14:paraId="6AB7D56D"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0.3671</w:t>
            </w:r>
          </w:p>
        </w:tc>
        <w:tc>
          <w:tcPr>
            <w:tcW w:w="1283" w:type="dxa"/>
            <w:tcBorders>
              <w:top w:val="single" w:sz="4" w:space="0" w:color="ADD6EA"/>
              <w:left w:val="nil"/>
              <w:bottom w:val="nil"/>
              <w:right w:val="nil"/>
            </w:tcBorders>
            <w:shd w:val="clear" w:color="auto" w:fill="auto"/>
            <w:vAlign w:val="bottom"/>
            <w:hideMark/>
          </w:tcPr>
          <w:p w14:paraId="298394A2"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0.3605</w:t>
            </w:r>
          </w:p>
        </w:tc>
        <w:tc>
          <w:tcPr>
            <w:tcW w:w="1283" w:type="dxa"/>
            <w:tcBorders>
              <w:top w:val="single" w:sz="4" w:space="0" w:color="ADD6EA"/>
              <w:left w:val="nil"/>
              <w:bottom w:val="nil"/>
              <w:right w:val="nil"/>
            </w:tcBorders>
            <w:shd w:val="clear" w:color="auto" w:fill="auto"/>
            <w:vAlign w:val="bottom"/>
            <w:hideMark/>
          </w:tcPr>
          <w:p w14:paraId="37E9E31E"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-9,411</w:t>
            </w:r>
          </w:p>
        </w:tc>
        <w:tc>
          <w:tcPr>
            <w:tcW w:w="1283" w:type="dxa"/>
            <w:tcBorders>
              <w:top w:val="single" w:sz="4" w:space="0" w:color="ADD6EA"/>
              <w:left w:val="nil"/>
              <w:bottom w:val="nil"/>
              <w:right w:val="nil"/>
            </w:tcBorders>
            <w:shd w:val="clear" w:color="auto" w:fill="auto"/>
            <w:vAlign w:val="bottom"/>
            <w:hideMark/>
          </w:tcPr>
          <w:p w14:paraId="22BACEB1"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19,152</w:t>
            </w:r>
          </w:p>
        </w:tc>
        <w:tc>
          <w:tcPr>
            <w:tcW w:w="1283" w:type="dxa"/>
            <w:tcBorders>
              <w:top w:val="single" w:sz="4" w:space="0" w:color="ADD6EA"/>
              <w:left w:val="nil"/>
              <w:bottom w:val="nil"/>
              <w:right w:val="nil"/>
            </w:tcBorders>
            <w:shd w:val="clear" w:color="auto" w:fill="auto"/>
            <w:vAlign w:val="bottom"/>
            <w:hideMark/>
          </w:tcPr>
          <w:p w14:paraId="73981924"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20,418</w:t>
            </w:r>
          </w:p>
        </w:tc>
      </w:tr>
      <w:tr w:rsidR="00037A07" w:rsidRPr="00037A07" w14:paraId="639C8D75" w14:textId="77777777" w:rsidTr="00A03DE5">
        <w:trPr>
          <w:trHeight w:val="270"/>
        </w:trPr>
        <w:tc>
          <w:tcPr>
            <w:tcW w:w="2543" w:type="dxa"/>
            <w:tcBorders>
              <w:top w:val="single" w:sz="4" w:space="0" w:color="ADD6EA"/>
              <w:left w:val="nil"/>
              <w:bottom w:val="single" w:sz="4" w:space="0" w:color="ADD6EA"/>
              <w:right w:val="nil"/>
            </w:tcBorders>
            <w:shd w:val="clear" w:color="000000" w:fill="D6E7F0"/>
            <w:vAlign w:val="bottom"/>
            <w:hideMark/>
          </w:tcPr>
          <w:p w14:paraId="5CB98F87" w14:textId="77777777" w:rsidR="00037A07" w:rsidRPr="00037A07" w:rsidRDefault="00037A07" w:rsidP="00A03DE5">
            <w:pPr>
              <w:keepNext/>
              <w:keepLines/>
              <w:tabs>
                <w:tab w:val="clear" w:pos="567"/>
              </w:tabs>
              <w:spacing w:before="0" w:line="240" w:lineRule="auto"/>
              <w:rPr>
                <w:rFonts w:ascii="Work Sans" w:eastAsia="Times New Roman" w:hAnsi="Work Sans" w:cs="Open Sans Semibold"/>
                <w:color w:val="000000"/>
                <w:sz w:val="16"/>
                <w:szCs w:val="16"/>
                <w:lang w:eastAsia="en-AU"/>
              </w:rPr>
            </w:pPr>
            <w:r w:rsidRPr="00037A07">
              <w:rPr>
                <w:rFonts w:ascii="Work Sans" w:eastAsia="Times New Roman" w:hAnsi="Work Sans" w:cs="Open Sans Semibold"/>
                <w:color w:val="000000"/>
                <w:sz w:val="16"/>
                <w:szCs w:val="16"/>
                <w:lang w:eastAsia="en-AU"/>
              </w:rPr>
              <w:t>Usual hours</w:t>
            </w:r>
          </w:p>
        </w:tc>
        <w:tc>
          <w:tcPr>
            <w:tcW w:w="1284" w:type="dxa"/>
            <w:tcBorders>
              <w:top w:val="single" w:sz="4" w:space="0" w:color="ADD6EA"/>
              <w:left w:val="nil"/>
              <w:bottom w:val="single" w:sz="4" w:space="0" w:color="ADD6EA"/>
              <w:right w:val="nil"/>
            </w:tcBorders>
            <w:shd w:val="clear" w:color="000000" w:fill="D6E7F0"/>
            <w:noWrap/>
            <w:vAlign w:val="bottom"/>
            <w:hideMark/>
          </w:tcPr>
          <w:p w14:paraId="55C40BB4" w14:textId="77777777" w:rsidR="00037A07" w:rsidRPr="00037A07" w:rsidRDefault="00037A07" w:rsidP="00A03DE5">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037A07">
              <w:rPr>
                <w:rFonts w:ascii="Work Sans" w:eastAsia="Times New Roman" w:hAnsi="Work Sans" w:cs="Open Sans Semibold"/>
                <w:color w:val="000000"/>
                <w:sz w:val="16"/>
                <w:szCs w:val="16"/>
                <w:lang w:eastAsia="en-AU"/>
              </w:rPr>
              <w:t>0.3700</w:t>
            </w:r>
          </w:p>
        </w:tc>
        <w:tc>
          <w:tcPr>
            <w:tcW w:w="1283" w:type="dxa"/>
            <w:tcBorders>
              <w:top w:val="single" w:sz="4" w:space="0" w:color="ADD6EA"/>
              <w:left w:val="nil"/>
              <w:bottom w:val="single" w:sz="4" w:space="0" w:color="ADD6EA"/>
              <w:right w:val="nil"/>
            </w:tcBorders>
            <w:shd w:val="clear" w:color="000000" w:fill="D6E7F0"/>
            <w:noWrap/>
            <w:vAlign w:val="bottom"/>
            <w:hideMark/>
          </w:tcPr>
          <w:p w14:paraId="5D01D42D" w14:textId="77777777" w:rsidR="00037A07" w:rsidRPr="00037A07" w:rsidRDefault="00037A07" w:rsidP="00A03DE5">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037A07">
              <w:rPr>
                <w:rFonts w:ascii="Work Sans" w:eastAsia="Times New Roman" w:hAnsi="Work Sans" w:cs="Open Sans Semibold"/>
                <w:color w:val="000000"/>
                <w:sz w:val="16"/>
                <w:szCs w:val="16"/>
                <w:lang w:eastAsia="en-AU"/>
              </w:rPr>
              <w:t>0.3633</w:t>
            </w:r>
          </w:p>
        </w:tc>
        <w:tc>
          <w:tcPr>
            <w:tcW w:w="1283" w:type="dxa"/>
            <w:tcBorders>
              <w:top w:val="single" w:sz="4" w:space="0" w:color="ADD6EA"/>
              <w:left w:val="nil"/>
              <w:bottom w:val="single" w:sz="4" w:space="0" w:color="ADD6EA"/>
              <w:right w:val="nil"/>
            </w:tcBorders>
            <w:shd w:val="clear" w:color="000000" w:fill="D6E7F0"/>
            <w:noWrap/>
            <w:vAlign w:val="bottom"/>
            <w:hideMark/>
          </w:tcPr>
          <w:p w14:paraId="2A35AFBF" w14:textId="77777777" w:rsidR="00037A07" w:rsidRPr="00037A07" w:rsidRDefault="00037A07" w:rsidP="00A03DE5">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037A07">
              <w:rPr>
                <w:rFonts w:ascii="Work Sans" w:eastAsia="Times New Roman" w:hAnsi="Work Sans" w:cs="Open Sans Semibold"/>
                <w:color w:val="000000"/>
                <w:sz w:val="16"/>
                <w:szCs w:val="16"/>
                <w:lang w:eastAsia="en-AU"/>
              </w:rPr>
              <w:t>-9,375</w:t>
            </w:r>
          </w:p>
        </w:tc>
        <w:tc>
          <w:tcPr>
            <w:tcW w:w="1283" w:type="dxa"/>
            <w:tcBorders>
              <w:top w:val="single" w:sz="4" w:space="0" w:color="ADD6EA"/>
              <w:left w:val="nil"/>
              <w:bottom w:val="single" w:sz="4" w:space="0" w:color="ADD6EA"/>
              <w:right w:val="nil"/>
            </w:tcBorders>
            <w:shd w:val="clear" w:color="000000" w:fill="D6E7F0"/>
            <w:noWrap/>
            <w:vAlign w:val="bottom"/>
            <w:hideMark/>
          </w:tcPr>
          <w:p w14:paraId="68A3ED5A" w14:textId="77777777" w:rsidR="00037A07" w:rsidRPr="00037A07" w:rsidRDefault="00037A07" w:rsidP="00A03DE5">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037A07">
              <w:rPr>
                <w:rFonts w:ascii="Work Sans" w:eastAsia="Times New Roman" w:hAnsi="Work Sans" w:cs="Open Sans Semibold"/>
                <w:color w:val="000000"/>
                <w:sz w:val="16"/>
                <w:szCs w:val="16"/>
                <w:lang w:eastAsia="en-AU"/>
              </w:rPr>
              <w:t>19,085</w:t>
            </w:r>
          </w:p>
        </w:tc>
        <w:tc>
          <w:tcPr>
            <w:tcW w:w="1283" w:type="dxa"/>
            <w:tcBorders>
              <w:top w:val="single" w:sz="4" w:space="0" w:color="ADD6EA"/>
              <w:left w:val="nil"/>
              <w:bottom w:val="single" w:sz="4" w:space="0" w:color="ADD6EA"/>
              <w:right w:val="nil"/>
            </w:tcBorders>
            <w:shd w:val="clear" w:color="000000" w:fill="D6E7F0"/>
            <w:noWrap/>
            <w:vAlign w:val="bottom"/>
            <w:hideMark/>
          </w:tcPr>
          <w:p w14:paraId="73D59406" w14:textId="77777777" w:rsidR="00037A07" w:rsidRPr="00037A07" w:rsidRDefault="00037A07" w:rsidP="00A03DE5">
            <w:pPr>
              <w:keepNext/>
              <w:keepLines/>
              <w:tabs>
                <w:tab w:val="clear" w:pos="567"/>
              </w:tabs>
              <w:spacing w:before="0" w:line="240" w:lineRule="auto"/>
              <w:jc w:val="right"/>
              <w:rPr>
                <w:rFonts w:ascii="Work Sans" w:eastAsia="Times New Roman" w:hAnsi="Work Sans" w:cs="Open Sans Semibold"/>
                <w:color w:val="000000"/>
                <w:sz w:val="16"/>
                <w:szCs w:val="16"/>
                <w:lang w:eastAsia="en-AU"/>
              </w:rPr>
            </w:pPr>
            <w:r w:rsidRPr="00037A07">
              <w:rPr>
                <w:rFonts w:ascii="Work Sans" w:eastAsia="Times New Roman" w:hAnsi="Work Sans" w:cs="Open Sans Semibold"/>
                <w:color w:val="000000"/>
                <w:sz w:val="16"/>
                <w:szCs w:val="16"/>
                <w:lang w:eastAsia="en-AU"/>
              </w:rPr>
              <w:t>20,366</w:t>
            </w:r>
          </w:p>
        </w:tc>
      </w:tr>
      <w:tr w:rsidR="00037A07" w:rsidRPr="00037A07" w14:paraId="121CB97D" w14:textId="77777777" w:rsidTr="00A03DE5">
        <w:trPr>
          <w:trHeight w:val="270"/>
        </w:trPr>
        <w:tc>
          <w:tcPr>
            <w:tcW w:w="2543" w:type="dxa"/>
            <w:tcBorders>
              <w:top w:val="nil"/>
              <w:left w:val="nil"/>
              <w:bottom w:val="nil"/>
              <w:right w:val="nil"/>
            </w:tcBorders>
            <w:shd w:val="clear" w:color="auto" w:fill="auto"/>
            <w:vAlign w:val="bottom"/>
            <w:hideMark/>
          </w:tcPr>
          <w:p w14:paraId="07EBB546"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Family by sex</w:t>
            </w:r>
          </w:p>
        </w:tc>
        <w:tc>
          <w:tcPr>
            <w:tcW w:w="1284" w:type="dxa"/>
            <w:tcBorders>
              <w:top w:val="nil"/>
              <w:left w:val="nil"/>
              <w:bottom w:val="nil"/>
              <w:right w:val="nil"/>
            </w:tcBorders>
            <w:shd w:val="clear" w:color="auto" w:fill="auto"/>
            <w:vAlign w:val="bottom"/>
            <w:hideMark/>
          </w:tcPr>
          <w:p w14:paraId="7895E3E4"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0.3720</w:t>
            </w:r>
          </w:p>
        </w:tc>
        <w:tc>
          <w:tcPr>
            <w:tcW w:w="1283" w:type="dxa"/>
            <w:tcBorders>
              <w:top w:val="nil"/>
              <w:left w:val="nil"/>
              <w:bottom w:val="nil"/>
              <w:right w:val="nil"/>
            </w:tcBorders>
            <w:shd w:val="clear" w:color="auto" w:fill="auto"/>
            <w:vAlign w:val="bottom"/>
            <w:hideMark/>
          </w:tcPr>
          <w:p w14:paraId="29549B24"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0.3652</w:t>
            </w:r>
          </w:p>
        </w:tc>
        <w:tc>
          <w:tcPr>
            <w:tcW w:w="1283" w:type="dxa"/>
            <w:tcBorders>
              <w:top w:val="nil"/>
              <w:left w:val="nil"/>
              <w:bottom w:val="nil"/>
              <w:right w:val="nil"/>
            </w:tcBorders>
            <w:shd w:val="clear" w:color="auto" w:fill="auto"/>
            <w:vAlign w:val="bottom"/>
            <w:hideMark/>
          </w:tcPr>
          <w:p w14:paraId="2DD06A8D"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-9,351</w:t>
            </w:r>
          </w:p>
        </w:tc>
        <w:tc>
          <w:tcPr>
            <w:tcW w:w="1283" w:type="dxa"/>
            <w:tcBorders>
              <w:top w:val="nil"/>
              <w:left w:val="nil"/>
              <w:bottom w:val="nil"/>
              <w:right w:val="nil"/>
            </w:tcBorders>
            <w:shd w:val="clear" w:color="auto" w:fill="auto"/>
            <w:vAlign w:val="bottom"/>
            <w:hideMark/>
          </w:tcPr>
          <w:p w14:paraId="2F947F16"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19,040</w:t>
            </w:r>
          </w:p>
        </w:tc>
        <w:tc>
          <w:tcPr>
            <w:tcW w:w="1283" w:type="dxa"/>
            <w:tcBorders>
              <w:top w:val="nil"/>
              <w:left w:val="nil"/>
              <w:bottom w:val="nil"/>
              <w:right w:val="nil"/>
            </w:tcBorders>
            <w:shd w:val="clear" w:color="auto" w:fill="auto"/>
            <w:vAlign w:val="bottom"/>
            <w:hideMark/>
          </w:tcPr>
          <w:p w14:paraId="6EDC3CFD" w14:textId="77777777" w:rsidR="00037A07" w:rsidRPr="00037A07" w:rsidRDefault="00037A07" w:rsidP="00A03DE5">
            <w:pPr>
              <w:keepNext/>
              <w:keepLines/>
              <w:tabs>
                <w:tab w:val="clear" w:pos="567"/>
              </w:tabs>
              <w:spacing w:before="0" w:line="240" w:lineRule="auto"/>
              <w:jc w:val="right"/>
              <w:rPr>
                <w:rFonts w:eastAsia="Times New Roman" w:cs="Open Sans Light"/>
                <w:b/>
                <w:bCs/>
                <w:color w:val="000000"/>
                <w:sz w:val="16"/>
                <w:szCs w:val="16"/>
                <w:lang w:eastAsia="en-AU"/>
              </w:rPr>
            </w:pPr>
            <w:r w:rsidRPr="00037A07">
              <w:rPr>
                <w:rFonts w:eastAsia="Times New Roman" w:cs="Open Sans Light"/>
                <w:b/>
                <w:bCs/>
                <w:color w:val="000000"/>
                <w:sz w:val="16"/>
                <w:szCs w:val="16"/>
                <w:lang w:eastAsia="en-AU"/>
              </w:rPr>
              <w:t>20,336</w:t>
            </w:r>
          </w:p>
        </w:tc>
      </w:tr>
      <w:tr w:rsidR="00037A07" w:rsidRPr="00037A07" w14:paraId="25012510"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7304A262"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Education by age</w:t>
            </w:r>
          </w:p>
        </w:tc>
        <w:tc>
          <w:tcPr>
            <w:tcW w:w="1284" w:type="dxa"/>
            <w:tcBorders>
              <w:top w:val="single" w:sz="4" w:space="0" w:color="ADD6EA"/>
              <w:left w:val="nil"/>
              <w:bottom w:val="nil"/>
              <w:right w:val="nil"/>
            </w:tcBorders>
            <w:shd w:val="clear" w:color="auto" w:fill="auto"/>
            <w:vAlign w:val="bottom"/>
            <w:hideMark/>
          </w:tcPr>
          <w:p w14:paraId="13D68FBA"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0.3802</w:t>
            </w:r>
          </w:p>
        </w:tc>
        <w:tc>
          <w:tcPr>
            <w:tcW w:w="1283" w:type="dxa"/>
            <w:tcBorders>
              <w:top w:val="single" w:sz="4" w:space="0" w:color="ADD6EA"/>
              <w:left w:val="nil"/>
              <w:bottom w:val="nil"/>
              <w:right w:val="nil"/>
            </w:tcBorders>
            <w:shd w:val="clear" w:color="auto" w:fill="auto"/>
            <w:vAlign w:val="bottom"/>
            <w:hideMark/>
          </w:tcPr>
          <w:p w14:paraId="29548B71"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0.3708</w:t>
            </w:r>
          </w:p>
        </w:tc>
        <w:tc>
          <w:tcPr>
            <w:tcW w:w="1283" w:type="dxa"/>
            <w:tcBorders>
              <w:top w:val="single" w:sz="4" w:space="0" w:color="ADD6EA"/>
              <w:left w:val="nil"/>
              <w:bottom w:val="nil"/>
              <w:right w:val="nil"/>
            </w:tcBorders>
            <w:shd w:val="clear" w:color="auto" w:fill="auto"/>
            <w:vAlign w:val="bottom"/>
            <w:hideMark/>
          </w:tcPr>
          <w:p w14:paraId="2B7642B9"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-9,246</w:t>
            </w:r>
          </w:p>
        </w:tc>
        <w:tc>
          <w:tcPr>
            <w:tcW w:w="1283" w:type="dxa"/>
            <w:tcBorders>
              <w:top w:val="single" w:sz="4" w:space="0" w:color="ADD6EA"/>
              <w:left w:val="nil"/>
              <w:bottom w:val="nil"/>
              <w:right w:val="nil"/>
            </w:tcBorders>
            <w:shd w:val="clear" w:color="auto" w:fill="auto"/>
            <w:vAlign w:val="bottom"/>
            <w:hideMark/>
          </w:tcPr>
          <w:p w14:paraId="72EA706C"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18,964</w:t>
            </w:r>
          </w:p>
        </w:tc>
        <w:tc>
          <w:tcPr>
            <w:tcW w:w="1283" w:type="dxa"/>
            <w:tcBorders>
              <w:top w:val="single" w:sz="4" w:space="0" w:color="ADD6EA"/>
              <w:left w:val="nil"/>
              <w:bottom w:val="nil"/>
              <w:right w:val="nil"/>
            </w:tcBorders>
            <w:shd w:val="clear" w:color="auto" w:fill="auto"/>
            <w:vAlign w:val="bottom"/>
            <w:hideMark/>
          </w:tcPr>
          <w:p w14:paraId="26E7C870"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20,773</w:t>
            </w:r>
          </w:p>
        </w:tc>
      </w:tr>
      <w:tr w:rsidR="00037A07" w:rsidRPr="00037A07" w14:paraId="10ED35EE"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37F7AF61"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Age by sex</w:t>
            </w:r>
          </w:p>
        </w:tc>
        <w:tc>
          <w:tcPr>
            <w:tcW w:w="1284" w:type="dxa"/>
            <w:tcBorders>
              <w:top w:val="single" w:sz="4" w:space="0" w:color="ADD6EA"/>
              <w:left w:val="nil"/>
              <w:bottom w:val="nil"/>
              <w:right w:val="nil"/>
            </w:tcBorders>
            <w:shd w:val="clear" w:color="auto" w:fill="auto"/>
            <w:vAlign w:val="bottom"/>
            <w:hideMark/>
          </w:tcPr>
          <w:p w14:paraId="340FEA8A"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0.3826</w:t>
            </w:r>
          </w:p>
        </w:tc>
        <w:tc>
          <w:tcPr>
            <w:tcW w:w="1283" w:type="dxa"/>
            <w:tcBorders>
              <w:top w:val="single" w:sz="4" w:space="0" w:color="ADD6EA"/>
              <w:left w:val="nil"/>
              <w:bottom w:val="nil"/>
              <w:right w:val="nil"/>
            </w:tcBorders>
            <w:shd w:val="clear" w:color="auto" w:fill="auto"/>
            <w:vAlign w:val="bottom"/>
            <w:hideMark/>
          </w:tcPr>
          <w:p w14:paraId="61A582DA"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0.3729</w:t>
            </w:r>
          </w:p>
        </w:tc>
        <w:tc>
          <w:tcPr>
            <w:tcW w:w="1283" w:type="dxa"/>
            <w:tcBorders>
              <w:top w:val="single" w:sz="4" w:space="0" w:color="ADD6EA"/>
              <w:left w:val="nil"/>
              <w:bottom w:val="nil"/>
              <w:right w:val="nil"/>
            </w:tcBorders>
            <w:shd w:val="clear" w:color="auto" w:fill="auto"/>
            <w:vAlign w:val="bottom"/>
            <w:hideMark/>
          </w:tcPr>
          <w:p w14:paraId="2599D36B"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-9,215</w:t>
            </w:r>
          </w:p>
        </w:tc>
        <w:tc>
          <w:tcPr>
            <w:tcW w:w="1283" w:type="dxa"/>
            <w:tcBorders>
              <w:top w:val="single" w:sz="4" w:space="0" w:color="ADD6EA"/>
              <w:left w:val="nil"/>
              <w:bottom w:val="nil"/>
              <w:right w:val="nil"/>
            </w:tcBorders>
            <w:shd w:val="clear" w:color="auto" w:fill="auto"/>
            <w:vAlign w:val="bottom"/>
            <w:hideMark/>
          </w:tcPr>
          <w:p w14:paraId="19506AC4"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18,923</w:t>
            </w:r>
          </w:p>
        </w:tc>
        <w:tc>
          <w:tcPr>
            <w:tcW w:w="1283" w:type="dxa"/>
            <w:tcBorders>
              <w:top w:val="single" w:sz="4" w:space="0" w:color="ADD6EA"/>
              <w:left w:val="nil"/>
              <w:bottom w:val="nil"/>
              <w:right w:val="nil"/>
            </w:tcBorders>
            <w:shd w:val="clear" w:color="auto" w:fill="auto"/>
            <w:vAlign w:val="bottom"/>
            <w:hideMark/>
          </w:tcPr>
          <w:p w14:paraId="3D1CB233"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20,808</w:t>
            </w:r>
          </w:p>
        </w:tc>
      </w:tr>
      <w:tr w:rsidR="00037A07" w:rsidRPr="00037A07" w14:paraId="25BD44B8" w14:textId="77777777" w:rsidTr="00A03DE5">
        <w:trPr>
          <w:trHeight w:val="270"/>
        </w:trPr>
        <w:tc>
          <w:tcPr>
            <w:tcW w:w="2543" w:type="dxa"/>
            <w:tcBorders>
              <w:top w:val="single" w:sz="4" w:space="0" w:color="ADD6EA"/>
              <w:left w:val="nil"/>
              <w:bottom w:val="nil"/>
              <w:right w:val="nil"/>
            </w:tcBorders>
            <w:shd w:val="clear" w:color="auto" w:fill="auto"/>
            <w:vAlign w:val="bottom"/>
            <w:hideMark/>
          </w:tcPr>
          <w:p w14:paraId="773AB869"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Industry (detailed)</w:t>
            </w:r>
          </w:p>
        </w:tc>
        <w:tc>
          <w:tcPr>
            <w:tcW w:w="1284" w:type="dxa"/>
            <w:tcBorders>
              <w:top w:val="single" w:sz="4" w:space="0" w:color="ADD6EA"/>
              <w:left w:val="nil"/>
              <w:bottom w:val="nil"/>
              <w:right w:val="nil"/>
            </w:tcBorders>
            <w:shd w:val="clear" w:color="auto" w:fill="auto"/>
            <w:vAlign w:val="bottom"/>
            <w:hideMark/>
          </w:tcPr>
          <w:p w14:paraId="22C182E4"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0.4016</w:t>
            </w:r>
          </w:p>
        </w:tc>
        <w:tc>
          <w:tcPr>
            <w:tcW w:w="1283" w:type="dxa"/>
            <w:tcBorders>
              <w:top w:val="single" w:sz="4" w:space="0" w:color="ADD6EA"/>
              <w:left w:val="nil"/>
              <w:bottom w:val="nil"/>
              <w:right w:val="nil"/>
            </w:tcBorders>
            <w:shd w:val="clear" w:color="auto" w:fill="auto"/>
            <w:vAlign w:val="bottom"/>
            <w:hideMark/>
          </w:tcPr>
          <w:p w14:paraId="74C72A49"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0.3829</w:t>
            </w:r>
          </w:p>
        </w:tc>
        <w:tc>
          <w:tcPr>
            <w:tcW w:w="1283" w:type="dxa"/>
            <w:tcBorders>
              <w:top w:val="single" w:sz="4" w:space="0" w:color="ADD6EA"/>
              <w:left w:val="nil"/>
              <w:bottom w:val="nil"/>
              <w:right w:val="nil"/>
            </w:tcBorders>
            <w:shd w:val="clear" w:color="auto" w:fill="auto"/>
            <w:vAlign w:val="bottom"/>
            <w:hideMark/>
          </w:tcPr>
          <w:p w14:paraId="17AE1AF9"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-8,969</w:t>
            </w:r>
          </w:p>
        </w:tc>
        <w:tc>
          <w:tcPr>
            <w:tcW w:w="1283" w:type="dxa"/>
            <w:tcBorders>
              <w:top w:val="single" w:sz="4" w:space="0" w:color="ADD6EA"/>
              <w:left w:val="nil"/>
              <w:bottom w:val="nil"/>
              <w:right w:val="nil"/>
            </w:tcBorders>
            <w:shd w:val="clear" w:color="auto" w:fill="auto"/>
            <w:vAlign w:val="bottom"/>
            <w:hideMark/>
          </w:tcPr>
          <w:p w14:paraId="0D4D7E07" w14:textId="77777777" w:rsidR="00037A07" w:rsidRPr="00037A07" w:rsidRDefault="00037A07" w:rsidP="00A03DE5">
            <w:pPr>
              <w:keepNext/>
              <w:keepLines/>
              <w:tabs>
                <w:tab w:val="clear" w:pos="567"/>
              </w:tabs>
              <w:spacing w:before="0" w:line="240" w:lineRule="auto"/>
              <w:jc w:val="right"/>
              <w:rPr>
                <w:rFonts w:eastAsia="Times New Roman" w:cs="Open Sans Light"/>
                <w:b/>
                <w:bCs/>
                <w:color w:val="000000"/>
                <w:sz w:val="16"/>
                <w:szCs w:val="16"/>
                <w:lang w:eastAsia="en-AU"/>
              </w:rPr>
            </w:pPr>
            <w:r w:rsidRPr="00037A07">
              <w:rPr>
                <w:rFonts w:eastAsia="Times New Roman" w:cs="Open Sans Light"/>
                <w:b/>
                <w:bCs/>
                <w:color w:val="000000" w:themeColor="text1"/>
                <w:sz w:val="16"/>
                <w:szCs w:val="16"/>
                <w:lang w:eastAsia="en-AU"/>
              </w:rPr>
              <w:t>18,894</w:t>
            </w:r>
          </w:p>
        </w:tc>
        <w:tc>
          <w:tcPr>
            <w:tcW w:w="1283" w:type="dxa"/>
            <w:tcBorders>
              <w:top w:val="single" w:sz="4" w:space="0" w:color="ADD6EA"/>
              <w:left w:val="nil"/>
              <w:bottom w:val="nil"/>
              <w:right w:val="nil"/>
            </w:tcBorders>
            <w:shd w:val="clear" w:color="auto" w:fill="auto"/>
            <w:vAlign w:val="bottom"/>
            <w:hideMark/>
          </w:tcPr>
          <w:p w14:paraId="70E89587"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22,557</w:t>
            </w:r>
          </w:p>
        </w:tc>
      </w:tr>
      <w:tr w:rsidR="00037A07" w:rsidRPr="00037A07" w14:paraId="024AD5E1" w14:textId="77777777" w:rsidTr="00A03DE5">
        <w:trPr>
          <w:trHeight w:val="270"/>
        </w:trPr>
        <w:tc>
          <w:tcPr>
            <w:tcW w:w="2543" w:type="dxa"/>
            <w:tcBorders>
              <w:top w:val="single" w:sz="4" w:space="0" w:color="ADD6EA"/>
              <w:left w:val="nil"/>
              <w:bottom w:val="single" w:sz="4" w:space="0" w:color="ADD6EA"/>
              <w:right w:val="nil"/>
            </w:tcBorders>
            <w:shd w:val="clear" w:color="auto" w:fill="auto"/>
            <w:vAlign w:val="bottom"/>
            <w:hideMark/>
          </w:tcPr>
          <w:p w14:paraId="6902173D" w14:textId="77777777" w:rsidR="00037A07" w:rsidRPr="00037A07" w:rsidRDefault="00037A07" w:rsidP="00A03DE5">
            <w:pPr>
              <w:keepNext/>
              <w:keepLines/>
              <w:tabs>
                <w:tab w:val="clear" w:pos="567"/>
              </w:tabs>
              <w:spacing w:before="0" w:line="240" w:lineRule="auto"/>
              <w:rPr>
                <w:rFonts w:eastAsia="Times New Roman" w:cs="Open Sans Light"/>
                <w:color w:val="000000"/>
                <w:sz w:val="16"/>
                <w:szCs w:val="16"/>
                <w:lang w:eastAsia="en-AU"/>
              </w:rPr>
            </w:pPr>
            <w:r w:rsidRPr="00037A07">
              <w:rPr>
                <w:rFonts w:eastAsia="Times New Roman" w:cs="Open Sans Light"/>
                <w:color w:val="000000"/>
                <w:sz w:val="16"/>
                <w:szCs w:val="16"/>
                <w:lang w:eastAsia="en-AU"/>
              </w:rPr>
              <w:t>Everything by sex</w:t>
            </w:r>
          </w:p>
        </w:tc>
        <w:tc>
          <w:tcPr>
            <w:tcW w:w="1284" w:type="dxa"/>
            <w:tcBorders>
              <w:top w:val="single" w:sz="4" w:space="0" w:color="ADD6EA"/>
              <w:left w:val="nil"/>
              <w:bottom w:val="single" w:sz="4" w:space="0" w:color="ADD6EA"/>
              <w:right w:val="nil"/>
            </w:tcBorders>
            <w:shd w:val="clear" w:color="auto" w:fill="auto"/>
            <w:noWrap/>
            <w:vAlign w:val="bottom"/>
            <w:hideMark/>
          </w:tcPr>
          <w:p w14:paraId="10427B8B" w14:textId="77777777" w:rsidR="00037A07" w:rsidRPr="00037A07" w:rsidRDefault="00037A07" w:rsidP="00A03DE5">
            <w:pPr>
              <w:keepNext/>
              <w:keepLines/>
              <w:tabs>
                <w:tab w:val="clear" w:pos="567"/>
              </w:tabs>
              <w:spacing w:before="0" w:line="240" w:lineRule="auto"/>
              <w:jc w:val="right"/>
              <w:rPr>
                <w:rFonts w:eastAsia="Times New Roman" w:cs="Open Sans Light"/>
                <w:b/>
                <w:bCs/>
                <w:color w:val="000000"/>
                <w:sz w:val="16"/>
                <w:szCs w:val="16"/>
                <w:lang w:eastAsia="en-AU"/>
              </w:rPr>
            </w:pPr>
            <w:r w:rsidRPr="00037A07">
              <w:rPr>
                <w:rFonts w:eastAsia="Times New Roman" w:cs="Open Sans Light"/>
                <w:b/>
                <w:bCs/>
                <w:color w:val="000000"/>
                <w:sz w:val="16"/>
                <w:szCs w:val="16"/>
                <w:lang w:eastAsia="en-AU"/>
              </w:rPr>
              <w:t>0.4232</w:t>
            </w:r>
          </w:p>
        </w:tc>
        <w:tc>
          <w:tcPr>
            <w:tcW w:w="1283" w:type="dxa"/>
            <w:tcBorders>
              <w:top w:val="single" w:sz="4" w:space="0" w:color="ADD6EA"/>
              <w:left w:val="nil"/>
              <w:bottom w:val="single" w:sz="4" w:space="0" w:color="ADD6EA"/>
              <w:right w:val="nil"/>
            </w:tcBorders>
            <w:shd w:val="clear" w:color="auto" w:fill="auto"/>
            <w:noWrap/>
            <w:vAlign w:val="bottom"/>
            <w:hideMark/>
          </w:tcPr>
          <w:p w14:paraId="618A4B0D" w14:textId="77777777" w:rsidR="00037A07" w:rsidRPr="00037A07" w:rsidRDefault="00037A07" w:rsidP="00A03DE5">
            <w:pPr>
              <w:keepNext/>
              <w:keepLines/>
              <w:tabs>
                <w:tab w:val="clear" w:pos="567"/>
              </w:tabs>
              <w:spacing w:before="0" w:line="240" w:lineRule="auto"/>
              <w:jc w:val="right"/>
              <w:rPr>
                <w:rFonts w:eastAsia="Times New Roman" w:cs="Open Sans Light"/>
                <w:b/>
                <w:bCs/>
                <w:color w:val="000000"/>
                <w:sz w:val="16"/>
                <w:szCs w:val="16"/>
                <w:lang w:eastAsia="en-AU"/>
              </w:rPr>
            </w:pPr>
            <w:r w:rsidRPr="00037A07">
              <w:rPr>
                <w:rFonts w:eastAsia="Times New Roman" w:cs="Open Sans Light"/>
                <w:b/>
                <w:bCs/>
                <w:color w:val="000000"/>
                <w:sz w:val="16"/>
                <w:szCs w:val="16"/>
                <w:lang w:eastAsia="en-AU"/>
              </w:rPr>
              <w:t>0.3894</w:t>
            </w:r>
          </w:p>
        </w:tc>
        <w:tc>
          <w:tcPr>
            <w:tcW w:w="1283" w:type="dxa"/>
            <w:tcBorders>
              <w:top w:val="single" w:sz="4" w:space="0" w:color="ADD6EA"/>
              <w:left w:val="nil"/>
              <w:bottom w:val="single" w:sz="4" w:space="0" w:color="ADD6EA"/>
              <w:right w:val="nil"/>
            </w:tcBorders>
            <w:shd w:val="clear" w:color="auto" w:fill="auto"/>
            <w:noWrap/>
            <w:vAlign w:val="bottom"/>
            <w:hideMark/>
          </w:tcPr>
          <w:p w14:paraId="116E1D79" w14:textId="77777777" w:rsidR="00037A07" w:rsidRPr="00037A07" w:rsidRDefault="00037A07" w:rsidP="00A03DE5">
            <w:pPr>
              <w:keepNext/>
              <w:keepLines/>
              <w:tabs>
                <w:tab w:val="clear" w:pos="567"/>
              </w:tabs>
              <w:spacing w:before="0" w:line="240" w:lineRule="auto"/>
              <w:jc w:val="right"/>
              <w:rPr>
                <w:rFonts w:eastAsia="Times New Roman" w:cs="Open Sans Light"/>
                <w:b/>
                <w:bCs/>
                <w:color w:val="000000"/>
                <w:sz w:val="16"/>
                <w:szCs w:val="16"/>
                <w:lang w:eastAsia="en-AU"/>
              </w:rPr>
            </w:pPr>
            <w:r w:rsidRPr="00037A07">
              <w:rPr>
                <w:rFonts w:eastAsia="Times New Roman" w:cs="Open Sans Light"/>
                <w:b/>
                <w:bCs/>
                <w:color w:val="000000" w:themeColor="text1"/>
                <w:sz w:val="16"/>
                <w:szCs w:val="16"/>
                <w:lang w:eastAsia="en-AU"/>
              </w:rPr>
              <w:t>-8,682</w:t>
            </w:r>
          </w:p>
        </w:tc>
        <w:tc>
          <w:tcPr>
            <w:tcW w:w="1283" w:type="dxa"/>
            <w:tcBorders>
              <w:top w:val="single" w:sz="4" w:space="0" w:color="ADD6EA"/>
              <w:left w:val="nil"/>
              <w:bottom w:val="single" w:sz="4" w:space="0" w:color="ADD6EA"/>
              <w:right w:val="nil"/>
            </w:tcBorders>
            <w:shd w:val="clear" w:color="auto" w:fill="auto"/>
            <w:noWrap/>
            <w:vAlign w:val="bottom"/>
            <w:hideMark/>
          </w:tcPr>
          <w:p w14:paraId="486D6613"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19,101</w:t>
            </w:r>
          </w:p>
        </w:tc>
        <w:tc>
          <w:tcPr>
            <w:tcW w:w="1283" w:type="dxa"/>
            <w:tcBorders>
              <w:top w:val="single" w:sz="4" w:space="0" w:color="ADD6EA"/>
              <w:left w:val="nil"/>
              <w:bottom w:val="single" w:sz="4" w:space="0" w:color="ADD6EA"/>
              <w:right w:val="nil"/>
            </w:tcBorders>
            <w:shd w:val="clear" w:color="auto" w:fill="auto"/>
            <w:noWrap/>
            <w:vAlign w:val="bottom"/>
            <w:hideMark/>
          </w:tcPr>
          <w:p w14:paraId="27F1CCCE" w14:textId="77777777" w:rsidR="00037A07" w:rsidRPr="00037A07" w:rsidRDefault="00037A07" w:rsidP="00A03DE5">
            <w:pPr>
              <w:keepNext/>
              <w:keepLines/>
              <w:tabs>
                <w:tab w:val="clear" w:pos="567"/>
              </w:tabs>
              <w:spacing w:before="0" w:line="240" w:lineRule="auto"/>
              <w:jc w:val="right"/>
              <w:rPr>
                <w:rFonts w:eastAsia="Times New Roman" w:cs="Open Sans Light"/>
                <w:color w:val="000000"/>
                <w:sz w:val="16"/>
                <w:szCs w:val="16"/>
                <w:lang w:eastAsia="en-AU"/>
              </w:rPr>
            </w:pPr>
            <w:r w:rsidRPr="00037A07">
              <w:rPr>
                <w:rFonts w:eastAsia="Times New Roman" w:cs="Open Sans Light"/>
                <w:color w:val="000000"/>
                <w:sz w:val="16"/>
                <w:szCs w:val="16"/>
                <w:lang w:eastAsia="en-AU"/>
              </w:rPr>
              <w:t>25,757</w:t>
            </w:r>
          </w:p>
        </w:tc>
      </w:tr>
    </w:tbl>
    <w:p w14:paraId="4884099A" w14:textId="77777777" w:rsidR="00556916" w:rsidRDefault="00A03DE5" w:rsidP="00A03DE5">
      <w:pPr>
        <w:pStyle w:val="CGC2025TableNote"/>
        <w:keepNext/>
        <w:keepLines/>
      </w:pPr>
      <w:r>
        <w:t xml:space="preserve">Notes: </w:t>
      </w:r>
      <w:r>
        <w:tab/>
      </w:r>
      <w:r w:rsidR="00556916">
        <w:t>Optimal model based on each statistic is in bold.</w:t>
      </w:r>
    </w:p>
    <w:p w14:paraId="71312143" w14:textId="65883137" w:rsidR="00A03DE5" w:rsidRDefault="004B51F7" w:rsidP="00A03DE5">
      <w:pPr>
        <w:pStyle w:val="CGC2025TableNote"/>
        <w:keepNext/>
        <w:keepLines/>
      </w:pPr>
      <w:r>
        <w:tab/>
      </w:r>
      <w:r>
        <w:tab/>
      </w:r>
      <w:r>
        <w:tab/>
        <w:t xml:space="preserve">See notes to </w:t>
      </w:r>
      <w:r w:rsidR="004E0005">
        <w:t>F</w:t>
      </w:r>
      <w:r>
        <w:t xml:space="preserve">igure </w:t>
      </w:r>
      <w:r w:rsidR="006E30C6">
        <w:t>B-1</w:t>
      </w:r>
      <w:r w:rsidR="004E0005">
        <w:t>.</w:t>
      </w:r>
    </w:p>
    <w:p w14:paraId="04D601DA" w14:textId="5EFEC88E" w:rsidR="00A03DE5" w:rsidRDefault="00A03DE5" w:rsidP="00A03DE5">
      <w:pPr>
        <w:pStyle w:val="CGC2025TableNote"/>
      </w:pPr>
      <w:r>
        <w:t>Source: Commission calculation</w:t>
      </w:r>
      <w:r w:rsidR="00C26376">
        <w:t>.</w:t>
      </w:r>
    </w:p>
    <w:p w14:paraId="656F1FC7" w14:textId="77777777" w:rsidR="00953587" w:rsidRDefault="00953587" w:rsidP="00953587">
      <w:pPr>
        <w:pStyle w:val="CGC2025Caption"/>
      </w:pPr>
    </w:p>
    <w:sectPr w:rsidR="00953587" w:rsidSect="004F0684">
      <w:footerReference w:type="default" r:id="rId25"/>
      <w:pgSz w:w="11906" w:h="16838"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B5A0B" w14:textId="77777777" w:rsidR="00E71FD8" w:rsidRDefault="00E71FD8">
      <w:r>
        <w:separator/>
      </w:r>
    </w:p>
    <w:p w14:paraId="3E4A21F3" w14:textId="77777777" w:rsidR="00E71FD8" w:rsidRDefault="00E71FD8"/>
  </w:endnote>
  <w:endnote w:type="continuationSeparator" w:id="0">
    <w:p w14:paraId="0F3AFB14" w14:textId="77777777" w:rsidR="00E71FD8" w:rsidRDefault="00E71FD8">
      <w:r>
        <w:continuationSeparator/>
      </w:r>
    </w:p>
    <w:p w14:paraId="64BEF9CB" w14:textId="77777777" w:rsidR="00E71FD8" w:rsidRDefault="00E71FD8"/>
  </w:endnote>
  <w:endnote w:type="continuationNotice" w:id="1">
    <w:p w14:paraId="4569D7F5" w14:textId="77777777" w:rsidR="00E71FD8" w:rsidRDefault="00E71FD8">
      <w:pPr>
        <w:spacing w:before="0" w:line="240" w:lineRule="auto"/>
      </w:pPr>
    </w:p>
    <w:p w14:paraId="088EA567" w14:textId="77777777" w:rsidR="00E71FD8" w:rsidRDefault="00E71F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2305" w14:textId="7666131D" w:rsidR="00E4564D" w:rsidRDefault="00E4564D" w:rsidP="00D22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96B4" w14:textId="31EBF2D8" w:rsidR="00B80B50" w:rsidRDefault="008E230B" w:rsidP="008E230B">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684187"/>
      <w:docPartObj>
        <w:docPartGallery w:val="Page Numbers (Bottom of Page)"/>
        <w:docPartUnique/>
      </w:docPartObj>
    </w:sdtPr>
    <w:sdtEndPr>
      <w:rPr>
        <w:noProof/>
      </w:rPr>
    </w:sdtEndPr>
    <w:sdtContent>
      <w:p w14:paraId="63EB4974" w14:textId="77777777" w:rsidR="005B6B61" w:rsidRDefault="005B6B61" w:rsidP="00D22166">
        <w:pPr>
          <w:pStyle w:val="Footer"/>
        </w:pPr>
        <w:r>
          <w:fldChar w:fldCharType="begin"/>
        </w:r>
        <w:r>
          <w:instrText xml:space="preserve"> PAGE   \* MERGEFORMAT </w:instrText>
        </w:r>
        <w:r>
          <w:fldChar w:fldCharType="separate"/>
        </w:r>
        <w:r>
          <w:rPr>
            <w:noProof/>
          </w:rPr>
          <w:t>2</w:t>
        </w:r>
        <w:r>
          <w:rPr>
            <w:noProof/>
          </w:rPr>
          <w:fldChar w:fldCharType="end"/>
        </w:r>
      </w:p>
    </w:sdtContent>
  </w:sdt>
  <w:p w14:paraId="39C6AF0D" w14:textId="77777777" w:rsidR="00C66676" w:rsidRDefault="00C666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AC004" w14:textId="77777777" w:rsidR="00E71FD8" w:rsidRPr="001C1AC5" w:rsidRDefault="00E71FD8">
      <w:pPr>
        <w:rPr>
          <w:color w:val="ADD6EA"/>
        </w:rPr>
      </w:pPr>
      <w:r w:rsidRPr="001C1AC5">
        <w:rPr>
          <w:color w:val="ADD6EA"/>
        </w:rPr>
        <w:separator/>
      </w:r>
    </w:p>
    <w:p w14:paraId="425529A0" w14:textId="77777777" w:rsidR="00E71FD8" w:rsidRDefault="00E71FD8"/>
  </w:footnote>
  <w:footnote w:type="continuationSeparator" w:id="0">
    <w:p w14:paraId="7C11D5DD" w14:textId="77777777" w:rsidR="00E71FD8" w:rsidRDefault="00E71FD8">
      <w:r>
        <w:continuationSeparator/>
      </w:r>
    </w:p>
    <w:p w14:paraId="534669E8" w14:textId="77777777" w:rsidR="00E71FD8" w:rsidRDefault="00E71FD8"/>
  </w:footnote>
  <w:footnote w:type="continuationNotice" w:id="1">
    <w:p w14:paraId="445CAE61" w14:textId="77777777" w:rsidR="00E71FD8" w:rsidRDefault="00E71FD8">
      <w:pPr>
        <w:spacing w:before="0" w:line="240" w:lineRule="auto"/>
      </w:pPr>
    </w:p>
    <w:p w14:paraId="329A9089" w14:textId="77777777" w:rsidR="00E71FD8" w:rsidRDefault="00E71FD8"/>
  </w:footnote>
  <w:footnote w:id="2">
    <w:p w14:paraId="13178727" w14:textId="49A57627" w:rsidR="00097D86" w:rsidRDefault="00097D86" w:rsidP="00D74FB4">
      <w:pPr>
        <w:pStyle w:val="FootnoteText"/>
      </w:pPr>
      <w:r>
        <w:rPr>
          <w:rStyle w:val="FootnoteReference"/>
        </w:rPr>
        <w:footnoteRef/>
      </w:r>
      <w:r>
        <w:t xml:space="preserve"> </w:t>
      </w:r>
      <w:r w:rsidR="000677CF" w:rsidRPr="000677CF">
        <w:t xml:space="preserve">The </w:t>
      </w:r>
      <w:r w:rsidR="00D609B3" w:rsidRPr="000677CF">
        <w:t>correlatio</w:t>
      </w:r>
      <w:r w:rsidR="00D609B3">
        <w:t>n</w:t>
      </w:r>
      <w:r w:rsidR="00D609B3" w:rsidRPr="000677CF">
        <w:t xml:space="preserve"> </w:t>
      </w:r>
      <w:r w:rsidR="000677CF" w:rsidRPr="000677CF">
        <w:t xml:space="preserve">coefficient is a statistical measure that quantifies the strength and direction of the linear relationship between </w:t>
      </w:r>
      <w:r w:rsidR="00A6336D">
        <w:t>2</w:t>
      </w:r>
      <w:r w:rsidR="00236B1C">
        <w:t> </w:t>
      </w:r>
      <w:r w:rsidR="000677CF" w:rsidRPr="000677CF">
        <w:t>variables. It ranges between -1 and 1, where a positive value indicates a positive linear correlation, a negative value indicates a negative linear correlation, and a value close to 0 indicates a weak or no linear correlation.</w:t>
      </w:r>
    </w:p>
  </w:footnote>
  <w:footnote w:id="3">
    <w:p w14:paraId="49BC69FE" w14:textId="7DD89B6D" w:rsidR="00574E25" w:rsidRDefault="00574E25" w:rsidP="00D74FB4">
      <w:pPr>
        <w:pStyle w:val="FootnoteText"/>
      </w:pPr>
      <w:r w:rsidRPr="00E47F56">
        <w:rPr>
          <w:rStyle w:val="FootnoteReference"/>
        </w:rPr>
        <w:footnoteRef/>
      </w:r>
      <w:r w:rsidRPr="00E47F56">
        <w:t xml:space="preserve"> </w:t>
      </w:r>
      <w:r w:rsidR="00D74FB4">
        <w:t>The m</w:t>
      </w:r>
      <w:r w:rsidRPr="00E47F56">
        <w:t xml:space="preserve">ateriality threshold is around 0.3% for NT, </w:t>
      </w:r>
      <w:r w:rsidR="00DB6AD5" w:rsidRPr="00E47F56">
        <w:t>0</w:t>
      </w:r>
      <w:r w:rsidRPr="00E47F56">
        <w:t>.6</w:t>
      </w:r>
      <w:r w:rsidR="00C60360">
        <w:t>–</w:t>
      </w:r>
      <w:r w:rsidR="00DB6AD5" w:rsidRPr="00E47F56">
        <w:t>0</w:t>
      </w:r>
      <w:r w:rsidRPr="00E47F56">
        <w:t>.8% for other states. Statistically significant differences (at 0.05 level significance) are around 3.5% for NT or the ACT, 1.8</w:t>
      </w:r>
      <w:r w:rsidR="00C60360">
        <w:t>–</w:t>
      </w:r>
      <w:r w:rsidRPr="00E47F56">
        <w:t>2.5% for the other states.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93D5" w14:textId="159BBE07" w:rsidR="00A5102B" w:rsidRDefault="00A5102B" w:rsidP="003A0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3D7BB4"/>
    <w:multiLevelType w:val="multilevel"/>
    <w:tmpl w:val="2562710C"/>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ascii="Work Sans" w:hAnsi="Work Sans" w:hint="default"/>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E71B9C"/>
    <w:multiLevelType w:val="hybridMultilevel"/>
    <w:tmpl w:val="7110E312"/>
    <w:lvl w:ilvl="0" w:tplc="DB96A0AC">
      <w:start w:val="1"/>
      <w:numFmt w:val="bullet"/>
      <w:pStyle w:val="CGC2025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DA5540"/>
    <w:multiLevelType w:val="hybridMultilevel"/>
    <w:tmpl w:val="7FA09280"/>
    <w:lvl w:ilvl="0" w:tplc="ACEEDC5E">
      <w:start w:val="1"/>
      <w:numFmt w:val="lowerLetter"/>
      <w:lvlText w:val="(%1)"/>
      <w:lvlJc w:val="left"/>
      <w:pPr>
        <w:ind w:left="523" w:hanging="360"/>
      </w:pPr>
      <w:rPr>
        <w:rFonts w:hint="default"/>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abstractNum w:abstractNumId="5"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15:restartNumberingAfterBreak="0">
    <w:nsid w:val="2C8A637F"/>
    <w:multiLevelType w:val="hybridMultilevel"/>
    <w:tmpl w:val="E2F6ADC4"/>
    <w:lvl w:ilvl="0" w:tplc="BF2462A0">
      <w:start w:val="1"/>
      <w:numFmt w:val="decimal"/>
      <w:pStyle w:val="CGC2025Questionsnumbers2"/>
      <w:lvlText w:val="Q%1."/>
      <w:lvlJc w:val="left"/>
      <w:pPr>
        <w:ind w:left="720" w:hanging="360"/>
      </w:pPr>
      <w:rPr>
        <w:rFonts w:hint="default"/>
        <w:b w:val="0"/>
        <w:i w:val="0"/>
        <w:caps w:val="0"/>
        <w:strike w:val="0"/>
        <w:dstrike w:val="0"/>
        <w:vanish w:val="0"/>
        <w:color w:val="000000" w:themeColor="text1"/>
        <w:sz w:val="2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5A2F29"/>
    <w:multiLevelType w:val="hybridMultilevel"/>
    <w:tmpl w:val="AF086F92"/>
    <w:lvl w:ilvl="0" w:tplc="A61AAA14">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D03836"/>
    <w:multiLevelType w:val="hybridMultilevel"/>
    <w:tmpl w:val="52E0D34C"/>
    <w:lvl w:ilvl="0" w:tplc="FFFFFFFF">
      <w:start w:val="1"/>
      <w:numFmt w:val="decimal"/>
      <w:lvlText w:val="Q%1."/>
      <w:lvlJc w:val="left"/>
      <w:pPr>
        <w:ind w:left="720" w:hanging="360"/>
      </w:pPr>
      <w:rPr>
        <w:rFonts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E1E2A55"/>
    <w:multiLevelType w:val="multilevel"/>
    <w:tmpl w:val="4D285568"/>
    <w:lvl w:ilvl="0">
      <w:start w:val="1"/>
      <w:numFmt w:val="decimal"/>
      <w:pStyle w:val="CGC2025QuestionNumbers"/>
      <w:lvlText w:val="Q%1."/>
      <w:lvlJc w:val="left"/>
      <w:pPr>
        <w:ind w:left="454" w:hanging="454"/>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4E771AC"/>
    <w:multiLevelType w:val="hybridMultilevel"/>
    <w:tmpl w:val="F080E37C"/>
    <w:lvl w:ilvl="0" w:tplc="FFFFFFFF">
      <w:start w:val="1"/>
      <w:numFmt w:val="decimal"/>
      <w:lvlText w:val="Q%1."/>
      <w:lvlJc w:val="left"/>
      <w:pPr>
        <w:ind w:left="720" w:hanging="360"/>
      </w:pPr>
      <w:rPr>
        <w:rFonts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3"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4"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49357354">
    <w:abstractNumId w:val="5"/>
  </w:num>
  <w:num w:numId="2" w16cid:durableId="1003897054">
    <w:abstractNumId w:val="14"/>
  </w:num>
  <w:num w:numId="3" w16cid:durableId="1334529044">
    <w:abstractNumId w:val="3"/>
  </w:num>
  <w:num w:numId="4" w16cid:durableId="1514761234">
    <w:abstractNumId w:val="2"/>
  </w:num>
  <w:num w:numId="5" w16cid:durableId="920797300">
    <w:abstractNumId w:val="0"/>
  </w:num>
  <w:num w:numId="6" w16cid:durableId="1807814447">
    <w:abstractNumId w:val="12"/>
  </w:num>
  <w:num w:numId="7" w16cid:durableId="801770153">
    <w:abstractNumId w:val="7"/>
  </w:num>
  <w:num w:numId="8" w16cid:durableId="1737627722">
    <w:abstractNumId w:val="13"/>
  </w:num>
  <w:num w:numId="9" w16cid:durableId="176697617">
    <w:abstractNumId w:val="1"/>
  </w:num>
  <w:num w:numId="10" w16cid:durableId="1927374591">
    <w:abstractNumId w:val="7"/>
    <w:lvlOverride w:ilvl="0">
      <w:startOverride w:val="1"/>
    </w:lvlOverride>
  </w:num>
  <w:num w:numId="11" w16cid:durableId="1408111535">
    <w:abstractNumId w:val="9"/>
  </w:num>
  <w:num w:numId="12" w16cid:durableId="2080126907">
    <w:abstractNumId w:val="10"/>
  </w:num>
  <w:num w:numId="13" w16cid:durableId="58332428">
    <w:abstractNumId w:val="6"/>
  </w:num>
  <w:num w:numId="14" w16cid:durableId="16583416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01302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74708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3631244">
    <w:abstractNumId w:val="4"/>
  </w:num>
  <w:num w:numId="18" w16cid:durableId="866715478">
    <w:abstractNumId w:val="8"/>
  </w:num>
  <w:num w:numId="19" w16cid:durableId="540676369">
    <w:abstractNumId w:val="11"/>
  </w:num>
  <w:num w:numId="20" w16cid:durableId="1135757205">
    <w:abstractNumId w:val="3"/>
  </w:num>
  <w:num w:numId="21" w16cid:durableId="305087057">
    <w:abstractNumId w:val="3"/>
  </w:num>
  <w:num w:numId="22" w16cid:durableId="1208025408">
    <w:abstractNumId w:val="1"/>
  </w:num>
  <w:num w:numId="23" w16cid:durableId="907569474">
    <w:abstractNumId w:val="1"/>
  </w:num>
  <w:num w:numId="24" w16cid:durableId="447548970">
    <w:abstractNumId w:val="1"/>
  </w:num>
  <w:num w:numId="25" w16cid:durableId="1304847498">
    <w:abstractNumId w:val="1"/>
  </w:num>
  <w:num w:numId="26" w16cid:durableId="134016162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02B"/>
    <w:rsid w:val="00000AB2"/>
    <w:rsid w:val="00000C9F"/>
    <w:rsid w:val="00001078"/>
    <w:rsid w:val="000014F2"/>
    <w:rsid w:val="00001882"/>
    <w:rsid w:val="00001939"/>
    <w:rsid w:val="000019C0"/>
    <w:rsid w:val="00001CD2"/>
    <w:rsid w:val="00001D6F"/>
    <w:rsid w:val="00001DA2"/>
    <w:rsid w:val="00001E8B"/>
    <w:rsid w:val="00002144"/>
    <w:rsid w:val="00002298"/>
    <w:rsid w:val="00002356"/>
    <w:rsid w:val="000025E6"/>
    <w:rsid w:val="00002923"/>
    <w:rsid w:val="00002F86"/>
    <w:rsid w:val="000032B9"/>
    <w:rsid w:val="000036D8"/>
    <w:rsid w:val="000040C4"/>
    <w:rsid w:val="000042F1"/>
    <w:rsid w:val="000043F9"/>
    <w:rsid w:val="00004719"/>
    <w:rsid w:val="0000481D"/>
    <w:rsid w:val="0000485A"/>
    <w:rsid w:val="00004C67"/>
    <w:rsid w:val="00004D17"/>
    <w:rsid w:val="000053F8"/>
    <w:rsid w:val="00005EEE"/>
    <w:rsid w:val="0000618C"/>
    <w:rsid w:val="0000648D"/>
    <w:rsid w:val="000065A0"/>
    <w:rsid w:val="000068B1"/>
    <w:rsid w:val="00006C9A"/>
    <w:rsid w:val="00006E30"/>
    <w:rsid w:val="00006F3D"/>
    <w:rsid w:val="00006F6E"/>
    <w:rsid w:val="00007899"/>
    <w:rsid w:val="00007AB8"/>
    <w:rsid w:val="00007FD5"/>
    <w:rsid w:val="000105A1"/>
    <w:rsid w:val="00010711"/>
    <w:rsid w:val="00010B75"/>
    <w:rsid w:val="00010CEC"/>
    <w:rsid w:val="00010F5B"/>
    <w:rsid w:val="00011BB3"/>
    <w:rsid w:val="00011C73"/>
    <w:rsid w:val="00011D1A"/>
    <w:rsid w:val="00011DA8"/>
    <w:rsid w:val="00011F7D"/>
    <w:rsid w:val="000120A6"/>
    <w:rsid w:val="0001218F"/>
    <w:rsid w:val="00012AC0"/>
    <w:rsid w:val="00012B67"/>
    <w:rsid w:val="00012C74"/>
    <w:rsid w:val="00012F9B"/>
    <w:rsid w:val="00013B63"/>
    <w:rsid w:val="00013CAB"/>
    <w:rsid w:val="000140F3"/>
    <w:rsid w:val="000141E3"/>
    <w:rsid w:val="00014864"/>
    <w:rsid w:val="000148C5"/>
    <w:rsid w:val="0001491F"/>
    <w:rsid w:val="00014CB0"/>
    <w:rsid w:val="00014EA3"/>
    <w:rsid w:val="000150BF"/>
    <w:rsid w:val="00015283"/>
    <w:rsid w:val="00015500"/>
    <w:rsid w:val="000156B2"/>
    <w:rsid w:val="000156E5"/>
    <w:rsid w:val="00015818"/>
    <w:rsid w:val="00015A97"/>
    <w:rsid w:val="00015C57"/>
    <w:rsid w:val="00015D0B"/>
    <w:rsid w:val="000162E7"/>
    <w:rsid w:val="0001698B"/>
    <w:rsid w:val="00016C62"/>
    <w:rsid w:val="00016FE0"/>
    <w:rsid w:val="00016FE9"/>
    <w:rsid w:val="00017640"/>
    <w:rsid w:val="000176D7"/>
    <w:rsid w:val="0001770B"/>
    <w:rsid w:val="000178EF"/>
    <w:rsid w:val="00017A5E"/>
    <w:rsid w:val="00017C91"/>
    <w:rsid w:val="00017E5B"/>
    <w:rsid w:val="00017EB6"/>
    <w:rsid w:val="0002041C"/>
    <w:rsid w:val="000204C9"/>
    <w:rsid w:val="00020532"/>
    <w:rsid w:val="00020799"/>
    <w:rsid w:val="00020D21"/>
    <w:rsid w:val="00020D3C"/>
    <w:rsid w:val="00020EA3"/>
    <w:rsid w:val="00021727"/>
    <w:rsid w:val="000217D9"/>
    <w:rsid w:val="00021827"/>
    <w:rsid w:val="00021C7A"/>
    <w:rsid w:val="00021E88"/>
    <w:rsid w:val="00022C1B"/>
    <w:rsid w:val="00022CE0"/>
    <w:rsid w:val="00022EA9"/>
    <w:rsid w:val="00023068"/>
    <w:rsid w:val="00023137"/>
    <w:rsid w:val="00023ACE"/>
    <w:rsid w:val="00023B03"/>
    <w:rsid w:val="00023BDB"/>
    <w:rsid w:val="00024069"/>
    <w:rsid w:val="000246BA"/>
    <w:rsid w:val="000246EB"/>
    <w:rsid w:val="00024745"/>
    <w:rsid w:val="00024A4B"/>
    <w:rsid w:val="00024CD0"/>
    <w:rsid w:val="00024D5F"/>
    <w:rsid w:val="000251CC"/>
    <w:rsid w:val="00025242"/>
    <w:rsid w:val="000259E1"/>
    <w:rsid w:val="00025B1F"/>
    <w:rsid w:val="00025CB3"/>
    <w:rsid w:val="00025E94"/>
    <w:rsid w:val="00026547"/>
    <w:rsid w:val="000265A4"/>
    <w:rsid w:val="000266E7"/>
    <w:rsid w:val="00026896"/>
    <w:rsid w:val="000268E0"/>
    <w:rsid w:val="00026A1A"/>
    <w:rsid w:val="00026AD6"/>
    <w:rsid w:val="00026E43"/>
    <w:rsid w:val="00026E62"/>
    <w:rsid w:val="00026E7B"/>
    <w:rsid w:val="000273C6"/>
    <w:rsid w:val="000274F7"/>
    <w:rsid w:val="00027557"/>
    <w:rsid w:val="00027ABE"/>
    <w:rsid w:val="00027D41"/>
    <w:rsid w:val="00030205"/>
    <w:rsid w:val="00030222"/>
    <w:rsid w:val="00030516"/>
    <w:rsid w:val="00030595"/>
    <w:rsid w:val="00030629"/>
    <w:rsid w:val="00030E66"/>
    <w:rsid w:val="00031648"/>
    <w:rsid w:val="00031AAC"/>
    <w:rsid w:val="00031AFE"/>
    <w:rsid w:val="00031B76"/>
    <w:rsid w:val="00031CF4"/>
    <w:rsid w:val="00032318"/>
    <w:rsid w:val="00032500"/>
    <w:rsid w:val="00032544"/>
    <w:rsid w:val="000326F5"/>
    <w:rsid w:val="000327E8"/>
    <w:rsid w:val="000327F7"/>
    <w:rsid w:val="00032856"/>
    <w:rsid w:val="000328A8"/>
    <w:rsid w:val="00032F41"/>
    <w:rsid w:val="00033347"/>
    <w:rsid w:val="000335BE"/>
    <w:rsid w:val="000338C9"/>
    <w:rsid w:val="00033A71"/>
    <w:rsid w:val="00033C0D"/>
    <w:rsid w:val="00033D45"/>
    <w:rsid w:val="0003409C"/>
    <w:rsid w:val="000343F1"/>
    <w:rsid w:val="00034622"/>
    <w:rsid w:val="00034916"/>
    <w:rsid w:val="00034CAA"/>
    <w:rsid w:val="00034DBB"/>
    <w:rsid w:val="00034F08"/>
    <w:rsid w:val="00035462"/>
    <w:rsid w:val="000355D9"/>
    <w:rsid w:val="000356C2"/>
    <w:rsid w:val="00035FE5"/>
    <w:rsid w:val="000363C5"/>
    <w:rsid w:val="000364E9"/>
    <w:rsid w:val="00036C51"/>
    <w:rsid w:val="00036F1C"/>
    <w:rsid w:val="000370C8"/>
    <w:rsid w:val="000372BA"/>
    <w:rsid w:val="00037A07"/>
    <w:rsid w:val="00037A9B"/>
    <w:rsid w:val="00037D0F"/>
    <w:rsid w:val="00040135"/>
    <w:rsid w:val="00040571"/>
    <w:rsid w:val="00040601"/>
    <w:rsid w:val="00040915"/>
    <w:rsid w:val="000409AC"/>
    <w:rsid w:val="00040CCA"/>
    <w:rsid w:val="00040D48"/>
    <w:rsid w:val="000410C8"/>
    <w:rsid w:val="0004123E"/>
    <w:rsid w:val="00041299"/>
    <w:rsid w:val="00041748"/>
    <w:rsid w:val="00041E1B"/>
    <w:rsid w:val="00041E84"/>
    <w:rsid w:val="000424EA"/>
    <w:rsid w:val="0004258C"/>
    <w:rsid w:val="000431D8"/>
    <w:rsid w:val="00043B5D"/>
    <w:rsid w:val="00043CFE"/>
    <w:rsid w:val="000440ED"/>
    <w:rsid w:val="000442AA"/>
    <w:rsid w:val="00044479"/>
    <w:rsid w:val="0004456B"/>
    <w:rsid w:val="00044FEF"/>
    <w:rsid w:val="000450EB"/>
    <w:rsid w:val="000451DA"/>
    <w:rsid w:val="0004569D"/>
    <w:rsid w:val="00045C11"/>
    <w:rsid w:val="00045F82"/>
    <w:rsid w:val="00045FD0"/>
    <w:rsid w:val="00046397"/>
    <w:rsid w:val="000465BD"/>
    <w:rsid w:val="00046859"/>
    <w:rsid w:val="00046B06"/>
    <w:rsid w:val="000470A2"/>
    <w:rsid w:val="00047690"/>
    <w:rsid w:val="00047856"/>
    <w:rsid w:val="00047951"/>
    <w:rsid w:val="00047AB0"/>
    <w:rsid w:val="00047DF1"/>
    <w:rsid w:val="00047E5A"/>
    <w:rsid w:val="0005017B"/>
    <w:rsid w:val="00050643"/>
    <w:rsid w:val="000508D3"/>
    <w:rsid w:val="00050AC6"/>
    <w:rsid w:val="00051114"/>
    <w:rsid w:val="0005186E"/>
    <w:rsid w:val="000519FC"/>
    <w:rsid w:val="00051AA9"/>
    <w:rsid w:val="00051B92"/>
    <w:rsid w:val="00051F3C"/>
    <w:rsid w:val="000525F5"/>
    <w:rsid w:val="00052750"/>
    <w:rsid w:val="00052A15"/>
    <w:rsid w:val="00052DA0"/>
    <w:rsid w:val="00053480"/>
    <w:rsid w:val="00053512"/>
    <w:rsid w:val="00053581"/>
    <w:rsid w:val="0005377C"/>
    <w:rsid w:val="0005381C"/>
    <w:rsid w:val="000539FC"/>
    <w:rsid w:val="00053C36"/>
    <w:rsid w:val="00053F80"/>
    <w:rsid w:val="000540CC"/>
    <w:rsid w:val="0005410D"/>
    <w:rsid w:val="00054309"/>
    <w:rsid w:val="00054311"/>
    <w:rsid w:val="0005450F"/>
    <w:rsid w:val="0005451C"/>
    <w:rsid w:val="000554BF"/>
    <w:rsid w:val="000555DB"/>
    <w:rsid w:val="00055A2D"/>
    <w:rsid w:val="00056371"/>
    <w:rsid w:val="00056373"/>
    <w:rsid w:val="000569C7"/>
    <w:rsid w:val="000569CD"/>
    <w:rsid w:val="00056E89"/>
    <w:rsid w:val="00057762"/>
    <w:rsid w:val="00057AED"/>
    <w:rsid w:val="00057D13"/>
    <w:rsid w:val="000604C7"/>
    <w:rsid w:val="0006050F"/>
    <w:rsid w:val="000607C2"/>
    <w:rsid w:val="00060A59"/>
    <w:rsid w:val="00060CA5"/>
    <w:rsid w:val="0006104A"/>
    <w:rsid w:val="00061111"/>
    <w:rsid w:val="00061233"/>
    <w:rsid w:val="00061535"/>
    <w:rsid w:val="0006177C"/>
    <w:rsid w:val="00061933"/>
    <w:rsid w:val="00061993"/>
    <w:rsid w:val="00061B8C"/>
    <w:rsid w:val="00062330"/>
    <w:rsid w:val="000624BB"/>
    <w:rsid w:val="000629A5"/>
    <w:rsid w:val="00062C57"/>
    <w:rsid w:val="00062D47"/>
    <w:rsid w:val="00062EE9"/>
    <w:rsid w:val="00062F28"/>
    <w:rsid w:val="000633E8"/>
    <w:rsid w:val="00063437"/>
    <w:rsid w:val="0006366E"/>
    <w:rsid w:val="000641EB"/>
    <w:rsid w:val="00064557"/>
    <w:rsid w:val="00064890"/>
    <w:rsid w:val="000648E8"/>
    <w:rsid w:val="00064CE5"/>
    <w:rsid w:val="0006519E"/>
    <w:rsid w:val="000651D2"/>
    <w:rsid w:val="00065260"/>
    <w:rsid w:val="000653F5"/>
    <w:rsid w:val="000656EC"/>
    <w:rsid w:val="000657A7"/>
    <w:rsid w:val="00065BF3"/>
    <w:rsid w:val="000665AB"/>
    <w:rsid w:val="00066C63"/>
    <w:rsid w:val="00066D82"/>
    <w:rsid w:val="00066E63"/>
    <w:rsid w:val="00066F8C"/>
    <w:rsid w:val="00066FC9"/>
    <w:rsid w:val="000677CF"/>
    <w:rsid w:val="000679BC"/>
    <w:rsid w:val="0007022C"/>
    <w:rsid w:val="000702C3"/>
    <w:rsid w:val="00070B45"/>
    <w:rsid w:val="00070BFC"/>
    <w:rsid w:val="00070EA5"/>
    <w:rsid w:val="0007102B"/>
    <w:rsid w:val="0007176E"/>
    <w:rsid w:val="0007185D"/>
    <w:rsid w:val="00071EF7"/>
    <w:rsid w:val="00071F1E"/>
    <w:rsid w:val="00072373"/>
    <w:rsid w:val="00072CBE"/>
    <w:rsid w:val="0007310A"/>
    <w:rsid w:val="000731C2"/>
    <w:rsid w:val="000731C5"/>
    <w:rsid w:val="000731EE"/>
    <w:rsid w:val="0007335C"/>
    <w:rsid w:val="000733D6"/>
    <w:rsid w:val="0007360C"/>
    <w:rsid w:val="00073661"/>
    <w:rsid w:val="000738EB"/>
    <w:rsid w:val="00073944"/>
    <w:rsid w:val="00073BF5"/>
    <w:rsid w:val="00073D9D"/>
    <w:rsid w:val="00073E21"/>
    <w:rsid w:val="00073E7B"/>
    <w:rsid w:val="00073E85"/>
    <w:rsid w:val="00073E92"/>
    <w:rsid w:val="00074D21"/>
    <w:rsid w:val="00074F64"/>
    <w:rsid w:val="00075051"/>
    <w:rsid w:val="00075223"/>
    <w:rsid w:val="00075543"/>
    <w:rsid w:val="00075593"/>
    <w:rsid w:val="000755EE"/>
    <w:rsid w:val="0007582F"/>
    <w:rsid w:val="00076434"/>
    <w:rsid w:val="00076DA5"/>
    <w:rsid w:val="00077095"/>
    <w:rsid w:val="000772B1"/>
    <w:rsid w:val="000773FA"/>
    <w:rsid w:val="000779DC"/>
    <w:rsid w:val="00077AAF"/>
    <w:rsid w:val="00077ADE"/>
    <w:rsid w:val="00080439"/>
    <w:rsid w:val="00080895"/>
    <w:rsid w:val="00080D15"/>
    <w:rsid w:val="000812ED"/>
    <w:rsid w:val="00081636"/>
    <w:rsid w:val="00081664"/>
    <w:rsid w:val="00081696"/>
    <w:rsid w:val="000816E0"/>
    <w:rsid w:val="00081905"/>
    <w:rsid w:val="000819A8"/>
    <w:rsid w:val="00081E45"/>
    <w:rsid w:val="00081F57"/>
    <w:rsid w:val="00081FAD"/>
    <w:rsid w:val="0008208B"/>
    <w:rsid w:val="00082090"/>
    <w:rsid w:val="00082971"/>
    <w:rsid w:val="00082DEF"/>
    <w:rsid w:val="00083022"/>
    <w:rsid w:val="000836F6"/>
    <w:rsid w:val="00083837"/>
    <w:rsid w:val="00083842"/>
    <w:rsid w:val="00083B06"/>
    <w:rsid w:val="000840C3"/>
    <w:rsid w:val="00084105"/>
    <w:rsid w:val="00084494"/>
    <w:rsid w:val="0008456B"/>
    <w:rsid w:val="000847BF"/>
    <w:rsid w:val="00084D76"/>
    <w:rsid w:val="00084EE0"/>
    <w:rsid w:val="00085091"/>
    <w:rsid w:val="000855F4"/>
    <w:rsid w:val="00085729"/>
    <w:rsid w:val="00085D0E"/>
    <w:rsid w:val="00085D88"/>
    <w:rsid w:val="00085EA1"/>
    <w:rsid w:val="00086045"/>
    <w:rsid w:val="00086163"/>
    <w:rsid w:val="000861D9"/>
    <w:rsid w:val="0008672C"/>
    <w:rsid w:val="0008677E"/>
    <w:rsid w:val="000867DC"/>
    <w:rsid w:val="000869E1"/>
    <w:rsid w:val="000869F6"/>
    <w:rsid w:val="00086A5C"/>
    <w:rsid w:val="00086B04"/>
    <w:rsid w:val="00086C42"/>
    <w:rsid w:val="00086E69"/>
    <w:rsid w:val="00086EBC"/>
    <w:rsid w:val="000871E0"/>
    <w:rsid w:val="0008779D"/>
    <w:rsid w:val="00087F7D"/>
    <w:rsid w:val="00087FC4"/>
    <w:rsid w:val="00090362"/>
    <w:rsid w:val="00090CB3"/>
    <w:rsid w:val="00090DBA"/>
    <w:rsid w:val="000910DA"/>
    <w:rsid w:val="00091A89"/>
    <w:rsid w:val="00091AD2"/>
    <w:rsid w:val="00091C4F"/>
    <w:rsid w:val="00091D6E"/>
    <w:rsid w:val="00091E28"/>
    <w:rsid w:val="000928AF"/>
    <w:rsid w:val="0009291B"/>
    <w:rsid w:val="00092DA4"/>
    <w:rsid w:val="00093188"/>
    <w:rsid w:val="00093603"/>
    <w:rsid w:val="00093796"/>
    <w:rsid w:val="00093910"/>
    <w:rsid w:val="000939CA"/>
    <w:rsid w:val="00094010"/>
    <w:rsid w:val="000943A8"/>
    <w:rsid w:val="00094531"/>
    <w:rsid w:val="00094676"/>
    <w:rsid w:val="00094F26"/>
    <w:rsid w:val="0009502C"/>
    <w:rsid w:val="000950A8"/>
    <w:rsid w:val="00095178"/>
    <w:rsid w:val="0009567D"/>
    <w:rsid w:val="0009569E"/>
    <w:rsid w:val="00095EA3"/>
    <w:rsid w:val="0009650F"/>
    <w:rsid w:val="00096616"/>
    <w:rsid w:val="00096896"/>
    <w:rsid w:val="00096A17"/>
    <w:rsid w:val="00096C06"/>
    <w:rsid w:val="00096C31"/>
    <w:rsid w:val="00096E12"/>
    <w:rsid w:val="00096E4E"/>
    <w:rsid w:val="000970BA"/>
    <w:rsid w:val="00097192"/>
    <w:rsid w:val="00097626"/>
    <w:rsid w:val="00097790"/>
    <w:rsid w:val="00097CF0"/>
    <w:rsid w:val="00097D78"/>
    <w:rsid w:val="00097D86"/>
    <w:rsid w:val="00097DAA"/>
    <w:rsid w:val="00097F09"/>
    <w:rsid w:val="000A011D"/>
    <w:rsid w:val="000A07C9"/>
    <w:rsid w:val="000A09ED"/>
    <w:rsid w:val="000A0C33"/>
    <w:rsid w:val="000A0C36"/>
    <w:rsid w:val="000A0D9F"/>
    <w:rsid w:val="000A17C5"/>
    <w:rsid w:val="000A17F1"/>
    <w:rsid w:val="000A1B09"/>
    <w:rsid w:val="000A1CEE"/>
    <w:rsid w:val="000A1DED"/>
    <w:rsid w:val="000A2395"/>
    <w:rsid w:val="000A288D"/>
    <w:rsid w:val="000A2CD4"/>
    <w:rsid w:val="000A2E24"/>
    <w:rsid w:val="000A3048"/>
    <w:rsid w:val="000A3130"/>
    <w:rsid w:val="000A336C"/>
    <w:rsid w:val="000A346F"/>
    <w:rsid w:val="000A3898"/>
    <w:rsid w:val="000A3C2F"/>
    <w:rsid w:val="000A40EF"/>
    <w:rsid w:val="000A44DA"/>
    <w:rsid w:val="000A487A"/>
    <w:rsid w:val="000A4BF2"/>
    <w:rsid w:val="000A4F99"/>
    <w:rsid w:val="000A52A1"/>
    <w:rsid w:val="000A5824"/>
    <w:rsid w:val="000A5BAD"/>
    <w:rsid w:val="000A5D34"/>
    <w:rsid w:val="000A5DB9"/>
    <w:rsid w:val="000A633D"/>
    <w:rsid w:val="000A6389"/>
    <w:rsid w:val="000A6392"/>
    <w:rsid w:val="000A646A"/>
    <w:rsid w:val="000A6922"/>
    <w:rsid w:val="000A74C3"/>
    <w:rsid w:val="000A756F"/>
    <w:rsid w:val="000A7AA9"/>
    <w:rsid w:val="000A7C5E"/>
    <w:rsid w:val="000A7E55"/>
    <w:rsid w:val="000A7E96"/>
    <w:rsid w:val="000A7F20"/>
    <w:rsid w:val="000B03B3"/>
    <w:rsid w:val="000B08F0"/>
    <w:rsid w:val="000B0A33"/>
    <w:rsid w:val="000B0D24"/>
    <w:rsid w:val="000B0DE2"/>
    <w:rsid w:val="000B11A0"/>
    <w:rsid w:val="000B13A4"/>
    <w:rsid w:val="000B16CB"/>
    <w:rsid w:val="000B1905"/>
    <w:rsid w:val="000B2042"/>
    <w:rsid w:val="000B2490"/>
    <w:rsid w:val="000B286B"/>
    <w:rsid w:val="000B2942"/>
    <w:rsid w:val="000B2944"/>
    <w:rsid w:val="000B2AF2"/>
    <w:rsid w:val="000B2CFB"/>
    <w:rsid w:val="000B2DCD"/>
    <w:rsid w:val="000B2E2A"/>
    <w:rsid w:val="000B2F0F"/>
    <w:rsid w:val="000B3097"/>
    <w:rsid w:val="000B3557"/>
    <w:rsid w:val="000B3623"/>
    <w:rsid w:val="000B3BB2"/>
    <w:rsid w:val="000B3DC4"/>
    <w:rsid w:val="000B3DFA"/>
    <w:rsid w:val="000B3F0A"/>
    <w:rsid w:val="000B3F3E"/>
    <w:rsid w:val="000B4179"/>
    <w:rsid w:val="000B442C"/>
    <w:rsid w:val="000B4935"/>
    <w:rsid w:val="000B4E8E"/>
    <w:rsid w:val="000B5042"/>
    <w:rsid w:val="000B5227"/>
    <w:rsid w:val="000B53C0"/>
    <w:rsid w:val="000B53FD"/>
    <w:rsid w:val="000B56FE"/>
    <w:rsid w:val="000B5744"/>
    <w:rsid w:val="000B5B36"/>
    <w:rsid w:val="000B5C2F"/>
    <w:rsid w:val="000B61DE"/>
    <w:rsid w:val="000B64E3"/>
    <w:rsid w:val="000B689B"/>
    <w:rsid w:val="000B69D4"/>
    <w:rsid w:val="000B73C6"/>
    <w:rsid w:val="000B7685"/>
    <w:rsid w:val="000B7CB8"/>
    <w:rsid w:val="000B7DC3"/>
    <w:rsid w:val="000B7F93"/>
    <w:rsid w:val="000C0428"/>
    <w:rsid w:val="000C06A4"/>
    <w:rsid w:val="000C073F"/>
    <w:rsid w:val="000C0AC8"/>
    <w:rsid w:val="000C0BBD"/>
    <w:rsid w:val="000C0F3A"/>
    <w:rsid w:val="000C0FAC"/>
    <w:rsid w:val="000C1231"/>
    <w:rsid w:val="000C1575"/>
    <w:rsid w:val="000C18B9"/>
    <w:rsid w:val="000C1F18"/>
    <w:rsid w:val="000C249D"/>
    <w:rsid w:val="000C28E3"/>
    <w:rsid w:val="000C2987"/>
    <w:rsid w:val="000C2EA9"/>
    <w:rsid w:val="000C32BB"/>
    <w:rsid w:val="000C354C"/>
    <w:rsid w:val="000C3927"/>
    <w:rsid w:val="000C3B22"/>
    <w:rsid w:val="000C4063"/>
    <w:rsid w:val="000C4903"/>
    <w:rsid w:val="000C4BB7"/>
    <w:rsid w:val="000C4DFC"/>
    <w:rsid w:val="000C50B3"/>
    <w:rsid w:val="000C5134"/>
    <w:rsid w:val="000C53E9"/>
    <w:rsid w:val="000C5486"/>
    <w:rsid w:val="000C604F"/>
    <w:rsid w:val="000C667F"/>
    <w:rsid w:val="000C6936"/>
    <w:rsid w:val="000C6E9F"/>
    <w:rsid w:val="000C76F8"/>
    <w:rsid w:val="000C776D"/>
    <w:rsid w:val="000C782D"/>
    <w:rsid w:val="000C7927"/>
    <w:rsid w:val="000C7AE7"/>
    <w:rsid w:val="000C7F62"/>
    <w:rsid w:val="000D01AA"/>
    <w:rsid w:val="000D0A89"/>
    <w:rsid w:val="000D0ACF"/>
    <w:rsid w:val="000D0B77"/>
    <w:rsid w:val="000D0BB6"/>
    <w:rsid w:val="000D0C8D"/>
    <w:rsid w:val="000D1354"/>
    <w:rsid w:val="000D149C"/>
    <w:rsid w:val="000D194D"/>
    <w:rsid w:val="000D1CE3"/>
    <w:rsid w:val="000D1DEA"/>
    <w:rsid w:val="000D1EA8"/>
    <w:rsid w:val="000D2088"/>
    <w:rsid w:val="000D224A"/>
    <w:rsid w:val="000D2311"/>
    <w:rsid w:val="000D27F5"/>
    <w:rsid w:val="000D2879"/>
    <w:rsid w:val="000D2A5E"/>
    <w:rsid w:val="000D2D5C"/>
    <w:rsid w:val="000D31D5"/>
    <w:rsid w:val="000D3378"/>
    <w:rsid w:val="000D3531"/>
    <w:rsid w:val="000D355C"/>
    <w:rsid w:val="000D3655"/>
    <w:rsid w:val="000D366D"/>
    <w:rsid w:val="000D375A"/>
    <w:rsid w:val="000D37C2"/>
    <w:rsid w:val="000D3996"/>
    <w:rsid w:val="000D3BB8"/>
    <w:rsid w:val="000D3BC1"/>
    <w:rsid w:val="000D3CC1"/>
    <w:rsid w:val="000D4063"/>
    <w:rsid w:val="000D4101"/>
    <w:rsid w:val="000D41CA"/>
    <w:rsid w:val="000D4342"/>
    <w:rsid w:val="000D43B8"/>
    <w:rsid w:val="000D4457"/>
    <w:rsid w:val="000D48FF"/>
    <w:rsid w:val="000D533D"/>
    <w:rsid w:val="000D535B"/>
    <w:rsid w:val="000D5667"/>
    <w:rsid w:val="000D571F"/>
    <w:rsid w:val="000D57A8"/>
    <w:rsid w:val="000D5C58"/>
    <w:rsid w:val="000D65F5"/>
    <w:rsid w:val="000D6C93"/>
    <w:rsid w:val="000D7072"/>
    <w:rsid w:val="000D70AE"/>
    <w:rsid w:val="000D70D7"/>
    <w:rsid w:val="000D763B"/>
    <w:rsid w:val="000D772C"/>
    <w:rsid w:val="000D7C54"/>
    <w:rsid w:val="000D7E36"/>
    <w:rsid w:val="000E0210"/>
    <w:rsid w:val="000E0872"/>
    <w:rsid w:val="000E0E3F"/>
    <w:rsid w:val="000E1007"/>
    <w:rsid w:val="000E1757"/>
    <w:rsid w:val="000E1767"/>
    <w:rsid w:val="000E17A7"/>
    <w:rsid w:val="000E1940"/>
    <w:rsid w:val="000E1979"/>
    <w:rsid w:val="000E1A53"/>
    <w:rsid w:val="000E1B78"/>
    <w:rsid w:val="000E20EE"/>
    <w:rsid w:val="000E26C1"/>
    <w:rsid w:val="000E3109"/>
    <w:rsid w:val="000E311B"/>
    <w:rsid w:val="000E3592"/>
    <w:rsid w:val="000E35A0"/>
    <w:rsid w:val="000E3868"/>
    <w:rsid w:val="000E38BA"/>
    <w:rsid w:val="000E3BE1"/>
    <w:rsid w:val="000E3BF6"/>
    <w:rsid w:val="000E3C57"/>
    <w:rsid w:val="000E3D68"/>
    <w:rsid w:val="000E3E15"/>
    <w:rsid w:val="000E41D5"/>
    <w:rsid w:val="000E423E"/>
    <w:rsid w:val="000E4266"/>
    <w:rsid w:val="000E4411"/>
    <w:rsid w:val="000E47B0"/>
    <w:rsid w:val="000E4EBC"/>
    <w:rsid w:val="000E4FF4"/>
    <w:rsid w:val="000E5031"/>
    <w:rsid w:val="000E53FF"/>
    <w:rsid w:val="000E5404"/>
    <w:rsid w:val="000E59DE"/>
    <w:rsid w:val="000E5C21"/>
    <w:rsid w:val="000E6391"/>
    <w:rsid w:val="000E63B0"/>
    <w:rsid w:val="000E6774"/>
    <w:rsid w:val="000E6AA5"/>
    <w:rsid w:val="000E7041"/>
    <w:rsid w:val="000E798E"/>
    <w:rsid w:val="000E7A1F"/>
    <w:rsid w:val="000E7BAB"/>
    <w:rsid w:val="000E7F56"/>
    <w:rsid w:val="000F0269"/>
    <w:rsid w:val="000F0293"/>
    <w:rsid w:val="000F03DA"/>
    <w:rsid w:val="000F0674"/>
    <w:rsid w:val="000F0879"/>
    <w:rsid w:val="000F0AC1"/>
    <w:rsid w:val="000F0B55"/>
    <w:rsid w:val="000F143B"/>
    <w:rsid w:val="000F156A"/>
    <w:rsid w:val="000F1981"/>
    <w:rsid w:val="000F19C5"/>
    <w:rsid w:val="000F1CDA"/>
    <w:rsid w:val="000F1EE5"/>
    <w:rsid w:val="000F232B"/>
    <w:rsid w:val="000F234F"/>
    <w:rsid w:val="000F28B5"/>
    <w:rsid w:val="000F29FF"/>
    <w:rsid w:val="000F2F0E"/>
    <w:rsid w:val="000F2F8D"/>
    <w:rsid w:val="000F3314"/>
    <w:rsid w:val="000F3632"/>
    <w:rsid w:val="000F38A4"/>
    <w:rsid w:val="000F3CBF"/>
    <w:rsid w:val="000F414B"/>
    <w:rsid w:val="000F43F7"/>
    <w:rsid w:val="000F44AD"/>
    <w:rsid w:val="000F458A"/>
    <w:rsid w:val="000F4AAC"/>
    <w:rsid w:val="000F58BC"/>
    <w:rsid w:val="000F594C"/>
    <w:rsid w:val="000F5E36"/>
    <w:rsid w:val="000F5F7F"/>
    <w:rsid w:val="000F649F"/>
    <w:rsid w:val="000F6700"/>
    <w:rsid w:val="000F6C18"/>
    <w:rsid w:val="000F7631"/>
    <w:rsid w:val="000F7694"/>
    <w:rsid w:val="000F7787"/>
    <w:rsid w:val="000F7F5B"/>
    <w:rsid w:val="000F7FAA"/>
    <w:rsid w:val="00100281"/>
    <w:rsid w:val="001002D2"/>
    <w:rsid w:val="00100409"/>
    <w:rsid w:val="00100583"/>
    <w:rsid w:val="0010076D"/>
    <w:rsid w:val="00100E6F"/>
    <w:rsid w:val="001013EE"/>
    <w:rsid w:val="0010173F"/>
    <w:rsid w:val="001017E3"/>
    <w:rsid w:val="00101C90"/>
    <w:rsid w:val="00101F87"/>
    <w:rsid w:val="00102135"/>
    <w:rsid w:val="001021AD"/>
    <w:rsid w:val="001021D7"/>
    <w:rsid w:val="00102741"/>
    <w:rsid w:val="00102AFD"/>
    <w:rsid w:val="00102B29"/>
    <w:rsid w:val="00102BE0"/>
    <w:rsid w:val="00102F76"/>
    <w:rsid w:val="00102FEB"/>
    <w:rsid w:val="00103260"/>
    <w:rsid w:val="00103339"/>
    <w:rsid w:val="001033A9"/>
    <w:rsid w:val="001034E3"/>
    <w:rsid w:val="001039C2"/>
    <w:rsid w:val="00103B00"/>
    <w:rsid w:val="00103C7F"/>
    <w:rsid w:val="00103CBC"/>
    <w:rsid w:val="00103DFF"/>
    <w:rsid w:val="00103F1C"/>
    <w:rsid w:val="001040AD"/>
    <w:rsid w:val="0010422B"/>
    <w:rsid w:val="00104960"/>
    <w:rsid w:val="00104EDD"/>
    <w:rsid w:val="001053D9"/>
    <w:rsid w:val="00105515"/>
    <w:rsid w:val="0010567A"/>
    <w:rsid w:val="00105A17"/>
    <w:rsid w:val="00105C56"/>
    <w:rsid w:val="001060B0"/>
    <w:rsid w:val="001064A4"/>
    <w:rsid w:val="00106826"/>
    <w:rsid w:val="00106B78"/>
    <w:rsid w:val="00106CB2"/>
    <w:rsid w:val="00106CEE"/>
    <w:rsid w:val="0010739F"/>
    <w:rsid w:val="00107B24"/>
    <w:rsid w:val="00107B43"/>
    <w:rsid w:val="00107E52"/>
    <w:rsid w:val="001103B6"/>
    <w:rsid w:val="00110417"/>
    <w:rsid w:val="001107F1"/>
    <w:rsid w:val="00110996"/>
    <w:rsid w:val="00110A29"/>
    <w:rsid w:val="00110DC5"/>
    <w:rsid w:val="00110F99"/>
    <w:rsid w:val="0011178C"/>
    <w:rsid w:val="00111AA6"/>
    <w:rsid w:val="00111ABA"/>
    <w:rsid w:val="00111AE7"/>
    <w:rsid w:val="00111EC2"/>
    <w:rsid w:val="001120B0"/>
    <w:rsid w:val="001121D0"/>
    <w:rsid w:val="0011243C"/>
    <w:rsid w:val="001125AB"/>
    <w:rsid w:val="001125E7"/>
    <w:rsid w:val="00112988"/>
    <w:rsid w:val="00112A57"/>
    <w:rsid w:val="00112CF0"/>
    <w:rsid w:val="00112E1E"/>
    <w:rsid w:val="00113121"/>
    <w:rsid w:val="001136C6"/>
    <w:rsid w:val="0011408D"/>
    <w:rsid w:val="0011428D"/>
    <w:rsid w:val="00114A5A"/>
    <w:rsid w:val="00114D9B"/>
    <w:rsid w:val="00114DA1"/>
    <w:rsid w:val="00114EA0"/>
    <w:rsid w:val="00114F65"/>
    <w:rsid w:val="0011503B"/>
    <w:rsid w:val="00115672"/>
    <w:rsid w:val="001157AB"/>
    <w:rsid w:val="0011585E"/>
    <w:rsid w:val="00115ADE"/>
    <w:rsid w:val="00115C9E"/>
    <w:rsid w:val="00115F98"/>
    <w:rsid w:val="00116062"/>
    <w:rsid w:val="00116574"/>
    <w:rsid w:val="00116702"/>
    <w:rsid w:val="0011699D"/>
    <w:rsid w:val="00116C48"/>
    <w:rsid w:val="00116D3E"/>
    <w:rsid w:val="00116E5A"/>
    <w:rsid w:val="00116EE4"/>
    <w:rsid w:val="0011729F"/>
    <w:rsid w:val="001172BD"/>
    <w:rsid w:val="001178E4"/>
    <w:rsid w:val="00117AA2"/>
    <w:rsid w:val="00117CFD"/>
    <w:rsid w:val="0012020C"/>
    <w:rsid w:val="00120A41"/>
    <w:rsid w:val="00120B1E"/>
    <w:rsid w:val="00121140"/>
    <w:rsid w:val="001211A6"/>
    <w:rsid w:val="001211AB"/>
    <w:rsid w:val="001214BE"/>
    <w:rsid w:val="001218B8"/>
    <w:rsid w:val="00121A72"/>
    <w:rsid w:val="00121B5F"/>
    <w:rsid w:val="00121E95"/>
    <w:rsid w:val="00121F79"/>
    <w:rsid w:val="001220B7"/>
    <w:rsid w:val="00122397"/>
    <w:rsid w:val="00122457"/>
    <w:rsid w:val="00122774"/>
    <w:rsid w:val="00123325"/>
    <w:rsid w:val="00123577"/>
    <w:rsid w:val="00123BC6"/>
    <w:rsid w:val="00123DA3"/>
    <w:rsid w:val="00124181"/>
    <w:rsid w:val="00124730"/>
    <w:rsid w:val="00124826"/>
    <w:rsid w:val="00124B73"/>
    <w:rsid w:val="00124ED1"/>
    <w:rsid w:val="0012542D"/>
    <w:rsid w:val="0012561A"/>
    <w:rsid w:val="00125806"/>
    <w:rsid w:val="001258EF"/>
    <w:rsid w:val="00125B33"/>
    <w:rsid w:val="001260B6"/>
    <w:rsid w:val="001260E3"/>
    <w:rsid w:val="00126201"/>
    <w:rsid w:val="001266EE"/>
    <w:rsid w:val="0012696A"/>
    <w:rsid w:val="00126AD1"/>
    <w:rsid w:val="00126FB4"/>
    <w:rsid w:val="001272E6"/>
    <w:rsid w:val="00127687"/>
    <w:rsid w:val="001277C7"/>
    <w:rsid w:val="00127C8B"/>
    <w:rsid w:val="00127E95"/>
    <w:rsid w:val="00130303"/>
    <w:rsid w:val="001307A8"/>
    <w:rsid w:val="00130DCA"/>
    <w:rsid w:val="001312CB"/>
    <w:rsid w:val="00131A80"/>
    <w:rsid w:val="00131BAD"/>
    <w:rsid w:val="00131D5F"/>
    <w:rsid w:val="001322D2"/>
    <w:rsid w:val="00132503"/>
    <w:rsid w:val="00132E0B"/>
    <w:rsid w:val="001333F9"/>
    <w:rsid w:val="00133C81"/>
    <w:rsid w:val="00133F08"/>
    <w:rsid w:val="00134146"/>
    <w:rsid w:val="00134222"/>
    <w:rsid w:val="001346A2"/>
    <w:rsid w:val="0013474C"/>
    <w:rsid w:val="001347D3"/>
    <w:rsid w:val="00134847"/>
    <w:rsid w:val="0013497E"/>
    <w:rsid w:val="00134FA3"/>
    <w:rsid w:val="00135080"/>
    <w:rsid w:val="001351C6"/>
    <w:rsid w:val="001356C7"/>
    <w:rsid w:val="0013601E"/>
    <w:rsid w:val="0013623B"/>
    <w:rsid w:val="00136497"/>
    <w:rsid w:val="001369BF"/>
    <w:rsid w:val="00136BD3"/>
    <w:rsid w:val="00136F29"/>
    <w:rsid w:val="00136F6F"/>
    <w:rsid w:val="0013777B"/>
    <w:rsid w:val="00137D90"/>
    <w:rsid w:val="00140D09"/>
    <w:rsid w:val="001414E0"/>
    <w:rsid w:val="00141BD1"/>
    <w:rsid w:val="0014223F"/>
    <w:rsid w:val="0014237A"/>
    <w:rsid w:val="001423B0"/>
    <w:rsid w:val="00142B21"/>
    <w:rsid w:val="00142B86"/>
    <w:rsid w:val="00142BFE"/>
    <w:rsid w:val="00143228"/>
    <w:rsid w:val="001438E0"/>
    <w:rsid w:val="00143B25"/>
    <w:rsid w:val="00143D52"/>
    <w:rsid w:val="00143F85"/>
    <w:rsid w:val="001441DA"/>
    <w:rsid w:val="00144A22"/>
    <w:rsid w:val="00144C8A"/>
    <w:rsid w:val="001452E3"/>
    <w:rsid w:val="00145305"/>
    <w:rsid w:val="001455CC"/>
    <w:rsid w:val="00145604"/>
    <w:rsid w:val="0014616B"/>
    <w:rsid w:val="001468F4"/>
    <w:rsid w:val="00146943"/>
    <w:rsid w:val="00147003"/>
    <w:rsid w:val="00147115"/>
    <w:rsid w:val="001471DD"/>
    <w:rsid w:val="0014740D"/>
    <w:rsid w:val="00147461"/>
    <w:rsid w:val="001477CE"/>
    <w:rsid w:val="0014784F"/>
    <w:rsid w:val="001478AD"/>
    <w:rsid w:val="00147BB0"/>
    <w:rsid w:val="00147BCC"/>
    <w:rsid w:val="00147F4D"/>
    <w:rsid w:val="0015040C"/>
    <w:rsid w:val="00150B89"/>
    <w:rsid w:val="00150C35"/>
    <w:rsid w:val="00150ECB"/>
    <w:rsid w:val="00151316"/>
    <w:rsid w:val="00151504"/>
    <w:rsid w:val="0015167D"/>
    <w:rsid w:val="001517E0"/>
    <w:rsid w:val="001519C7"/>
    <w:rsid w:val="00151DFB"/>
    <w:rsid w:val="00152123"/>
    <w:rsid w:val="0015233A"/>
    <w:rsid w:val="00152611"/>
    <w:rsid w:val="00152807"/>
    <w:rsid w:val="00152808"/>
    <w:rsid w:val="00152BE0"/>
    <w:rsid w:val="00152C3D"/>
    <w:rsid w:val="00152ED6"/>
    <w:rsid w:val="00152ED7"/>
    <w:rsid w:val="00152FED"/>
    <w:rsid w:val="00153AA7"/>
    <w:rsid w:val="00153CA7"/>
    <w:rsid w:val="00153D48"/>
    <w:rsid w:val="001542DD"/>
    <w:rsid w:val="0015451E"/>
    <w:rsid w:val="00154A35"/>
    <w:rsid w:val="00154A9A"/>
    <w:rsid w:val="001550A3"/>
    <w:rsid w:val="0015510B"/>
    <w:rsid w:val="00155469"/>
    <w:rsid w:val="0015551D"/>
    <w:rsid w:val="00155746"/>
    <w:rsid w:val="00155EAF"/>
    <w:rsid w:val="00156419"/>
    <w:rsid w:val="0015686A"/>
    <w:rsid w:val="00156C80"/>
    <w:rsid w:val="0015742B"/>
    <w:rsid w:val="001574A7"/>
    <w:rsid w:val="001576E5"/>
    <w:rsid w:val="0015776C"/>
    <w:rsid w:val="001579DC"/>
    <w:rsid w:val="00157AD5"/>
    <w:rsid w:val="00157BA5"/>
    <w:rsid w:val="00157CEB"/>
    <w:rsid w:val="00157F02"/>
    <w:rsid w:val="00160015"/>
    <w:rsid w:val="00160346"/>
    <w:rsid w:val="001604D5"/>
    <w:rsid w:val="001605EB"/>
    <w:rsid w:val="00160877"/>
    <w:rsid w:val="0016093A"/>
    <w:rsid w:val="00160CA4"/>
    <w:rsid w:val="00160EA4"/>
    <w:rsid w:val="00161026"/>
    <w:rsid w:val="0016108C"/>
    <w:rsid w:val="001610AC"/>
    <w:rsid w:val="00161391"/>
    <w:rsid w:val="00161616"/>
    <w:rsid w:val="001618B5"/>
    <w:rsid w:val="00161DCE"/>
    <w:rsid w:val="001620CB"/>
    <w:rsid w:val="001625EC"/>
    <w:rsid w:val="00162780"/>
    <w:rsid w:val="001627F9"/>
    <w:rsid w:val="00162999"/>
    <w:rsid w:val="001638F5"/>
    <w:rsid w:val="00163983"/>
    <w:rsid w:val="00163D29"/>
    <w:rsid w:val="00163E35"/>
    <w:rsid w:val="00164202"/>
    <w:rsid w:val="00164781"/>
    <w:rsid w:val="00164B4B"/>
    <w:rsid w:val="00164ECE"/>
    <w:rsid w:val="001652C2"/>
    <w:rsid w:val="0016534B"/>
    <w:rsid w:val="001653EF"/>
    <w:rsid w:val="001654B0"/>
    <w:rsid w:val="001657CF"/>
    <w:rsid w:val="00165907"/>
    <w:rsid w:val="00165FF0"/>
    <w:rsid w:val="00166098"/>
    <w:rsid w:val="001660AA"/>
    <w:rsid w:val="0016688E"/>
    <w:rsid w:val="0016689D"/>
    <w:rsid w:val="00166BE5"/>
    <w:rsid w:val="00166E24"/>
    <w:rsid w:val="00166F83"/>
    <w:rsid w:val="00167169"/>
    <w:rsid w:val="0016723A"/>
    <w:rsid w:val="001672D1"/>
    <w:rsid w:val="00167335"/>
    <w:rsid w:val="001674FA"/>
    <w:rsid w:val="00167AA3"/>
    <w:rsid w:val="00170100"/>
    <w:rsid w:val="0017034B"/>
    <w:rsid w:val="001704CF"/>
    <w:rsid w:val="00170D1D"/>
    <w:rsid w:val="00170DC9"/>
    <w:rsid w:val="00171287"/>
    <w:rsid w:val="00171335"/>
    <w:rsid w:val="0017181D"/>
    <w:rsid w:val="00171A05"/>
    <w:rsid w:val="00171D48"/>
    <w:rsid w:val="001725BB"/>
    <w:rsid w:val="00172A71"/>
    <w:rsid w:val="00172DE5"/>
    <w:rsid w:val="00172E17"/>
    <w:rsid w:val="00172E28"/>
    <w:rsid w:val="00172EC4"/>
    <w:rsid w:val="00172F3A"/>
    <w:rsid w:val="001730A3"/>
    <w:rsid w:val="001730FD"/>
    <w:rsid w:val="0017311D"/>
    <w:rsid w:val="001735B1"/>
    <w:rsid w:val="00173798"/>
    <w:rsid w:val="00173B2B"/>
    <w:rsid w:val="00173BE6"/>
    <w:rsid w:val="00173DA5"/>
    <w:rsid w:val="00173E72"/>
    <w:rsid w:val="00173E9E"/>
    <w:rsid w:val="00173FFE"/>
    <w:rsid w:val="00174624"/>
    <w:rsid w:val="00174762"/>
    <w:rsid w:val="00174766"/>
    <w:rsid w:val="00175209"/>
    <w:rsid w:val="0017572D"/>
    <w:rsid w:val="00175AA2"/>
    <w:rsid w:val="00175ACB"/>
    <w:rsid w:val="001760FF"/>
    <w:rsid w:val="001763EB"/>
    <w:rsid w:val="0017645D"/>
    <w:rsid w:val="00176738"/>
    <w:rsid w:val="00176E42"/>
    <w:rsid w:val="00176E9A"/>
    <w:rsid w:val="001775AD"/>
    <w:rsid w:val="0017771D"/>
    <w:rsid w:val="001777D5"/>
    <w:rsid w:val="001777E9"/>
    <w:rsid w:val="001778D0"/>
    <w:rsid w:val="00177B6B"/>
    <w:rsid w:val="00177D12"/>
    <w:rsid w:val="001800C0"/>
    <w:rsid w:val="001807C0"/>
    <w:rsid w:val="00180935"/>
    <w:rsid w:val="00180A23"/>
    <w:rsid w:val="00180B76"/>
    <w:rsid w:val="00180BE8"/>
    <w:rsid w:val="001811DE"/>
    <w:rsid w:val="001818CC"/>
    <w:rsid w:val="00181B43"/>
    <w:rsid w:val="0018213A"/>
    <w:rsid w:val="00182487"/>
    <w:rsid w:val="001826CB"/>
    <w:rsid w:val="001827AC"/>
    <w:rsid w:val="00182899"/>
    <w:rsid w:val="001831E8"/>
    <w:rsid w:val="001832B0"/>
    <w:rsid w:val="00183489"/>
    <w:rsid w:val="0018349C"/>
    <w:rsid w:val="00183562"/>
    <w:rsid w:val="00183649"/>
    <w:rsid w:val="00183970"/>
    <w:rsid w:val="00183C19"/>
    <w:rsid w:val="001843C4"/>
    <w:rsid w:val="00184519"/>
    <w:rsid w:val="001845F7"/>
    <w:rsid w:val="0018463A"/>
    <w:rsid w:val="00184A83"/>
    <w:rsid w:val="00185037"/>
    <w:rsid w:val="0018537D"/>
    <w:rsid w:val="001853A5"/>
    <w:rsid w:val="0018579C"/>
    <w:rsid w:val="00185A8A"/>
    <w:rsid w:val="0018606D"/>
    <w:rsid w:val="001862DA"/>
    <w:rsid w:val="001866D1"/>
    <w:rsid w:val="001868A3"/>
    <w:rsid w:val="001869D7"/>
    <w:rsid w:val="00186A8A"/>
    <w:rsid w:val="00186EB8"/>
    <w:rsid w:val="00187145"/>
    <w:rsid w:val="001874F4"/>
    <w:rsid w:val="00187613"/>
    <w:rsid w:val="00187937"/>
    <w:rsid w:val="00187DA4"/>
    <w:rsid w:val="00187F45"/>
    <w:rsid w:val="001904D5"/>
    <w:rsid w:val="001909D6"/>
    <w:rsid w:val="0019104D"/>
    <w:rsid w:val="00191778"/>
    <w:rsid w:val="00191A3F"/>
    <w:rsid w:val="00191A77"/>
    <w:rsid w:val="00191DB3"/>
    <w:rsid w:val="00191FD5"/>
    <w:rsid w:val="001923ED"/>
    <w:rsid w:val="00192608"/>
    <w:rsid w:val="00192B90"/>
    <w:rsid w:val="00192BFE"/>
    <w:rsid w:val="00192D0D"/>
    <w:rsid w:val="00193260"/>
    <w:rsid w:val="001932E9"/>
    <w:rsid w:val="0019374B"/>
    <w:rsid w:val="00193A56"/>
    <w:rsid w:val="00193A90"/>
    <w:rsid w:val="00193B10"/>
    <w:rsid w:val="00193C9F"/>
    <w:rsid w:val="00193EE3"/>
    <w:rsid w:val="00194098"/>
    <w:rsid w:val="001946CD"/>
    <w:rsid w:val="00194995"/>
    <w:rsid w:val="00194ECF"/>
    <w:rsid w:val="00194FCC"/>
    <w:rsid w:val="00195476"/>
    <w:rsid w:val="001958D1"/>
    <w:rsid w:val="00195CD2"/>
    <w:rsid w:val="00196167"/>
    <w:rsid w:val="0019620C"/>
    <w:rsid w:val="00196526"/>
    <w:rsid w:val="00196558"/>
    <w:rsid w:val="00196594"/>
    <w:rsid w:val="00196963"/>
    <w:rsid w:val="00196B93"/>
    <w:rsid w:val="00196BA3"/>
    <w:rsid w:val="001970F9"/>
    <w:rsid w:val="00197350"/>
    <w:rsid w:val="00197BC3"/>
    <w:rsid w:val="00197C31"/>
    <w:rsid w:val="00197DCD"/>
    <w:rsid w:val="001A0177"/>
    <w:rsid w:val="001A0968"/>
    <w:rsid w:val="001A0F0C"/>
    <w:rsid w:val="001A16D5"/>
    <w:rsid w:val="001A1720"/>
    <w:rsid w:val="001A192B"/>
    <w:rsid w:val="001A2109"/>
    <w:rsid w:val="001A2466"/>
    <w:rsid w:val="001A26F5"/>
    <w:rsid w:val="001A2704"/>
    <w:rsid w:val="001A27E6"/>
    <w:rsid w:val="001A2DDC"/>
    <w:rsid w:val="001A2F36"/>
    <w:rsid w:val="001A3033"/>
    <w:rsid w:val="001A3602"/>
    <w:rsid w:val="001A372B"/>
    <w:rsid w:val="001A3771"/>
    <w:rsid w:val="001A3991"/>
    <w:rsid w:val="001A42F1"/>
    <w:rsid w:val="001A4336"/>
    <w:rsid w:val="001A45E0"/>
    <w:rsid w:val="001A4780"/>
    <w:rsid w:val="001A48EC"/>
    <w:rsid w:val="001A4CCB"/>
    <w:rsid w:val="001A4DEC"/>
    <w:rsid w:val="001A4EB6"/>
    <w:rsid w:val="001A5419"/>
    <w:rsid w:val="001A5705"/>
    <w:rsid w:val="001A585E"/>
    <w:rsid w:val="001A592C"/>
    <w:rsid w:val="001A5D64"/>
    <w:rsid w:val="001A620B"/>
    <w:rsid w:val="001A63F2"/>
    <w:rsid w:val="001A6496"/>
    <w:rsid w:val="001A6575"/>
    <w:rsid w:val="001A6C7F"/>
    <w:rsid w:val="001A6E6B"/>
    <w:rsid w:val="001A71EB"/>
    <w:rsid w:val="001A7346"/>
    <w:rsid w:val="001A7386"/>
    <w:rsid w:val="001A751B"/>
    <w:rsid w:val="001A7971"/>
    <w:rsid w:val="001A7B28"/>
    <w:rsid w:val="001A7BFE"/>
    <w:rsid w:val="001A7E01"/>
    <w:rsid w:val="001A7E31"/>
    <w:rsid w:val="001A7FFD"/>
    <w:rsid w:val="001B0011"/>
    <w:rsid w:val="001B0110"/>
    <w:rsid w:val="001B0511"/>
    <w:rsid w:val="001B06AE"/>
    <w:rsid w:val="001B090D"/>
    <w:rsid w:val="001B09E3"/>
    <w:rsid w:val="001B0AC4"/>
    <w:rsid w:val="001B0C0A"/>
    <w:rsid w:val="001B0F33"/>
    <w:rsid w:val="001B105E"/>
    <w:rsid w:val="001B10FE"/>
    <w:rsid w:val="001B1324"/>
    <w:rsid w:val="001B1729"/>
    <w:rsid w:val="001B1FAD"/>
    <w:rsid w:val="001B3048"/>
    <w:rsid w:val="001B34DA"/>
    <w:rsid w:val="001B3961"/>
    <w:rsid w:val="001B3C90"/>
    <w:rsid w:val="001B4013"/>
    <w:rsid w:val="001B40CB"/>
    <w:rsid w:val="001B40E7"/>
    <w:rsid w:val="001B42E4"/>
    <w:rsid w:val="001B436F"/>
    <w:rsid w:val="001B4D67"/>
    <w:rsid w:val="001B4DEA"/>
    <w:rsid w:val="001B4E90"/>
    <w:rsid w:val="001B5291"/>
    <w:rsid w:val="001B53BC"/>
    <w:rsid w:val="001B563F"/>
    <w:rsid w:val="001B571B"/>
    <w:rsid w:val="001B582D"/>
    <w:rsid w:val="001B5890"/>
    <w:rsid w:val="001B59A9"/>
    <w:rsid w:val="001B5C8D"/>
    <w:rsid w:val="001B5D1E"/>
    <w:rsid w:val="001B5D3A"/>
    <w:rsid w:val="001B5D41"/>
    <w:rsid w:val="001B5EB0"/>
    <w:rsid w:val="001B6421"/>
    <w:rsid w:val="001B6535"/>
    <w:rsid w:val="001B688C"/>
    <w:rsid w:val="001B691A"/>
    <w:rsid w:val="001B696E"/>
    <w:rsid w:val="001B6A56"/>
    <w:rsid w:val="001B7191"/>
    <w:rsid w:val="001B71B9"/>
    <w:rsid w:val="001B7243"/>
    <w:rsid w:val="001B76A8"/>
    <w:rsid w:val="001B782D"/>
    <w:rsid w:val="001B7F85"/>
    <w:rsid w:val="001C00F2"/>
    <w:rsid w:val="001C05BE"/>
    <w:rsid w:val="001C0963"/>
    <w:rsid w:val="001C09D9"/>
    <w:rsid w:val="001C1121"/>
    <w:rsid w:val="001C14EA"/>
    <w:rsid w:val="001C19B3"/>
    <w:rsid w:val="001C1A14"/>
    <w:rsid w:val="001C1AC5"/>
    <w:rsid w:val="001C1DE7"/>
    <w:rsid w:val="001C202D"/>
    <w:rsid w:val="001C21A2"/>
    <w:rsid w:val="001C22BD"/>
    <w:rsid w:val="001C22F8"/>
    <w:rsid w:val="001C23C3"/>
    <w:rsid w:val="001C24B2"/>
    <w:rsid w:val="001C24F4"/>
    <w:rsid w:val="001C2A03"/>
    <w:rsid w:val="001C30D2"/>
    <w:rsid w:val="001C39E8"/>
    <w:rsid w:val="001C3A22"/>
    <w:rsid w:val="001C3BC6"/>
    <w:rsid w:val="001C3CD8"/>
    <w:rsid w:val="001C3D31"/>
    <w:rsid w:val="001C3F63"/>
    <w:rsid w:val="001C417B"/>
    <w:rsid w:val="001C44E0"/>
    <w:rsid w:val="001C4553"/>
    <w:rsid w:val="001C4619"/>
    <w:rsid w:val="001C4623"/>
    <w:rsid w:val="001C4632"/>
    <w:rsid w:val="001C469B"/>
    <w:rsid w:val="001C4A0B"/>
    <w:rsid w:val="001C4B75"/>
    <w:rsid w:val="001C4C45"/>
    <w:rsid w:val="001C4C8C"/>
    <w:rsid w:val="001C4DA4"/>
    <w:rsid w:val="001C504B"/>
    <w:rsid w:val="001C532B"/>
    <w:rsid w:val="001C54F5"/>
    <w:rsid w:val="001C559E"/>
    <w:rsid w:val="001C55F6"/>
    <w:rsid w:val="001C5D2D"/>
    <w:rsid w:val="001C5D8B"/>
    <w:rsid w:val="001C6086"/>
    <w:rsid w:val="001C6252"/>
    <w:rsid w:val="001C62B4"/>
    <w:rsid w:val="001C6311"/>
    <w:rsid w:val="001C6504"/>
    <w:rsid w:val="001C6758"/>
    <w:rsid w:val="001C681D"/>
    <w:rsid w:val="001C683F"/>
    <w:rsid w:val="001C6974"/>
    <w:rsid w:val="001C69B9"/>
    <w:rsid w:val="001C6A71"/>
    <w:rsid w:val="001C6BFC"/>
    <w:rsid w:val="001C71AA"/>
    <w:rsid w:val="001C73F8"/>
    <w:rsid w:val="001C75AB"/>
    <w:rsid w:val="001C75B2"/>
    <w:rsid w:val="001C776C"/>
    <w:rsid w:val="001C77E1"/>
    <w:rsid w:val="001C79DA"/>
    <w:rsid w:val="001C7ABB"/>
    <w:rsid w:val="001C7C88"/>
    <w:rsid w:val="001C7F9B"/>
    <w:rsid w:val="001D006C"/>
    <w:rsid w:val="001D0C41"/>
    <w:rsid w:val="001D0FBD"/>
    <w:rsid w:val="001D112B"/>
    <w:rsid w:val="001D11B3"/>
    <w:rsid w:val="001D167C"/>
    <w:rsid w:val="001D191C"/>
    <w:rsid w:val="001D19A8"/>
    <w:rsid w:val="001D1B05"/>
    <w:rsid w:val="001D1BB0"/>
    <w:rsid w:val="001D1EE2"/>
    <w:rsid w:val="001D240E"/>
    <w:rsid w:val="001D25FA"/>
    <w:rsid w:val="001D26ED"/>
    <w:rsid w:val="001D28B3"/>
    <w:rsid w:val="001D2D33"/>
    <w:rsid w:val="001D2F96"/>
    <w:rsid w:val="001D33AD"/>
    <w:rsid w:val="001D3D26"/>
    <w:rsid w:val="001D3D79"/>
    <w:rsid w:val="001D5257"/>
    <w:rsid w:val="001D5280"/>
    <w:rsid w:val="001D5963"/>
    <w:rsid w:val="001D5C87"/>
    <w:rsid w:val="001D5CAD"/>
    <w:rsid w:val="001D5D71"/>
    <w:rsid w:val="001D5F9B"/>
    <w:rsid w:val="001D62F5"/>
    <w:rsid w:val="001D638B"/>
    <w:rsid w:val="001D6488"/>
    <w:rsid w:val="001D659F"/>
    <w:rsid w:val="001D69B4"/>
    <w:rsid w:val="001D6CCE"/>
    <w:rsid w:val="001D6DFA"/>
    <w:rsid w:val="001D7159"/>
    <w:rsid w:val="001D7798"/>
    <w:rsid w:val="001D79EF"/>
    <w:rsid w:val="001D7D52"/>
    <w:rsid w:val="001E004B"/>
    <w:rsid w:val="001E0741"/>
    <w:rsid w:val="001E0916"/>
    <w:rsid w:val="001E0A4C"/>
    <w:rsid w:val="001E1901"/>
    <w:rsid w:val="001E19D3"/>
    <w:rsid w:val="001E1BAB"/>
    <w:rsid w:val="001E1F97"/>
    <w:rsid w:val="001E2298"/>
    <w:rsid w:val="001E23D1"/>
    <w:rsid w:val="001E2428"/>
    <w:rsid w:val="001E252F"/>
    <w:rsid w:val="001E26BD"/>
    <w:rsid w:val="001E2908"/>
    <w:rsid w:val="001E2A8E"/>
    <w:rsid w:val="001E38A8"/>
    <w:rsid w:val="001E3982"/>
    <w:rsid w:val="001E39A4"/>
    <w:rsid w:val="001E3D87"/>
    <w:rsid w:val="001E4D47"/>
    <w:rsid w:val="001E53CD"/>
    <w:rsid w:val="001E580B"/>
    <w:rsid w:val="001E5BBB"/>
    <w:rsid w:val="001E5F64"/>
    <w:rsid w:val="001E6180"/>
    <w:rsid w:val="001E6294"/>
    <w:rsid w:val="001E674B"/>
    <w:rsid w:val="001E68FC"/>
    <w:rsid w:val="001E6C2D"/>
    <w:rsid w:val="001E6D8E"/>
    <w:rsid w:val="001E714A"/>
    <w:rsid w:val="001E72B6"/>
    <w:rsid w:val="001E7396"/>
    <w:rsid w:val="001E7569"/>
    <w:rsid w:val="001E76DC"/>
    <w:rsid w:val="001E7F25"/>
    <w:rsid w:val="001F0567"/>
    <w:rsid w:val="001F071C"/>
    <w:rsid w:val="001F0766"/>
    <w:rsid w:val="001F0959"/>
    <w:rsid w:val="001F0C39"/>
    <w:rsid w:val="001F0EE5"/>
    <w:rsid w:val="001F0F9E"/>
    <w:rsid w:val="001F111D"/>
    <w:rsid w:val="001F15D8"/>
    <w:rsid w:val="001F16FB"/>
    <w:rsid w:val="001F1761"/>
    <w:rsid w:val="001F1844"/>
    <w:rsid w:val="001F1A09"/>
    <w:rsid w:val="001F1BC4"/>
    <w:rsid w:val="001F1E91"/>
    <w:rsid w:val="001F20E1"/>
    <w:rsid w:val="001F2178"/>
    <w:rsid w:val="001F22CC"/>
    <w:rsid w:val="001F22D0"/>
    <w:rsid w:val="001F25D9"/>
    <w:rsid w:val="001F25E0"/>
    <w:rsid w:val="001F2DF7"/>
    <w:rsid w:val="001F31F0"/>
    <w:rsid w:val="001F3C5F"/>
    <w:rsid w:val="001F412D"/>
    <w:rsid w:val="001F4548"/>
    <w:rsid w:val="001F458A"/>
    <w:rsid w:val="001F4B1F"/>
    <w:rsid w:val="001F4F5A"/>
    <w:rsid w:val="001F61FE"/>
    <w:rsid w:val="001F646F"/>
    <w:rsid w:val="001F6594"/>
    <w:rsid w:val="001F66DE"/>
    <w:rsid w:val="001F68BC"/>
    <w:rsid w:val="001F6C87"/>
    <w:rsid w:val="001F6EC5"/>
    <w:rsid w:val="001F705D"/>
    <w:rsid w:val="001F71C7"/>
    <w:rsid w:val="001F7246"/>
    <w:rsid w:val="001F74C7"/>
    <w:rsid w:val="001F7971"/>
    <w:rsid w:val="001F79E1"/>
    <w:rsid w:val="001F7ACA"/>
    <w:rsid w:val="001F7BFA"/>
    <w:rsid w:val="001F7D00"/>
    <w:rsid w:val="00200001"/>
    <w:rsid w:val="0020009C"/>
    <w:rsid w:val="0020066A"/>
    <w:rsid w:val="00200807"/>
    <w:rsid w:val="00200A6B"/>
    <w:rsid w:val="00200CAC"/>
    <w:rsid w:val="00200D92"/>
    <w:rsid w:val="002014E7"/>
    <w:rsid w:val="00201FC7"/>
    <w:rsid w:val="00201FEE"/>
    <w:rsid w:val="00202046"/>
    <w:rsid w:val="00202576"/>
    <w:rsid w:val="00202966"/>
    <w:rsid w:val="00202A9E"/>
    <w:rsid w:val="00202AA8"/>
    <w:rsid w:val="00202D2E"/>
    <w:rsid w:val="00202D81"/>
    <w:rsid w:val="00202DC0"/>
    <w:rsid w:val="00202E80"/>
    <w:rsid w:val="00202EB6"/>
    <w:rsid w:val="00203517"/>
    <w:rsid w:val="00203682"/>
    <w:rsid w:val="00203B02"/>
    <w:rsid w:val="00203F82"/>
    <w:rsid w:val="00204026"/>
    <w:rsid w:val="00204454"/>
    <w:rsid w:val="002048BC"/>
    <w:rsid w:val="002051EE"/>
    <w:rsid w:val="00205507"/>
    <w:rsid w:val="00205642"/>
    <w:rsid w:val="00205644"/>
    <w:rsid w:val="00205A9F"/>
    <w:rsid w:val="00205B0E"/>
    <w:rsid w:val="00205B1F"/>
    <w:rsid w:val="00205F78"/>
    <w:rsid w:val="00205FEA"/>
    <w:rsid w:val="0020601A"/>
    <w:rsid w:val="002061CA"/>
    <w:rsid w:val="0020689C"/>
    <w:rsid w:val="00206929"/>
    <w:rsid w:val="002069BC"/>
    <w:rsid w:val="00206BCD"/>
    <w:rsid w:val="00206E13"/>
    <w:rsid w:val="00206F7F"/>
    <w:rsid w:val="0020718C"/>
    <w:rsid w:val="002071E9"/>
    <w:rsid w:val="00207205"/>
    <w:rsid w:val="00207223"/>
    <w:rsid w:val="00207408"/>
    <w:rsid w:val="00207526"/>
    <w:rsid w:val="0020762E"/>
    <w:rsid w:val="00207EB4"/>
    <w:rsid w:val="0021000D"/>
    <w:rsid w:val="0021033E"/>
    <w:rsid w:val="00210679"/>
    <w:rsid w:val="00210901"/>
    <w:rsid w:val="00210954"/>
    <w:rsid w:val="00210D6E"/>
    <w:rsid w:val="00210D9C"/>
    <w:rsid w:val="00210DCC"/>
    <w:rsid w:val="00210DCD"/>
    <w:rsid w:val="0021198D"/>
    <w:rsid w:val="002119BF"/>
    <w:rsid w:val="00211C52"/>
    <w:rsid w:val="00211D3D"/>
    <w:rsid w:val="0021225B"/>
    <w:rsid w:val="002126B2"/>
    <w:rsid w:val="00212948"/>
    <w:rsid w:val="00212BFF"/>
    <w:rsid w:val="002134A1"/>
    <w:rsid w:val="002136B0"/>
    <w:rsid w:val="00213961"/>
    <w:rsid w:val="00213A9B"/>
    <w:rsid w:val="00213E70"/>
    <w:rsid w:val="00213E74"/>
    <w:rsid w:val="00214036"/>
    <w:rsid w:val="00214368"/>
    <w:rsid w:val="002145B9"/>
    <w:rsid w:val="00214BD4"/>
    <w:rsid w:val="00214FFF"/>
    <w:rsid w:val="0021501A"/>
    <w:rsid w:val="00215101"/>
    <w:rsid w:val="002151CB"/>
    <w:rsid w:val="00215468"/>
    <w:rsid w:val="00215AAF"/>
    <w:rsid w:val="002160BB"/>
    <w:rsid w:val="00216238"/>
    <w:rsid w:val="002163C8"/>
    <w:rsid w:val="002165D3"/>
    <w:rsid w:val="00216771"/>
    <w:rsid w:val="0021687C"/>
    <w:rsid w:val="0021697C"/>
    <w:rsid w:val="00216AAA"/>
    <w:rsid w:val="00217423"/>
    <w:rsid w:val="00217839"/>
    <w:rsid w:val="00217BBD"/>
    <w:rsid w:val="00217FDC"/>
    <w:rsid w:val="0022067E"/>
    <w:rsid w:val="002208DA"/>
    <w:rsid w:val="00221197"/>
    <w:rsid w:val="0022195B"/>
    <w:rsid w:val="00221B1E"/>
    <w:rsid w:val="00221D16"/>
    <w:rsid w:val="0022224C"/>
    <w:rsid w:val="00222392"/>
    <w:rsid w:val="002223C1"/>
    <w:rsid w:val="002224C1"/>
    <w:rsid w:val="00222D4A"/>
    <w:rsid w:val="0022389B"/>
    <w:rsid w:val="002240C5"/>
    <w:rsid w:val="002244A6"/>
    <w:rsid w:val="0022463E"/>
    <w:rsid w:val="002246C4"/>
    <w:rsid w:val="002256E4"/>
    <w:rsid w:val="00225A3B"/>
    <w:rsid w:val="00225A8C"/>
    <w:rsid w:val="00225BD8"/>
    <w:rsid w:val="00225CFE"/>
    <w:rsid w:val="00226081"/>
    <w:rsid w:val="002263A4"/>
    <w:rsid w:val="002264E2"/>
    <w:rsid w:val="00226AF7"/>
    <w:rsid w:val="00226CF3"/>
    <w:rsid w:val="00226D0D"/>
    <w:rsid w:val="002276A5"/>
    <w:rsid w:val="002277B0"/>
    <w:rsid w:val="00227A1C"/>
    <w:rsid w:val="00227B4A"/>
    <w:rsid w:val="00227CDE"/>
    <w:rsid w:val="00227FA8"/>
    <w:rsid w:val="00227FDC"/>
    <w:rsid w:val="00230817"/>
    <w:rsid w:val="0023081D"/>
    <w:rsid w:val="00230A00"/>
    <w:rsid w:val="00230A9B"/>
    <w:rsid w:val="00230DCC"/>
    <w:rsid w:val="00230F31"/>
    <w:rsid w:val="00230FA0"/>
    <w:rsid w:val="00230FE7"/>
    <w:rsid w:val="002313D5"/>
    <w:rsid w:val="00231417"/>
    <w:rsid w:val="00231611"/>
    <w:rsid w:val="002317CA"/>
    <w:rsid w:val="00231960"/>
    <w:rsid w:val="00231E84"/>
    <w:rsid w:val="00231F26"/>
    <w:rsid w:val="00232073"/>
    <w:rsid w:val="00232265"/>
    <w:rsid w:val="002324E3"/>
    <w:rsid w:val="002326C4"/>
    <w:rsid w:val="00232917"/>
    <w:rsid w:val="002329E5"/>
    <w:rsid w:val="00232FEC"/>
    <w:rsid w:val="0023329C"/>
    <w:rsid w:val="00233355"/>
    <w:rsid w:val="00233586"/>
    <w:rsid w:val="002335EC"/>
    <w:rsid w:val="00233808"/>
    <w:rsid w:val="00233868"/>
    <w:rsid w:val="002339E9"/>
    <w:rsid w:val="00233BC0"/>
    <w:rsid w:val="00233CE8"/>
    <w:rsid w:val="00233D92"/>
    <w:rsid w:val="00233FBB"/>
    <w:rsid w:val="00233FF1"/>
    <w:rsid w:val="0023430C"/>
    <w:rsid w:val="00234B4F"/>
    <w:rsid w:val="0023511A"/>
    <w:rsid w:val="00235412"/>
    <w:rsid w:val="00235F4B"/>
    <w:rsid w:val="0023607A"/>
    <w:rsid w:val="00236244"/>
    <w:rsid w:val="00236656"/>
    <w:rsid w:val="0023669A"/>
    <w:rsid w:val="00236B1C"/>
    <w:rsid w:val="00236DC0"/>
    <w:rsid w:val="00236F4C"/>
    <w:rsid w:val="002373A2"/>
    <w:rsid w:val="002379F4"/>
    <w:rsid w:val="00237A0A"/>
    <w:rsid w:val="00237EAC"/>
    <w:rsid w:val="002402F3"/>
    <w:rsid w:val="00240461"/>
    <w:rsid w:val="002407BB"/>
    <w:rsid w:val="002407CA"/>
    <w:rsid w:val="002407CC"/>
    <w:rsid w:val="002409E3"/>
    <w:rsid w:val="00240EFF"/>
    <w:rsid w:val="002410C2"/>
    <w:rsid w:val="0024113D"/>
    <w:rsid w:val="002411C6"/>
    <w:rsid w:val="00241394"/>
    <w:rsid w:val="002415CE"/>
    <w:rsid w:val="00242517"/>
    <w:rsid w:val="0024260B"/>
    <w:rsid w:val="002432B4"/>
    <w:rsid w:val="00243446"/>
    <w:rsid w:val="002439B0"/>
    <w:rsid w:val="00243BD2"/>
    <w:rsid w:val="00243D63"/>
    <w:rsid w:val="0024401F"/>
    <w:rsid w:val="0024414D"/>
    <w:rsid w:val="00244685"/>
    <w:rsid w:val="002447E9"/>
    <w:rsid w:val="002447FC"/>
    <w:rsid w:val="00244A56"/>
    <w:rsid w:val="00244EE7"/>
    <w:rsid w:val="002453BE"/>
    <w:rsid w:val="002455C3"/>
    <w:rsid w:val="0024569B"/>
    <w:rsid w:val="00245A3F"/>
    <w:rsid w:val="00245FE1"/>
    <w:rsid w:val="00246686"/>
    <w:rsid w:val="00246967"/>
    <w:rsid w:val="00246E78"/>
    <w:rsid w:val="00247177"/>
    <w:rsid w:val="0024736E"/>
    <w:rsid w:val="0024799C"/>
    <w:rsid w:val="00247B4D"/>
    <w:rsid w:val="00250386"/>
    <w:rsid w:val="00250A38"/>
    <w:rsid w:val="00250AAD"/>
    <w:rsid w:val="00250BFD"/>
    <w:rsid w:val="00250C60"/>
    <w:rsid w:val="0025106D"/>
    <w:rsid w:val="002513AE"/>
    <w:rsid w:val="0025183C"/>
    <w:rsid w:val="00251B6E"/>
    <w:rsid w:val="00251CAD"/>
    <w:rsid w:val="00251CFF"/>
    <w:rsid w:val="00251FB0"/>
    <w:rsid w:val="002521E1"/>
    <w:rsid w:val="00252519"/>
    <w:rsid w:val="00252747"/>
    <w:rsid w:val="002527A2"/>
    <w:rsid w:val="0025309F"/>
    <w:rsid w:val="002530F3"/>
    <w:rsid w:val="00253111"/>
    <w:rsid w:val="002535CE"/>
    <w:rsid w:val="00253724"/>
    <w:rsid w:val="00254114"/>
    <w:rsid w:val="00254247"/>
    <w:rsid w:val="002542B2"/>
    <w:rsid w:val="0025447C"/>
    <w:rsid w:val="002545C9"/>
    <w:rsid w:val="00254681"/>
    <w:rsid w:val="00254B08"/>
    <w:rsid w:val="00254B81"/>
    <w:rsid w:val="00255399"/>
    <w:rsid w:val="002559B3"/>
    <w:rsid w:val="00255A84"/>
    <w:rsid w:val="00255B5A"/>
    <w:rsid w:val="00255F7F"/>
    <w:rsid w:val="0025642A"/>
    <w:rsid w:val="00256777"/>
    <w:rsid w:val="00256795"/>
    <w:rsid w:val="0025684E"/>
    <w:rsid w:val="0025698E"/>
    <w:rsid w:val="002574AF"/>
    <w:rsid w:val="002574B8"/>
    <w:rsid w:val="00257AAA"/>
    <w:rsid w:val="00257B54"/>
    <w:rsid w:val="00257C41"/>
    <w:rsid w:val="002601A2"/>
    <w:rsid w:val="00260448"/>
    <w:rsid w:val="00260BA6"/>
    <w:rsid w:val="00260C35"/>
    <w:rsid w:val="00260C47"/>
    <w:rsid w:val="0026114B"/>
    <w:rsid w:val="0026115B"/>
    <w:rsid w:val="0026123A"/>
    <w:rsid w:val="00261391"/>
    <w:rsid w:val="0026169D"/>
    <w:rsid w:val="00261919"/>
    <w:rsid w:val="00261972"/>
    <w:rsid w:val="00261CF1"/>
    <w:rsid w:val="00261DA5"/>
    <w:rsid w:val="00262869"/>
    <w:rsid w:val="002628F6"/>
    <w:rsid w:val="00262DCF"/>
    <w:rsid w:val="002634EA"/>
    <w:rsid w:val="002637CF"/>
    <w:rsid w:val="00263AF8"/>
    <w:rsid w:val="00263B0F"/>
    <w:rsid w:val="00263CD1"/>
    <w:rsid w:val="002645C7"/>
    <w:rsid w:val="002646FE"/>
    <w:rsid w:val="002648EE"/>
    <w:rsid w:val="00264B3D"/>
    <w:rsid w:val="00264C1F"/>
    <w:rsid w:val="00264FD6"/>
    <w:rsid w:val="002650F8"/>
    <w:rsid w:val="002656C7"/>
    <w:rsid w:val="00265AC3"/>
    <w:rsid w:val="00265BFC"/>
    <w:rsid w:val="00265D3C"/>
    <w:rsid w:val="00265DBE"/>
    <w:rsid w:val="00266152"/>
    <w:rsid w:val="002662DA"/>
    <w:rsid w:val="00266AED"/>
    <w:rsid w:val="00266D29"/>
    <w:rsid w:val="00266E9A"/>
    <w:rsid w:val="002671A2"/>
    <w:rsid w:val="0026722A"/>
    <w:rsid w:val="00267496"/>
    <w:rsid w:val="00267A28"/>
    <w:rsid w:val="00267A7C"/>
    <w:rsid w:val="00267B57"/>
    <w:rsid w:val="00267F66"/>
    <w:rsid w:val="00270169"/>
    <w:rsid w:val="002702D2"/>
    <w:rsid w:val="00270370"/>
    <w:rsid w:val="002708A2"/>
    <w:rsid w:val="00270E19"/>
    <w:rsid w:val="002715A5"/>
    <w:rsid w:val="002716FC"/>
    <w:rsid w:val="0027170E"/>
    <w:rsid w:val="00271B4A"/>
    <w:rsid w:val="00271B4D"/>
    <w:rsid w:val="00272164"/>
    <w:rsid w:val="00272499"/>
    <w:rsid w:val="00272623"/>
    <w:rsid w:val="00272960"/>
    <w:rsid w:val="00272A65"/>
    <w:rsid w:val="00272DBE"/>
    <w:rsid w:val="0027304A"/>
    <w:rsid w:val="0027304D"/>
    <w:rsid w:val="00273102"/>
    <w:rsid w:val="0027349A"/>
    <w:rsid w:val="00273CB2"/>
    <w:rsid w:val="002742FE"/>
    <w:rsid w:val="00274318"/>
    <w:rsid w:val="00274C4D"/>
    <w:rsid w:val="00274EFA"/>
    <w:rsid w:val="00275025"/>
    <w:rsid w:val="0027596A"/>
    <w:rsid w:val="002759C0"/>
    <w:rsid w:val="00275B68"/>
    <w:rsid w:val="00275C43"/>
    <w:rsid w:val="00275D7A"/>
    <w:rsid w:val="00275F9E"/>
    <w:rsid w:val="00276130"/>
    <w:rsid w:val="002761BD"/>
    <w:rsid w:val="0027652E"/>
    <w:rsid w:val="00276884"/>
    <w:rsid w:val="0027694B"/>
    <w:rsid w:val="00276C79"/>
    <w:rsid w:val="002772AF"/>
    <w:rsid w:val="00277694"/>
    <w:rsid w:val="0027780B"/>
    <w:rsid w:val="00277A86"/>
    <w:rsid w:val="0028046A"/>
    <w:rsid w:val="0028076C"/>
    <w:rsid w:val="00280B6C"/>
    <w:rsid w:val="00280CBA"/>
    <w:rsid w:val="00280D5B"/>
    <w:rsid w:val="00280EA4"/>
    <w:rsid w:val="00281007"/>
    <w:rsid w:val="002811B7"/>
    <w:rsid w:val="00281364"/>
    <w:rsid w:val="00281617"/>
    <w:rsid w:val="00281819"/>
    <w:rsid w:val="00281DA0"/>
    <w:rsid w:val="002822C7"/>
    <w:rsid w:val="00282372"/>
    <w:rsid w:val="002827F9"/>
    <w:rsid w:val="00282BAE"/>
    <w:rsid w:val="00282D05"/>
    <w:rsid w:val="00282DAC"/>
    <w:rsid w:val="00282EE5"/>
    <w:rsid w:val="002831A8"/>
    <w:rsid w:val="002834C9"/>
    <w:rsid w:val="002835A6"/>
    <w:rsid w:val="002837C2"/>
    <w:rsid w:val="0028399A"/>
    <w:rsid w:val="002839FB"/>
    <w:rsid w:val="00283BB4"/>
    <w:rsid w:val="00283D4E"/>
    <w:rsid w:val="00284036"/>
    <w:rsid w:val="00284162"/>
    <w:rsid w:val="0028442C"/>
    <w:rsid w:val="002844AC"/>
    <w:rsid w:val="002845EA"/>
    <w:rsid w:val="002848C8"/>
    <w:rsid w:val="00284B22"/>
    <w:rsid w:val="0028523A"/>
    <w:rsid w:val="00285309"/>
    <w:rsid w:val="00285310"/>
    <w:rsid w:val="0028550B"/>
    <w:rsid w:val="0028551B"/>
    <w:rsid w:val="00285A8C"/>
    <w:rsid w:val="00285DF6"/>
    <w:rsid w:val="00286154"/>
    <w:rsid w:val="0028670B"/>
    <w:rsid w:val="00286894"/>
    <w:rsid w:val="00286B1C"/>
    <w:rsid w:val="00286B7F"/>
    <w:rsid w:val="00286DCB"/>
    <w:rsid w:val="00286EBE"/>
    <w:rsid w:val="00286FB0"/>
    <w:rsid w:val="0028718B"/>
    <w:rsid w:val="00287699"/>
    <w:rsid w:val="0028783E"/>
    <w:rsid w:val="0029008E"/>
    <w:rsid w:val="00290588"/>
    <w:rsid w:val="002907BC"/>
    <w:rsid w:val="00290F8B"/>
    <w:rsid w:val="00291272"/>
    <w:rsid w:val="002919DB"/>
    <w:rsid w:val="002920C7"/>
    <w:rsid w:val="00292228"/>
    <w:rsid w:val="002929D8"/>
    <w:rsid w:val="00292B9F"/>
    <w:rsid w:val="00293109"/>
    <w:rsid w:val="00293C63"/>
    <w:rsid w:val="00293F3D"/>
    <w:rsid w:val="00294742"/>
    <w:rsid w:val="002947DC"/>
    <w:rsid w:val="002948F5"/>
    <w:rsid w:val="00294A58"/>
    <w:rsid w:val="00294B49"/>
    <w:rsid w:val="00294D2F"/>
    <w:rsid w:val="00295274"/>
    <w:rsid w:val="002958DE"/>
    <w:rsid w:val="00295B70"/>
    <w:rsid w:val="00295EEF"/>
    <w:rsid w:val="002963DD"/>
    <w:rsid w:val="0029648D"/>
    <w:rsid w:val="00296F47"/>
    <w:rsid w:val="00297289"/>
    <w:rsid w:val="00297514"/>
    <w:rsid w:val="002976EE"/>
    <w:rsid w:val="00297929"/>
    <w:rsid w:val="0029799C"/>
    <w:rsid w:val="00297C0F"/>
    <w:rsid w:val="00297ECD"/>
    <w:rsid w:val="002A04E2"/>
    <w:rsid w:val="002A06E7"/>
    <w:rsid w:val="002A0E02"/>
    <w:rsid w:val="002A0E79"/>
    <w:rsid w:val="002A0E94"/>
    <w:rsid w:val="002A1263"/>
    <w:rsid w:val="002A18FE"/>
    <w:rsid w:val="002A19F7"/>
    <w:rsid w:val="002A1FB9"/>
    <w:rsid w:val="002A2364"/>
    <w:rsid w:val="002A2689"/>
    <w:rsid w:val="002A27E4"/>
    <w:rsid w:val="002A283D"/>
    <w:rsid w:val="002A2A08"/>
    <w:rsid w:val="002A2B37"/>
    <w:rsid w:val="002A2BC4"/>
    <w:rsid w:val="002A2D62"/>
    <w:rsid w:val="002A2D93"/>
    <w:rsid w:val="002A31FA"/>
    <w:rsid w:val="002A32BE"/>
    <w:rsid w:val="002A339E"/>
    <w:rsid w:val="002A33FC"/>
    <w:rsid w:val="002A3418"/>
    <w:rsid w:val="002A35A5"/>
    <w:rsid w:val="002A3C6F"/>
    <w:rsid w:val="002A3FF6"/>
    <w:rsid w:val="002A4113"/>
    <w:rsid w:val="002A4266"/>
    <w:rsid w:val="002A449A"/>
    <w:rsid w:val="002A44A0"/>
    <w:rsid w:val="002A45B1"/>
    <w:rsid w:val="002A46C8"/>
    <w:rsid w:val="002A47DF"/>
    <w:rsid w:val="002A496E"/>
    <w:rsid w:val="002A4B8D"/>
    <w:rsid w:val="002A4C38"/>
    <w:rsid w:val="002A4E42"/>
    <w:rsid w:val="002A5379"/>
    <w:rsid w:val="002A556F"/>
    <w:rsid w:val="002A598E"/>
    <w:rsid w:val="002A61A5"/>
    <w:rsid w:val="002A61B1"/>
    <w:rsid w:val="002A648D"/>
    <w:rsid w:val="002A6700"/>
    <w:rsid w:val="002A7199"/>
    <w:rsid w:val="002A73FF"/>
    <w:rsid w:val="002A74AC"/>
    <w:rsid w:val="002A7778"/>
    <w:rsid w:val="002A77C3"/>
    <w:rsid w:val="002A78E1"/>
    <w:rsid w:val="002A79D9"/>
    <w:rsid w:val="002A7BAF"/>
    <w:rsid w:val="002A7BBD"/>
    <w:rsid w:val="002B03DF"/>
    <w:rsid w:val="002B05A8"/>
    <w:rsid w:val="002B0986"/>
    <w:rsid w:val="002B0D6E"/>
    <w:rsid w:val="002B0F12"/>
    <w:rsid w:val="002B10B0"/>
    <w:rsid w:val="002B1225"/>
    <w:rsid w:val="002B1437"/>
    <w:rsid w:val="002B14DB"/>
    <w:rsid w:val="002B169C"/>
    <w:rsid w:val="002B1838"/>
    <w:rsid w:val="002B1F89"/>
    <w:rsid w:val="002B21BB"/>
    <w:rsid w:val="002B22F5"/>
    <w:rsid w:val="002B274C"/>
    <w:rsid w:val="002B2868"/>
    <w:rsid w:val="002B2E9F"/>
    <w:rsid w:val="002B2F77"/>
    <w:rsid w:val="002B3529"/>
    <w:rsid w:val="002B3596"/>
    <w:rsid w:val="002B38E3"/>
    <w:rsid w:val="002B38EB"/>
    <w:rsid w:val="002B3F1A"/>
    <w:rsid w:val="002B4164"/>
    <w:rsid w:val="002B43B3"/>
    <w:rsid w:val="002B4FAD"/>
    <w:rsid w:val="002B538D"/>
    <w:rsid w:val="002B5B4B"/>
    <w:rsid w:val="002B5B61"/>
    <w:rsid w:val="002B5CA1"/>
    <w:rsid w:val="002B5D77"/>
    <w:rsid w:val="002B601A"/>
    <w:rsid w:val="002B6031"/>
    <w:rsid w:val="002B6328"/>
    <w:rsid w:val="002B6699"/>
    <w:rsid w:val="002B6716"/>
    <w:rsid w:val="002B6EFD"/>
    <w:rsid w:val="002B6F33"/>
    <w:rsid w:val="002B7309"/>
    <w:rsid w:val="002B79F0"/>
    <w:rsid w:val="002B7B8A"/>
    <w:rsid w:val="002B7C1A"/>
    <w:rsid w:val="002B7C96"/>
    <w:rsid w:val="002B7F3E"/>
    <w:rsid w:val="002C00F5"/>
    <w:rsid w:val="002C0166"/>
    <w:rsid w:val="002C059A"/>
    <w:rsid w:val="002C05D9"/>
    <w:rsid w:val="002C06B5"/>
    <w:rsid w:val="002C0CCC"/>
    <w:rsid w:val="002C0CD7"/>
    <w:rsid w:val="002C0D7B"/>
    <w:rsid w:val="002C0D99"/>
    <w:rsid w:val="002C11BC"/>
    <w:rsid w:val="002C11D6"/>
    <w:rsid w:val="002C143E"/>
    <w:rsid w:val="002C1443"/>
    <w:rsid w:val="002C16EE"/>
    <w:rsid w:val="002C1CBF"/>
    <w:rsid w:val="002C1D9C"/>
    <w:rsid w:val="002C1EFA"/>
    <w:rsid w:val="002C22C5"/>
    <w:rsid w:val="002C2806"/>
    <w:rsid w:val="002C2864"/>
    <w:rsid w:val="002C2BD3"/>
    <w:rsid w:val="002C2BEB"/>
    <w:rsid w:val="002C30A4"/>
    <w:rsid w:val="002C34B2"/>
    <w:rsid w:val="002C366F"/>
    <w:rsid w:val="002C3894"/>
    <w:rsid w:val="002C3D9B"/>
    <w:rsid w:val="002C3E6A"/>
    <w:rsid w:val="002C40EF"/>
    <w:rsid w:val="002C416B"/>
    <w:rsid w:val="002C488D"/>
    <w:rsid w:val="002C4A76"/>
    <w:rsid w:val="002C4A81"/>
    <w:rsid w:val="002C4B78"/>
    <w:rsid w:val="002C4B93"/>
    <w:rsid w:val="002C4CA9"/>
    <w:rsid w:val="002C4CB2"/>
    <w:rsid w:val="002C5453"/>
    <w:rsid w:val="002C57BD"/>
    <w:rsid w:val="002C5A5C"/>
    <w:rsid w:val="002C5BFE"/>
    <w:rsid w:val="002C5D6C"/>
    <w:rsid w:val="002C64F8"/>
    <w:rsid w:val="002C6686"/>
    <w:rsid w:val="002C66CF"/>
    <w:rsid w:val="002C68E5"/>
    <w:rsid w:val="002C697F"/>
    <w:rsid w:val="002C7016"/>
    <w:rsid w:val="002C70A3"/>
    <w:rsid w:val="002C7301"/>
    <w:rsid w:val="002C75E6"/>
    <w:rsid w:val="002C7C0A"/>
    <w:rsid w:val="002C7C9C"/>
    <w:rsid w:val="002C7FF4"/>
    <w:rsid w:val="002D04C5"/>
    <w:rsid w:val="002D0515"/>
    <w:rsid w:val="002D059D"/>
    <w:rsid w:val="002D0727"/>
    <w:rsid w:val="002D0D92"/>
    <w:rsid w:val="002D0F4C"/>
    <w:rsid w:val="002D100C"/>
    <w:rsid w:val="002D13D5"/>
    <w:rsid w:val="002D18D2"/>
    <w:rsid w:val="002D1B36"/>
    <w:rsid w:val="002D1B96"/>
    <w:rsid w:val="002D2270"/>
    <w:rsid w:val="002D2E4C"/>
    <w:rsid w:val="002D2EC4"/>
    <w:rsid w:val="002D2FC4"/>
    <w:rsid w:val="002D319A"/>
    <w:rsid w:val="002D32AF"/>
    <w:rsid w:val="002D3306"/>
    <w:rsid w:val="002D3568"/>
    <w:rsid w:val="002D37C1"/>
    <w:rsid w:val="002D4074"/>
    <w:rsid w:val="002D42F1"/>
    <w:rsid w:val="002D4487"/>
    <w:rsid w:val="002D4830"/>
    <w:rsid w:val="002D4858"/>
    <w:rsid w:val="002D48FA"/>
    <w:rsid w:val="002D4A0A"/>
    <w:rsid w:val="002D4A43"/>
    <w:rsid w:val="002D5041"/>
    <w:rsid w:val="002D52BF"/>
    <w:rsid w:val="002D5784"/>
    <w:rsid w:val="002D607F"/>
    <w:rsid w:val="002D60C9"/>
    <w:rsid w:val="002D6457"/>
    <w:rsid w:val="002D65B4"/>
    <w:rsid w:val="002D67AB"/>
    <w:rsid w:val="002D68CE"/>
    <w:rsid w:val="002D6D06"/>
    <w:rsid w:val="002D7269"/>
    <w:rsid w:val="002D7407"/>
    <w:rsid w:val="002D7BDA"/>
    <w:rsid w:val="002E0315"/>
    <w:rsid w:val="002E0403"/>
    <w:rsid w:val="002E0903"/>
    <w:rsid w:val="002E0C71"/>
    <w:rsid w:val="002E0D26"/>
    <w:rsid w:val="002E0D8B"/>
    <w:rsid w:val="002E10FA"/>
    <w:rsid w:val="002E2175"/>
    <w:rsid w:val="002E21D1"/>
    <w:rsid w:val="002E229D"/>
    <w:rsid w:val="002E25A8"/>
    <w:rsid w:val="002E2770"/>
    <w:rsid w:val="002E279A"/>
    <w:rsid w:val="002E2BE7"/>
    <w:rsid w:val="002E323E"/>
    <w:rsid w:val="002E34CF"/>
    <w:rsid w:val="002E3832"/>
    <w:rsid w:val="002E399E"/>
    <w:rsid w:val="002E3B08"/>
    <w:rsid w:val="002E3B65"/>
    <w:rsid w:val="002E3CE5"/>
    <w:rsid w:val="002E3F95"/>
    <w:rsid w:val="002E4118"/>
    <w:rsid w:val="002E41F3"/>
    <w:rsid w:val="002E4505"/>
    <w:rsid w:val="002E4519"/>
    <w:rsid w:val="002E5038"/>
    <w:rsid w:val="002E533C"/>
    <w:rsid w:val="002E557C"/>
    <w:rsid w:val="002E5BB9"/>
    <w:rsid w:val="002E6116"/>
    <w:rsid w:val="002E67E6"/>
    <w:rsid w:val="002E69B3"/>
    <w:rsid w:val="002E6DBB"/>
    <w:rsid w:val="002E6E7C"/>
    <w:rsid w:val="002E6F72"/>
    <w:rsid w:val="002E7B0D"/>
    <w:rsid w:val="002E7CE4"/>
    <w:rsid w:val="002F0151"/>
    <w:rsid w:val="002F04DE"/>
    <w:rsid w:val="002F07F0"/>
    <w:rsid w:val="002F089E"/>
    <w:rsid w:val="002F0A2B"/>
    <w:rsid w:val="002F0B9F"/>
    <w:rsid w:val="002F0C67"/>
    <w:rsid w:val="002F0D1B"/>
    <w:rsid w:val="002F0F46"/>
    <w:rsid w:val="002F121E"/>
    <w:rsid w:val="002F14D0"/>
    <w:rsid w:val="002F1524"/>
    <w:rsid w:val="002F190D"/>
    <w:rsid w:val="002F196B"/>
    <w:rsid w:val="002F1A3E"/>
    <w:rsid w:val="002F1BF3"/>
    <w:rsid w:val="002F1CD3"/>
    <w:rsid w:val="002F1CD9"/>
    <w:rsid w:val="002F1D51"/>
    <w:rsid w:val="002F1E10"/>
    <w:rsid w:val="002F1E43"/>
    <w:rsid w:val="002F1EA4"/>
    <w:rsid w:val="002F24B0"/>
    <w:rsid w:val="002F279C"/>
    <w:rsid w:val="002F283F"/>
    <w:rsid w:val="002F2BB2"/>
    <w:rsid w:val="002F3095"/>
    <w:rsid w:val="002F3A93"/>
    <w:rsid w:val="002F3AFA"/>
    <w:rsid w:val="002F4355"/>
    <w:rsid w:val="002F4444"/>
    <w:rsid w:val="002F4697"/>
    <w:rsid w:val="002F4762"/>
    <w:rsid w:val="002F4777"/>
    <w:rsid w:val="002F4883"/>
    <w:rsid w:val="002F4BEA"/>
    <w:rsid w:val="002F54B6"/>
    <w:rsid w:val="002F5629"/>
    <w:rsid w:val="002F5674"/>
    <w:rsid w:val="002F65E5"/>
    <w:rsid w:val="002F6A6F"/>
    <w:rsid w:val="002F6B24"/>
    <w:rsid w:val="002F6E28"/>
    <w:rsid w:val="002F70BA"/>
    <w:rsid w:val="002F725F"/>
    <w:rsid w:val="002F7A88"/>
    <w:rsid w:val="002F7A99"/>
    <w:rsid w:val="002F7C08"/>
    <w:rsid w:val="002F7E68"/>
    <w:rsid w:val="002F7F86"/>
    <w:rsid w:val="00300560"/>
    <w:rsid w:val="003007DE"/>
    <w:rsid w:val="00300A82"/>
    <w:rsid w:val="00300A84"/>
    <w:rsid w:val="00300C38"/>
    <w:rsid w:val="00300C9E"/>
    <w:rsid w:val="00300E39"/>
    <w:rsid w:val="00300F95"/>
    <w:rsid w:val="0030101C"/>
    <w:rsid w:val="0030107F"/>
    <w:rsid w:val="003011A6"/>
    <w:rsid w:val="003013EF"/>
    <w:rsid w:val="00301CF7"/>
    <w:rsid w:val="00302306"/>
    <w:rsid w:val="003023C2"/>
    <w:rsid w:val="003024FE"/>
    <w:rsid w:val="0030294F"/>
    <w:rsid w:val="00302E5E"/>
    <w:rsid w:val="00302EA1"/>
    <w:rsid w:val="00303249"/>
    <w:rsid w:val="00303570"/>
    <w:rsid w:val="003038DB"/>
    <w:rsid w:val="00303BC0"/>
    <w:rsid w:val="00303BC3"/>
    <w:rsid w:val="00303D58"/>
    <w:rsid w:val="00303D69"/>
    <w:rsid w:val="00303FA3"/>
    <w:rsid w:val="0030415A"/>
    <w:rsid w:val="00304433"/>
    <w:rsid w:val="0030458D"/>
    <w:rsid w:val="003048C9"/>
    <w:rsid w:val="00304C8F"/>
    <w:rsid w:val="00304D19"/>
    <w:rsid w:val="00304D4E"/>
    <w:rsid w:val="00304F3C"/>
    <w:rsid w:val="00304FF8"/>
    <w:rsid w:val="00305098"/>
    <w:rsid w:val="0030511E"/>
    <w:rsid w:val="0030534B"/>
    <w:rsid w:val="00305BCF"/>
    <w:rsid w:val="0030615E"/>
    <w:rsid w:val="003066E9"/>
    <w:rsid w:val="00306D6D"/>
    <w:rsid w:val="00307162"/>
    <w:rsid w:val="00307448"/>
    <w:rsid w:val="003074AC"/>
    <w:rsid w:val="003079B4"/>
    <w:rsid w:val="00307C55"/>
    <w:rsid w:val="00307DEF"/>
    <w:rsid w:val="00310138"/>
    <w:rsid w:val="0031027B"/>
    <w:rsid w:val="003105A3"/>
    <w:rsid w:val="003107E5"/>
    <w:rsid w:val="00310800"/>
    <w:rsid w:val="00310C11"/>
    <w:rsid w:val="00310DE6"/>
    <w:rsid w:val="0031115B"/>
    <w:rsid w:val="003115AC"/>
    <w:rsid w:val="003119A7"/>
    <w:rsid w:val="00311D33"/>
    <w:rsid w:val="00311EE1"/>
    <w:rsid w:val="0031200F"/>
    <w:rsid w:val="0031208A"/>
    <w:rsid w:val="003126CA"/>
    <w:rsid w:val="003127C5"/>
    <w:rsid w:val="00313664"/>
    <w:rsid w:val="00313754"/>
    <w:rsid w:val="0031380E"/>
    <w:rsid w:val="003138A6"/>
    <w:rsid w:val="00313958"/>
    <w:rsid w:val="00313B78"/>
    <w:rsid w:val="00313C9A"/>
    <w:rsid w:val="00313DD4"/>
    <w:rsid w:val="0031412A"/>
    <w:rsid w:val="003143BF"/>
    <w:rsid w:val="00314475"/>
    <w:rsid w:val="0031486F"/>
    <w:rsid w:val="00314A3D"/>
    <w:rsid w:val="00314B5A"/>
    <w:rsid w:val="00314F90"/>
    <w:rsid w:val="00315238"/>
    <w:rsid w:val="00315247"/>
    <w:rsid w:val="003153B1"/>
    <w:rsid w:val="003154D3"/>
    <w:rsid w:val="0031562D"/>
    <w:rsid w:val="00315693"/>
    <w:rsid w:val="00315731"/>
    <w:rsid w:val="003159A1"/>
    <w:rsid w:val="00315A8E"/>
    <w:rsid w:val="00315C6A"/>
    <w:rsid w:val="00315D4B"/>
    <w:rsid w:val="00315F85"/>
    <w:rsid w:val="0031617F"/>
    <w:rsid w:val="00316769"/>
    <w:rsid w:val="003168C4"/>
    <w:rsid w:val="00316A9E"/>
    <w:rsid w:val="00317101"/>
    <w:rsid w:val="003175BA"/>
    <w:rsid w:val="00317D03"/>
    <w:rsid w:val="0032006F"/>
    <w:rsid w:val="003201A1"/>
    <w:rsid w:val="00320270"/>
    <w:rsid w:val="00320747"/>
    <w:rsid w:val="0032074E"/>
    <w:rsid w:val="00320832"/>
    <w:rsid w:val="00320FD1"/>
    <w:rsid w:val="00321109"/>
    <w:rsid w:val="00321184"/>
    <w:rsid w:val="0032124F"/>
    <w:rsid w:val="00321365"/>
    <w:rsid w:val="00321560"/>
    <w:rsid w:val="00321690"/>
    <w:rsid w:val="00321758"/>
    <w:rsid w:val="00321823"/>
    <w:rsid w:val="00321BDA"/>
    <w:rsid w:val="00322584"/>
    <w:rsid w:val="003226B9"/>
    <w:rsid w:val="00322B4D"/>
    <w:rsid w:val="00322E12"/>
    <w:rsid w:val="0032358B"/>
    <w:rsid w:val="003238F4"/>
    <w:rsid w:val="00323D94"/>
    <w:rsid w:val="00323FC4"/>
    <w:rsid w:val="003243D1"/>
    <w:rsid w:val="0032488E"/>
    <w:rsid w:val="003248BE"/>
    <w:rsid w:val="00324D77"/>
    <w:rsid w:val="0032547A"/>
    <w:rsid w:val="00325692"/>
    <w:rsid w:val="003257A7"/>
    <w:rsid w:val="00325820"/>
    <w:rsid w:val="00325841"/>
    <w:rsid w:val="003259D7"/>
    <w:rsid w:val="00325C10"/>
    <w:rsid w:val="00326451"/>
    <w:rsid w:val="003268C7"/>
    <w:rsid w:val="00326914"/>
    <w:rsid w:val="00326B3B"/>
    <w:rsid w:val="0032704C"/>
    <w:rsid w:val="0032709A"/>
    <w:rsid w:val="0032721C"/>
    <w:rsid w:val="00327426"/>
    <w:rsid w:val="003277AE"/>
    <w:rsid w:val="00327BD3"/>
    <w:rsid w:val="00327CAA"/>
    <w:rsid w:val="00327DE9"/>
    <w:rsid w:val="00327EB4"/>
    <w:rsid w:val="00327F5E"/>
    <w:rsid w:val="003301B3"/>
    <w:rsid w:val="0033033D"/>
    <w:rsid w:val="00330372"/>
    <w:rsid w:val="00330385"/>
    <w:rsid w:val="003303CC"/>
    <w:rsid w:val="0033053F"/>
    <w:rsid w:val="003308D8"/>
    <w:rsid w:val="0033102E"/>
    <w:rsid w:val="0033137B"/>
    <w:rsid w:val="00331401"/>
    <w:rsid w:val="00331CEE"/>
    <w:rsid w:val="00332344"/>
    <w:rsid w:val="00332372"/>
    <w:rsid w:val="0033289C"/>
    <w:rsid w:val="00332CF5"/>
    <w:rsid w:val="00332F67"/>
    <w:rsid w:val="0033312E"/>
    <w:rsid w:val="00333234"/>
    <w:rsid w:val="00333822"/>
    <w:rsid w:val="003339EC"/>
    <w:rsid w:val="00333B1F"/>
    <w:rsid w:val="00333CC8"/>
    <w:rsid w:val="003340BC"/>
    <w:rsid w:val="0033414E"/>
    <w:rsid w:val="003343B5"/>
    <w:rsid w:val="003343EA"/>
    <w:rsid w:val="003345F8"/>
    <w:rsid w:val="003347F3"/>
    <w:rsid w:val="00334A9A"/>
    <w:rsid w:val="003351AE"/>
    <w:rsid w:val="00335370"/>
    <w:rsid w:val="003353FE"/>
    <w:rsid w:val="003356B3"/>
    <w:rsid w:val="0033572C"/>
    <w:rsid w:val="0033577C"/>
    <w:rsid w:val="0033583D"/>
    <w:rsid w:val="00335ED1"/>
    <w:rsid w:val="00335FA0"/>
    <w:rsid w:val="00336C06"/>
    <w:rsid w:val="00336FBD"/>
    <w:rsid w:val="00337808"/>
    <w:rsid w:val="00337905"/>
    <w:rsid w:val="00337BDE"/>
    <w:rsid w:val="00337EF8"/>
    <w:rsid w:val="0034030F"/>
    <w:rsid w:val="0034033C"/>
    <w:rsid w:val="003405A0"/>
    <w:rsid w:val="003407E4"/>
    <w:rsid w:val="0034081B"/>
    <w:rsid w:val="00340BEB"/>
    <w:rsid w:val="00340C0A"/>
    <w:rsid w:val="00341058"/>
    <w:rsid w:val="00341296"/>
    <w:rsid w:val="00341557"/>
    <w:rsid w:val="003416A0"/>
    <w:rsid w:val="0034173E"/>
    <w:rsid w:val="00341833"/>
    <w:rsid w:val="00341851"/>
    <w:rsid w:val="00341A29"/>
    <w:rsid w:val="00341B09"/>
    <w:rsid w:val="00342055"/>
    <w:rsid w:val="0034228F"/>
    <w:rsid w:val="003423C7"/>
    <w:rsid w:val="0034245F"/>
    <w:rsid w:val="003424A0"/>
    <w:rsid w:val="003425DF"/>
    <w:rsid w:val="003426EC"/>
    <w:rsid w:val="00342803"/>
    <w:rsid w:val="00342841"/>
    <w:rsid w:val="003428BA"/>
    <w:rsid w:val="00342A60"/>
    <w:rsid w:val="00342CBB"/>
    <w:rsid w:val="00342DDC"/>
    <w:rsid w:val="00342E5D"/>
    <w:rsid w:val="00342FBC"/>
    <w:rsid w:val="0034363B"/>
    <w:rsid w:val="0034375A"/>
    <w:rsid w:val="0034379D"/>
    <w:rsid w:val="003439F6"/>
    <w:rsid w:val="00343AEE"/>
    <w:rsid w:val="00343CB0"/>
    <w:rsid w:val="00343DED"/>
    <w:rsid w:val="00343E5D"/>
    <w:rsid w:val="00343E69"/>
    <w:rsid w:val="0034410F"/>
    <w:rsid w:val="00344182"/>
    <w:rsid w:val="00344359"/>
    <w:rsid w:val="00344774"/>
    <w:rsid w:val="00344983"/>
    <w:rsid w:val="00344A10"/>
    <w:rsid w:val="00344A29"/>
    <w:rsid w:val="00345553"/>
    <w:rsid w:val="00346192"/>
    <w:rsid w:val="003463D1"/>
    <w:rsid w:val="003463D8"/>
    <w:rsid w:val="0034646D"/>
    <w:rsid w:val="00346AD8"/>
    <w:rsid w:val="00346C66"/>
    <w:rsid w:val="0034714F"/>
    <w:rsid w:val="003471C0"/>
    <w:rsid w:val="003477AD"/>
    <w:rsid w:val="0034797B"/>
    <w:rsid w:val="00347BAE"/>
    <w:rsid w:val="00347BE5"/>
    <w:rsid w:val="00347D85"/>
    <w:rsid w:val="003507DD"/>
    <w:rsid w:val="00350B03"/>
    <w:rsid w:val="00350C0E"/>
    <w:rsid w:val="00350C95"/>
    <w:rsid w:val="00351124"/>
    <w:rsid w:val="00351347"/>
    <w:rsid w:val="00351632"/>
    <w:rsid w:val="0035167A"/>
    <w:rsid w:val="00351831"/>
    <w:rsid w:val="003522E0"/>
    <w:rsid w:val="003522F4"/>
    <w:rsid w:val="0035267F"/>
    <w:rsid w:val="0035284A"/>
    <w:rsid w:val="00352B39"/>
    <w:rsid w:val="00352B55"/>
    <w:rsid w:val="003530FE"/>
    <w:rsid w:val="0035331A"/>
    <w:rsid w:val="00354193"/>
    <w:rsid w:val="003547F2"/>
    <w:rsid w:val="003547FA"/>
    <w:rsid w:val="003548FE"/>
    <w:rsid w:val="00354A30"/>
    <w:rsid w:val="003550A4"/>
    <w:rsid w:val="003550BA"/>
    <w:rsid w:val="00355171"/>
    <w:rsid w:val="0035537A"/>
    <w:rsid w:val="0035540B"/>
    <w:rsid w:val="003554D2"/>
    <w:rsid w:val="0035580D"/>
    <w:rsid w:val="0035588D"/>
    <w:rsid w:val="00355985"/>
    <w:rsid w:val="00355D0B"/>
    <w:rsid w:val="003565AC"/>
    <w:rsid w:val="003565E0"/>
    <w:rsid w:val="00356887"/>
    <w:rsid w:val="00356915"/>
    <w:rsid w:val="00356B8C"/>
    <w:rsid w:val="00356E75"/>
    <w:rsid w:val="00356F02"/>
    <w:rsid w:val="0035766F"/>
    <w:rsid w:val="0035781A"/>
    <w:rsid w:val="0035797B"/>
    <w:rsid w:val="00357B39"/>
    <w:rsid w:val="00357CB5"/>
    <w:rsid w:val="00357E8C"/>
    <w:rsid w:val="00357F97"/>
    <w:rsid w:val="003600B2"/>
    <w:rsid w:val="003602DC"/>
    <w:rsid w:val="0036040E"/>
    <w:rsid w:val="00360517"/>
    <w:rsid w:val="00360532"/>
    <w:rsid w:val="00360B57"/>
    <w:rsid w:val="00360EB5"/>
    <w:rsid w:val="00360F43"/>
    <w:rsid w:val="00361A0A"/>
    <w:rsid w:val="00361D06"/>
    <w:rsid w:val="00361D3F"/>
    <w:rsid w:val="00362206"/>
    <w:rsid w:val="00362660"/>
    <w:rsid w:val="00362FD3"/>
    <w:rsid w:val="003639FB"/>
    <w:rsid w:val="00363BF7"/>
    <w:rsid w:val="00363D50"/>
    <w:rsid w:val="00364264"/>
    <w:rsid w:val="003644F1"/>
    <w:rsid w:val="00364CA4"/>
    <w:rsid w:val="00364D9D"/>
    <w:rsid w:val="003650F3"/>
    <w:rsid w:val="003652B9"/>
    <w:rsid w:val="003658C8"/>
    <w:rsid w:val="00365BD9"/>
    <w:rsid w:val="0036601F"/>
    <w:rsid w:val="0036633A"/>
    <w:rsid w:val="0036695B"/>
    <w:rsid w:val="003678EB"/>
    <w:rsid w:val="00367AC6"/>
    <w:rsid w:val="00367B88"/>
    <w:rsid w:val="00370307"/>
    <w:rsid w:val="0037035D"/>
    <w:rsid w:val="00370821"/>
    <w:rsid w:val="00370861"/>
    <w:rsid w:val="003709A2"/>
    <w:rsid w:val="00370A18"/>
    <w:rsid w:val="00370AA1"/>
    <w:rsid w:val="003710ED"/>
    <w:rsid w:val="0037114D"/>
    <w:rsid w:val="003716B7"/>
    <w:rsid w:val="00371748"/>
    <w:rsid w:val="003717D0"/>
    <w:rsid w:val="00371BC7"/>
    <w:rsid w:val="00371D3A"/>
    <w:rsid w:val="003720EE"/>
    <w:rsid w:val="00372263"/>
    <w:rsid w:val="003723DA"/>
    <w:rsid w:val="003725AA"/>
    <w:rsid w:val="003728BF"/>
    <w:rsid w:val="00372A5B"/>
    <w:rsid w:val="00373417"/>
    <w:rsid w:val="00373491"/>
    <w:rsid w:val="00373766"/>
    <w:rsid w:val="0037388C"/>
    <w:rsid w:val="003739DD"/>
    <w:rsid w:val="00373A9E"/>
    <w:rsid w:val="003741A2"/>
    <w:rsid w:val="00374419"/>
    <w:rsid w:val="00374AC8"/>
    <w:rsid w:val="00374C44"/>
    <w:rsid w:val="00374D75"/>
    <w:rsid w:val="00374DC6"/>
    <w:rsid w:val="0037526B"/>
    <w:rsid w:val="003753CE"/>
    <w:rsid w:val="00375A73"/>
    <w:rsid w:val="00375E08"/>
    <w:rsid w:val="00375EA8"/>
    <w:rsid w:val="0037618E"/>
    <w:rsid w:val="0037667D"/>
    <w:rsid w:val="003767C0"/>
    <w:rsid w:val="00376CA0"/>
    <w:rsid w:val="00376F2E"/>
    <w:rsid w:val="0037738C"/>
    <w:rsid w:val="003774D0"/>
    <w:rsid w:val="0037756E"/>
    <w:rsid w:val="00377625"/>
    <w:rsid w:val="0037762C"/>
    <w:rsid w:val="00377CAD"/>
    <w:rsid w:val="00377D9A"/>
    <w:rsid w:val="00377E4F"/>
    <w:rsid w:val="00377EA5"/>
    <w:rsid w:val="00377F68"/>
    <w:rsid w:val="0038016E"/>
    <w:rsid w:val="00380265"/>
    <w:rsid w:val="00380364"/>
    <w:rsid w:val="0038047C"/>
    <w:rsid w:val="00380746"/>
    <w:rsid w:val="00380B0B"/>
    <w:rsid w:val="00380BB9"/>
    <w:rsid w:val="00380D7D"/>
    <w:rsid w:val="00380E94"/>
    <w:rsid w:val="00381256"/>
    <w:rsid w:val="0038126C"/>
    <w:rsid w:val="003813B0"/>
    <w:rsid w:val="003814BB"/>
    <w:rsid w:val="00381562"/>
    <w:rsid w:val="00381721"/>
    <w:rsid w:val="00381750"/>
    <w:rsid w:val="00382266"/>
    <w:rsid w:val="0038235E"/>
    <w:rsid w:val="00382A53"/>
    <w:rsid w:val="00382AE5"/>
    <w:rsid w:val="00382B0C"/>
    <w:rsid w:val="00382D49"/>
    <w:rsid w:val="00382FE3"/>
    <w:rsid w:val="00383170"/>
    <w:rsid w:val="003833B5"/>
    <w:rsid w:val="0038352D"/>
    <w:rsid w:val="003835FF"/>
    <w:rsid w:val="00383659"/>
    <w:rsid w:val="00383BF4"/>
    <w:rsid w:val="00383E7E"/>
    <w:rsid w:val="00384584"/>
    <w:rsid w:val="003845A6"/>
    <w:rsid w:val="003847ED"/>
    <w:rsid w:val="00384987"/>
    <w:rsid w:val="00384A60"/>
    <w:rsid w:val="00384A8B"/>
    <w:rsid w:val="00384ADE"/>
    <w:rsid w:val="00384C06"/>
    <w:rsid w:val="00384DB9"/>
    <w:rsid w:val="003856BD"/>
    <w:rsid w:val="00385F59"/>
    <w:rsid w:val="0038689A"/>
    <w:rsid w:val="00386DDB"/>
    <w:rsid w:val="00387553"/>
    <w:rsid w:val="0038792E"/>
    <w:rsid w:val="0038797A"/>
    <w:rsid w:val="00387A4A"/>
    <w:rsid w:val="00391078"/>
    <w:rsid w:val="003910D0"/>
    <w:rsid w:val="0039121A"/>
    <w:rsid w:val="003921CD"/>
    <w:rsid w:val="00392270"/>
    <w:rsid w:val="003929D2"/>
    <w:rsid w:val="00392BC2"/>
    <w:rsid w:val="00392CCA"/>
    <w:rsid w:val="00393029"/>
    <w:rsid w:val="00393209"/>
    <w:rsid w:val="00393887"/>
    <w:rsid w:val="00393AD7"/>
    <w:rsid w:val="00393DD5"/>
    <w:rsid w:val="00393E3E"/>
    <w:rsid w:val="00393F81"/>
    <w:rsid w:val="00393FA5"/>
    <w:rsid w:val="0039406E"/>
    <w:rsid w:val="0039411F"/>
    <w:rsid w:val="0039413F"/>
    <w:rsid w:val="003946B9"/>
    <w:rsid w:val="00394B51"/>
    <w:rsid w:val="00394E04"/>
    <w:rsid w:val="003953BE"/>
    <w:rsid w:val="003957BB"/>
    <w:rsid w:val="003959C9"/>
    <w:rsid w:val="00396158"/>
    <w:rsid w:val="003962CD"/>
    <w:rsid w:val="003963FF"/>
    <w:rsid w:val="003965AF"/>
    <w:rsid w:val="003965C0"/>
    <w:rsid w:val="00396894"/>
    <w:rsid w:val="00396935"/>
    <w:rsid w:val="00396997"/>
    <w:rsid w:val="00396A4C"/>
    <w:rsid w:val="00397191"/>
    <w:rsid w:val="0039743E"/>
    <w:rsid w:val="00397A8D"/>
    <w:rsid w:val="00397CAC"/>
    <w:rsid w:val="00397D16"/>
    <w:rsid w:val="003A0403"/>
    <w:rsid w:val="003A07D6"/>
    <w:rsid w:val="003A0D0B"/>
    <w:rsid w:val="003A1301"/>
    <w:rsid w:val="003A1EE5"/>
    <w:rsid w:val="003A27BB"/>
    <w:rsid w:val="003A280A"/>
    <w:rsid w:val="003A2FE5"/>
    <w:rsid w:val="003A31F5"/>
    <w:rsid w:val="003A35D6"/>
    <w:rsid w:val="003A3E3C"/>
    <w:rsid w:val="003A43CA"/>
    <w:rsid w:val="003A4473"/>
    <w:rsid w:val="003A4780"/>
    <w:rsid w:val="003A4ACF"/>
    <w:rsid w:val="003A4CF1"/>
    <w:rsid w:val="003A4E51"/>
    <w:rsid w:val="003A5077"/>
    <w:rsid w:val="003A5614"/>
    <w:rsid w:val="003A56A1"/>
    <w:rsid w:val="003A5BC5"/>
    <w:rsid w:val="003A5C82"/>
    <w:rsid w:val="003A5CF2"/>
    <w:rsid w:val="003A5D19"/>
    <w:rsid w:val="003A5DAB"/>
    <w:rsid w:val="003A5E4A"/>
    <w:rsid w:val="003A5F4E"/>
    <w:rsid w:val="003A6A4E"/>
    <w:rsid w:val="003A6C4D"/>
    <w:rsid w:val="003A6DDA"/>
    <w:rsid w:val="003A72FF"/>
    <w:rsid w:val="003A782B"/>
    <w:rsid w:val="003B0002"/>
    <w:rsid w:val="003B03BF"/>
    <w:rsid w:val="003B0E9B"/>
    <w:rsid w:val="003B15ED"/>
    <w:rsid w:val="003B1620"/>
    <w:rsid w:val="003B1661"/>
    <w:rsid w:val="003B1919"/>
    <w:rsid w:val="003B232C"/>
    <w:rsid w:val="003B28C3"/>
    <w:rsid w:val="003B2A09"/>
    <w:rsid w:val="003B2E43"/>
    <w:rsid w:val="003B2FCF"/>
    <w:rsid w:val="003B317B"/>
    <w:rsid w:val="003B3799"/>
    <w:rsid w:val="003B3AA8"/>
    <w:rsid w:val="003B3EC4"/>
    <w:rsid w:val="003B3FD2"/>
    <w:rsid w:val="003B4059"/>
    <w:rsid w:val="003B4407"/>
    <w:rsid w:val="003B440E"/>
    <w:rsid w:val="003B453B"/>
    <w:rsid w:val="003B4621"/>
    <w:rsid w:val="003B4835"/>
    <w:rsid w:val="003B51D0"/>
    <w:rsid w:val="003B5254"/>
    <w:rsid w:val="003B533E"/>
    <w:rsid w:val="003B5747"/>
    <w:rsid w:val="003B580F"/>
    <w:rsid w:val="003B6230"/>
    <w:rsid w:val="003B63DD"/>
    <w:rsid w:val="003B642F"/>
    <w:rsid w:val="003B673D"/>
    <w:rsid w:val="003B6A7F"/>
    <w:rsid w:val="003B730A"/>
    <w:rsid w:val="003B7840"/>
    <w:rsid w:val="003B7AF0"/>
    <w:rsid w:val="003B7CC3"/>
    <w:rsid w:val="003B7F41"/>
    <w:rsid w:val="003C0183"/>
    <w:rsid w:val="003C01FF"/>
    <w:rsid w:val="003C0B0E"/>
    <w:rsid w:val="003C0E43"/>
    <w:rsid w:val="003C1054"/>
    <w:rsid w:val="003C126B"/>
    <w:rsid w:val="003C175D"/>
    <w:rsid w:val="003C1CFB"/>
    <w:rsid w:val="003C2577"/>
    <w:rsid w:val="003C2BBD"/>
    <w:rsid w:val="003C2F98"/>
    <w:rsid w:val="003C2FE6"/>
    <w:rsid w:val="003C32A6"/>
    <w:rsid w:val="003C3379"/>
    <w:rsid w:val="003C3AE8"/>
    <w:rsid w:val="003C3BB5"/>
    <w:rsid w:val="003C3E77"/>
    <w:rsid w:val="003C3E86"/>
    <w:rsid w:val="003C3F9B"/>
    <w:rsid w:val="003C4066"/>
    <w:rsid w:val="003C4264"/>
    <w:rsid w:val="003C43EC"/>
    <w:rsid w:val="003C4448"/>
    <w:rsid w:val="003C46AD"/>
    <w:rsid w:val="003C4CF4"/>
    <w:rsid w:val="003C4D1E"/>
    <w:rsid w:val="003C4E99"/>
    <w:rsid w:val="003C529F"/>
    <w:rsid w:val="003C5D7C"/>
    <w:rsid w:val="003C5FC9"/>
    <w:rsid w:val="003C63D3"/>
    <w:rsid w:val="003C6D26"/>
    <w:rsid w:val="003C7449"/>
    <w:rsid w:val="003C7769"/>
    <w:rsid w:val="003C7AF1"/>
    <w:rsid w:val="003C7BE5"/>
    <w:rsid w:val="003D0022"/>
    <w:rsid w:val="003D0643"/>
    <w:rsid w:val="003D0B52"/>
    <w:rsid w:val="003D0C86"/>
    <w:rsid w:val="003D1093"/>
    <w:rsid w:val="003D1448"/>
    <w:rsid w:val="003D1621"/>
    <w:rsid w:val="003D1ADC"/>
    <w:rsid w:val="003D1B36"/>
    <w:rsid w:val="003D1BB5"/>
    <w:rsid w:val="003D1D81"/>
    <w:rsid w:val="003D1D95"/>
    <w:rsid w:val="003D1EEC"/>
    <w:rsid w:val="003D1EF2"/>
    <w:rsid w:val="003D1F44"/>
    <w:rsid w:val="003D22D2"/>
    <w:rsid w:val="003D2A90"/>
    <w:rsid w:val="003D33E2"/>
    <w:rsid w:val="003D3447"/>
    <w:rsid w:val="003D3537"/>
    <w:rsid w:val="003D35E6"/>
    <w:rsid w:val="003D3A06"/>
    <w:rsid w:val="003D3CB2"/>
    <w:rsid w:val="003D3D91"/>
    <w:rsid w:val="003D3EC2"/>
    <w:rsid w:val="003D4708"/>
    <w:rsid w:val="003D472C"/>
    <w:rsid w:val="003D477A"/>
    <w:rsid w:val="003D4D86"/>
    <w:rsid w:val="003D5184"/>
    <w:rsid w:val="003D5469"/>
    <w:rsid w:val="003D5847"/>
    <w:rsid w:val="003D614C"/>
    <w:rsid w:val="003D619A"/>
    <w:rsid w:val="003D6556"/>
    <w:rsid w:val="003D659F"/>
    <w:rsid w:val="003D6B20"/>
    <w:rsid w:val="003D6F9A"/>
    <w:rsid w:val="003D7078"/>
    <w:rsid w:val="003D758E"/>
    <w:rsid w:val="003D78BF"/>
    <w:rsid w:val="003D7C86"/>
    <w:rsid w:val="003D7CF9"/>
    <w:rsid w:val="003E01B9"/>
    <w:rsid w:val="003E0352"/>
    <w:rsid w:val="003E05BD"/>
    <w:rsid w:val="003E0976"/>
    <w:rsid w:val="003E0A15"/>
    <w:rsid w:val="003E0C71"/>
    <w:rsid w:val="003E0C99"/>
    <w:rsid w:val="003E0E78"/>
    <w:rsid w:val="003E118A"/>
    <w:rsid w:val="003E14BE"/>
    <w:rsid w:val="003E182D"/>
    <w:rsid w:val="003E1937"/>
    <w:rsid w:val="003E1AFB"/>
    <w:rsid w:val="003E213F"/>
    <w:rsid w:val="003E26B2"/>
    <w:rsid w:val="003E2B86"/>
    <w:rsid w:val="003E3046"/>
    <w:rsid w:val="003E31BA"/>
    <w:rsid w:val="003E3205"/>
    <w:rsid w:val="003E32E1"/>
    <w:rsid w:val="003E32FE"/>
    <w:rsid w:val="003E345C"/>
    <w:rsid w:val="003E3615"/>
    <w:rsid w:val="003E3F41"/>
    <w:rsid w:val="003E458E"/>
    <w:rsid w:val="003E4E80"/>
    <w:rsid w:val="003E50A1"/>
    <w:rsid w:val="003E5127"/>
    <w:rsid w:val="003E536E"/>
    <w:rsid w:val="003E542F"/>
    <w:rsid w:val="003E569A"/>
    <w:rsid w:val="003E592F"/>
    <w:rsid w:val="003E5CCB"/>
    <w:rsid w:val="003E5F33"/>
    <w:rsid w:val="003E65A4"/>
    <w:rsid w:val="003E6615"/>
    <w:rsid w:val="003E694D"/>
    <w:rsid w:val="003E6CD0"/>
    <w:rsid w:val="003E6F0E"/>
    <w:rsid w:val="003E74C3"/>
    <w:rsid w:val="003E7662"/>
    <w:rsid w:val="003E79F9"/>
    <w:rsid w:val="003E7C34"/>
    <w:rsid w:val="003F06E0"/>
    <w:rsid w:val="003F076E"/>
    <w:rsid w:val="003F083C"/>
    <w:rsid w:val="003F08C4"/>
    <w:rsid w:val="003F0909"/>
    <w:rsid w:val="003F0949"/>
    <w:rsid w:val="003F0C38"/>
    <w:rsid w:val="003F0D7C"/>
    <w:rsid w:val="003F1223"/>
    <w:rsid w:val="003F12E9"/>
    <w:rsid w:val="003F177A"/>
    <w:rsid w:val="003F1AB9"/>
    <w:rsid w:val="003F1B5C"/>
    <w:rsid w:val="003F1BBE"/>
    <w:rsid w:val="003F1C13"/>
    <w:rsid w:val="003F1FD6"/>
    <w:rsid w:val="003F2034"/>
    <w:rsid w:val="003F2203"/>
    <w:rsid w:val="003F243C"/>
    <w:rsid w:val="003F24CE"/>
    <w:rsid w:val="003F26FE"/>
    <w:rsid w:val="003F2A44"/>
    <w:rsid w:val="003F2ABB"/>
    <w:rsid w:val="003F2C11"/>
    <w:rsid w:val="003F301F"/>
    <w:rsid w:val="003F3377"/>
    <w:rsid w:val="003F33B7"/>
    <w:rsid w:val="003F36D8"/>
    <w:rsid w:val="003F36E5"/>
    <w:rsid w:val="003F37FD"/>
    <w:rsid w:val="003F3854"/>
    <w:rsid w:val="003F39AE"/>
    <w:rsid w:val="003F3A52"/>
    <w:rsid w:val="003F3EF1"/>
    <w:rsid w:val="003F45B2"/>
    <w:rsid w:val="003F4679"/>
    <w:rsid w:val="003F4B62"/>
    <w:rsid w:val="003F4CBE"/>
    <w:rsid w:val="003F59F4"/>
    <w:rsid w:val="003F5B16"/>
    <w:rsid w:val="003F5CD7"/>
    <w:rsid w:val="003F5CD8"/>
    <w:rsid w:val="003F5FDD"/>
    <w:rsid w:val="003F6086"/>
    <w:rsid w:val="003F60E1"/>
    <w:rsid w:val="003F648C"/>
    <w:rsid w:val="003F6633"/>
    <w:rsid w:val="003F66FD"/>
    <w:rsid w:val="003F672A"/>
    <w:rsid w:val="003F6F1B"/>
    <w:rsid w:val="003F7000"/>
    <w:rsid w:val="003F7506"/>
    <w:rsid w:val="003F757E"/>
    <w:rsid w:val="003F764A"/>
    <w:rsid w:val="003F7F49"/>
    <w:rsid w:val="0040032A"/>
    <w:rsid w:val="0040033C"/>
    <w:rsid w:val="00400494"/>
    <w:rsid w:val="004004F6"/>
    <w:rsid w:val="0040078F"/>
    <w:rsid w:val="00400A0C"/>
    <w:rsid w:val="004010AA"/>
    <w:rsid w:val="004017DF"/>
    <w:rsid w:val="00401A68"/>
    <w:rsid w:val="00401B69"/>
    <w:rsid w:val="00401F49"/>
    <w:rsid w:val="0040214B"/>
    <w:rsid w:val="00402280"/>
    <w:rsid w:val="00402900"/>
    <w:rsid w:val="00402B37"/>
    <w:rsid w:val="00402BA1"/>
    <w:rsid w:val="00402DC6"/>
    <w:rsid w:val="0040313C"/>
    <w:rsid w:val="0040351E"/>
    <w:rsid w:val="00403882"/>
    <w:rsid w:val="00403A03"/>
    <w:rsid w:val="00403B57"/>
    <w:rsid w:val="00404D94"/>
    <w:rsid w:val="00404DCD"/>
    <w:rsid w:val="00405148"/>
    <w:rsid w:val="0040548B"/>
    <w:rsid w:val="004054A8"/>
    <w:rsid w:val="004055FB"/>
    <w:rsid w:val="00405A43"/>
    <w:rsid w:val="00405AE6"/>
    <w:rsid w:val="00405EA9"/>
    <w:rsid w:val="00406145"/>
    <w:rsid w:val="0040646D"/>
    <w:rsid w:val="00406500"/>
    <w:rsid w:val="0040667E"/>
    <w:rsid w:val="00406A86"/>
    <w:rsid w:val="00406AC1"/>
    <w:rsid w:val="00406B46"/>
    <w:rsid w:val="00406FFC"/>
    <w:rsid w:val="00407441"/>
    <w:rsid w:val="004077D6"/>
    <w:rsid w:val="0040780E"/>
    <w:rsid w:val="00407867"/>
    <w:rsid w:val="00407C0D"/>
    <w:rsid w:val="00407E27"/>
    <w:rsid w:val="004104BE"/>
    <w:rsid w:val="00410883"/>
    <w:rsid w:val="00410A5C"/>
    <w:rsid w:val="00410C53"/>
    <w:rsid w:val="00410C9B"/>
    <w:rsid w:val="00411033"/>
    <w:rsid w:val="00411317"/>
    <w:rsid w:val="004115E1"/>
    <w:rsid w:val="004116F3"/>
    <w:rsid w:val="004117A8"/>
    <w:rsid w:val="00411A53"/>
    <w:rsid w:val="00411BEF"/>
    <w:rsid w:val="00411F5D"/>
    <w:rsid w:val="004121E7"/>
    <w:rsid w:val="0041312D"/>
    <w:rsid w:val="004131CB"/>
    <w:rsid w:val="00414334"/>
    <w:rsid w:val="00414665"/>
    <w:rsid w:val="00414673"/>
    <w:rsid w:val="0041473B"/>
    <w:rsid w:val="0041478B"/>
    <w:rsid w:val="00414AA8"/>
    <w:rsid w:val="00414B30"/>
    <w:rsid w:val="00414C6B"/>
    <w:rsid w:val="00414E51"/>
    <w:rsid w:val="00414E5C"/>
    <w:rsid w:val="0041517D"/>
    <w:rsid w:val="004151EC"/>
    <w:rsid w:val="00415C03"/>
    <w:rsid w:val="00415D9B"/>
    <w:rsid w:val="00416093"/>
    <w:rsid w:val="004162D3"/>
    <w:rsid w:val="00416512"/>
    <w:rsid w:val="004167C7"/>
    <w:rsid w:val="004167DB"/>
    <w:rsid w:val="00416867"/>
    <w:rsid w:val="00416CA7"/>
    <w:rsid w:val="00416CC7"/>
    <w:rsid w:val="00416D3C"/>
    <w:rsid w:val="00416E86"/>
    <w:rsid w:val="00417347"/>
    <w:rsid w:val="004173A0"/>
    <w:rsid w:val="0041747D"/>
    <w:rsid w:val="0041760B"/>
    <w:rsid w:val="00417775"/>
    <w:rsid w:val="004179E2"/>
    <w:rsid w:val="00417E60"/>
    <w:rsid w:val="00417FB5"/>
    <w:rsid w:val="0042005C"/>
    <w:rsid w:val="004202E1"/>
    <w:rsid w:val="004203EF"/>
    <w:rsid w:val="00420435"/>
    <w:rsid w:val="0042094B"/>
    <w:rsid w:val="00420E59"/>
    <w:rsid w:val="00420F04"/>
    <w:rsid w:val="004210BA"/>
    <w:rsid w:val="004213A2"/>
    <w:rsid w:val="004213A6"/>
    <w:rsid w:val="004214FC"/>
    <w:rsid w:val="00421870"/>
    <w:rsid w:val="004228C6"/>
    <w:rsid w:val="00422D03"/>
    <w:rsid w:val="00423099"/>
    <w:rsid w:val="0042313D"/>
    <w:rsid w:val="0042347C"/>
    <w:rsid w:val="00423614"/>
    <w:rsid w:val="00423CBD"/>
    <w:rsid w:val="004240A9"/>
    <w:rsid w:val="004241CE"/>
    <w:rsid w:val="00424200"/>
    <w:rsid w:val="00424564"/>
    <w:rsid w:val="00424855"/>
    <w:rsid w:val="00424D0A"/>
    <w:rsid w:val="00424E79"/>
    <w:rsid w:val="00424FA9"/>
    <w:rsid w:val="0042558E"/>
    <w:rsid w:val="00425BA1"/>
    <w:rsid w:val="00426178"/>
    <w:rsid w:val="0042661C"/>
    <w:rsid w:val="004270B7"/>
    <w:rsid w:val="00427271"/>
    <w:rsid w:val="004274B3"/>
    <w:rsid w:val="00427808"/>
    <w:rsid w:val="00427F27"/>
    <w:rsid w:val="0043009C"/>
    <w:rsid w:val="00430294"/>
    <w:rsid w:val="004302F2"/>
    <w:rsid w:val="004303AB"/>
    <w:rsid w:val="004303EB"/>
    <w:rsid w:val="0043044F"/>
    <w:rsid w:val="0043062E"/>
    <w:rsid w:val="00430734"/>
    <w:rsid w:val="0043076A"/>
    <w:rsid w:val="00430BDD"/>
    <w:rsid w:val="0043113F"/>
    <w:rsid w:val="00431785"/>
    <w:rsid w:val="004318A2"/>
    <w:rsid w:val="00431B17"/>
    <w:rsid w:val="00432048"/>
    <w:rsid w:val="004323EB"/>
    <w:rsid w:val="00432540"/>
    <w:rsid w:val="00432D78"/>
    <w:rsid w:val="00432E48"/>
    <w:rsid w:val="00432ED2"/>
    <w:rsid w:val="004332B3"/>
    <w:rsid w:val="00433469"/>
    <w:rsid w:val="00433529"/>
    <w:rsid w:val="0043362C"/>
    <w:rsid w:val="00433C2A"/>
    <w:rsid w:val="00433F36"/>
    <w:rsid w:val="00433FEE"/>
    <w:rsid w:val="004344BF"/>
    <w:rsid w:val="004344CE"/>
    <w:rsid w:val="0043452F"/>
    <w:rsid w:val="00434660"/>
    <w:rsid w:val="00434B15"/>
    <w:rsid w:val="00434B64"/>
    <w:rsid w:val="00434C9F"/>
    <w:rsid w:val="00435A59"/>
    <w:rsid w:val="00435CB8"/>
    <w:rsid w:val="00436207"/>
    <w:rsid w:val="00436217"/>
    <w:rsid w:val="00436227"/>
    <w:rsid w:val="0043632B"/>
    <w:rsid w:val="00436624"/>
    <w:rsid w:val="00436E6C"/>
    <w:rsid w:val="00437057"/>
    <w:rsid w:val="00437135"/>
    <w:rsid w:val="004375B3"/>
    <w:rsid w:val="004377CB"/>
    <w:rsid w:val="00437831"/>
    <w:rsid w:val="00437B99"/>
    <w:rsid w:val="00437EB5"/>
    <w:rsid w:val="004400FC"/>
    <w:rsid w:val="00440190"/>
    <w:rsid w:val="0044019B"/>
    <w:rsid w:val="00440338"/>
    <w:rsid w:val="00440360"/>
    <w:rsid w:val="004403F7"/>
    <w:rsid w:val="0044072F"/>
    <w:rsid w:val="00440C8C"/>
    <w:rsid w:val="004412FA"/>
    <w:rsid w:val="0044167F"/>
    <w:rsid w:val="004418E1"/>
    <w:rsid w:val="00441918"/>
    <w:rsid w:val="0044198B"/>
    <w:rsid w:val="00441CBC"/>
    <w:rsid w:val="00441E39"/>
    <w:rsid w:val="00441F98"/>
    <w:rsid w:val="0044207C"/>
    <w:rsid w:val="00442E9B"/>
    <w:rsid w:val="00443537"/>
    <w:rsid w:val="004438E4"/>
    <w:rsid w:val="00443B94"/>
    <w:rsid w:val="00443CD3"/>
    <w:rsid w:val="00443E1F"/>
    <w:rsid w:val="00443EC1"/>
    <w:rsid w:val="0044403E"/>
    <w:rsid w:val="004441D6"/>
    <w:rsid w:val="00444240"/>
    <w:rsid w:val="004442AB"/>
    <w:rsid w:val="00444399"/>
    <w:rsid w:val="004443E1"/>
    <w:rsid w:val="004453E2"/>
    <w:rsid w:val="0044566E"/>
    <w:rsid w:val="0044640F"/>
    <w:rsid w:val="004467C4"/>
    <w:rsid w:val="00446A96"/>
    <w:rsid w:val="00446C68"/>
    <w:rsid w:val="00446CAB"/>
    <w:rsid w:val="00446D05"/>
    <w:rsid w:val="00446F26"/>
    <w:rsid w:val="0044756C"/>
    <w:rsid w:val="004475A5"/>
    <w:rsid w:val="00447666"/>
    <w:rsid w:val="00447725"/>
    <w:rsid w:val="0044772F"/>
    <w:rsid w:val="004477FF"/>
    <w:rsid w:val="00447AC9"/>
    <w:rsid w:val="00447C57"/>
    <w:rsid w:val="00447CE7"/>
    <w:rsid w:val="00447D18"/>
    <w:rsid w:val="00447D1A"/>
    <w:rsid w:val="00447D60"/>
    <w:rsid w:val="004502B2"/>
    <w:rsid w:val="00450452"/>
    <w:rsid w:val="0045047E"/>
    <w:rsid w:val="004504E9"/>
    <w:rsid w:val="00450CD9"/>
    <w:rsid w:val="00451433"/>
    <w:rsid w:val="00451970"/>
    <w:rsid w:val="00451E80"/>
    <w:rsid w:val="004520CB"/>
    <w:rsid w:val="004522B6"/>
    <w:rsid w:val="00452434"/>
    <w:rsid w:val="00452631"/>
    <w:rsid w:val="00452EAE"/>
    <w:rsid w:val="00452EF2"/>
    <w:rsid w:val="00452FEC"/>
    <w:rsid w:val="00453264"/>
    <w:rsid w:val="0045350E"/>
    <w:rsid w:val="004539E1"/>
    <w:rsid w:val="0045402E"/>
    <w:rsid w:val="004545EE"/>
    <w:rsid w:val="004551F2"/>
    <w:rsid w:val="0045521A"/>
    <w:rsid w:val="0045526D"/>
    <w:rsid w:val="00455597"/>
    <w:rsid w:val="00456226"/>
    <w:rsid w:val="0045628F"/>
    <w:rsid w:val="004562B8"/>
    <w:rsid w:val="0045650E"/>
    <w:rsid w:val="004568D7"/>
    <w:rsid w:val="00456DCC"/>
    <w:rsid w:val="00456E0B"/>
    <w:rsid w:val="004574E7"/>
    <w:rsid w:val="00457563"/>
    <w:rsid w:val="004575B3"/>
    <w:rsid w:val="00457981"/>
    <w:rsid w:val="00457990"/>
    <w:rsid w:val="00457C7C"/>
    <w:rsid w:val="00460114"/>
    <w:rsid w:val="00460DA2"/>
    <w:rsid w:val="0046102E"/>
    <w:rsid w:val="0046147A"/>
    <w:rsid w:val="0046174C"/>
    <w:rsid w:val="00461CDE"/>
    <w:rsid w:val="00461DB2"/>
    <w:rsid w:val="00462036"/>
    <w:rsid w:val="0046222A"/>
    <w:rsid w:val="00462914"/>
    <w:rsid w:val="00462B54"/>
    <w:rsid w:val="00463064"/>
    <w:rsid w:val="0046334D"/>
    <w:rsid w:val="004633A5"/>
    <w:rsid w:val="00463569"/>
    <w:rsid w:val="004636C5"/>
    <w:rsid w:val="004637AF"/>
    <w:rsid w:val="00463DB5"/>
    <w:rsid w:val="004640FD"/>
    <w:rsid w:val="00464118"/>
    <w:rsid w:val="0046463E"/>
    <w:rsid w:val="004649CD"/>
    <w:rsid w:val="00464C37"/>
    <w:rsid w:val="00465385"/>
    <w:rsid w:val="0046558A"/>
    <w:rsid w:val="004656CF"/>
    <w:rsid w:val="00465D65"/>
    <w:rsid w:val="00465E91"/>
    <w:rsid w:val="00466577"/>
    <w:rsid w:val="00466750"/>
    <w:rsid w:val="00466805"/>
    <w:rsid w:val="0046685B"/>
    <w:rsid w:val="00466FC4"/>
    <w:rsid w:val="004670A0"/>
    <w:rsid w:val="0046770A"/>
    <w:rsid w:val="00467A5C"/>
    <w:rsid w:val="00467ABD"/>
    <w:rsid w:val="00467E2B"/>
    <w:rsid w:val="00467E4C"/>
    <w:rsid w:val="00470067"/>
    <w:rsid w:val="00470BAE"/>
    <w:rsid w:val="00471411"/>
    <w:rsid w:val="00471956"/>
    <w:rsid w:val="00471D36"/>
    <w:rsid w:val="00471DEC"/>
    <w:rsid w:val="00472461"/>
    <w:rsid w:val="004724BE"/>
    <w:rsid w:val="004727AD"/>
    <w:rsid w:val="00472B98"/>
    <w:rsid w:val="00472DEE"/>
    <w:rsid w:val="00472E47"/>
    <w:rsid w:val="00473141"/>
    <w:rsid w:val="004732CA"/>
    <w:rsid w:val="00473914"/>
    <w:rsid w:val="00473C3D"/>
    <w:rsid w:val="00473EBA"/>
    <w:rsid w:val="00474445"/>
    <w:rsid w:val="0047451E"/>
    <w:rsid w:val="00474835"/>
    <w:rsid w:val="00474EA2"/>
    <w:rsid w:val="00475B02"/>
    <w:rsid w:val="00475B95"/>
    <w:rsid w:val="00475BFE"/>
    <w:rsid w:val="00475C23"/>
    <w:rsid w:val="00475C50"/>
    <w:rsid w:val="004762F3"/>
    <w:rsid w:val="00477042"/>
    <w:rsid w:val="0047711B"/>
    <w:rsid w:val="00477404"/>
    <w:rsid w:val="00477612"/>
    <w:rsid w:val="004778B9"/>
    <w:rsid w:val="00477B8C"/>
    <w:rsid w:val="00477C42"/>
    <w:rsid w:val="00480065"/>
    <w:rsid w:val="004800AB"/>
    <w:rsid w:val="00480562"/>
    <w:rsid w:val="00480564"/>
    <w:rsid w:val="004808B8"/>
    <w:rsid w:val="004809B8"/>
    <w:rsid w:val="00480DD9"/>
    <w:rsid w:val="0048103C"/>
    <w:rsid w:val="0048119A"/>
    <w:rsid w:val="004816FC"/>
    <w:rsid w:val="00481700"/>
    <w:rsid w:val="00481708"/>
    <w:rsid w:val="004817E9"/>
    <w:rsid w:val="00481C62"/>
    <w:rsid w:val="00481CFE"/>
    <w:rsid w:val="00481E3F"/>
    <w:rsid w:val="00481F10"/>
    <w:rsid w:val="00481F58"/>
    <w:rsid w:val="004820FA"/>
    <w:rsid w:val="004821B9"/>
    <w:rsid w:val="004824F0"/>
    <w:rsid w:val="004824F4"/>
    <w:rsid w:val="00482758"/>
    <w:rsid w:val="00482B16"/>
    <w:rsid w:val="00482E6B"/>
    <w:rsid w:val="00483217"/>
    <w:rsid w:val="0048347E"/>
    <w:rsid w:val="00483A69"/>
    <w:rsid w:val="0048464F"/>
    <w:rsid w:val="00484AA6"/>
    <w:rsid w:val="00484D05"/>
    <w:rsid w:val="00485301"/>
    <w:rsid w:val="00485601"/>
    <w:rsid w:val="00485612"/>
    <w:rsid w:val="00485A0F"/>
    <w:rsid w:val="00485A4A"/>
    <w:rsid w:val="00485DD4"/>
    <w:rsid w:val="00485E5A"/>
    <w:rsid w:val="00485F13"/>
    <w:rsid w:val="00486093"/>
    <w:rsid w:val="0048632D"/>
    <w:rsid w:val="00486E2E"/>
    <w:rsid w:val="00486F6B"/>
    <w:rsid w:val="0048701F"/>
    <w:rsid w:val="0048707C"/>
    <w:rsid w:val="00487498"/>
    <w:rsid w:val="00487D40"/>
    <w:rsid w:val="00487F89"/>
    <w:rsid w:val="004902A7"/>
    <w:rsid w:val="00490742"/>
    <w:rsid w:val="004908BF"/>
    <w:rsid w:val="00490A31"/>
    <w:rsid w:val="004910A6"/>
    <w:rsid w:val="00491575"/>
    <w:rsid w:val="004916CB"/>
    <w:rsid w:val="0049183D"/>
    <w:rsid w:val="00491880"/>
    <w:rsid w:val="00491D88"/>
    <w:rsid w:val="00491FDF"/>
    <w:rsid w:val="004920DA"/>
    <w:rsid w:val="0049216A"/>
    <w:rsid w:val="00492271"/>
    <w:rsid w:val="004925BF"/>
    <w:rsid w:val="004926AE"/>
    <w:rsid w:val="004927D8"/>
    <w:rsid w:val="004928BF"/>
    <w:rsid w:val="00493021"/>
    <w:rsid w:val="00493044"/>
    <w:rsid w:val="00493277"/>
    <w:rsid w:val="004935ED"/>
    <w:rsid w:val="00493631"/>
    <w:rsid w:val="00493BE7"/>
    <w:rsid w:val="00494155"/>
    <w:rsid w:val="004942B5"/>
    <w:rsid w:val="004949BF"/>
    <w:rsid w:val="00494E80"/>
    <w:rsid w:val="0049508D"/>
    <w:rsid w:val="004958AC"/>
    <w:rsid w:val="004958FD"/>
    <w:rsid w:val="00495FD4"/>
    <w:rsid w:val="0049605C"/>
    <w:rsid w:val="004961A1"/>
    <w:rsid w:val="00496382"/>
    <w:rsid w:val="004965C1"/>
    <w:rsid w:val="004965F7"/>
    <w:rsid w:val="00496605"/>
    <w:rsid w:val="004966F6"/>
    <w:rsid w:val="0049687E"/>
    <w:rsid w:val="004969AF"/>
    <w:rsid w:val="00496DA4"/>
    <w:rsid w:val="004970F8"/>
    <w:rsid w:val="00497552"/>
    <w:rsid w:val="004975AD"/>
    <w:rsid w:val="00497950"/>
    <w:rsid w:val="00497A62"/>
    <w:rsid w:val="00497BFA"/>
    <w:rsid w:val="00497FBF"/>
    <w:rsid w:val="004A053D"/>
    <w:rsid w:val="004A06F9"/>
    <w:rsid w:val="004A124B"/>
    <w:rsid w:val="004A1480"/>
    <w:rsid w:val="004A1635"/>
    <w:rsid w:val="004A1833"/>
    <w:rsid w:val="004A1D47"/>
    <w:rsid w:val="004A1FCC"/>
    <w:rsid w:val="004A2565"/>
    <w:rsid w:val="004A25BE"/>
    <w:rsid w:val="004A267A"/>
    <w:rsid w:val="004A29BD"/>
    <w:rsid w:val="004A2F18"/>
    <w:rsid w:val="004A2FFD"/>
    <w:rsid w:val="004A3183"/>
    <w:rsid w:val="004A325C"/>
    <w:rsid w:val="004A3873"/>
    <w:rsid w:val="004A39C9"/>
    <w:rsid w:val="004A3A48"/>
    <w:rsid w:val="004A3B78"/>
    <w:rsid w:val="004A3F09"/>
    <w:rsid w:val="004A4036"/>
    <w:rsid w:val="004A40B0"/>
    <w:rsid w:val="004A4125"/>
    <w:rsid w:val="004A41FB"/>
    <w:rsid w:val="004A4309"/>
    <w:rsid w:val="004A46FF"/>
    <w:rsid w:val="004A4A56"/>
    <w:rsid w:val="004A4BFA"/>
    <w:rsid w:val="004A4CBD"/>
    <w:rsid w:val="004A51FA"/>
    <w:rsid w:val="004A5223"/>
    <w:rsid w:val="004A56B1"/>
    <w:rsid w:val="004A5A1C"/>
    <w:rsid w:val="004A5A65"/>
    <w:rsid w:val="004A5F9D"/>
    <w:rsid w:val="004A6049"/>
    <w:rsid w:val="004A6101"/>
    <w:rsid w:val="004A6166"/>
    <w:rsid w:val="004A63E5"/>
    <w:rsid w:val="004A66FC"/>
    <w:rsid w:val="004A67E9"/>
    <w:rsid w:val="004A687D"/>
    <w:rsid w:val="004A6896"/>
    <w:rsid w:val="004A6B13"/>
    <w:rsid w:val="004A6B2B"/>
    <w:rsid w:val="004A6DB6"/>
    <w:rsid w:val="004A6ED8"/>
    <w:rsid w:val="004A7048"/>
    <w:rsid w:val="004A7057"/>
    <w:rsid w:val="004A70CF"/>
    <w:rsid w:val="004A70F7"/>
    <w:rsid w:val="004A7200"/>
    <w:rsid w:val="004A73A0"/>
    <w:rsid w:val="004A73F6"/>
    <w:rsid w:val="004A742E"/>
    <w:rsid w:val="004A7616"/>
    <w:rsid w:val="004A79D6"/>
    <w:rsid w:val="004A7B16"/>
    <w:rsid w:val="004A7B5E"/>
    <w:rsid w:val="004A7EFC"/>
    <w:rsid w:val="004B007D"/>
    <w:rsid w:val="004B02C6"/>
    <w:rsid w:val="004B0498"/>
    <w:rsid w:val="004B0514"/>
    <w:rsid w:val="004B0A0A"/>
    <w:rsid w:val="004B0B7E"/>
    <w:rsid w:val="004B0D70"/>
    <w:rsid w:val="004B102D"/>
    <w:rsid w:val="004B1088"/>
    <w:rsid w:val="004B1125"/>
    <w:rsid w:val="004B12F1"/>
    <w:rsid w:val="004B1C4B"/>
    <w:rsid w:val="004B1DA3"/>
    <w:rsid w:val="004B1F04"/>
    <w:rsid w:val="004B208D"/>
    <w:rsid w:val="004B22D6"/>
    <w:rsid w:val="004B2392"/>
    <w:rsid w:val="004B2722"/>
    <w:rsid w:val="004B2891"/>
    <w:rsid w:val="004B2C16"/>
    <w:rsid w:val="004B2C60"/>
    <w:rsid w:val="004B2D06"/>
    <w:rsid w:val="004B2D30"/>
    <w:rsid w:val="004B370E"/>
    <w:rsid w:val="004B37D3"/>
    <w:rsid w:val="004B3804"/>
    <w:rsid w:val="004B3B67"/>
    <w:rsid w:val="004B3BF2"/>
    <w:rsid w:val="004B3E57"/>
    <w:rsid w:val="004B40E6"/>
    <w:rsid w:val="004B42CA"/>
    <w:rsid w:val="004B4507"/>
    <w:rsid w:val="004B451A"/>
    <w:rsid w:val="004B46BB"/>
    <w:rsid w:val="004B48FF"/>
    <w:rsid w:val="004B4928"/>
    <w:rsid w:val="004B4E50"/>
    <w:rsid w:val="004B51F7"/>
    <w:rsid w:val="004B545E"/>
    <w:rsid w:val="004B56E9"/>
    <w:rsid w:val="004B5C07"/>
    <w:rsid w:val="004B60CB"/>
    <w:rsid w:val="004B6673"/>
    <w:rsid w:val="004B6784"/>
    <w:rsid w:val="004B69FB"/>
    <w:rsid w:val="004B6BAA"/>
    <w:rsid w:val="004B6E81"/>
    <w:rsid w:val="004B6E89"/>
    <w:rsid w:val="004B7591"/>
    <w:rsid w:val="004B75A7"/>
    <w:rsid w:val="004B7652"/>
    <w:rsid w:val="004B7B95"/>
    <w:rsid w:val="004C0650"/>
    <w:rsid w:val="004C07D9"/>
    <w:rsid w:val="004C10FE"/>
    <w:rsid w:val="004C12D1"/>
    <w:rsid w:val="004C14AA"/>
    <w:rsid w:val="004C1A62"/>
    <w:rsid w:val="004C1CB5"/>
    <w:rsid w:val="004C29CF"/>
    <w:rsid w:val="004C2DEE"/>
    <w:rsid w:val="004C2DFC"/>
    <w:rsid w:val="004C2EF4"/>
    <w:rsid w:val="004C30EF"/>
    <w:rsid w:val="004C3569"/>
    <w:rsid w:val="004C37DA"/>
    <w:rsid w:val="004C3A0B"/>
    <w:rsid w:val="004C3B79"/>
    <w:rsid w:val="004C4088"/>
    <w:rsid w:val="004C41DD"/>
    <w:rsid w:val="004C46AD"/>
    <w:rsid w:val="004C47C1"/>
    <w:rsid w:val="004C484D"/>
    <w:rsid w:val="004C4C21"/>
    <w:rsid w:val="004C507A"/>
    <w:rsid w:val="004C50F1"/>
    <w:rsid w:val="004C5141"/>
    <w:rsid w:val="004C5197"/>
    <w:rsid w:val="004C5270"/>
    <w:rsid w:val="004C5665"/>
    <w:rsid w:val="004C56D8"/>
    <w:rsid w:val="004C5C5F"/>
    <w:rsid w:val="004C5F4F"/>
    <w:rsid w:val="004C60E6"/>
    <w:rsid w:val="004C63BB"/>
    <w:rsid w:val="004C641F"/>
    <w:rsid w:val="004C6639"/>
    <w:rsid w:val="004C6837"/>
    <w:rsid w:val="004C6876"/>
    <w:rsid w:val="004C72BA"/>
    <w:rsid w:val="004C7986"/>
    <w:rsid w:val="004C7D58"/>
    <w:rsid w:val="004D0671"/>
    <w:rsid w:val="004D075D"/>
    <w:rsid w:val="004D0768"/>
    <w:rsid w:val="004D079A"/>
    <w:rsid w:val="004D07EB"/>
    <w:rsid w:val="004D0A49"/>
    <w:rsid w:val="004D0B88"/>
    <w:rsid w:val="004D0C27"/>
    <w:rsid w:val="004D0D2B"/>
    <w:rsid w:val="004D0DFB"/>
    <w:rsid w:val="004D17F7"/>
    <w:rsid w:val="004D1AB3"/>
    <w:rsid w:val="004D1C82"/>
    <w:rsid w:val="004D210D"/>
    <w:rsid w:val="004D2115"/>
    <w:rsid w:val="004D228F"/>
    <w:rsid w:val="004D2819"/>
    <w:rsid w:val="004D281A"/>
    <w:rsid w:val="004D2B7A"/>
    <w:rsid w:val="004D2D30"/>
    <w:rsid w:val="004D2E82"/>
    <w:rsid w:val="004D2F55"/>
    <w:rsid w:val="004D3041"/>
    <w:rsid w:val="004D31E0"/>
    <w:rsid w:val="004D3287"/>
    <w:rsid w:val="004D34A9"/>
    <w:rsid w:val="004D3571"/>
    <w:rsid w:val="004D366F"/>
    <w:rsid w:val="004D3AB0"/>
    <w:rsid w:val="004D3F61"/>
    <w:rsid w:val="004D4552"/>
    <w:rsid w:val="004D479B"/>
    <w:rsid w:val="004D48FD"/>
    <w:rsid w:val="004D4CF4"/>
    <w:rsid w:val="004D4E8E"/>
    <w:rsid w:val="004D5169"/>
    <w:rsid w:val="004D55D1"/>
    <w:rsid w:val="004D56AB"/>
    <w:rsid w:val="004D6797"/>
    <w:rsid w:val="004D693C"/>
    <w:rsid w:val="004D6EF5"/>
    <w:rsid w:val="004D7100"/>
    <w:rsid w:val="004D7660"/>
    <w:rsid w:val="004D76E1"/>
    <w:rsid w:val="004D7E55"/>
    <w:rsid w:val="004D7F0F"/>
    <w:rsid w:val="004E0005"/>
    <w:rsid w:val="004E08BD"/>
    <w:rsid w:val="004E094F"/>
    <w:rsid w:val="004E0B48"/>
    <w:rsid w:val="004E10E4"/>
    <w:rsid w:val="004E1259"/>
    <w:rsid w:val="004E1357"/>
    <w:rsid w:val="004E17E1"/>
    <w:rsid w:val="004E186D"/>
    <w:rsid w:val="004E1F20"/>
    <w:rsid w:val="004E25AF"/>
    <w:rsid w:val="004E269F"/>
    <w:rsid w:val="004E2862"/>
    <w:rsid w:val="004E2879"/>
    <w:rsid w:val="004E3043"/>
    <w:rsid w:val="004E3690"/>
    <w:rsid w:val="004E3A95"/>
    <w:rsid w:val="004E3B79"/>
    <w:rsid w:val="004E406C"/>
    <w:rsid w:val="004E420A"/>
    <w:rsid w:val="004E4678"/>
    <w:rsid w:val="004E4825"/>
    <w:rsid w:val="004E4899"/>
    <w:rsid w:val="004E4AAD"/>
    <w:rsid w:val="004E5059"/>
    <w:rsid w:val="004E513E"/>
    <w:rsid w:val="004E55D2"/>
    <w:rsid w:val="004E59E1"/>
    <w:rsid w:val="004E5E8A"/>
    <w:rsid w:val="004E6073"/>
    <w:rsid w:val="004E6318"/>
    <w:rsid w:val="004E6499"/>
    <w:rsid w:val="004E661D"/>
    <w:rsid w:val="004E6719"/>
    <w:rsid w:val="004E6812"/>
    <w:rsid w:val="004E6B7D"/>
    <w:rsid w:val="004E6DD8"/>
    <w:rsid w:val="004E6F56"/>
    <w:rsid w:val="004E7076"/>
    <w:rsid w:val="004E7104"/>
    <w:rsid w:val="004E73D2"/>
    <w:rsid w:val="004E7517"/>
    <w:rsid w:val="004E7519"/>
    <w:rsid w:val="004E769A"/>
    <w:rsid w:val="004E78A5"/>
    <w:rsid w:val="004E7AEB"/>
    <w:rsid w:val="004E7C01"/>
    <w:rsid w:val="004F03D5"/>
    <w:rsid w:val="004F0684"/>
    <w:rsid w:val="004F06A5"/>
    <w:rsid w:val="004F07A1"/>
    <w:rsid w:val="004F0F7C"/>
    <w:rsid w:val="004F1173"/>
    <w:rsid w:val="004F1379"/>
    <w:rsid w:val="004F148C"/>
    <w:rsid w:val="004F1ACF"/>
    <w:rsid w:val="004F1BA7"/>
    <w:rsid w:val="004F2A15"/>
    <w:rsid w:val="004F2C66"/>
    <w:rsid w:val="004F2CB7"/>
    <w:rsid w:val="004F2F39"/>
    <w:rsid w:val="004F2F52"/>
    <w:rsid w:val="004F3156"/>
    <w:rsid w:val="004F31AE"/>
    <w:rsid w:val="004F32DC"/>
    <w:rsid w:val="004F341F"/>
    <w:rsid w:val="004F383C"/>
    <w:rsid w:val="004F3A8E"/>
    <w:rsid w:val="004F3B60"/>
    <w:rsid w:val="004F3F7A"/>
    <w:rsid w:val="004F4289"/>
    <w:rsid w:val="004F43E0"/>
    <w:rsid w:val="004F4851"/>
    <w:rsid w:val="004F491F"/>
    <w:rsid w:val="004F4A13"/>
    <w:rsid w:val="004F4B76"/>
    <w:rsid w:val="004F502A"/>
    <w:rsid w:val="004F53E2"/>
    <w:rsid w:val="004F585C"/>
    <w:rsid w:val="004F58D3"/>
    <w:rsid w:val="004F5B36"/>
    <w:rsid w:val="004F5CEF"/>
    <w:rsid w:val="004F5D2B"/>
    <w:rsid w:val="004F5F48"/>
    <w:rsid w:val="004F6230"/>
    <w:rsid w:val="004F628E"/>
    <w:rsid w:val="004F6439"/>
    <w:rsid w:val="004F65C1"/>
    <w:rsid w:val="004F6794"/>
    <w:rsid w:val="004F750C"/>
    <w:rsid w:val="004F7531"/>
    <w:rsid w:val="004F785B"/>
    <w:rsid w:val="004F7F2F"/>
    <w:rsid w:val="0050005E"/>
    <w:rsid w:val="00500160"/>
    <w:rsid w:val="005003BB"/>
    <w:rsid w:val="00500586"/>
    <w:rsid w:val="005007BA"/>
    <w:rsid w:val="00500A3C"/>
    <w:rsid w:val="00500ACD"/>
    <w:rsid w:val="00500D49"/>
    <w:rsid w:val="00500D9E"/>
    <w:rsid w:val="00500FC1"/>
    <w:rsid w:val="00500FCE"/>
    <w:rsid w:val="00501138"/>
    <w:rsid w:val="00501181"/>
    <w:rsid w:val="005012C0"/>
    <w:rsid w:val="005015C6"/>
    <w:rsid w:val="005017F8"/>
    <w:rsid w:val="00501A5D"/>
    <w:rsid w:val="00501C81"/>
    <w:rsid w:val="00501CF6"/>
    <w:rsid w:val="00501F21"/>
    <w:rsid w:val="00501F68"/>
    <w:rsid w:val="00501F6F"/>
    <w:rsid w:val="00501FFE"/>
    <w:rsid w:val="00502C17"/>
    <w:rsid w:val="00502C52"/>
    <w:rsid w:val="00503344"/>
    <w:rsid w:val="00503797"/>
    <w:rsid w:val="0050390F"/>
    <w:rsid w:val="00503994"/>
    <w:rsid w:val="00503A82"/>
    <w:rsid w:val="00503AB4"/>
    <w:rsid w:val="00503C46"/>
    <w:rsid w:val="00504061"/>
    <w:rsid w:val="0050462E"/>
    <w:rsid w:val="00504A0B"/>
    <w:rsid w:val="00504B27"/>
    <w:rsid w:val="00504DE0"/>
    <w:rsid w:val="00504E91"/>
    <w:rsid w:val="00504F2E"/>
    <w:rsid w:val="00505176"/>
    <w:rsid w:val="00505210"/>
    <w:rsid w:val="00505AF9"/>
    <w:rsid w:val="00505BAE"/>
    <w:rsid w:val="00505E22"/>
    <w:rsid w:val="005060F6"/>
    <w:rsid w:val="005062FE"/>
    <w:rsid w:val="00506956"/>
    <w:rsid w:val="00506973"/>
    <w:rsid w:val="005069BD"/>
    <w:rsid w:val="00506F90"/>
    <w:rsid w:val="0050707B"/>
    <w:rsid w:val="00507243"/>
    <w:rsid w:val="005074E8"/>
    <w:rsid w:val="0050753C"/>
    <w:rsid w:val="00507B89"/>
    <w:rsid w:val="00510370"/>
    <w:rsid w:val="005105DA"/>
    <w:rsid w:val="00510FDF"/>
    <w:rsid w:val="00511267"/>
    <w:rsid w:val="005112C2"/>
    <w:rsid w:val="005112EB"/>
    <w:rsid w:val="00511662"/>
    <w:rsid w:val="005117F7"/>
    <w:rsid w:val="00511C48"/>
    <w:rsid w:val="00511CE8"/>
    <w:rsid w:val="00511D3F"/>
    <w:rsid w:val="00511D63"/>
    <w:rsid w:val="00512025"/>
    <w:rsid w:val="005127C1"/>
    <w:rsid w:val="005128E4"/>
    <w:rsid w:val="0051299B"/>
    <w:rsid w:val="00512BD8"/>
    <w:rsid w:val="00512CC3"/>
    <w:rsid w:val="0051339F"/>
    <w:rsid w:val="00513553"/>
    <w:rsid w:val="005138B1"/>
    <w:rsid w:val="00513DC7"/>
    <w:rsid w:val="00513E6D"/>
    <w:rsid w:val="00513F21"/>
    <w:rsid w:val="00514161"/>
    <w:rsid w:val="00514559"/>
    <w:rsid w:val="00514685"/>
    <w:rsid w:val="00514A33"/>
    <w:rsid w:val="00514C12"/>
    <w:rsid w:val="00515380"/>
    <w:rsid w:val="005153F3"/>
    <w:rsid w:val="0051549E"/>
    <w:rsid w:val="005155DD"/>
    <w:rsid w:val="005155F1"/>
    <w:rsid w:val="00515B60"/>
    <w:rsid w:val="00515DC1"/>
    <w:rsid w:val="00515E48"/>
    <w:rsid w:val="00516118"/>
    <w:rsid w:val="0051639F"/>
    <w:rsid w:val="00516782"/>
    <w:rsid w:val="00516C18"/>
    <w:rsid w:val="005171F2"/>
    <w:rsid w:val="005176CA"/>
    <w:rsid w:val="0051783F"/>
    <w:rsid w:val="00517A74"/>
    <w:rsid w:val="00517B22"/>
    <w:rsid w:val="00517F49"/>
    <w:rsid w:val="00520091"/>
    <w:rsid w:val="00520495"/>
    <w:rsid w:val="00520530"/>
    <w:rsid w:val="005206F3"/>
    <w:rsid w:val="00520D09"/>
    <w:rsid w:val="00520FFC"/>
    <w:rsid w:val="0052116B"/>
    <w:rsid w:val="00521244"/>
    <w:rsid w:val="005213EB"/>
    <w:rsid w:val="00521758"/>
    <w:rsid w:val="00521F7D"/>
    <w:rsid w:val="00522656"/>
    <w:rsid w:val="00522660"/>
    <w:rsid w:val="005227A8"/>
    <w:rsid w:val="00522967"/>
    <w:rsid w:val="00522CB5"/>
    <w:rsid w:val="00522F11"/>
    <w:rsid w:val="005235D1"/>
    <w:rsid w:val="005236C0"/>
    <w:rsid w:val="00523C7A"/>
    <w:rsid w:val="00523DCF"/>
    <w:rsid w:val="00523EA2"/>
    <w:rsid w:val="00524457"/>
    <w:rsid w:val="0052445F"/>
    <w:rsid w:val="005244E9"/>
    <w:rsid w:val="0052454B"/>
    <w:rsid w:val="00524A7D"/>
    <w:rsid w:val="00524DA4"/>
    <w:rsid w:val="00524E4E"/>
    <w:rsid w:val="00525261"/>
    <w:rsid w:val="00525268"/>
    <w:rsid w:val="00525367"/>
    <w:rsid w:val="005253CA"/>
    <w:rsid w:val="005253FC"/>
    <w:rsid w:val="005256A7"/>
    <w:rsid w:val="00525982"/>
    <w:rsid w:val="005259C4"/>
    <w:rsid w:val="00525B2F"/>
    <w:rsid w:val="00525C73"/>
    <w:rsid w:val="0052604A"/>
    <w:rsid w:val="005260B6"/>
    <w:rsid w:val="005260FD"/>
    <w:rsid w:val="0052638F"/>
    <w:rsid w:val="00526495"/>
    <w:rsid w:val="005268D2"/>
    <w:rsid w:val="005269C5"/>
    <w:rsid w:val="00526A90"/>
    <w:rsid w:val="00527084"/>
    <w:rsid w:val="005270F3"/>
    <w:rsid w:val="005270FC"/>
    <w:rsid w:val="00527486"/>
    <w:rsid w:val="0052773D"/>
    <w:rsid w:val="00527841"/>
    <w:rsid w:val="005279AE"/>
    <w:rsid w:val="00527F6D"/>
    <w:rsid w:val="00530031"/>
    <w:rsid w:val="00530736"/>
    <w:rsid w:val="00530C32"/>
    <w:rsid w:val="00530DB1"/>
    <w:rsid w:val="00530E7F"/>
    <w:rsid w:val="005312A7"/>
    <w:rsid w:val="00531B3F"/>
    <w:rsid w:val="00531FA2"/>
    <w:rsid w:val="00532494"/>
    <w:rsid w:val="00532B13"/>
    <w:rsid w:val="00532CB2"/>
    <w:rsid w:val="00532D10"/>
    <w:rsid w:val="00533149"/>
    <w:rsid w:val="0053331D"/>
    <w:rsid w:val="0053371D"/>
    <w:rsid w:val="00533B84"/>
    <w:rsid w:val="00534593"/>
    <w:rsid w:val="005347A2"/>
    <w:rsid w:val="0053498F"/>
    <w:rsid w:val="00534A1C"/>
    <w:rsid w:val="00534B55"/>
    <w:rsid w:val="00534D7D"/>
    <w:rsid w:val="005350DC"/>
    <w:rsid w:val="00535252"/>
    <w:rsid w:val="0053539E"/>
    <w:rsid w:val="00535C83"/>
    <w:rsid w:val="00535CB4"/>
    <w:rsid w:val="00535DAE"/>
    <w:rsid w:val="00535DFF"/>
    <w:rsid w:val="00536010"/>
    <w:rsid w:val="0053606A"/>
    <w:rsid w:val="00536237"/>
    <w:rsid w:val="00536896"/>
    <w:rsid w:val="00536AD5"/>
    <w:rsid w:val="00537146"/>
    <w:rsid w:val="00537904"/>
    <w:rsid w:val="00537A77"/>
    <w:rsid w:val="00537A7E"/>
    <w:rsid w:val="00537C63"/>
    <w:rsid w:val="00540310"/>
    <w:rsid w:val="00540467"/>
    <w:rsid w:val="005408E1"/>
    <w:rsid w:val="00540EB6"/>
    <w:rsid w:val="00540F9D"/>
    <w:rsid w:val="0054154D"/>
    <w:rsid w:val="00541981"/>
    <w:rsid w:val="00541A14"/>
    <w:rsid w:val="005420F8"/>
    <w:rsid w:val="0054211F"/>
    <w:rsid w:val="005421EB"/>
    <w:rsid w:val="005422EE"/>
    <w:rsid w:val="00542568"/>
    <w:rsid w:val="00542AA5"/>
    <w:rsid w:val="00542D62"/>
    <w:rsid w:val="00542E34"/>
    <w:rsid w:val="0054344E"/>
    <w:rsid w:val="00543462"/>
    <w:rsid w:val="005435DC"/>
    <w:rsid w:val="00543834"/>
    <w:rsid w:val="0054390B"/>
    <w:rsid w:val="00543A5B"/>
    <w:rsid w:val="00543A76"/>
    <w:rsid w:val="00543F9C"/>
    <w:rsid w:val="00543FD0"/>
    <w:rsid w:val="00544300"/>
    <w:rsid w:val="00544774"/>
    <w:rsid w:val="00544BF1"/>
    <w:rsid w:val="00544CC5"/>
    <w:rsid w:val="00544DFD"/>
    <w:rsid w:val="00545290"/>
    <w:rsid w:val="00545C42"/>
    <w:rsid w:val="00545D06"/>
    <w:rsid w:val="00545DB7"/>
    <w:rsid w:val="00545DDB"/>
    <w:rsid w:val="00545F2D"/>
    <w:rsid w:val="005461AA"/>
    <w:rsid w:val="005462D0"/>
    <w:rsid w:val="005467C6"/>
    <w:rsid w:val="00546AD0"/>
    <w:rsid w:val="00546C79"/>
    <w:rsid w:val="00546D39"/>
    <w:rsid w:val="00546F85"/>
    <w:rsid w:val="005472F3"/>
    <w:rsid w:val="00547A88"/>
    <w:rsid w:val="00547AED"/>
    <w:rsid w:val="0055000A"/>
    <w:rsid w:val="0055036C"/>
    <w:rsid w:val="0055047F"/>
    <w:rsid w:val="0055087D"/>
    <w:rsid w:val="00550AB0"/>
    <w:rsid w:val="00550C51"/>
    <w:rsid w:val="00550CBF"/>
    <w:rsid w:val="00550E84"/>
    <w:rsid w:val="00551368"/>
    <w:rsid w:val="005513AC"/>
    <w:rsid w:val="0055141A"/>
    <w:rsid w:val="0055161C"/>
    <w:rsid w:val="00551759"/>
    <w:rsid w:val="005524B0"/>
    <w:rsid w:val="00552554"/>
    <w:rsid w:val="0055255E"/>
    <w:rsid w:val="00552B0F"/>
    <w:rsid w:val="00552C3B"/>
    <w:rsid w:val="00552CD2"/>
    <w:rsid w:val="00552F7C"/>
    <w:rsid w:val="00552FCC"/>
    <w:rsid w:val="0055344F"/>
    <w:rsid w:val="00553893"/>
    <w:rsid w:val="00553D16"/>
    <w:rsid w:val="00553DFB"/>
    <w:rsid w:val="00553ECF"/>
    <w:rsid w:val="00554139"/>
    <w:rsid w:val="00554316"/>
    <w:rsid w:val="0055432F"/>
    <w:rsid w:val="00554894"/>
    <w:rsid w:val="00554A84"/>
    <w:rsid w:val="00554AEC"/>
    <w:rsid w:val="00554EA1"/>
    <w:rsid w:val="00554F08"/>
    <w:rsid w:val="00554FFD"/>
    <w:rsid w:val="005555DB"/>
    <w:rsid w:val="0055584F"/>
    <w:rsid w:val="0055587F"/>
    <w:rsid w:val="00555AE0"/>
    <w:rsid w:val="00555AEC"/>
    <w:rsid w:val="00555B16"/>
    <w:rsid w:val="00555F09"/>
    <w:rsid w:val="00556004"/>
    <w:rsid w:val="00556028"/>
    <w:rsid w:val="00556916"/>
    <w:rsid w:val="00556EFB"/>
    <w:rsid w:val="00557296"/>
    <w:rsid w:val="0055729A"/>
    <w:rsid w:val="005576E7"/>
    <w:rsid w:val="005577B0"/>
    <w:rsid w:val="0055783B"/>
    <w:rsid w:val="00557B39"/>
    <w:rsid w:val="00557C5C"/>
    <w:rsid w:val="0056013B"/>
    <w:rsid w:val="00560192"/>
    <w:rsid w:val="00561241"/>
    <w:rsid w:val="0056142F"/>
    <w:rsid w:val="00561AB3"/>
    <w:rsid w:val="00561E9D"/>
    <w:rsid w:val="00562084"/>
    <w:rsid w:val="005623EA"/>
    <w:rsid w:val="005626AD"/>
    <w:rsid w:val="00562EA1"/>
    <w:rsid w:val="005630B7"/>
    <w:rsid w:val="005632E4"/>
    <w:rsid w:val="005634D6"/>
    <w:rsid w:val="00563574"/>
    <w:rsid w:val="0056375B"/>
    <w:rsid w:val="005638D6"/>
    <w:rsid w:val="00563DF2"/>
    <w:rsid w:val="00564369"/>
    <w:rsid w:val="0056497E"/>
    <w:rsid w:val="00564B82"/>
    <w:rsid w:val="00564C58"/>
    <w:rsid w:val="00565333"/>
    <w:rsid w:val="0056574F"/>
    <w:rsid w:val="005658BD"/>
    <w:rsid w:val="005659F8"/>
    <w:rsid w:val="00565AA0"/>
    <w:rsid w:val="00565B9A"/>
    <w:rsid w:val="00565BB7"/>
    <w:rsid w:val="00565BFE"/>
    <w:rsid w:val="00565DB9"/>
    <w:rsid w:val="005662CA"/>
    <w:rsid w:val="0056644C"/>
    <w:rsid w:val="0056659F"/>
    <w:rsid w:val="00566988"/>
    <w:rsid w:val="005669BC"/>
    <w:rsid w:val="00566AD4"/>
    <w:rsid w:val="00566D15"/>
    <w:rsid w:val="00567154"/>
    <w:rsid w:val="0056754C"/>
    <w:rsid w:val="00567562"/>
    <w:rsid w:val="005675DF"/>
    <w:rsid w:val="005679ED"/>
    <w:rsid w:val="00567BDA"/>
    <w:rsid w:val="00567BE3"/>
    <w:rsid w:val="00567DE1"/>
    <w:rsid w:val="00570274"/>
    <w:rsid w:val="00570E12"/>
    <w:rsid w:val="00570EED"/>
    <w:rsid w:val="00570F18"/>
    <w:rsid w:val="0057107A"/>
    <w:rsid w:val="0057141A"/>
    <w:rsid w:val="005716FC"/>
    <w:rsid w:val="005717F7"/>
    <w:rsid w:val="0057198F"/>
    <w:rsid w:val="00571D2A"/>
    <w:rsid w:val="00571F9E"/>
    <w:rsid w:val="00571FE8"/>
    <w:rsid w:val="0057206F"/>
    <w:rsid w:val="005723C9"/>
    <w:rsid w:val="00572546"/>
    <w:rsid w:val="005725E3"/>
    <w:rsid w:val="005727BD"/>
    <w:rsid w:val="00572C2A"/>
    <w:rsid w:val="00572EF2"/>
    <w:rsid w:val="005730EA"/>
    <w:rsid w:val="0057341A"/>
    <w:rsid w:val="00573587"/>
    <w:rsid w:val="00573B54"/>
    <w:rsid w:val="00573F56"/>
    <w:rsid w:val="005744F6"/>
    <w:rsid w:val="00574B37"/>
    <w:rsid w:val="00574E25"/>
    <w:rsid w:val="005754ED"/>
    <w:rsid w:val="00575AE0"/>
    <w:rsid w:val="00575B15"/>
    <w:rsid w:val="00575B53"/>
    <w:rsid w:val="00575BA6"/>
    <w:rsid w:val="00575CAC"/>
    <w:rsid w:val="00575DD9"/>
    <w:rsid w:val="00575DEF"/>
    <w:rsid w:val="00575F16"/>
    <w:rsid w:val="00576C5F"/>
    <w:rsid w:val="00576C63"/>
    <w:rsid w:val="00577004"/>
    <w:rsid w:val="005771F0"/>
    <w:rsid w:val="0057729A"/>
    <w:rsid w:val="0057740D"/>
    <w:rsid w:val="005774BA"/>
    <w:rsid w:val="0057761F"/>
    <w:rsid w:val="005778C8"/>
    <w:rsid w:val="005778EF"/>
    <w:rsid w:val="00577A25"/>
    <w:rsid w:val="00577A2C"/>
    <w:rsid w:val="00577A7F"/>
    <w:rsid w:val="0058013F"/>
    <w:rsid w:val="005801A4"/>
    <w:rsid w:val="00580A06"/>
    <w:rsid w:val="0058131B"/>
    <w:rsid w:val="00581460"/>
    <w:rsid w:val="005816FA"/>
    <w:rsid w:val="005818C7"/>
    <w:rsid w:val="00581F10"/>
    <w:rsid w:val="0058211D"/>
    <w:rsid w:val="0058248A"/>
    <w:rsid w:val="00582614"/>
    <w:rsid w:val="005826EA"/>
    <w:rsid w:val="005828A3"/>
    <w:rsid w:val="0058358D"/>
    <w:rsid w:val="0058385F"/>
    <w:rsid w:val="00583A33"/>
    <w:rsid w:val="00583DAA"/>
    <w:rsid w:val="00583E24"/>
    <w:rsid w:val="00583F94"/>
    <w:rsid w:val="0058453E"/>
    <w:rsid w:val="00584619"/>
    <w:rsid w:val="00584A59"/>
    <w:rsid w:val="00584BE4"/>
    <w:rsid w:val="00584BFC"/>
    <w:rsid w:val="005852F7"/>
    <w:rsid w:val="0058546C"/>
    <w:rsid w:val="005854C4"/>
    <w:rsid w:val="00585A79"/>
    <w:rsid w:val="00585D6F"/>
    <w:rsid w:val="005860AF"/>
    <w:rsid w:val="005867D2"/>
    <w:rsid w:val="0058687D"/>
    <w:rsid w:val="005869CB"/>
    <w:rsid w:val="005870E2"/>
    <w:rsid w:val="0058724E"/>
    <w:rsid w:val="005875A5"/>
    <w:rsid w:val="00587876"/>
    <w:rsid w:val="0058798E"/>
    <w:rsid w:val="0059013D"/>
    <w:rsid w:val="00590781"/>
    <w:rsid w:val="00590862"/>
    <w:rsid w:val="005909A8"/>
    <w:rsid w:val="00590B38"/>
    <w:rsid w:val="00590D4E"/>
    <w:rsid w:val="00590E3D"/>
    <w:rsid w:val="005910E0"/>
    <w:rsid w:val="0059195A"/>
    <w:rsid w:val="00591C16"/>
    <w:rsid w:val="00592808"/>
    <w:rsid w:val="00592A0D"/>
    <w:rsid w:val="00592A8E"/>
    <w:rsid w:val="00592B45"/>
    <w:rsid w:val="00593E71"/>
    <w:rsid w:val="00593FA4"/>
    <w:rsid w:val="00594376"/>
    <w:rsid w:val="005944B6"/>
    <w:rsid w:val="00594A61"/>
    <w:rsid w:val="00594F1D"/>
    <w:rsid w:val="00594F6F"/>
    <w:rsid w:val="005953AD"/>
    <w:rsid w:val="005956B6"/>
    <w:rsid w:val="005956E3"/>
    <w:rsid w:val="00595894"/>
    <w:rsid w:val="00595996"/>
    <w:rsid w:val="00596154"/>
    <w:rsid w:val="005963CC"/>
    <w:rsid w:val="00596782"/>
    <w:rsid w:val="00596841"/>
    <w:rsid w:val="00596861"/>
    <w:rsid w:val="00596C9B"/>
    <w:rsid w:val="00596E19"/>
    <w:rsid w:val="00596E80"/>
    <w:rsid w:val="00596EDC"/>
    <w:rsid w:val="0059732F"/>
    <w:rsid w:val="005978AA"/>
    <w:rsid w:val="0059794D"/>
    <w:rsid w:val="00597AA8"/>
    <w:rsid w:val="005A02D7"/>
    <w:rsid w:val="005A07F1"/>
    <w:rsid w:val="005A0AA0"/>
    <w:rsid w:val="005A0CC1"/>
    <w:rsid w:val="005A0E45"/>
    <w:rsid w:val="005A1113"/>
    <w:rsid w:val="005A1123"/>
    <w:rsid w:val="005A117F"/>
    <w:rsid w:val="005A1369"/>
    <w:rsid w:val="005A16FB"/>
    <w:rsid w:val="005A1986"/>
    <w:rsid w:val="005A1C71"/>
    <w:rsid w:val="005A2049"/>
    <w:rsid w:val="005A241E"/>
    <w:rsid w:val="005A27FB"/>
    <w:rsid w:val="005A28B4"/>
    <w:rsid w:val="005A2FEF"/>
    <w:rsid w:val="005A38AA"/>
    <w:rsid w:val="005A3C3C"/>
    <w:rsid w:val="005A3C9B"/>
    <w:rsid w:val="005A418F"/>
    <w:rsid w:val="005A43B7"/>
    <w:rsid w:val="005A45B5"/>
    <w:rsid w:val="005A46A3"/>
    <w:rsid w:val="005A46F6"/>
    <w:rsid w:val="005A472C"/>
    <w:rsid w:val="005A4869"/>
    <w:rsid w:val="005A4897"/>
    <w:rsid w:val="005A4A43"/>
    <w:rsid w:val="005A4C3D"/>
    <w:rsid w:val="005A4C76"/>
    <w:rsid w:val="005A51A0"/>
    <w:rsid w:val="005A5325"/>
    <w:rsid w:val="005A5557"/>
    <w:rsid w:val="005A56DE"/>
    <w:rsid w:val="005A573A"/>
    <w:rsid w:val="005A5E87"/>
    <w:rsid w:val="005A61A7"/>
    <w:rsid w:val="005A61F3"/>
    <w:rsid w:val="005A627D"/>
    <w:rsid w:val="005A656C"/>
    <w:rsid w:val="005A69CB"/>
    <w:rsid w:val="005A6F61"/>
    <w:rsid w:val="005A6F92"/>
    <w:rsid w:val="005A6FED"/>
    <w:rsid w:val="005A70E5"/>
    <w:rsid w:val="005A7323"/>
    <w:rsid w:val="005A74F8"/>
    <w:rsid w:val="005A777A"/>
    <w:rsid w:val="005A78B2"/>
    <w:rsid w:val="005A79D5"/>
    <w:rsid w:val="005A7A57"/>
    <w:rsid w:val="005A7AA4"/>
    <w:rsid w:val="005A7E0A"/>
    <w:rsid w:val="005A7F3F"/>
    <w:rsid w:val="005B05E7"/>
    <w:rsid w:val="005B0AE8"/>
    <w:rsid w:val="005B0B39"/>
    <w:rsid w:val="005B0BE7"/>
    <w:rsid w:val="005B0BEE"/>
    <w:rsid w:val="005B10D6"/>
    <w:rsid w:val="005B10EF"/>
    <w:rsid w:val="005B13CE"/>
    <w:rsid w:val="005B152B"/>
    <w:rsid w:val="005B166A"/>
    <w:rsid w:val="005B1A25"/>
    <w:rsid w:val="005B1B3E"/>
    <w:rsid w:val="005B1BC4"/>
    <w:rsid w:val="005B1D50"/>
    <w:rsid w:val="005B2836"/>
    <w:rsid w:val="005B2C40"/>
    <w:rsid w:val="005B2D3D"/>
    <w:rsid w:val="005B2D8F"/>
    <w:rsid w:val="005B3751"/>
    <w:rsid w:val="005B3B14"/>
    <w:rsid w:val="005B3C66"/>
    <w:rsid w:val="005B3D11"/>
    <w:rsid w:val="005B3E4C"/>
    <w:rsid w:val="005B411C"/>
    <w:rsid w:val="005B4379"/>
    <w:rsid w:val="005B4BA3"/>
    <w:rsid w:val="005B4E4D"/>
    <w:rsid w:val="005B5538"/>
    <w:rsid w:val="005B5D5F"/>
    <w:rsid w:val="005B63CD"/>
    <w:rsid w:val="005B6661"/>
    <w:rsid w:val="005B668D"/>
    <w:rsid w:val="005B6894"/>
    <w:rsid w:val="005B6B61"/>
    <w:rsid w:val="005B6C18"/>
    <w:rsid w:val="005B6E5D"/>
    <w:rsid w:val="005B6ED8"/>
    <w:rsid w:val="005B6F74"/>
    <w:rsid w:val="005B6FEC"/>
    <w:rsid w:val="005B6FF5"/>
    <w:rsid w:val="005B7121"/>
    <w:rsid w:val="005B7243"/>
    <w:rsid w:val="005B779C"/>
    <w:rsid w:val="005B7B2E"/>
    <w:rsid w:val="005B7B47"/>
    <w:rsid w:val="005C01A8"/>
    <w:rsid w:val="005C06F8"/>
    <w:rsid w:val="005C0709"/>
    <w:rsid w:val="005C072C"/>
    <w:rsid w:val="005C0E15"/>
    <w:rsid w:val="005C1023"/>
    <w:rsid w:val="005C1384"/>
    <w:rsid w:val="005C13B2"/>
    <w:rsid w:val="005C147D"/>
    <w:rsid w:val="005C17A1"/>
    <w:rsid w:val="005C1815"/>
    <w:rsid w:val="005C1AEC"/>
    <w:rsid w:val="005C1B92"/>
    <w:rsid w:val="005C1FC1"/>
    <w:rsid w:val="005C27E3"/>
    <w:rsid w:val="005C29AC"/>
    <w:rsid w:val="005C33AA"/>
    <w:rsid w:val="005C358D"/>
    <w:rsid w:val="005C37CB"/>
    <w:rsid w:val="005C384B"/>
    <w:rsid w:val="005C3BE8"/>
    <w:rsid w:val="005C3EF8"/>
    <w:rsid w:val="005C3FE3"/>
    <w:rsid w:val="005C43CC"/>
    <w:rsid w:val="005C4440"/>
    <w:rsid w:val="005C459C"/>
    <w:rsid w:val="005C475A"/>
    <w:rsid w:val="005C5912"/>
    <w:rsid w:val="005C5AB2"/>
    <w:rsid w:val="005C5C95"/>
    <w:rsid w:val="005C5E8B"/>
    <w:rsid w:val="005C614F"/>
    <w:rsid w:val="005C71FB"/>
    <w:rsid w:val="005C74C5"/>
    <w:rsid w:val="005C76CC"/>
    <w:rsid w:val="005C7754"/>
    <w:rsid w:val="005C7775"/>
    <w:rsid w:val="005C7FCF"/>
    <w:rsid w:val="005D02FB"/>
    <w:rsid w:val="005D041E"/>
    <w:rsid w:val="005D127E"/>
    <w:rsid w:val="005D1457"/>
    <w:rsid w:val="005D14B9"/>
    <w:rsid w:val="005D1864"/>
    <w:rsid w:val="005D1A9F"/>
    <w:rsid w:val="005D1C71"/>
    <w:rsid w:val="005D1D91"/>
    <w:rsid w:val="005D28CC"/>
    <w:rsid w:val="005D292F"/>
    <w:rsid w:val="005D2A87"/>
    <w:rsid w:val="005D3264"/>
    <w:rsid w:val="005D34EA"/>
    <w:rsid w:val="005D368B"/>
    <w:rsid w:val="005D3E8E"/>
    <w:rsid w:val="005D40A9"/>
    <w:rsid w:val="005D42BD"/>
    <w:rsid w:val="005D43CD"/>
    <w:rsid w:val="005D4412"/>
    <w:rsid w:val="005D45B5"/>
    <w:rsid w:val="005D4661"/>
    <w:rsid w:val="005D4C57"/>
    <w:rsid w:val="005D4FE1"/>
    <w:rsid w:val="005D5075"/>
    <w:rsid w:val="005D50C0"/>
    <w:rsid w:val="005D52FA"/>
    <w:rsid w:val="005D5403"/>
    <w:rsid w:val="005D5AA3"/>
    <w:rsid w:val="005D5ACA"/>
    <w:rsid w:val="005D600F"/>
    <w:rsid w:val="005D6013"/>
    <w:rsid w:val="005D6510"/>
    <w:rsid w:val="005D6612"/>
    <w:rsid w:val="005D66F5"/>
    <w:rsid w:val="005D697E"/>
    <w:rsid w:val="005D7088"/>
    <w:rsid w:val="005D724B"/>
    <w:rsid w:val="005D76AE"/>
    <w:rsid w:val="005D76DE"/>
    <w:rsid w:val="005D7713"/>
    <w:rsid w:val="005D777B"/>
    <w:rsid w:val="005D77DE"/>
    <w:rsid w:val="005D7D29"/>
    <w:rsid w:val="005D7EBF"/>
    <w:rsid w:val="005E05A1"/>
    <w:rsid w:val="005E083A"/>
    <w:rsid w:val="005E09E4"/>
    <w:rsid w:val="005E0D78"/>
    <w:rsid w:val="005E101C"/>
    <w:rsid w:val="005E1726"/>
    <w:rsid w:val="005E1DBC"/>
    <w:rsid w:val="005E1EC4"/>
    <w:rsid w:val="005E235A"/>
    <w:rsid w:val="005E2513"/>
    <w:rsid w:val="005E25C0"/>
    <w:rsid w:val="005E266F"/>
    <w:rsid w:val="005E2709"/>
    <w:rsid w:val="005E2AB7"/>
    <w:rsid w:val="005E2BCF"/>
    <w:rsid w:val="005E2FA1"/>
    <w:rsid w:val="005E38DE"/>
    <w:rsid w:val="005E3B4C"/>
    <w:rsid w:val="005E3BFE"/>
    <w:rsid w:val="005E3F34"/>
    <w:rsid w:val="005E421C"/>
    <w:rsid w:val="005E4241"/>
    <w:rsid w:val="005E4EF0"/>
    <w:rsid w:val="005E50E8"/>
    <w:rsid w:val="005E5734"/>
    <w:rsid w:val="005E5741"/>
    <w:rsid w:val="005E5C21"/>
    <w:rsid w:val="005E5DF3"/>
    <w:rsid w:val="005E5EC3"/>
    <w:rsid w:val="005E602B"/>
    <w:rsid w:val="005E6150"/>
    <w:rsid w:val="005E61B6"/>
    <w:rsid w:val="005E6487"/>
    <w:rsid w:val="005E651F"/>
    <w:rsid w:val="005E664C"/>
    <w:rsid w:val="005E6921"/>
    <w:rsid w:val="005E6971"/>
    <w:rsid w:val="005E6C72"/>
    <w:rsid w:val="005E6D4E"/>
    <w:rsid w:val="005E73CE"/>
    <w:rsid w:val="005E77E3"/>
    <w:rsid w:val="005F0616"/>
    <w:rsid w:val="005F0727"/>
    <w:rsid w:val="005F07DC"/>
    <w:rsid w:val="005F0C34"/>
    <w:rsid w:val="005F0D16"/>
    <w:rsid w:val="005F0EAB"/>
    <w:rsid w:val="005F0FB4"/>
    <w:rsid w:val="005F1300"/>
    <w:rsid w:val="005F13BD"/>
    <w:rsid w:val="005F166E"/>
    <w:rsid w:val="005F1859"/>
    <w:rsid w:val="005F1AC8"/>
    <w:rsid w:val="005F1B25"/>
    <w:rsid w:val="005F21AF"/>
    <w:rsid w:val="005F21FB"/>
    <w:rsid w:val="005F257C"/>
    <w:rsid w:val="005F25E2"/>
    <w:rsid w:val="005F27E3"/>
    <w:rsid w:val="005F2B4F"/>
    <w:rsid w:val="005F347F"/>
    <w:rsid w:val="005F35AA"/>
    <w:rsid w:val="005F38CE"/>
    <w:rsid w:val="005F40DE"/>
    <w:rsid w:val="005F4421"/>
    <w:rsid w:val="005F4927"/>
    <w:rsid w:val="005F49F4"/>
    <w:rsid w:val="005F4ABD"/>
    <w:rsid w:val="005F4B7D"/>
    <w:rsid w:val="005F4D34"/>
    <w:rsid w:val="005F4DB6"/>
    <w:rsid w:val="005F4E65"/>
    <w:rsid w:val="005F4F77"/>
    <w:rsid w:val="005F557D"/>
    <w:rsid w:val="005F56F3"/>
    <w:rsid w:val="005F59E5"/>
    <w:rsid w:val="005F5A0F"/>
    <w:rsid w:val="005F5EDF"/>
    <w:rsid w:val="005F6035"/>
    <w:rsid w:val="005F6063"/>
    <w:rsid w:val="005F61C5"/>
    <w:rsid w:val="005F63D8"/>
    <w:rsid w:val="005F64FB"/>
    <w:rsid w:val="005F67EC"/>
    <w:rsid w:val="005F6A3F"/>
    <w:rsid w:val="005F6BBB"/>
    <w:rsid w:val="005F6C45"/>
    <w:rsid w:val="005F71EC"/>
    <w:rsid w:val="005F7411"/>
    <w:rsid w:val="005F789F"/>
    <w:rsid w:val="005F7C75"/>
    <w:rsid w:val="006000CD"/>
    <w:rsid w:val="006000FB"/>
    <w:rsid w:val="00600265"/>
    <w:rsid w:val="006006E4"/>
    <w:rsid w:val="00600754"/>
    <w:rsid w:val="00600BCD"/>
    <w:rsid w:val="00600C42"/>
    <w:rsid w:val="0060119A"/>
    <w:rsid w:val="00601748"/>
    <w:rsid w:val="00601F49"/>
    <w:rsid w:val="0060220E"/>
    <w:rsid w:val="006022D0"/>
    <w:rsid w:val="0060251E"/>
    <w:rsid w:val="00602A68"/>
    <w:rsid w:val="00602D6D"/>
    <w:rsid w:val="00602DDE"/>
    <w:rsid w:val="00602E0C"/>
    <w:rsid w:val="0060339B"/>
    <w:rsid w:val="00603552"/>
    <w:rsid w:val="00603D00"/>
    <w:rsid w:val="00603DA8"/>
    <w:rsid w:val="006046E4"/>
    <w:rsid w:val="00604BC5"/>
    <w:rsid w:val="00604D85"/>
    <w:rsid w:val="00605037"/>
    <w:rsid w:val="0060577C"/>
    <w:rsid w:val="006057A6"/>
    <w:rsid w:val="006058B4"/>
    <w:rsid w:val="006059B6"/>
    <w:rsid w:val="00605E04"/>
    <w:rsid w:val="00605E0D"/>
    <w:rsid w:val="00605E1E"/>
    <w:rsid w:val="00605F41"/>
    <w:rsid w:val="00605FFE"/>
    <w:rsid w:val="006060C2"/>
    <w:rsid w:val="006063F2"/>
    <w:rsid w:val="0060650C"/>
    <w:rsid w:val="00606B37"/>
    <w:rsid w:val="00606FF6"/>
    <w:rsid w:val="00607252"/>
    <w:rsid w:val="00607624"/>
    <w:rsid w:val="00607C2E"/>
    <w:rsid w:val="00610137"/>
    <w:rsid w:val="00610191"/>
    <w:rsid w:val="0061038C"/>
    <w:rsid w:val="006106A6"/>
    <w:rsid w:val="006106C1"/>
    <w:rsid w:val="006106F4"/>
    <w:rsid w:val="00610B28"/>
    <w:rsid w:val="00610F52"/>
    <w:rsid w:val="00610FCF"/>
    <w:rsid w:val="0061124A"/>
    <w:rsid w:val="006112D0"/>
    <w:rsid w:val="0061167D"/>
    <w:rsid w:val="0061169D"/>
    <w:rsid w:val="00611737"/>
    <w:rsid w:val="00611752"/>
    <w:rsid w:val="00611B07"/>
    <w:rsid w:val="00611C1D"/>
    <w:rsid w:val="00611C60"/>
    <w:rsid w:val="00611D7D"/>
    <w:rsid w:val="00611D7E"/>
    <w:rsid w:val="00611F0D"/>
    <w:rsid w:val="00612019"/>
    <w:rsid w:val="00612388"/>
    <w:rsid w:val="00612487"/>
    <w:rsid w:val="00612904"/>
    <w:rsid w:val="0061296B"/>
    <w:rsid w:val="0061296D"/>
    <w:rsid w:val="00612A08"/>
    <w:rsid w:val="00612E32"/>
    <w:rsid w:val="00612FDD"/>
    <w:rsid w:val="006132FE"/>
    <w:rsid w:val="006133A6"/>
    <w:rsid w:val="006134CA"/>
    <w:rsid w:val="006136FB"/>
    <w:rsid w:val="00613846"/>
    <w:rsid w:val="00613ECE"/>
    <w:rsid w:val="00614365"/>
    <w:rsid w:val="006144D7"/>
    <w:rsid w:val="0061461E"/>
    <w:rsid w:val="00614646"/>
    <w:rsid w:val="006148C3"/>
    <w:rsid w:val="0061494C"/>
    <w:rsid w:val="00614978"/>
    <w:rsid w:val="00614B35"/>
    <w:rsid w:val="00614DE8"/>
    <w:rsid w:val="006152D6"/>
    <w:rsid w:val="006154EE"/>
    <w:rsid w:val="00615A35"/>
    <w:rsid w:val="006165A9"/>
    <w:rsid w:val="00616617"/>
    <w:rsid w:val="00616755"/>
    <w:rsid w:val="00616B8C"/>
    <w:rsid w:val="00616BC0"/>
    <w:rsid w:val="00617108"/>
    <w:rsid w:val="00617211"/>
    <w:rsid w:val="00617264"/>
    <w:rsid w:val="00617450"/>
    <w:rsid w:val="0061750E"/>
    <w:rsid w:val="006175A7"/>
    <w:rsid w:val="00617652"/>
    <w:rsid w:val="0061784D"/>
    <w:rsid w:val="00617B8B"/>
    <w:rsid w:val="00617C18"/>
    <w:rsid w:val="00617C50"/>
    <w:rsid w:val="00617F79"/>
    <w:rsid w:val="00620231"/>
    <w:rsid w:val="0062078A"/>
    <w:rsid w:val="006207B2"/>
    <w:rsid w:val="006207ED"/>
    <w:rsid w:val="00620AFF"/>
    <w:rsid w:val="00620B98"/>
    <w:rsid w:val="00621017"/>
    <w:rsid w:val="00621360"/>
    <w:rsid w:val="0062140E"/>
    <w:rsid w:val="00621D0F"/>
    <w:rsid w:val="00622143"/>
    <w:rsid w:val="00622388"/>
    <w:rsid w:val="00622669"/>
    <w:rsid w:val="0062286A"/>
    <w:rsid w:val="00622B1A"/>
    <w:rsid w:val="00622E0B"/>
    <w:rsid w:val="00622EFD"/>
    <w:rsid w:val="00622FE1"/>
    <w:rsid w:val="006230E8"/>
    <w:rsid w:val="0062325B"/>
    <w:rsid w:val="00623438"/>
    <w:rsid w:val="00623572"/>
    <w:rsid w:val="006237DE"/>
    <w:rsid w:val="00623960"/>
    <w:rsid w:val="006240FF"/>
    <w:rsid w:val="0062416C"/>
    <w:rsid w:val="006241BC"/>
    <w:rsid w:val="00624470"/>
    <w:rsid w:val="00624510"/>
    <w:rsid w:val="0062488E"/>
    <w:rsid w:val="006249B1"/>
    <w:rsid w:val="00624CA0"/>
    <w:rsid w:val="00624CAC"/>
    <w:rsid w:val="00624F37"/>
    <w:rsid w:val="00624F4E"/>
    <w:rsid w:val="00624F7C"/>
    <w:rsid w:val="006253B7"/>
    <w:rsid w:val="0062582F"/>
    <w:rsid w:val="00625C1A"/>
    <w:rsid w:val="00625C77"/>
    <w:rsid w:val="00625CB6"/>
    <w:rsid w:val="00625CE5"/>
    <w:rsid w:val="00625EE9"/>
    <w:rsid w:val="00626071"/>
    <w:rsid w:val="00626216"/>
    <w:rsid w:val="006264C8"/>
    <w:rsid w:val="00626652"/>
    <w:rsid w:val="006267E9"/>
    <w:rsid w:val="00626C37"/>
    <w:rsid w:val="00626C39"/>
    <w:rsid w:val="00626F07"/>
    <w:rsid w:val="00626FCF"/>
    <w:rsid w:val="0062707D"/>
    <w:rsid w:val="006274F5"/>
    <w:rsid w:val="0062762C"/>
    <w:rsid w:val="006279C0"/>
    <w:rsid w:val="00630256"/>
    <w:rsid w:val="0063071F"/>
    <w:rsid w:val="0063075D"/>
    <w:rsid w:val="006309D8"/>
    <w:rsid w:val="00630C5E"/>
    <w:rsid w:val="00630CFB"/>
    <w:rsid w:val="00631655"/>
    <w:rsid w:val="00631873"/>
    <w:rsid w:val="00631891"/>
    <w:rsid w:val="006318C0"/>
    <w:rsid w:val="00631BCE"/>
    <w:rsid w:val="00631C0F"/>
    <w:rsid w:val="00631E00"/>
    <w:rsid w:val="00631E43"/>
    <w:rsid w:val="00632111"/>
    <w:rsid w:val="00632459"/>
    <w:rsid w:val="0063251C"/>
    <w:rsid w:val="006326DF"/>
    <w:rsid w:val="006327CF"/>
    <w:rsid w:val="00632B0E"/>
    <w:rsid w:val="00632E50"/>
    <w:rsid w:val="00632FD8"/>
    <w:rsid w:val="0063361C"/>
    <w:rsid w:val="00633C36"/>
    <w:rsid w:val="00633C83"/>
    <w:rsid w:val="0063426D"/>
    <w:rsid w:val="0063440B"/>
    <w:rsid w:val="0063461D"/>
    <w:rsid w:val="006347E7"/>
    <w:rsid w:val="006347F4"/>
    <w:rsid w:val="00634826"/>
    <w:rsid w:val="00634AA9"/>
    <w:rsid w:val="00634B42"/>
    <w:rsid w:val="00634D4F"/>
    <w:rsid w:val="00634D53"/>
    <w:rsid w:val="00635027"/>
    <w:rsid w:val="0063555B"/>
    <w:rsid w:val="00635560"/>
    <w:rsid w:val="006355C4"/>
    <w:rsid w:val="00635CB0"/>
    <w:rsid w:val="00636486"/>
    <w:rsid w:val="0063660C"/>
    <w:rsid w:val="00636664"/>
    <w:rsid w:val="00636694"/>
    <w:rsid w:val="00636EBB"/>
    <w:rsid w:val="00637170"/>
    <w:rsid w:val="00637208"/>
    <w:rsid w:val="006374E0"/>
    <w:rsid w:val="00637764"/>
    <w:rsid w:val="0063793B"/>
    <w:rsid w:val="00637C38"/>
    <w:rsid w:val="00637CBA"/>
    <w:rsid w:val="006402D3"/>
    <w:rsid w:val="00640576"/>
    <w:rsid w:val="0064059A"/>
    <w:rsid w:val="00640962"/>
    <w:rsid w:val="00640AC5"/>
    <w:rsid w:val="0064126C"/>
    <w:rsid w:val="006413AA"/>
    <w:rsid w:val="00641433"/>
    <w:rsid w:val="006416D2"/>
    <w:rsid w:val="00641A83"/>
    <w:rsid w:val="00641D62"/>
    <w:rsid w:val="00641D96"/>
    <w:rsid w:val="00642195"/>
    <w:rsid w:val="006423AA"/>
    <w:rsid w:val="006424C8"/>
    <w:rsid w:val="00642E37"/>
    <w:rsid w:val="00642F08"/>
    <w:rsid w:val="0064319B"/>
    <w:rsid w:val="00643AF4"/>
    <w:rsid w:val="00643E35"/>
    <w:rsid w:val="00644178"/>
    <w:rsid w:val="006441F6"/>
    <w:rsid w:val="0064422A"/>
    <w:rsid w:val="00644301"/>
    <w:rsid w:val="00644390"/>
    <w:rsid w:val="00644A7B"/>
    <w:rsid w:val="00644D3A"/>
    <w:rsid w:val="00644DE9"/>
    <w:rsid w:val="00644FC4"/>
    <w:rsid w:val="00644FEB"/>
    <w:rsid w:val="0064516B"/>
    <w:rsid w:val="006455AF"/>
    <w:rsid w:val="00645BDE"/>
    <w:rsid w:val="00645E59"/>
    <w:rsid w:val="00645F5B"/>
    <w:rsid w:val="006461B6"/>
    <w:rsid w:val="006465C3"/>
    <w:rsid w:val="0064669D"/>
    <w:rsid w:val="00646AA7"/>
    <w:rsid w:val="00646C6F"/>
    <w:rsid w:val="006470C4"/>
    <w:rsid w:val="00647163"/>
    <w:rsid w:val="0064720C"/>
    <w:rsid w:val="0064722E"/>
    <w:rsid w:val="006478DF"/>
    <w:rsid w:val="00647A7F"/>
    <w:rsid w:val="00650941"/>
    <w:rsid w:val="00650C28"/>
    <w:rsid w:val="00650E6D"/>
    <w:rsid w:val="006510CE"/>
    <w:rsid w:val="006512D6"/>
    <w:rsid w:val="00651812"/>
    <w:rsid w:val="0065196B"/>
    <w:rsid w:val="00651BBB"/>
    <w:rsid w:val="00651C59"/>
    <w:rsid w:val="00651D74"/>
    <w:rsid w:val="0065209D"/>
    <w:rsid w:val="00652880"/>
    <w:rsid w:val="00652C3A"/>
    <w:rsid w:val="00652DB7"/>
    <w:rsid w:val="00652FCE"/>
    <w:rsid w:val="00653918"/>
    <w:rsid w:val="0065394F"/>
    <w:rsid w:val="00653B1B"/>
    <w:rsid w:val="006540A8"/>
    <w:rsid w:val="006541F5"/>
    <w:rsid w:val="006543BA"/>
    <w:rsid w:val="00654926"/>
    <w:rsid w:val="00654D72"/>
    <w:rsid w:val="00654F29"/>
    <w:rsid w:val="006553F3"/>
    <w:rsid w:val="006556D1"/>
    <w:rsid w:val="006556D9"/>
    <w:rsid w:val="00655AEE"/>
    <w:rsid w:val="00655BB2"/>
    <w:rsid w:val="00655EF4"/>
    <w:rsid w:val="0065607A"/>
    <w:rsid w:val="006564CB"/>
    <w:rsid w:val="006565F7"/>
    <w:rsid w:val="006566BF"/>
    <w:rsid w:val="00656CDB"/>
    <w:rsid w:val="00656DA0"/>
    <w:rsid w:val="00657123"/>
    <w:rsid w:val="00657189"/>
    <w:rsid w:val="0065724E"/>
    <w:rsid w:val="006576EC"/>
    <w:rsid w:val="00657F90"/>
    <w:rsid w:val="006600DB"/>
    <w:rsid w:val="006613C0"/>
    <w:rsid w:val="0066194E"/>
    <w:rsid w:val="00661C46"/>
    <w:rsid w:val="00661FF5"/>
    <w:rsid w:val="0066202F"/>
    <w:rsid w:val="006622A8"/>
    <w:rsid w:val="006626BE"/>
    <w:rsid w:val="006630FC"/>
    <w:rsid w:val="00663147"/>
    <w:rsid w:val="00663344"/>
    <w:rsid w:val="006637A0"/>
    <w:rsid w:val="00663C93"/>
    <w:rsid w:val="00663DFB"/>
    <w:rsid w:val="006641C9"/>
    <w:rsid w:val="006642C5"/>
    <w:rsid w:val="00664416"/>
    <w:rsid w:val="006644E1"/>
    <w:rsid w:val="006645EC"/>
    <w:rsid w:val="00664642"/>
    <w:rsid w:val="00664674"/>
    <w:rsid w:val="00664C0C"/>
    <w:rsid w:val="0066506E"/>
    <w:rsid w:val="0066507A"/>
    <w:rsid w:val="006652D3"/>
    <w:rsid w:val="0066540D"/>
    <w:rsid w:val="0066551C"/>
    <w:rsid w:val="006656D9"/>
    <w:rsid w:val="00665888"/>
    <w:rsid w:val="006658E0"/>
    <w:rsid w:val="00666CBE"/>
    <w:rsid w:val="00667409"/>
    <w:rsid w:val="00667B46"/>
    <w:rsid w:val="00667B59"/>
    <w:rsid w:val="00667BC6"/>
    <w:rsid w:val="00667C3E"/>
    <w:rsid w:val="00667CF3"/>
    <w:rsid w:val="00667F94"/>
    <w:rsid w:val="00670380"/>
    <w:rsid w:val="0067050A"/>
    <w:rsid w:val="006705D5"/>
    <w:rsid w:val="006706B5"/>
    <w:rsid w:val="00670722"/>
    <w:rsid w:val="00670753"/>
    <w:rsid w:val="00670C07"/>
    <w:rsid w:val="00670F72"/>
    <w:rsid w:val="00670F81"/>
    <w:rsid w:val="00671047"/>
    <w:rsid w:val="0067158A"/>
    <w:rsid w:val="00671738"/>
    <w:rsid w:val="006719B2"/>
    <w:rsid w:val="00671FF4"/>
    <w:rsid w:val="00672C45"/>
    <w:rsid w:val="00672F79"/>
    <w:rsid w:val="0067319C"/>
    <w:rsid w:val="00673DC1"/>
    <w:rsid w:val="00673F42"/>
    <w:rsid w:val="00674042"/>
    <w:rsid w:val="006741EB"/>
    <w:rsid w:val="006744B2"/>
    <w:rsid w:val="00674C5B"/>
    <w:rsid w:val="00674D58"/>
    <w:rsid w:val="0067508E"/>
    <w:rsid w:val="006758C9"/>
    <w:rsid w:val="00675A5F"/>
    <w:rsid w:val="00676137"/>
    <w:rsid w:val="006764BC"/>
    <w:rsid w:val="006769C4"/>
    <w:rsid w:val="00676C6F"/>
    <w:rsid w:val="00677238"/>
    <w:rsid w:val="00677456"/>
    <w:rsid w:val="006774B0"/>
    <w:rsid w:val="00677627"/>
    <w:rsid w:val="006776C7"/>
    <w:rsid w:val="00677743"/>
    <w:rsid w:val="00677A67"/>
    <w:rsid w:val="00677A87"/>
    <w:rsid w:val="00677BD5"/>
    <w:rsid w:val="00677E3C"/>
    <w:rsid w:val="006801EC"/>
    <w:rsid w:val="0068025E"/>
    <w:rsid w:val="0068051B"/>
    <w:rsid w:val="006805D9"/>
    <w:rsid w:val="00680912"/>
    <w:rsid w:val="00680E8B"/>
    <w:rsid w:val="0068150F"/>
    <w:rsid w:val="0068154A"/>
    <w:rsid w:val="006818D0"/>
    <w:rsid w:val="0068197E"/>
    <w:rsid w:val="006819A3"/>
    <w:rsid w:val="00681D51"/>
    <w:rsid w:val="00681E2F"/>
    <w:rsid w:val="00681F91"/>
    <w:rsid w:val="00682004"/>
    <w:rsid w:val="00682129"/>
    <w:rsid w:val="0068266C"/>
    <w:rsid w:val="00682E55"/>
    <w:rsid w:val="006831BF"/>
    <w:rsid w:val="0068340E"/>
    <w:rsid w:val="00683528"/>
    <w:rsid w:val="006835A5"/>
    <w:rsid w:val="00683722"/>
    <w:rsid w:val="00683D2F"/>
    <w:rsid w:val="00684044"/>
    <w:rsid w:val="006840B2"/>
    <w:rsid w:val="006843F6"/>
    <w:rsid w:val="0068491F"/>
    <w:rsid w:val="00684F4C"/>
    <w:rsid w:val="006851A2"/>
    <w:rsid w:val="0068563E"/>
    <w:rsid w:val="00685975"/>
    <w:rsid w:val="00685B13"/>
    <w:rsid w:val="00685DE4"/>
    <w:rsid w:val="00686118"/>
    <w:rsid w:val="006861C0"/>
    <w:rsid w:val="00686596"/>
    <w:rsid w:val="00686CC2"/>
    <w:rsid w:val="00686F00"/>
    <w:rsid w:val="006874CB"/>
    <w:rsid w:val="00687C97"/>
    <w:rsid w:val="00687D5A"/>
    <w:rsid w:val="00687E52"/>
    <w:rsid w:val="00690324"/>
    <w:rsid w:val="006904C2"/>
    <w:rsid w:val="006904DD"/>
    <w:rsid w:val="00690524"/>
    <w:rsid w:val="00690E71"/>
    <w:rsid w:val="00690FA3"/>
    <w:rsid w:val="006911C8"/>
    <w:rsid w:val="00691459"/>
    <w:rsid w:val="00692D12"/>
    <w:rsid w:val="00693137"/>
    <w:rsid w:val="00693531"/>
    <w:rsid w:val="00693842"/>
    <w:rsid w:val="00693888"/>
    <w:rsid w:val="00693C87"/>
    <w:rsid w:val="00693D3E"/>
    <w:rsid w:val="0069457A"/>
    <w:rsid w:val="00694907"/>
    <w:rsid w:val="006949A7"/>
    <w:rsid w:val="00694B65"/>
    <w:rsid w:val="00694C69"/>
    <w:rsid w:val="00694D53"/>
    <w:rsid w:val="00694E58"/>
    <w:rsid w:val="00694FD4"/>
    <w:rsid w:val="006951CE"/>
    <w:rsid w:val="006951E5"/>
    <w:rsid w:val="006951FF"/>
    <w:rsid w:val="006957B4"/>
    <w:rsid w:val="00695B5A"/>
    <w:rsid w:val="00695D1E"/>
    <w:rsid w:val="00695EDA"/>
    <w:rsid w:val="00695FCA"/>
    <w:rsid w:val="00696335"/>
    <w:rsid w:val="00696A4D"/>
    <w:rsid w:val="00696C70"/>
    <w:rsid w:val="00697271"/>
    <w:rsid w:val="00697AC9"/>
    <w:rsid w:val="00697D19"/>
    <w:rsid w:val="00697DF9"/>
    <w:rsid w:val="00697E30"/>
    <w:rsid w:val="006A0052"/>
    <w:rsid w:val="006A05C7"/>
    <w:rsid w:val="006A08CA"/>
    <w:rsid w:val="006A0D7C"/>
    <w:rsid w:val="006A0E43"/>
    <w:rsid w:val="006A0FA3"/>
    <w:rsid w:val="006A102D"/>
    <w:rsid w:val="006A11E4"/>
    <w:rsid w:val="006A15CF"/>
    <w:rsid w:val="006A16F0"/>
    <w:rsid w:val="006A18C1"/>
    <w:rsid w:val="006A1F13"/>
    <w:rsid w:val="006A20A4"/>
    <w:rsid w:val="006A229D"/>
    <w:rsid w:val="006A26F4"/>
    <w:rsid w:val="006A29FF"/>
    <w:rsid w:val="006A2AB9"/>
    <w:rsid w:val="006A2DB4"/>
    <w:rsid w:val="006A350E"/>
    <w:rsid w:val="006A3CE4"/>
    <w:rsid w:val="006A414D"/>
    <w:rsid w:val="006A41F8"/>
    <w:rsid w:val="006A42A5"/>
    <w:rsid w:val="006A4372"/>
    <w:rsid w:val="006A4457"/>
    <w:rsid w:val="006A451E"/>
    <w:rsid w:val="006A45BB"/>
    <w:rsid w:val="006A4E52"/>
    <w:rsid w:val="006A4FC8"/>
    <w:rsid w:val="006A50F1"/>
    <w:rsid w:val="006A517B"/>
    <w:rsid w:val="006A55E1"/>
    <w:rsid w:val="006A579A"/>
    <w:rsid w:val="006A5986"/>
    <w:rsid w:val="006A603D"/>
    <w:rsid w:val="006A607B"/>
    <w:rsid w:val="006A61EC"/>
    <w:rsid w:val="006A6296"/>
    <w:rsid w:val="006A6E27"/>
    <w:rsid w:val="006A6EAC"/>
    <w:rsid w:val="006A6FB8"/>
    <w:rsid w:val="006A72B0"/>
    <w:rsid w:val="006A74E5"/>
    <w:rsid w:val="006A7AB4"/>
    <w:rsid w:val="006B02C4"/>
    <w:rsid w:val="006B04FE"/>
    <w:rsid w:val="006B05D4"/>
    <w:rsid w:val="006B075C"/>
    <w:rsid w:val="006B0856"/>
    <w:rsid w:val="006B0894"/>
    <w:rsid w:val="006B18C5"/>
    <w:rsid w:val="006B1932"/>
    <w:rsid w:val="006B1A36"/>
    <w:rsid w:val="006B1B85"/>
    <w:rsid w:val="006B1F47"/>
    <w:rsid w:val="006B1FDA"/>
    <w:rsid w:val="006B31FC"/>
    <w:rsid w:val="006B36AE"/>
    <w:rsid w:val="006B3980"/>
    <w:rsid w:val="006B3E4D"/>
    <w:rsid w:val="006B417B"/>
    <w:rsid w:val="006B4449"/>
    <w:rsid w:val="006B474F"/>
    <w:rsid w:val="006B4C0C"/>
    <w:rsid w:val="006B4EAB"/>
    <w:rsid w:val="006B5091"/>
    <w:rsid w:val="006B50B8"/>
    <w:rsid w:val="006B50F9"/>
    <w:rsid w:val="006B5756"/>
    <w:rsid w:val="006B5A61"/>
    <w:rsid w:val="006B5C4C"/>
    <w:rsid w:val="006B5D79"/>
    <w:rsid w:val="006B5FBC"/>
    <w:rsid w:val="006B64E8"/>
    <w:rsid w:val="006B654C"/>
    <w:rsid w:val="006B6AEF"/>
    <w:rsid w:val="006B6DA1"/>
    <w:rsid w:val="006B76C2"/>
    <w:rsid w:val="006B7877"/>
    <w:rsid w:val="006B7CBC"/>
    <w:rsid w:val="006C02CD"/>
    <w:rsid w:val="006C06A9"/>
    <w:rsid w:val="006C132E"/>
    <w:rsid w:val="006C13A3"/>
    <w:rsid w:val="006C157B"/>
    <w:rsid w:val="006C1822"/>
    <w:rsid w:val="006C1876"/>
    <w:rsid w:val="006C21F1"/>
    <w:rsid w:val="006C2ABA"/>
    <w:rsid w:val="006C2B59"/>
    <w:rsid w:val="006C2BEE"/>
    <w:rsid w:val="006C2C86"/>
    <w:rsid w:val="006C2C8B"/>
    <w:rsid w:val="006C2CD6"/>
    <w:rsid w:val="006C2D1A"/>
    <w:rsid w:val="006C3150"/>
    <w:rsid w:val="006C34A1"/>
    <w:rsid w:val="006C3686"/>
    <w:rsid w:val="006C38EF"/>
    <w:rsid w:val="006C3BCF"/>
    <w:rsid w:val="006C3BEF"/>
    <w:rsid w:val="006C3EBC"/>
    <w:rsid w:val="006C4043"/>
    <w:rsid w:val="006C41C1"/>
    <w:rsid w:val="006C41ED"/>
    <w:rsid w:val="006C43FB"/>
    <w:rsid w:val="006C4950"/>
    <w:rsid w:val="006C49AF"/>
    <w:rsid w:val="006C4DE8"/>
    <w:rsid w:val="006C4F0A"/>
    <w:rsid w:val="006C52B9"/>
    <w:rsid w:val="006C53DC"/>
    <w:rsid w:val="006C559A"/>
    <w:rsid w:val="006C58E3"/>
    <w:rsid w:val="006C5A8D"/>
    <w:rsid w:val="006C5CDD"/>
    <w:rsid w:val="006C5D0C"/>
    <w:rsid w:val="006C6346"/>
    <w:rsid w:val="006C6ED1"/>
    <w:rsid w:val="006C6F1C"/>
    <w:rsid w:val="006C6F68"/>
    <w:rsid w:val="006C7C3F"/>
    <w:rsid w:val="006C7DA1"/>
    <w:rsid w:val="006C7FB5"/>
    <w:rsid w:val="006C7FB8"/>
    <w:rsid w:val="006C7FF1"/>
    <w:rsid w:val="006D014E"/>
    <w:rsid w:val="006D02AA"/>
    <w:rsid w:val="006D07B4"/>
    <w:rsid w:val="006D089A"/>
    <w:rsid w:val="006D0F89"/>
    <w:rsid w:val="006D173E"/>
    <w:rsid w:val="006D18D8"/>
    <w:rsid w:val="006D1A50"/>
    <w:rsid w:val="006D1DFE"/>
    <w:rsid w:val="006D20A4"/>
    <w:rsid w:val="006D2560"/>
    <w:rsid w:val="006D328B"/>
    <w:rsid w:val="006D33DC"/>
    <w:rsid w:val="006D3620"/>
    <w:rsid w:val="006D3700"/>
    <w:rsid w:val="006D41CE"/>
    <w:rsid w:val="006D460E"/>
    <w:rsid w:val="006D472A"/>
    <w:rsid w:val="006D4CA2"/>
    <w:rsid w:val="006D5176"/>
    <w:rsid w:val="006D5201"/>
    <w:rsid w:val="006D5313"/>
    <w:rsid w:val="006D535C"/>
    <w:rsid w:val="006D5510"/>
    <w:rsid w:val="006D55C0"/>
    <w:rsid w:val="006D5820"/>
    <w:rsid w:val="006D5886"/>
    <w:rsid w:val="006D5A5E"/>
    <w:rsid w:val="006D5F9A"/>
    <w:rsid w:val="006D6703"/>
    <w:rsid w:val="006D6944"/>
    <w:rsid w:val="006D6989"/>
    <w:rsid w:val="006D6F24"/>
    <w:rsid w:val="006D74ED"/>
    <w:rsid w:val="006D78EB"/>
    <w:rsid w:val="006D7BF2"/>
    <w:rsid w:val="006D7C6D"/>
    <w:rsid w:val="006E058C"/>
    <w:rsid w:val="006E0922"/>
    <w:rsid w:val="006E0B0D"/>
    <w:rsid w:val="006E0ED9"/>
    <w:rsid w:val="006E0EF4"/>
    <w:rsid w:val="006E0F5D"/>
    <w:rsid w:val="006E0FA4"/>
    <w:rsid w:val="006E13A6"/>
    <w:rsid w:val="006E13C3"/>
    <w:rsid w:val="006E1629"/>
    <w:rsid w:val="006E16F2"/>
    <w:rsid w:val="006E1753"/>
    <w:rsid w:val="006E2008"/>
    <w:rsid w:val="006E2429"/>
    <w:rsid w:val="006E2656"/>
    <w:rsid w:val="006E2669"/>
    <w:rsid w:val="006E28FF"/>
    <w:rsid w:val="006E2B33"/>
    <w:rsid w:val="006E2BB3"/>
    <w:rsid w:val="006E30C6"/>
    <w:rsid w:val="006E358B"/>
    <w:rsid w:val="006E3848"/>
    <w:rsid w:val="006E38A2"/>
    <w:rsid w:val="006E3A5C"/>
    <w:rsid w:val="006E3D01"/>
    <w:rsid w:val="006E3DA4"/>
    <w:rsid w:val="006E4021"/>
    <w:rsid w:val="006E402D"/>
    <w:rsid w:val="006E40FF"/>
    <w:rsid w:val="006E42CD"/>
    <w:rsid w:val="006E4371"/>
    <w:rsid w:val="006E4654"/>
    <w:rsid w:val="006E4690"/>
    <w:rsid w:val="006E48EE"/>
    <w:rsid w:val="006E4A43"/>
    <w:rsid w:val="006E4B4C"/>
    <w:rsid w:val="006E50E1"/>
    <w:rsid w:val="006E5147"/>
    <w:rsid w:val="006E5269"/>
    <w:rsid w:val="006E57EF"/>
    <w:rsid w:val="006E5934"/>
    <w:rsid w:val="006E5BC2"/>
    <w:rsid w:val="006E5F22"/>
    <w:rsid w:val="006E5F40"/>
    <w:rsid w:val="006E6779"/>
    <w:rsid w:val="006E6BC2"/>
    <w:rsid w:val="006E6CE7"/>
    <w:rsid w:val="006E744A"/>
    <w:rsid w:val="006E77A5"/>
    <w:rsid w:val="006E77BB"/>
    <w:rsid w:val="006E780C"/>
    <w:rsid w:val="006E7BD2"/>
    <w:rsid w:val="006E7E8A"/>
    <w:rsid w:val="006E7EF3"/>
    <w:rsid w:val="006E7FB6"/>
    <w:rsid w:val="006F020F"/>
    <w:rsid w:val="006F061C"/>
    <w:rsid w:val="006F0800"/>
    <w:rsid w:val="006F08FA"/>
    <w:rsid w:val="006F0A30"/>
    <w:rsid w:val="006F1024"/>
    <w:rsid w:val="006F129F"/>
    <w:rsid w:val="006F13E0"/>
    <w:rsid w:val="006F1488"/>
    <w:rsid w:val="006F1EFD"/>
    <w:rsid w:val="006F1F36"/>
    <w:rsid w:val="006F263B"/>
    <w:rsid w:val="006F26B4"/>
    <w:rsid w:val="006F2A0D"/>
    <w:rsid w:val="006F2D0A"/>
    <w:rsid w:val="006F2D7F"/>
    <w:rsid w:val="006F2E42"/>
    <w:rsid w:val="006F317B"/>
    <w:rsid w:val="006F319D"/>
    <w:rsid w:val="006F3549"/>
    <w:rsid w:val="006F3ABE"/>
    <w:rsid w:val="006F3C1F"/>
    <w:rsid w:val="006F3FE6"/>
    <w:rsid w:val="006F41F0"/>
    <w:rsid w:val="006F45A4"/>
    <w:rsid w:val="006F474D"/>
    <w:rsid w:val="006F4C65"/>
    <w:rsid w:val="006F4CC9"/>
    <w:rsid w:val="006F4FB4"/>
    <w:rsid w:val="006F5290"/>
    <w:rsid w:val="006F5A7C"/>
    <w:rsid w:val="006F5CC2"/>
    <w:rsid w:val="006F5CFC"/>
    <w:rsid w:val="006F6303"/>
    <w:rsid w:val="006F6316"/>
    <w:rsid w:val="006F64B9"/>
    <w:rsid w:val="006F65A2"/>
    <w:rsid w:val="006F6885"/>
    <w:rsid w:val="006F6C31"/>
    <w:rsid w:val="006F7077"/>
    <w:rsid w:val="006F74B5"/>
    <w:rsid w:val="006F7A56"/>
    <w:rsid w:val="006F7DEF"/>
    <w:rsid w:val="00700005"/>
    <w:rsid w:val="0070055D"/>
    <w:rsid w:val="00700CF2"/>
    <w:rsid w:val="00700F78"/>
    <w:rsid w:val="007011CC"/>
    <w:rsid w:val="0070146E"/>
    <w:rsid w:val="0070150E"/>
    <w:rsid w:val="00701643"/>
    <w:rsid w:val="007016DD"/>
    <w:rsid w:val="00701735"/>
    <w:rsid w:val="00701AC3"/>
    <w:rsid w:val="00701CC3"/>
    <w:rsid w:val="00702381"/>
    <w:rsid w:val="007024CB"/>
    <w:rsid w:val="007024FB"/>
    <w:rsid w:val="00702577"/>
    <w:rsid w:val="007025B8"/>
    <w:rsid w:val="00702E50"/>
    <w:rsid w:val="00702F8D"/>
    <w:rsid w:val="00703238"/>
    <w:rsid w:val="00703253"/>
    <w:rsid w:val="007032EF"/>
    <w:rsid w:val="00703AD9"/>
    <w:rsid w:val="00703F05"/>
    <w:rsid w:val="007041BE"/>
    <w:rsid w:val="00704276"/>
    <w:rsid w:val="007043D6"/>
    <w:rsid w:val="00704788"/>
    <w:rsid w:val="00704C5B"/>
    <w:rsid w:val="00704C84"/>
    <w:rsid w:val="00705212"/>
    <w:rsid w:val="007055E4"/>
    <w:rsid w:val="0070584E"/>
    <w:rsid w:val="00705DB8"/>
    <w:rsid w:val="00705F50"/>
    <w:rsid w:val="0070625C"/>
    <w:rsid w:val="0070633E"/>
    <w:rsid w:val="007066F3"/>
    <w:rsid w:val="00706929"/>
    <w:rsid w:val="007069FE"/>
    <w:rsid w:val="00706C8C"/>
    <w:rsid w:val="0070734A"/>
    <w:rsid w:val="0070746A"/>
    <w:rsid w:val="0070748A"/>
    <w:rsid w:val="007076A2"/>
    <w:rsid w:val="00707A4C"/>
    <w:rsid w:val="00707A98"/>
    <w:rsid w:val="00707E5B"/>
    <w:rsid w:val="00707F15"/>
    <w:rsid w:val="00707FE1"/>
    <w:rsid w:val="00710349"/>
    <w:rsid w:val="0071035A"/>
    <w:rsid w:val="0071049B"/>
    <w:rsid w:val="00710BE5"/>
    <w:rsid w:val="00711117"/>
    <w:rsid w:val="00711412"/>
    <w:rsid w:val="00711738"/>
    <w:rsid w:val="0071179B"/>
    <w:rsid w:val="00711C71"/>
    <w:rsid w:val="00711D57"/>
    <w:rsid w:val="00713225"/>
    <w:rsid w:val="00713B79"/>
    <w:rsid w:val="00713BB3"/>
    <w:rsid w:val="007140E8"/>
    <w:rsid w:val="007141F4"/>
    <w:rsid w:val="00714824"/>
    <w:rsid w:val="00714972"/>
    <w:rsid w:val="00714F97"/>
    <w:rsid w:val="0071529D"/>
    <w:rsid w:val="0071548F"/>
    <w:rsid w:val="0071680F"/>
    <w:rsid w:val="0071682C"/>
    <w:rsid w:val="00716E21"/>
    <w:rsid w:val="00716FC9"/>
    <w:rsid w:val="00716FE6"/>
    <w:rsid w:val="0071717E"/>
    <w:rsid w:val="007171E9"/>
    <w:rsid w:val="007175A7"/>
    <w:rsid w:val="00717B3E"/>
    <w:rsid w:val="00720232"/>
    <w:rsid w:val="007203EA"/>
    <w:rsid w:val="007205E1"/>
    <w:rsid w:val="0072095F"/>
    <w:rsid w:val="0072108E"/>
    <w:rsid w:val="007215E5"/>
    <w:rsid w:val="007216B7"/>
    <w:rsid w:val="00721767"/>
    <w:rsid w:val="00721826"/>
    <w:rsid w:val="00721A20"/>
    <w:rsid w:val="00721C77"/>
    <w:rsid w:val="007223D1"/>
    <w:rsid w:val="0072299A"/>
    <w:rsid w:val="00722B70"/>
    <w:rsid w:val="00722D6F"/>
    <w:rsid w:val="00723062"/>
    <w:rsid w:val="007231DD"/>
    <w:rsid w:val="0072354F"/>
    <w:rsid w:val="0072360F"/>
    <w:rsid w:val="00723770"/>
    <w:rsid w:val="007241BE"/>
    <w:rsid w:val="00724411"/>
    <w:rsid w:val="007245AF"/>
    <w:rsid w:val="00724786"/>
    <w:rsid w:val="00724AEE"/>
    <w:rsid w:val="0072512A"/>
    <w:rsid w:val="00725356"/>
    <w:rsid w:val="007258C5"/>
    <w:rsid w:val="007258FB"/>
    <w:rsid w:val="00725966"/>
    <w:rsid w:val="007261CF"/>
    <w:rsid w:val="00726384"/>
    <w:rsid w:val="007264B1"/>
    <w:rsid w:val="00726C80"/>
    <w:rsid w:val="00726F11"/>
    <w:rsid w:val="00726FDC"/>
    <w:rsid w:val="00727529"/>
    <w:rsid w:val="00727930"/>
    <w:rsid w:val="00727AAD"/>
    <w:rsid w:val="007304C4"/>
    <w:rsid w:val="0073072C"/>
    <w:rsid w:val="00730C22"/>
    <w:rsid w:val="00730E6F"/>
    <w:rsid w:val="0073130B"/>
    <w:rsid w:val="00731769"/>
    <w:rsid w:val="00731AAB"/>
    <w:rsid w:val="00731E6D"/>
    <w:rsid w:val="00731EE6"/>
    <w:rsid w:val="00731F9F"/>
    <w:rsid w:val="0073211A"/>
    <w:rsid w:val="007325BD"/>
    <w:rsid w:val="0073271E"/>
    <w:rsid w:val="0073288B"/>
    <w:rsid w:val="00732C26"/>
    <w:rsid w:val="00732C2F"/>
    <w:rsid w:val="00732D7D"/>
    <w:rsid w:val="00732E32"/>
    <w:rsid w:val="00732E41"/>
    <w:rsid w:val="00733081"/>
    <w:rsid w:val="0073347A"/>
    <w:rsid w:val="0073356D"/>
    <w:rsid w:val="0073359C"/>
    <w:rsid w:val="007341ED"/>
    <w:rsid w:val="00734249"/>
    <w:rsid w:val="007343D5"/>
    <w:rsid w:val="00734420"/>
    <w:rsid w:val="00734CBC"/>
    <w:rsid w:val="00734D16"/>
    <w:rsid w:val="00734F40"/>
    <w:rsid w:val="00734FA3"/>
    <w:rsid w:val="00735025"/>
    <w:rsid w:val="007355A6"/>
    <w:rsid w:val="00735C36"/>
    <w:rsid w:val="00735F43"/>
    <w:rsid w:val="00736675"/>
    <w:rsid w:val="007368D0"/>
    <w:rsid w:val="00736915"/>
    <w:rsid w:val="00736E5C"/>
    <w:rsid w:val="007371C6"/>
    <w:rsid w:val="007371D1"/>
    <w:rsid w:val="007371D7"/>
    <w:rsid w:val="00737503"/>
    <w:rsid w:val="00737C0C"/>
    <w:rsid w:val="00737E19"/>
    <w:rsid w:val="00737F87"/>
    <w:rsid w:val="00740368"/>
    <w:rsid w:val="00740410"/>
    <w:rsid w:val="00740A71"/>
    <w:rsid w:val="00740E94"/>
    <w:rsid w:val="00740FA6"/>
    <w:rsid w:val="00741167"/>
    <w:rsid w:val="0074146C"/>
    <w:rsid w:val="007420C7"/>
    <w:rsid w:val="0074223A"/>
    <w:rsid w:val="00742532"/>
    <w:rsid w:val="00742648"/>
    <w:rsid w:val="00742E8F"/>
    <w:rsid w:val="00743047"/>
    <w:rsid w:val="00743314"/>
    <w:rsid w:val="007439CC"/>
    <w:rsid w:val="00743CAC"/>
    <w:rsid w:val="00743CC3"/>
    <w:rsid w:val="00743E88"/>
    <w:rsid w:val="00743F25"/>
    <w:rsid w:val="00744015"/>
    <w:rsid w:val="00744041"/>
    <w:rsid w:val="007441CC"/>
    <w:rsid w:val="007441D1"/>
    <w:rsid w:val="0074436B"/>
    <w:rsid w:val="00744469"/>
    <w:rsid w:val="00744E10"/>
    <w:rsid w:val="007450A5"/>
    <w:rsid w:val="007453BE"/>
    <w:rsid w:val="007453E9"/>
    <w:rsid w:val="007458D5"/>
    <w:rsid w:val="00745B23"/>
    <w:rsid w:val="00745C69"/>
    <w:rsid w:val="00745C92"/>
    <w:rsid w:val="007460DA"/>
    <w:rsid w:val="00747126"/>
    <w:rsid w:val="007476A0"/>
    <w:rsid w:val="007477C5"/>
    <w:rsid w:val="0074792C"/>
    <w:rsid w:val="00747938"/>
    <w:rsid w:val="00747D55"/>
    <w:rsid w:val="00750EC3"/>
    <w:rsid w:val="00750FCF"/>
    <w:rsid w:val="007511DF"/>
    <w:rsid w:val="007512B3"/>
    <w:rsid w:val="00751551"/>
    <w:rsid w:val="007515D1"/>
    <w:rsid w:val="007517DA"/>
    <w:rsid w:val="00751B95"/>
    <w:rsid w:val="00751DD9"/>
    <w:rsid w:val="0075204A"/>
    <w:rsid w:val="007521C4"/>
    <w:rsid w:val="00752BEB"/>
    <w:rsid w:val="00752D13"/>
    <w:rsid w:val="00752D49"/>
    <w:rsid w:val="00752D6E"/>
    <w:rsid w:val="00752DD8"/>
    <w:rsid w:val="0075312C"/>
    <w:rsid w:val="007532FA"/>
    <w:rsid w:val="00753671"/>
    <w:rsid w:val="00753757"/>
    <w:rsid w:val="0075377A"/>
    <w:rsid w:val="00753A38"/>
    <w:rsid w:val="00753D0A"/>
    <w:rsid w:val="007541E4"/>
    <w:rsid w:val="0075463E"/>
    <w:rsid w:val="0075469A"/>
    <w:rsid w:val="00754DE9"/>
    <w:rsid w:val="00754FCE"/>
    <w:rsid w:val="007550AA"/>
    <w:rsid w:val="00755467"/>
    <w:rsid w:val="00755817"/>
    <w:rsid w:val="00755B12"/>
    <w:rsid w:val="00755D93"/>
    <w:rsid w:val="00755DCB"/>
    <w:rsid w:val="00755E5C"/>
    <w:rsid w:val="00757035"/>
    <w:rsid w:val="00757186"/>
    <w:rsid w:val="00757287"/>
    <w:rsid w:val="007578E1"/>
    <w:rsid w:val="00757A6A"/>
    <w:rsid w:val="00757CF3"/>
    <w:rsid w:val="0076006D"/>
    <w:rsid w:val="00760768"/>
    <w:rsid w:val="00760BCC"/>
    <w:rsid w:val="00760DEA"/>
    <w:rsid w:val="0076106B"/>
    <w:rsid w:val="0076165A"/>
    <w:rsid w:val="00761830"/>
    <w:rsid w:val="00761A7B"/>
    <w:rsid w:val="00761B62"/>
    <w:rsid w:val="007621FF"/>
    <w:rsid w:val="00762AFB"/>
    <w:rsid w:val="007630F5"/>
    <w:rsid w:val="00763275"/>
    <w:rsid w:val="00763388"/>
    <w:rsid w:val="007637BC"/>
    <w:rsid w:val="007639D9"/>
    <w:rsid w:val="00763F18"/>
    <w:rsid w:val="0076404D"/>
    <w:rsid w:val="007640AF"/>
    <w:rsid w:val="0076440A"/>
    <w:rsid w:val="0076475B"/>
    <w:rsid w:val="00764B31"/>
    <w:rsid w:val="00764B5D"/>
    <w:rsid w:val="00764D00"/>
    <w:rsid w:val="00764E3D"/>
    <w:rsid w:val="00764FD5"/>
    <w:rsid w:val="007655A9"/>
    <w:rsid w:val="007656A1"/>
    <w:rsid w:val="007656CA"/>
    <w:rsid w:val="00765956"/>
    <w:rsid w:val="00765A07"/>
    <w:rsid w:val="00765BA8"/>
    <w:rsid w:val="00766007"/>
    <w:rsid w:val="007664F7"/>
    <w:rsid w:val="00766729"/>
    <w:rsid w:val="00766EB3"/>
    <w:rsid w:val="00767193"/>
    <w:rsid w:val="007673C8"/>
    <w:rsid w:val="00767768"/>
    <w:rsid w:val="0076784F"/>
    <w:rsid w:val="007679AC"/>
    <w:rsid w:val="00767BF3"/>
    <w:rsid w:val="00767D9C"/>
    <w:rsid w:val="00767FFC"/>
    <w:rsid w:val="0077018F"/>
    <w:rsid w:val="0077029F"/>
    <w:rsid w:val="007702C1"/>
    <w:rsid w:val="00770A26"/>
    <w:rsid w:val="00770FA5"/>
    <w:rsid w:val="00771608"/>
    <w:rsid w:val="0077163A"/>
    <w:rsid w:val="007717E4"/>
    <w:rsid w:val="00771FB5"/>
    <w:rsid w:val="007724A7"/>
    <w:rsid w:val="007726FA"/>
    <w:rsid w:val="00772945"/>
    <w:rsid w:val="007730BE"/>
    <w:rsid w:val="007731BC"/>
    <w:rsid w:val="0077330B"/>
    <w:rsid w:val="00773328"/>
    <w:rsid w:val="007733EE"/>
    <w:rsid w:val="00773481"/>
    <w:rsid w:val="0077350C"/>
    <w:rsid w:val="00773913"/>
    <w:rsid w:val="00773C3D"/>
    <w:rsid w:val="00773D3F"/>
    <w:rsid w:val="007741E7"/>
    <w:rsid w:val="00774390"/>
    <w:rsid w:val="007746ED"/>
    <w:rsid w:val="00774814"/>
    <w:rsid w:val="00774B93"/>
    <w:rsid w:val="00774EAF"/>
    <w:rsid w:val="00774FC7"/>
    <w:rsid w:val="00775231"/>
    <w:rsid w:val="0077526E"/>
    <w:rsid w:val="007754C3"/>
    <w:rsid w:val="0077554D"/>
    <w:rsid w:val="00775567"/>
    <w:rsid w:val="007757C6"/>
    <w:rsid w:val="00775C40"/>
    <w:rsid w:val="00775C59"/>
    <w:rsid w:val="0077629F"/>
    <w:rsid w:val="0077645D"/>
    <w:rsid w:val="00776542"/>
    <w:rsid w:val="00776749"/>
    <w:rsid w:val="00776E2E"/>
    <w:rsid w:val="00777442"/>
    <w:rsid w:val="00777451"/>
    <w:rsid w:val="007779A3"/>
    <w:rsid w:val="00777ADC"/>
    <w:rsid w:val="00777BA5"/>
    <w:rsid w:val="00777DC4"/>
    <w:rsid w:val="007802E7"/>
    <w:rsid w:val="0078057E"/>
    <w:rsid w:val="00780B1A"/>
    <w:rsid w:val="00780D45"/>
    <w:rsid w:val="00780F3F"/>
    <w:rsid w:val="007812E7"/>
    <w:rsid w:val="00781315"/>
    <w:rsid w:val="0078159F"/>
    <w:rsid w:val="00781A97"/>
    <w:rsid w:val="00781E7D"/>
    <w:rsid w:val="00782065"/>
    <w:rsid w:val="00782419"/>
    <w:rsid w:val="007824BC"/>
    <w:rsid w:val="00782580"/>
    <w:rsid w:val="00782D2D"/>
    <w:rsid w:val="00782DFC"/>
    <w:rsid w:val="00782EC4"/>
    <w:rsid w:val="00782EEE"/>
    <w:rsid w:val="00783153"/>
    <w:rsid w:val="00783A74"/>
    <w:rsid w:val="00783AE5"/>
    <w:rsid w:val="00784B98"/>
    <w:rsid w:val="0078538B"/>
    <w:rsid w:val="0078539C"/>
    <w:rsid w:val="0078574E"/>
    <w:rsid w:val="00785777"/>
    <w:rsid w:val="007858A7"/>
    <w:rsid w:val="00785C83"/>
    <w:rsid w:val="007864DA"/>
    <w:rsid w:val="007865AB"/>
    <w:rsid w:val="00786ED8"/>
    <w:rsid w:val="00787491"/>
    <w:rsid w:val="0078759B"/>
    <w:rsid w:val="007877DD"/>
    <w:rsid w:val="00787807"/>
    <w:rsid w:val="00787A15"/>
    <w:rsid w:val="00787CF3"/>
    <w:rsid w:val="00787D20"/>
    <w:rsid w:val="00787FD1"/>
    <w:rsid w:val="0079001F"/>
    <w:rsid w:val="00790362"/>
    <w:rsid w:val="007904EA"/>
    <w:rsid w:val="0079065C"/>
    <w:rsid w:val="00790767"/>
    <w:rsid w:val="007907D4"/>
    <w:rsid w:val="00790B5F"/>
    <w:rsid w:val="0079108A"/>
    <w:rsid w:val="007911B6"/>
    <w:rsid w:val="00791A61"/>
    <w:rsid w:val="00791BF5"/>
    <w:rsid w:val="007920FE"/>
    <w:rsid w:val="00792431"/>
    <w:rsid w:val="007930B7"/>
    <w:rsid w:val="00793237"/>
    <w:rsid w:val="00793541"/>
    <w:rsid w:val="00793616"/>
    <w:rsid w:val="0079372C"/>
    <w:rsid w:val="007946AA"/>
    <w:rsid w:val="00794E6A"/>
    <w:rsid w:val="00794F5F"/>
    <w:rsid w:val="007953AE"/>
    <w:rsid w:val="007954CF"/>
    <w:rsid w:val="00795730"/>
    <w:rsid w:val="007958E5"/>
    <w:rsid w:val="00795DF5"/>
    <w:rsid w:val="00795E2E"/>
    <w:rsid w:val="0079691E"/>
    <w:rsid w:val="0079696A"/>
    <w:rsid w:val="007969E4"/>
    <w:rsid w:val="00796CD0"/>
    <w:rsid w:val="00796E5B"/>
    <w:rsid w:val="00796E96"/>
    <w:rsid w:val="00797093"/>
    <w:rsid w:val="007970C0"/>
    <w:rsid w:val="0079776F"/>
    <w:rsid w:val="00797B4E"/>
    <w:rsid w:val="00797CD7"/>
    <w:rsid w:val="007A0003"/>
    <w:rsid w:val="007A0131"/>
    <w:rsid w:val="007A04E1"/>
    <w:rsid w:val="007A06CB"/>
    <w:rsid w:val="007A08CD"/>
    <w:rsid w:val="007A08CE"/>
    <w:rsid w:val="007A092C"/>
    <w:rsid w:val="007A0BC8"/>
    <w:rsid w:val="007A0F3F"/>
    <w:rsid w:val="007A1364"/>
    <w:rsid w:val="007A1785"/>
    <w:rsid w:val="007A17B1"/>
    <w:rsid w:val="007A1802"/>
    <w:rsid w:val="007A1889"/>
    <w:rsid w:val="007A1939"/>
    <w:rsid w:val="007A1F2D"/>
    <w:rsid w:val="007A2286"/>
    <w:rsid w:val="007A2485"/>
    <w:rsid w:val="007A24A0"/>
    <w:rsid w:val="007A259A"/>
    <w:rsid w:val="007A2720"/>
    <w:rsid w:val="007A2769"/>
    <w:rsid w:val="007A2824"/>
    <w:rsid w:val="007A28EC"/>
    <w:rsid w:val="007A2938"/>
    <w:rsid w:val="007A2CCB"/>
    <w:rsid w:val="007A2DB0"/>
    <w:rsid w:val="007A2E83"/>
    <w:rsid w:val="007A332C"/>
    <w:rsid w:val="007A35AC"/>
    <w:rsid w:val="007A3B9A"/>
    <w:rsid w:val="007A3FC1"/>
    <w:rsid w:val="007A4171"/>
    <w:rsid w:val="007A41A1"/>
    <w:rsid w:val="007A41B9"/>
    <w:rsid w:val="007A4377"/>
    <w:rsid w:val="007A4637"/>
    <w:rsid w:val="007A48CA"/>
    <w:rsid w:val="007A4AB2"/>
    <w:rsid w:val="007A4E13"/>
    <w:rsid w:val="007A58DA"/>
    <w:rsid w:val="007A58DD"/>
    <w:rsid w:val="007A5E68"/>
    <w:rsid w:val="007A602B"/>
    <w:rsid w:val="007A63C9"/>
    <w:rsid w:val="007A697C"/>
    <w:rsid w:val="007A6CFC"/>
    <w:rsid w:val="007A71CE"/>
    <w:rsid w:val="007A7442"/>
    <w:rsid w:val="007A7462"/>
    <w:rsid w:val="007A7825"/>
    <w:rsid w:val="007A78AA"/>
    <w:rsid w:val="007A7925"/>
    <w:rsid w:val="007A7933"/>
    <w:rsid w:val="007A7E8C"/>
    <w:rsid w:val="007B022F"/>
    <w:rsid w:val="007B08C9"/>
    <w:rsid w:val="007B0A22"/>
    <w:rsid w:val="007B0CAC"/>
    <w:rsid w:val="007B0E20"/>
    <w:rsid w:val="007B14FD"/>
    <w:rsid w:val="007B15A6"/>
    <w:rsid w:val="007B18D5"/>
    <w:rsid w:val="007B1B6D"/>
    <w:rsid w:val="007B1BF7"/>
    <w:rsid w:val="007B1CE3"/>
    <w:rsid w:val="007B1DA8"/>
    <w:rsid w:val="007B1FB2"/>
    <w:rsid w:val="007B2219"/>
    <w:rsid w:val="007B265A"/>
    <w:rsid w:val="007B27BE"/>
    <w:rsid w:val="007B2892"/>
    <w:rsid w:val="007B2E97"/>
    <w:rsid w:val="007B2FD6"/>
    <w:rsid w:val="007B321C"/>
    <w:rsid w:val="007B33E5"/>
    <w:rsid w:val="007B36BF"/>
    <w:rsid w:val="007B3C14"/>
    <w:rsid w:val="007B3D0B"/>
    <w:rsid w:val="007B44F9"/>
    <w:rsid w:val="007B454A"/>
    <w:rsid w:val="007B46A6"/>
    <w:rsid w:val="007B4A59"/>
    <w:rsid w:val="007B4D42"/>
    <w:rsid w:val="007B5122"/>
    <w:rsid w:val="007B51AA"/>
    <w:rsid w:val="007B5502"/>
    <w:rsid w:val="007B577C"/>
    <w:rsid w:val="007B598C"/>
    <w:rsid w:val="007B5A2F"/>
    <w:rsid w:val="007B5B27"/>
    <w:rsid w:val="007B5B32"/>
    <w:rsid w:val="007B5C75"/>
    <w:rsid w:val="007B610F"/>
    <w:rsid w:val="007B629E"/>
    <w:rsid w:val="007B63CF"/>
    <w:rsid w:val="007B6AEE"/>
    <w:rsid w:val="007B713D"/>
    <w:rsid w:val="007B745C"/>
    <w:rsid w:val="007B7472"/>
    <w:rsid w:val="007B7573"/>
    <w:rsid w:val="007B7A13"/>
    <w:rsid w:val="007B7AAB"/>
    <w:rsid w:val="007C03BB"/>
    <w:rsid w:val="007C06B2"/>
    <w:rsid w:val="007C0AEE"/>
    <w:rsid w:val="007C0E11"/>
    <w:rsid w:val="007C124F"/>
    <w:rsid w:val="007C1D9D"/>
    <w:rsid w:val="007C21FB"/>
    <w:rsid w:val="007C229C"/>
    <w:rsid w:val="007C28CF"/>
    <w:rsid w:val="007C2941"/>
    <w:rsid w:val="007C29D7"/>
    <w:rsid w:val="007C2A9E"/>
    <w:rsid w:val="007C2FC6"/>
    <w:rsid w:val="007C3215"/>
    <w:rsid w:val="007C34DE"/>
    <w:rsid w:val="007C38B5"/>
    <w:rsid w:val="007C404B"/>
    <w:rsid w:val="007C409F"/>
    <w:rsid w:val="007C4187"/>
    <w:rsid w:val="007C41A0"/>
    <w:rsid w:val="007C4A68"/>
    <w:rsid w:val="007C4BAE"/>
    <w:rsid w:val="007C4BEE"/>
    <w:rsid w:val="007C4D1D"/>
    <w:rsid w:val="007C4D64"/>
    <w:rsid w:val="007C4EF0"/>
    <w:rsid w:val="007C4FAE"/>
    <w:rsid w:val="007C5BA9"/>
    <w:rsid w:val="007C6160"/>
    <w:rsid w:val="007C62AC"/>
    <w:rsid w:val="007C667A"/>
    <w:rsid w:val="007C6A89"/>
    <w:rsid w:val="007C6D50"/>
    <w:rsid w:val="007C6F2E"/>
    <w:rsid w:val="007C73CF"/>
    <w:rsid w:val="007C7422"/>
    <w:rsid w:val="007C764E"/>
    <w:rsid w:val="007C77C5"/>
    <w:rsid w:val="007C7E37"/>
    <w:rsid w:val="007D01AF"/>
    <w:rsid w:val="007D01DC"/>
    <w:rsid w:val="007D0400"/>
    <w:rsid w:val="007D044C"/>
    <w:rsid w:val="007D0C43"/>
    <w:rsid w:val="007D10C8"/>
    <w:rsid w:val="007D1269"/>
    <w:rsid w:val="007D1406"/>
    <w:rsid w:val="007D1D3B"/>
    <w:rsid w:val="007D1DF0"/>
    <w:rsid w:val="007D20B0"/>
    <w:rsid w:val="007D24CF"/>
    <w:rsid w:val="007D2A15"/>
    <w:rsid w:val="007D3165"/>
    <w:rsid w:val="007D32B3"/>
    <w:rsid w:val="007D3560"/>
    <w:rsid w:val="007D3ADF"/>
    <w:rsid w:val="007D3DF2"/>
    <w:rsid w:val="007D3DF8"/>
    <w:rsid w:val="007D4068"/>
    <w:rsid w:val="007D41B1"/>
    <w:rsid w:val="007D4284"/>
    <w:rsid w:val="007D45A8"/>
    <w:rsid w:val="007D4621"/>
    <w:rsid w:val="007D47A8"/>
    <w:rsid w:val="007D4982"/>
    <w:rsid w:val="007D4D87"/>
    <w:rsid w:val="007D4E55"/>
    <w:rsid w:val="007D4F73"/>
    <w:rsid w:val="007D54B6"/>
    <w:rsid w:val="007D5696"/>
    <w:rsid w:val="007D5787"/>
    <w:rsid w:val="007D5960"/>
    <w:rsid w:val="007D5A97"/>
    <w:rsid w:val="007D5BD4"/>
    <w:rsid w:val="007D6002"/>
    <w:rsid w:val="007D606A"/>
    <w:rsid w:val="007D65F6"/>
    <w:rsid w:val="007D6C0C"/>
    <w:rsid w:val="007D7882"/>
    <w:rsid w:val="007D7B1C"/>
    <w:rsid w:val="007D7C3C"/>
    <w:rsid w:val="007D7D31"/>
    <w:rsid w:val="007E025A"/>
    <w:rsid w:val="007E0521"/>
    <w:rsid w:val="007E0719"/>
    <w:rsid w:val="007E0D25"/>
    <w:rsid w:val="007E114E"/>
    <w:rsid w:val="007E14A7"/>
    <w:rsid w:val="007E15F0"/>
    <w:rsid w:val="007E17FA"/>
    <w:rsid w:val="007E2828"/>
    <w:rsid w:val="007E2B82"/>
    <w:rsid w:val="007E2DD3"/>
    <w:rsid w:val="007E33B9"/>
    <w:rsid w:val="007E3460"/>
    <w:rsid w:val="007E3588"/>
    <w:rsid w:val="007E36ED"/>
    <w:rsid w:val="007E378E"/>
    <w:rsid w:val="007E3B21"/>
    <w:rsid w:val="007E3F41"/>
    <w:rsid w:val="007E42E6"/>
    <w:rsid w:val="007E46BF"/>
    <w:rsid w:val="007E487F"/>
    <w:rsid w:val="007E4A0D"/>
    <w:rsid w:val="007E4B2D"/>
    <w:rsid w:val="007E4C3F"/>
    <w:rsid w:val="007E5388"/>
    <w:rsid w:val="007E54E0"/>
    <w:rsid w:val="007E5685"/>
    <w:rsid w:val="007E56CD"/>
    <w:rsid w:val="007E587D"/>
    <w:rsid w:val="007E58C0"/>
    <w:rsid w:val="007E5CE8"/>
    <w:rsid w:val="007E5E7C"/>
    <w:rsid w:val="007E6447"/>
    <w:rsid w:val="007E66F9"/>
    <w:rsid w:val="007E6757"/>
    <w:rsid w:val="007E68C0"/>
    <w:rsid w:val="007E6D75"/>
    <w:rsid w:val="007E6D9B"/>
    <w:rsid w:val="007E6DE7"/>
    <w:rsid w:val="007E7124"/>
    <w:rsid w:val="007E71E9"/>
    <w:rsid w:val="007E74E3"/>
    <w:rsid w:val="007E76CB"/>
    <w:rsid w:val="007E7721"/>
    <w:rsid w:val="007E7B1C"/>
    <w:rsid w:val="007E7C5C"/>
    <w:rsid w:val="007E7CB2"/>
    <w:rsid w:val="007E7CF2"/>
    <w:rsid w:val="007F02B2"/>
    <w:rsid w:val="007F02C7"/>
    <w:rsid w:val="007F032B"/>
    <w:rsid w:val="007F04FE"/>
    <w:rsid w:val="007F0A66"/>
    <w:rsid w:val="007F0CBE"/>
    <w:rsid w:val="007F10CC"/>
    <w:rsid w:val="007F12E0"/>
    <w:rsid w:val="007F160D"/>
    <w:rsid w:val="007F1873"/>
    <w:rsid w:val="007F1AC2"/>
    <w:rsid w:val="007F1BFB"/>
    <w:rsid w:val="007F1D06"/>
    <w:rsid w:val="007F1ECD"/>
    <w:rsid w:val="007F2C72"/>
    <w:rsid w:val="007F2EB2"/>
    <w:rsid w:val="007F2F7E"/>
    <w:rsid w:val="007F3034"/>
    <w:rsid w:val="007F344C"/>
    <w:rsid w:val="007F3745"/>
    <w:rsid w:val="007F3A7E"/>
    <w:rsid w:val="007F5287"/>
    <w:rsid w:val="007F5799"/>
    <w:rsid w:val="007F5A11"/>
    <w:rsid w:val="007F5BF1"/>
    <w:rsid w:val="007F5CB4"/>
    <w:rsid w:val="007F62F3"/>
    <w:rsid w:val="007F66F4"/>
    <w:rsid w:val="007F68DC"/>
    <w:rsid w:val="007F68DF"/>
    <w:rsid w:val="007F6B28"/>
    <w:rsid w:val="007F6D6C"/>
    <w:rsid w:val="007F70B9"/>
    <w:rsid w:val="007F7137"/>
    <w:rsid w:val="007F7A75"/>
    <w:rsid w:val="007F7C48"/>
    <w:rsid w:val="007F7E3B"/>
    <w:rsid w:val="007F7ECC"/>
    <w:rsid w:val="0080006E"/>
    <w:rsid w:val="00800462"/>
    <w:rsid w:val="0080048C"/>
    <w:rsid w:val="00800515"/>
    <w:rsid w:val="00800E62"/>
    <w:rsid w:val="00800F35"/>
    <w:rsid w:val="008010D7"/>
    <w:rsid w:val="0080128D"/>
    <w:rsid w:val="008013F8"/>
    <w:rsid w:val="0080147D"/>
    <w:rsid w:val="00801481"/>
    <w:rsid w:val="008016CA"/>
    <w:rsid w:val="008017B6"/>
    <w:rsid w:val="00801D59"/>
    <w:rsid w:val="00801DB0"/>
    <w:rsid w:val="00802072"/>
    <w:rsid w:val="00802A65"/>
    <w:rsid w:val="00802DF1"/>
    <w:rsid w:val="00802E87"/>
    <w:rsid w:val="00803432"/>
    <w:rsid w:val="00803443"/>
    <w:rsid w:val="008036C0"/>
    <w:rsid w:val="00804131"/>
    <w:rsid w:val="00804144"/>
    <w:rsid w:val="008041DE"/>
    <w:rsid w:val="0080450E"/>
    <w:rsid w:val="00804530"/>
    <w:rsid w:val="008048F5"/>
    <w:rsid w:val="00804A6F"/>
    <w:rsid w:val="00804B1E"/>
    <w:rsid w:val="00804D52"/>
    <w:rsid w:val="00805159"/>
    <w:rsid w:val="0080516A"/>
    <w:rsid w:val="00805451"/>
    <w:rsid w:val="00805930"/>
    <w:rsid w:val="00805D9C"/>
    <w:rsid w:val="008061D6"/>
    <w:rsid w:val="0080646D"/>
    <w:rsid w:val="0080680D"/>
    <w:rsid w:val="00807138"/>
    <w:rsid w:val="00807462"/>
    <w:rsid w:val="0080747D"/>
    <w:rsid w:val="0080786A"/>
    <w:rsid w:val="00807AA3"/>
    <w:rsid w:val="00807F10"/>
    <w:rsid w:val="00810139"/>
    <w:rsid w:val="00810552"/>
    <w:rsid w:val="008105B3"/>
    <w:rsid w:val="00810F70"/>
    <w:rsid w:val="008111CF"/>
    <w:rsid w:val="00811CEA"/>
    <w:rsid w:val="00811D79"/>
    <w:rsid w:val="008120CA"/>
    <w:rsid w:val="008123A4"/>
    <w:rsid w:val="008127E1"/>
    <w:rsid w:val="008127F9"/>
    <w:rsid w:val="00812A4B"/>
    <w:rsid w:val="00812B5E"/>
    <w:rsid w:val="00812C05"/>
    <w:rsid w:val="00812DF0"/>
    <w:rsid w:val="00812FA4"/>
    <w:rsid w:val="008130B3"/>
    <w:rsid w:val="008130C4"/>
    <w:rsid w:val="0081322A"/>
    <w:rsid w:val="0081367C"/>
    <w:rsid w:val="008136DA"/>
    <w:rsid w:val="008137B6"/>
    <w:rsid w:val="00813A02"/>
    <w:rsid w:val="00813B8D"/>
    <w:rsid w:val="00813C26"/>
    <w:rsid w:val="00813DC9"/>
    <w:rsid w:val="0081423C"/>
    <w:rsid w:val="00814693"/>
    <w:rsid w:val="008146CB"/>
    <w:rsid w:val="008146EE"/>
    <w:rsid w:val="00814746"/>
    <w:rsid w:val="008148C2"/>
    <w:rsid w:val="008149B2"/>
    <w:rsid w:val="00814D2B"/>
    <w:rsid w:val="00814FFC"/>
    <w:rsid w:val="00815055"/>
    <w:rsid w:val="008151CC"/>
    <w:rsid w:val="0081521F"/>
    <w:rsid w:val="008153C9"/>
    <w:rsid w:val="00815617"/>
    <w:rsid w:val="0081572A"/>
    <w:rsid w:val="00815BD2"/>
    <w:rsid w:val="00815E12"/>
    <w:rsid w:val="008162AB"/>
    <w:rsid w:val="008164EB"/>
    <w:rsid w:val="008167F2"/>
    <w:rsid w:val="00816869"/>
    <w:rsid w:val="008169C0"/>
    <w:rsid w:val="008169E7"/>
    <w:rsid w:val="00816B8F"/>
    <w:rsid w:val="00816E7C"/>
    <w:rsid w:val="00817172"/>
    <w:rsid w:val="0081766B"/>
    <w:rsid w:val="0081789E"/>
    <w:rsid w:val="00817A08"/>
    <w:rsid w:val="00817A68"/>
    <w:rsid w:val="00817BD9"/>
    <w:rsid w:val="00820071"/>
    <w:rsid w:val="008200FB"/>
    <w:rsid w:val="00820281"/>
    <w:rsid w:val="008203C0"/>
    <w:rsid w:val="00820563"/>
    <w:rsid w:val="00820BC4"/>
    <w:rsid w:val="0082130E"/>
    <w:rsid w:val="00821747"/>
    <w:rsid w:val="00821C6A"/>
    <w:rsid w:val="00821EE3"/>
    <w:rsid w:val="00822048"/>
    <w:rsid w:val="0082253F"/>
    <w:rsid w:val="00822C58"/>
    <w:rsid w:val="00822D96"/>
    <w:rsid w:val="00822EFC"/>
    <w:rsid w:val="0082353F"/>
    <w:rsid w:val="00823AEB"/>
    <w:rsid w:val="00823C4B"/>
    <w:rsid w:val="00823E43"/>
    <w:rsid w:val="00823F22"/>
    <w:rsid w:val="00824789"/>
    <w:rsid w:val="008249A1"/>
    <w:rsid w:val="00824E21"/>
    <w:rsid w:val="008252C7"/>
    <w:rsid w:val="008253BF"/>
    <w:rsid w:val="00825933"/>
    <w:rsid w:val="0082604B"/>
    <w:rsid w:val="00826220"/>
    <w:rsid w:val="008264F4"/>
    <w:rsid w:val="00826577"/>
    <w:rsid w:val="00826747"/>
    <w:rsid w:val="008267DA"/>
    <w:rsid w:val="00826C83"/>
    <w:rsid w:val="00826D47"/>
    <w:rsid w:val="00826DD9"/>
    <w:rsid w:val="00827000"/>
    <w:rsid w:val="00827368"/>
    <w:rsid w:val="00827AAC"/>
    <w:rsid w:val="00827C83"/>
    <w:rsid w:val="00827D6E"/>
    <w:rsid w:val="00827DC0"/>
    <w:rsid w:val="00827DEF"/>
    <w:rsid w:val="00827F0B"/>
    <w:rsid w:val="00827F65"/>
    <w:rsid w:val="00830040"/>
    <w:rsid w:val="0083010F"/>
    <w:rsid w:val="008302B7"/>
    <w:rsid w:val="00830340"/>
    <w:rsid w:val="008303A5"/>
    <w:rsid w:val="008304AD"/>
    <w:rsid w:val="00830930"/>
    <w:rsid w:val="00830A36"/>
    <w:rsid w:val="00830F45"/>
    <w:rsid w:val="0083115E"/>
    <w:rsid w:val="00831279"/>
    <w:rsid w:val="00831864"/>
    <w:rsid w:val="00831FC2"/>
    <w:rsid w:val="008322F9"/>
    <w:rsid w:val="0083256E"/>
    <w:rsid w:val="0083269B"/>
    <w:rsid w:val="00832B42"/>
    <w:rsid w:val="00832BB0"/>
    <w:rsid w:val="00832D22"/>
    <w:rsid w:val="00832D79"/>
    <w:rsid w:val="00832F98"/>
    <w:rsid w:val="00833041"/>
    <w:rsid w:val="008330FE"/>
    <w:rsid w:val="008333AF"/>
    <w:rsid w:val="008337D2"/>
    <w:rsid w:val="00833B23"/>
    <w:rsid w:val="00833DCB"/>
    <w:rsid w:val="00833DDB"/>
    <w:rsid w:val="00833E6F"/>
    <w:rsid w:val="00833F3F"/>
    <w:rsid w:val="0083438F"/>
    <w:rsid w:val="00834608"/>
    <w:rsid w:val="008346F0"/>
    <w:rsid w:val="008349B6"/>
    <w:rsid w:val="00834C54"/>
    <w:rsid w:val="0083508E"/>
    <w:rsid w:val="008355C0"/>
    <w:rsid w:val="0083582D"/>
    <w:rsid w:val="00835B07"/>
    <w:rsid w:val="00835F6A"/>
    <w:rsid w:val="0083608A"/>
    <w:rsid w:val="0083639B"/>
    <w:rsid w:val="00836525"/>
    <w:rsid w:val="00836D98"/>
    <w:rsid w:val="0083793B"/>
    <w:rsid w:val="00837AA4"/>
    <w:rsid w:val="00840753"/>
    <w:rsid w:val="00840A83"/>
    <w:rsid w:val="00840CA5"/>
    <w:rsid w:val="00841533"/>
    <w:rsid w:val="0084183F"/>
    <w:rsid w:val="00841B13"/>
    <w:rsid w:val="00841E92"/>
    <w:rsid w:val="00842AB6"/>
    <w:rsid w:val="00842E09"/>
    <w:rsid w:val="00843016"/>
    <w:rsid w:val="00843577"/>
    <w:rsid w:val="00843BF0"/>
    <w:rsid w:val="00843E6F"/>
    <w:rsid w:val="008441CE"/>
    <w:rsid w:val="008443E7"/>
    <w:rsid w:val="00844890"/>
    <w:rsid w:val="00844A90"/>
    <w:rsid w:val="00844E7A"/>
    <w:rsid w:val="00844F83"/>
    <w:rsid w:val="0084524A"/>
    <w:rsid w:val="008453C7"/>
    <w:rsid w:val="00845487"/>
    <w:rsid w:val="00845499"/>
    <w:rsid w:val="008456CE"/>
    <w:rsid w:val="00845881"/>
    <w:rsid w:val="008460D6"/>
    <w:rsid w:val="00846C00"/>
    <w:rsid w:val="00846E05"/>
    <w:rsid w:val="00846E4A"/>
    <w:rsid w:val="008472D6"/>
    <w:rsid w:val="00847C2B"/>
    <w:rsid w:val="00847FFA"/>
    <w:rsid w:val="00850128"/>
    <w:rsid w:val="008503D0"/>
    <w:rsid w:val="00850581"/>
    <w:rsid w:val="00850832"/>
    <w:rsid w:val="00851046"/>
    <w:rsid w:val="00851100"/>
    <w:rsid w:val="00851111"/>
    <w:rsid w:val="0085127C"/>
    <w:rsid w:val="00851654"/>
    <w:rsid w:val="008516B0"/>
    <w:rsid w:val="008517E5"/>
    <w:rsid w:val="00851AF5"/>
    <w:rsid w:val="00851DAA"/>
    <w:rsid w:val="00851E3A"/>
    <w:rsid w:val="00851EA9"/>
    <w:rsid w:val="00851FB5"/>
    <w:rsid w:val="008521DB"/>
    <w:rsid w:val="008522D5"/>
    <w:rsid w:val="008523B5"/>
    <w:rsid w:val="00852677"/>
    <w:rsid w:val="00852766"/>
    <w:rsid w:val="008527D1"/>
    <w:rsid w:val="00852A40"/>
    <w:rsid w:val="00852B97"/>
    <w:rsid w:val="00852DB9"/>
    <w:rsid w:val="00852EC6"/>
    <w:rsid w:val="00853272"/>
    <w:rsid w:val="008533EE"/>
    <w:rsid w:val="00853A5B"/>
    <w:rsid w:val="0085404C"/>
    <w:rsid w:val="00854332"/>
    <w:rsid w:val="008543AB"/>
    <w:rsid w:val="008543AF"/>
    <w:rsid w:val="00854670"/>
    <w:rsid w:val="00854724"/>
    <w:rsid w:val="00854802"/>
    <w:rsid w:val="008549F7"/>
    <w:rsid w:val="00854DAA"/>
    <w:rsid w:val="008550CB"/>
    <w:rsid w:val="00855513"/>
    <w:rsid w:val="00855761"/>
    <w:rsid w:val="00855893"/>
    <w:rsid w:val="00855A9E"/>
    <w:rsid w:val="00855B60"/>
    <w:rsid w:val="00855E0B"/>
    <w:rsid w:val="00855E6B"/>
    <w:rsid w:val="008560B9"/>
    <w:rsid w:val="008561E8"/>
    <w:rsid w:val="00856794"/>
    <w:rsid w:val="008569CF"/>
    <w:rsid w:val="00856A20"/>
    <w:rsid w:val="00856D81"/>
    <w:rsid w:val="008570DB"/>
    <w:rsid w:val="0085710F"/>
    <w:rsid w:val="0085718B"/>
    <w:rsid w:val="008572D0"/>
    <w:rsid w:val="0085756F"/>
    <w:rsid w:val="00857897"/>
    <w:rsid w:val="00857A69"/>
    <w:rsid w:val="008603CB"/>
    <w:rsid w:val="00860793"/>
    <w:rsid w:val="008608A3"/>
    <w:rsid w:val="0086092E"/>
    <w:rsid w:val="00860B4C"/>
    <w:rsid w:val="00860D6C"/>
    <w:rsid w:val="008612B7"/>
    <w:rsid w:val="0086169D"/>
    <w:rsid w:val="00861B3D"/>
    <w:rsid w:val="00861B8D"/>
    <w:rsid w:val="00862196"/>
    <w:rsid w:val="008622FB"/>
    <w:rsid w:val="0086242C"/>
    <w:rsid w:val="008626B9"/>
    <w:rsid w:val="00862721"/>
    <w:rsid w:val="00863142"/>
    <w:rsid w:val="0086362C"/>
    <w:rsid w:val="008637C1"/>
    <w:rsid w:val="0086396F"/>
    <w:rsid w:val="00863A17"/>
    <w:rsid w:val="00864439"/>
    <w:rsid w:val="0086447F"/>
    <w:rsid w:val="008647DE"/>
    <w:rsid w:val="00864852"/>
    <w:rsid w:val="00864A8A"/>
    <w:rsid w:val="00864B95"/>
    <w:rsid w:val="00864DEB"/>
    <w:rsid w:val="00864E48"/>
    <w:rsid w:val="0086549E"/>
    <w:rsid w:val="008656A2"/>
    <w:rsid w:val="00865737"/>
    <w:rsid w:val="00865E72"/>
    <w:rsid w:val="00865F33"/>
    <w:rsid w:val="00866142"/>
    <w:rsid w:val="00866277"/>
    <w:rsid w:val="0086631B"/>
    <w:rsid w:val="0086663F"/>
    <w:rsid w:val="00866788"/>
    <w:rsid w:val="008667B8"/>
    <w:rsid w:val="008667D3"/>
    <w:rsid w:val="008668F6"/>
    <w:rsid w:val="00866A85"/>
    <w:rsid w:val="00866EFA"/>
    <w:rsid w:val="00867003"/>
    <w:rsid w:val="008671A0"/>
    <w:rsid w:val="00867488"/>
    <w:rsid w:val="00867DA2"/>
    <w:rsid w:val="00870122"/>
    <w:rsid w:val="008705D6"/>
    <w:rsid w:val="00870BB9"/>
    <w:rsid w:val="00870BFB"/>
    <w:rsid w:val="00870C2B"/>
    <w:rsid w:val="008712E0"/>
    <w:rsid w:val="008713BA"/>
    <w:rsid w:val="00871C23"/>
    <w:rsid w:val="00871C8A"/>
    <w:rsid w:val="00871C95"/>
    <w:rsid w:val="00871DDA"/>
    <w:rsid w:val="008720F7"/>
    <w:rsid w:val="00872175"/>
    <w:rsid w:val="00872295"/>
    <w:rsid w:val="008723B7"/>
    <w:rsid w:val="008727F1"/>
    <w:rsid w:val="00873620"/>
    <w:rsid w:val="00873BDE"/>
    <w:rsid w:val="00873C67"/>
    <w:rsid w:val="00873EFF"/>
    <w:rsid w:val="00874159"/>
    <w:rsid w:val="008747A6"/>
    <w:rsid w:val="00874ABD"/>
    <w:rsid w:val="00874DB0"/>
    <w:rsid w:val="00874E64"/>
    <w:rsid w:val="00875A5A"/>
    <w:rsid w:val="00875A72"/>
    <w:rsid w:val="008760EF"/>
    <w:rsid w:val="00876567"/>
    <w:rsid w:val="00876B8D"/>
    <w:rsid w:val="00876E5A"/>
    <w:rsid w:val="00876F19"/>
    <w:rsid w:val="00877051"/>
    <w:rsid w:val="008771EA"/>
    <w:rsid w:val="00877277"/>
    <w:rsid w:val="008773A1"/>
    <w:rsid w:val="00877640"/>
    <w:rsid w:val="00877727"/>
    <w:rsid w:val="00877B1A"/>
    <w:rsid w:val="00877E7E"/>
    <w:rsid w:val="00877E9C"/>
    <w:rsid w:val="008800D3"/>
    <w:rsid w:val="00880159"/>
    <w:rsid w:val="00880C56"/>
    <w:rsid w:val="00880D8E"/>
    <w:rsid w:val="00880F1A"/>
    <w:rsid w:val="0088141F"/>
    <w:rsid w:val="00881487"/>
    <w:rsid w:val="008816A8"/>
    <w:rsid w:val="008819AC"/>
    <w:rsid w:val="00881ADB"/>
    <w:rsid w:val="00881B11"/>
    <w:rsid w:val="00881B16"/>
    <w:rsid w:val="00881C85"/>
    <w:rsid w:val="00881E1E"/>
    <w:rsid w:val="00882181"/>
    <w:rsid w:val="0088236F"/>
    <w:rsid w:val="00882748"/>
    <w:rsid w:val="00882D12"/>
    <w:rsid w:val="008831D1"/>
    <w:rsid w:val="00883B56"/>
    <w:rsid w:val="00883CA4"/>
    <w:rsid w:val="00883E2B"/>
    <w:rsid w:val="00883EC1"/>
    <w:rsid w:val="008840DD"/>
    <w:rsid w:val="008841C5"/>
    <w:rsid w:val="00884EA2"/>
    <w:rsid w:val="008853B4"/>
    <w:rsid w:val="008853C7"/>
    <w:rsid w:val="00885825"/>
    <w:rsid w:val="00885B9B"/>
    <w:rsid w:val="00885CB4"/>
    <w:rsid w:val="00886030"/>
    <w:rsid w:val="00886501"/>
    <w:rsid w:val="00886531"/>
    <w:rsid w:val="00886CC2"/>
    <w:rsid w:val="00886CDD"/>
    <w:rsid w:val="00886F36"/>
    <w:rsid w:val="00886F38"/>
    <w:rsid w:val="00886FF6"/>
    <w:rsid w:val="00887462"/>
    <w:rsid w:val="008879A9"/>
    <w:rsid w:val="00887A37"/>
    <w:rsid w:val="00887E1E"/>
    <w:rsid w:val="00890618"/>
    <w:rsid w:val="008907E2"/>
    <w:rsid w:val="00890A9A"/>
    <w:rsid w:val="00890D85"/>
    <w:rsid w:val="008914FB"/>
    <w:rsid w:val="008915B6"/>
    <w:rsid w:val="00891D47"/>
    <w:rsid w:val="0089214D"/>
    <w:rsid w:val="008922AD"/>
    <w:rsid w:val="00892B2D"/>
    <w:rsid w:val="00892C81"/>
    <w:rsid w:val="00892ED7"/>
    <w:rsid w:val="00892F16"/>
    <w:rsid w:val="00893C0D"/>
    <w:rsid w:val="00893D72"/>
    <w:rsid w:val="00894081"/>
    <w:rsid w:val="00894125"/>
    <w:rsid w:val="00894143"/>
    <w:rsid w:val="0089414D"/>
    <w:rsid w:val="0089435A"/>
    <w:rsid w:val="00894781"/>
    <w:rsid w:val="0089485F"/>
    <w:rsid w:val="00894A50"/>
    <w:rsid w:val="00894E3A"/>
    <w:rsid w:val="008950EF"/>
    <w:rsid w:val="008954F9"/>
    <w:rsid w:val="00895653"/>
    <w:rsid w:val="008957DD"/>
    <w:rsid w:val="0089613B"/>
    <w:rsid w:val="00896449"/>
    <w:rsid w:val="008968AB"/>
    <w:rsid w:val="00897194"/>
    <w:rsid w:val="0089724F"/>
    <w:rsid w:val="0089754C"/>
    <w:rsid w:val="00897B5E"/>
    <w:rsid w:val="00897BC6"/>
    <w:rsid w:val="00897D8B"/>
    <w:rsid w:val="00897DC3"/>
    <w:rsid w:val="008A002A"/>
    <w:rsid w:val="008A014D"/>
    <w:rsid w:val="008A02EC"/>
    <w:rsid w:val="008A0D68"/>
    <w:rsid w:val="008A0E11"/>
    <w:rsid w:val="008A0E50"/>
    <w:rsid w:val="008A12ED"/>
    <w:rsid w:val="008A1B0F"/>
    <w:rsid w:val="008A20DA"/>
    <w:rsid w:val="008A21C0"/>
    <w:rsid w:val="008A26FE"/>
    <w:rsid w:val="008A28B1"/>
    <w:rsid w:val="008A298B"/>
    <w:rsid w:val="008A2D0B"/>
    <w:rsid w:val="008A2D18"/>
    <w:rsid w:val="008A2DB0"/>
    <w:rsid w:val="008A3163"/>
    <w:rsid w:val="008A36C1"/>
    <w:rsid w:val="008A3CC4"/>
    <w:rsid w:val="008A4019"/>
    <w:rsid w:val="008A436D"/>
    <w:rsid w:val="008A4424"/>
    <w:rsid w:val="008A499C"/>
    <w:rsid w:val="008A4D27"/>
    <w:rsid w:val="008A534C"/>
    <w:rsid w:val="008A545D"/>
    <w:rsid w:val="008A5616"/>
    <w:rsid w:val="008A581A"/>
    <w:rsid w:val="008A5898"/>
    <w:rsid w:val="008A5FB5"/>
    <w:rsid w:val="008A612D"/>
    <w:rsid w:val="008A6330"/>
    <w:rsid w:val="008A6395"/>
    <w:rsid w:val="008A6824"/>
    <w:rsid w:val="008A6B2C"/>
    <w:rsid w:val="008A6B43"/>
    <w:rsid w:val="008A6D58"/>
    <w:rsid w:val="008A71FC"/>
    <w:rsid w:val="008A7252"/>
    <w:rsid w:val="008A7878"/>
    <w:rsid w:val="008A7C16"/>
    <w:rsid w:val="008A7CA8"/>
    <w:rsid w:val="008A7DF4"/>
    <w:rsid w:val="008A7FE2"/>
    <w:rsid w:val="008B0164"/>
    <w:rsid w:val="008B0254"/>
    <w:rsid w:val="008B044E"/>
    <w:rsid w:val="008B0526"/>
    <w:rsid w:val="008B0F41"/>
    <w:rsid w:val="008B145E"/>
    <w:rsid w:val="008B1955"/>
    <w:rsid w:val="008B1ABF"/>
    <w:rsid w:val="008B1F63"/>
    <w:rsid w:val="008B20E3"/>
    <w:rsid w:val="008B22E8"/>
    <w:rsid w:val="008B259C"/>
    <w:rsid w:val="008B2607"/>
    <w:rsid w:val="008B261F"/>
    <w:rsid w:val="008B2636"/>
    <w:rsid w:val="008B2B14"/>
    <w:rsid w:val="008B2BEE"/>
    <w:rsid w:val="008B2D2E"/>
    <w:rsid w:val="008B3612"/>
    <w:rsid w:val="008B3745"/>
    <w:rsid w:val="008B3750"/>
    <w:rsid w:val="008B3C5E"/>
    <w:rsid w:val="008B4026"/>
    <w:rsid w:val="008B406E"/>
    <w:rsid w:val="008B4093"/>
    <w:rsid w:val="008B40F2"/>
    <w:rsid w:val="008B42B6"/>
    <w:rsid w:val="008B45E6"/>
    <w:rsid w:val="008B4C00"/>
    <w:rsid w:val="008B5409"/>
    <w:rsid w:val="008B5C8F"/>
    <w:rsid w:val="008B5DD6"/>
    <w:rsid w:val="008B5F16"/>
    <w:rsid w:val="008B6802"/>
    <w:rsid w:val="008B6B1E"/>
    <w:rsid w:val="008B6F7C"/>
    <w:rsid w:val="008B7183"/>
    <w:rsid w:val="008B7451"/>
    <w:rsid w:val="008B7722"/>
    <w:rsid w:val="008B77CE"/>
    <w:rsid w:val="008B7868"/>
    <w:rsid w:val="008B786F"/>
    <w:rsid w:val="008B792C"/>
    <w:rsid w:val="008B7D15"/>
    <w:rsid w:val="008B7EAB"/>
    <w:rsid w:val="008B7F9A"/>
    <w:rsid w:val="008C02BE"/>
    <w:rsid w:val="008C02E7"/>
    <w:rsid w:val="008C0475"/>
    <w:rsid w:val="008C0611"/>
    <w:rsid w:val="008C07DA"/>
    <w:rsid w:val="008C08DA"/>
    <w:rsid w:val="008C0AFA"/>
    <w:rsid w:val="008C0BAC"/>
    <w:rsid w:val="008C0DAB"/>
    <w:rsid w:val="008C0E5C"/>
    <w:rsid w:val="008C15F5"/>
    <w:rsid w:val="008C1786"/>
    <w:rsid w:val="008C184B"/>
    <w:rsid w:val="008C18BC"/>
    <w:rsid w:val="008C1ADE"/>
    <w:rsid w:val="008C1B45"/>
    <w:rsid w:val="008C1E2C"/>
    <w:rsid w:val="008C2205"/>
    <w:rsid w:val="008C26ED"/>
    <w:rsid w:val="008C28D0"/>
    <w:rsid w:val="008C2BB5"/>
    <w:rsid w:val="008C2EF2"/>
    <w:rsid w:val="008C32DE"/>
    <w:rsid w:val="008C343F"/>
    <w:rsid w:val="008C36BD"/>
    <w:rsid w:val="008C39E1"/>
    <w:rsid w:val="008C3B3A"/>
    <w:rsid w:val="008C3C63"/>
    <w:rsid w:val="008C4206"/>
    <w:rsid w:val="008C43E2"/>
    <w:rsid w:val="008C4581"/>
    <w:rsid w:val="008C489E"/>
    <w:rsid w:val="008C4FA9"/>
    <w:rsid w:val="008C504D"/>
    <w:rsid w:val="008C584A"/>
    <w:rsid w:val="008C59DF"/>
    <w:rsid w:val="008C5B21"/>
    <w:rsid w:val="008C5D76"/>
    <w:rsid w:val="008C5EE3"/>
    <w:rsid w:val="008C6829"/>
    <w:rsid w:val="008C6B32"/>
    <w:rsid w:val="008C6DF0"/>
    <w:rsid w:val="008C6E40"/>
    <w:rsid w:val="008C6F52"/>
    <w:rsid w:val="008C7041"/>
    <w:rsid w:val="008C7138"/>
    <w:rsid w:val="008C73B9"/>
    <w:rsid w:val="008C7584"/>
    <w:rsid w:val="008C79A1"/>
    <w:rsid w:val="008C7C57"/>
    <w:rsid w:val="008C7C81"/>
    <w:rsid w:val="008C7DD0"/>
    <w:rsid w:val="008D0369"/>
    <w:rsid w:val="008D0519"/>
    <w:rsid w:val="008D06E2"/>
    <w:rsid w:val="008D0902"/>
    <w:rsid w:val="008D0ED4"/>
    <w:rsid w:val="008D100D"/>
    <w:rsid w:val="008D1497"/>
    <w:rsid w:val="008D1B7E"/>
    <w:rsid w:val="008D1C1A"/>
    <w:rsid w:val="008D1FB9"/>
    <w:rsid w:val="008D2099"/>
    <w:rsid w:val="008D20BE"/>
    <w:rsid w:val="008D248E"/>
    <w:rsid w:val="008D24EF"/>
    <w:rsid w:val="008D264B"/>
    <w:rsid w:val="008D2D16"/>
    <w:rsid w:val="008D2F40"/>
    <w:rsid w:val="008D32FC"/>
    <w:rsid w:val="008D335A"/>
    <w:rsid w:val="008D3463"/>
    <w:rsid w:val="008D348B"/>
    <w:rsid w:val="008D3C94"/>
    <w:rsid w:val="008D422D"/>
    <w:rsid w:val="008D4269"/>
    <w:rsid w:val="008D4629"/>
    <w:rsid w:val="008D4658"/>
    <w:rsid w:val="008D46EE"/>
    <w:rsid w:val="008D4A17"/>
    <w:rsid w:val="008D4A8B"/>
    <w:rsid w:val="008D4E5B"/>
    <w:rsid w:val="008D55D1"/>
    <w:rsid w:val="008D5705"/>
    <w:rsid w:val="008D581B"/>
    <w:rsid w:val="008D60AF"/>
    <w:rsid w:val="008D635F"/>
    <w:rsid w:val="008D6600"/>
    <w:rsid w:val="008D6782"/>
    <w:rsid w:val="008D6C04"/>
    <w:rsid w:val="008D6D34"/>
    <w:rsid w:val="008D7CD8"/>
    <w:rsid w:val="008D7D45"/>
    <w:rsid w:val="008D7EE9"/>
    <w:rsid w:val="008E006C"/>
    <w:rsid w:val="008E027A"/>
    <w:rsid w:val="008E0629"/>
    <w:rsid w:val="008E07EB"/>
    <w:rsid w:val="008E097D"/>
    <w:rsid w:val="008E0C5E"/>
    <w:rsid w:val="008E14F9"/>
    <w:rsid w:val="008E1619"/>
    <w:rsid w:val="008E1B8E"/>
    <w:rsid w:val="008E1BF5"/>
    <w:rsid w:val="008E1FC2"/>
    <w:rsid w:val="008E2136"/>
    <w:rsid w:val="008E230B"/>
    <w:rsid w:val="008E27A2"/>
    <w:rsid w:val="008E2A2A"/>
    <w:rsid w:val="008E2BE4"/>
    <w:rsid w:val="008E2CBC"/>
    <w:rsid w:val="008E2D39"/>
    <w:rsid w:val="008E2D87"/>
    <w:rsid w:val="008E3191"/>
    <w:rsid w:val="008E345C"/>
    <w:rsid w:val="008E3B97"/>
    <w:rsid w:val="008E3ED5"/>
    <w:rsid w:val="008E41BE"/>
    <w:rsid w:val="008E4254"/>
    <w:rsid w:val="008E4436"/>
    <w:rsid w:val="008E456A"/>
    <w:rsid w:val="008E49F3"/>
    <w:rsid w:val="008E4A5B"/>
    <w:rsid w:val="008E4BAB"/>
    <w:rsid w:val="008E4BC8"/>
    <w:rsid w:val="008E4FAE"/>
    <w:rsid w:val="008E5047"/>
    <w:rsid w:val="008E5175"/>
    <w:rsid w:val="008E53A2"/>
    <w:rsid w:val="008E5509"/>
    <w:rsid w:val="008E5786"/>
    <w:rsid w:val="008E58F0"/>
    <w:rsid w:val="008E5AD5"/>
    <w:rsid w:val="008E5B20"/>
    <w:rsid w:val="008E62D2"/>
    <w:rsid w:val="008E66B3"/>
    <w:rsid w:val="008E68E5"/>
    <w:rsid w:val="008E6B4E"/>
    <w:rsid w:val="008E6B79"/>
    <w:rsid w:val="008E6CE6"/>
    <w:rsid w:val="008E6DC0"/>
    <w:rsid w:val="008E6FC8"/>
    <w:rsid w:val="008E72EE"/>
    <w:rsid w:val="008E7455"/>
    <w:rsid w:val="008E7970"/>
    <w:rsid w:val="008E7B40"/>
    <w:rsid w:val="008E7C34"/>
    <w:rsid w:val="008E7F4A"/>
    <w:rsid w:val="008F0155"/>
    <w:rsid w:val="008F03A7"/>
    <w:rsid w:val="008F0B57"/>
    <w:rsid w:val="008F0B89"/>
    <w:rsid w:val="008F0C36"/>
    <w:rsid w:val="008F0EB2"/>
    <w:rsid w:val="008F1016"/>
    <w:rsid w:val="008F107F"/>
    <w:rsid w:val="008F10B3"/>
    <w:rsid w:val="008F10D9"/>
    <w:rsid w:val="008F10DD"/>
    <w:rsid w:val="008F1869"/>
    <w:rsid w:val="008F1959"/>
    <w:rsid w:val="008F1BDA"/>
    <w:rsid w:val="008F1C38"/>
    <w:rsid w:val="008F20F7"/>
    <w:rsid w:val="008F21B8"/>
    <w:rsid w:val="008F258F"/>
    <w:rsid w:val="008F2847"/>
    <w:rsid w:val="008F2F7D"/>
    <w:rsid w:val="008F31E4"/>
    <w:rsid w:val="008F328D"/>
    <w:rsid w:val="008F344E"/>
    <w:rsid w:val="008F36E2"/>
    <w:rsid w:val="008F377B"/>
    <w:rsid w:val="008F395B"/>
    <w:rsid w:val="008F3C4B"/>
    <w:rsid w:val="008F3EB5"/>
    <w:rsid w:val="008F43D8"/>
    <w:rsid w:val="008F43F5"/>
    <w:rsid w:val="008F4823"/>
    <w:rsid w:val="008F4835"/>
    <w:rsid w:val="008F48F6"/>
    <w:rsid w:val="008F4E23"/>
    <w:rsid w:val="008F4FC9"/>
    <w:rsid w:val="008F50A6"/>
    <w:rsid w:val="008F51DA"/>
    <w:rsid w:val="008F56DE"/>
    <w:rsid w:val="008F576E"/>
    <w:rsid w:val="008F5D89"/>
    <w:rsid w:val="008F5E4C"/>
    <w:rsid w:val="008F61A0"/>
    <w:rsid w:val="008F6202"/>
    <w:rsid w:val="008F621C"/>
    <w:rsid w:val="008F67CC"/>
    <w:rsid w:val="008F6AD6"/>
    <w:rsid w:val="008F6D90"/>
    <w:rsid w:val="008F70B0"/>
    <w:rsid w:val="008F756D"/>
    <w:rsid w:val="00900259"/>
    <w:rsid w:val="009007FC"/>
    <w:rsid w:val="00900B47"/>
    <w:rsid w:val="00900B73"/>
    <w:rsid w:val="00900C35"/>
    <w:rsid w:val="00901012"/>
    <w:rsid w:val="009011CE"/>
    <w:rsid w:val="009017A1"/>
    <w:rsid w:val="00901D41"/>
    <w:rsid w:val="0090252A"/>
    <w:rsid w:val="0090258C"/>
    <w:rsid w:val="009025AB"/>
    <w:rsid w:val="00902AD1"/>
    <w:rsid w:val="00902C00"/>
    <w:rsid w:val="00902CA5"/>
    <w:rsid w:val="00902D4F"/>
    <w:rsid w:val="009030E3"/>
    <w:rsid w:val="009034B9"/>
    <w:rsid w:val="00903CFD"/>
    <w:rsid w:val="00903FB3"/>
    <w:rsid w:val="00904690"/>
    <w:rsid w:val="00905336"/>
    <w:rsid w:val="009060FF"/>
    <w:rsid w:val="009066DC"/>
    <w:rsid w:val="00906E22"/>
    <w:rsid w:val="0090728D"/>
    <w:rsid w:val="00907441"/>
    <w:rsid w:val="00907583"/>
    <w:rsid w:val="0090758F"/>
    <w:rsid w:val="0090766F"/>
    <w:rsid w:val="0090779A"/>
    <w:rsid w:val="0090780A"/>
    <w:rsid w:val="009102B4"/>
    <w:rsid w:val="0091052B"/>
    <w:rsid w:val="00910715"/>
    <w:rsid w:val="009107FF"/>
    <w:rsid w:val="0091091D"/>
    <w:rsid w:val="00911327"/>
    <w:rsid w:val="0091149A"/>
    <w:rsid w:val="00911B46"/>
    <w:rsid w:val="00911F7E"/>
    <w:rsid w:val="009122DB"/>
    <w:rsid w:val="00912848"/>
    <w:rsid w:val="00912B40"/>
    <w:rsid w:val="00912B56"/>
    <w:rsid w:val="00912C6F"/>
    <w:rsid w:val="00912E6B"/>
    <w:rsid w:val="009133D4"/>
    <w:rsid w:val="009136D9"/>
    <w:rsid w:val="00913F98"/>
    <w:rsid w:val="00914D25"/>
    <w:rsid w:val="00914D48"/>
    <w:rsid w:val="009150E8"/>
    <w:rsid w:val="00915512"/>
    <w:rsid w:val="0091574D"/>
    <w:rsid w:val="00915FFF"/>
    <w:rsid w:val="00916223"/>
    <w:rsid w:val="009163A0"/>
    <w:rsid w:val="009165A9"/>
    <w:rsid w:val="0091696F"/>
    <w:rsid w:val="00916C99"/>
    <w:rsid w:val="00916DA1"/>
    <w:rsid w:val="00916E6A"/>
    <w:rsid w:val="00916EE9"/>
    <w:rsid w:val="00917159"/>
    <w:rsid w:val="0091719D"/>
    <w:rsid w:val="00917C84"/>
    <w:rsid w:val="00917D6B"/>
    <w:rsid w:val="00920FCF"/>
    <w:rsid w:val="0092119F"/>
    <w:rsid w:val="009218A2"/>
    <w:rsid w:val="0092191B"/>
    <w:rsid w:val="00921D86"/>
    <w:rsid w:val="00921FE8"/>
    <w:rsid w:val="0092241F"/>
    <w:rsid w:val="009224A3"/>
    <w:rsid w:val="009224B7"/>
    <w:rsid w:val="0092261B"/>
    <w:rsid w:val="00922E3B"/>
    <w:rsid w:val="00922FD8"/>
    <w:rsid w:val="009230B4"/>
    <w:rsid w:val="00923261"/>
    <w:rsid w:val="009233CC"/>
    <w:rsid w:val="00923509"/>
    <w:rsid w:val="00923551"/>
    <w:rsid w:val="00923633"/>
    <w:rsid w:val="00923651"/>
    <w:rsid w:val="00923C11"/>
    <w:rsid w:val="00923ECC"/>
    <w:rsid w:val="009240D8"/>
    <w:rsid w:val="009240FF"/>
    <w:rsid w:val="009241D4"/>
    <w:rsid w:val="009244B9"/>
    <w:rsid w:val="00924502"/>
    <w:rsid w:val="00924700"/>
    <w:rsid w:val="00924AA7"/>
    <w:rsid w:val="00924EC9"/>
    <w:rsid w:val="0092518C"/>
    <w:rsid w:val="0092523D"/>
    <w:rsid w:val="0092571D"/>
    <w:rsid w:val="0092586A"/>
    <w:rsid w:val="009259B7"/>
    <w:rsid w:val="00925EF6"/>
    <w:rsid w:val="00925F7F"/>
    <w:rsid w:val="009260FB"/>
    <w:rsid w:val="00926354"/>
    <w:rsid w:val="009264CA"/>
    <w:rsid w:val="00926609"/>
    <w:rsid w:val="00926E12"/>
    <w:rsid w:val="00926F34"/>
    <w:rsid w:val="00927038"/>
    <w:rsid w:val="0092785A"/>
    <w:rsid w:val="0092789F"/>
    <w:rsid w:val="00927A08"/>
    <w:rsid w:val="00927C90"/>
    <w:rsid w:val="00927F26"/>
    <w:rsid w:val="00927FCB"/>
    <w:rsid w:val="009303C3"/>
    <w:rsid w:val="0093044E"/>
    <w:rsid w:val="0093066B"/>
    <w:rsid w:val="0093069F"/>
    <w:rsid w:val="00930745"/>
    <w:rsid w:val="00930812"/>
    <w:rsid w:val="00930948"/>
    <w:rsid w:val="00930A39"/>
    <w:rsid w:val="00930A74"/>
    <w:rsid w:val="00930B50"/>
    <w:rsid w:val="00930E1C"/>
    <w:rsid w:val="00930EA1"/>
    <w:rsid w:val="009310BF"/>
    <w:rsid w:val="009310EB"/>
    <w:rsid w:val="00931112"/>
    <w:rsid w:val="00931338"/>
    <w:rsid w:val="009316A4"/>
    <w:rsid w:val="0093176E"/>
    <w:rsid w:val="00931852"/>
    <w:rsid w:val="00931B5E"/>
    <w:rsid w:val="00932100"/>
    <w:rsid w:val="00932509"/>
    <w:rsid w:val="00932929"/>
    <w:rsid w:val="00932983"/>
    <w:rsid w:val="009329B0"/>
    <w:rsid w:val="009329B2"/>
    <w:rsid w:val="009332E2"/>
    <w:rsid w:val="00933817"/>
    <w:rsid w:val="00933A35"/>
    <w:rsid w:val="00933AC7"/>
    <w:rsid w:val="00933FE3"/>
    <w:rsid w:val="00934480"/>
    <w:rsid w:val="009348DC"/>
    <w:rsid w:val="00934B9E"/>
    <w:rsid w:val="00934EAC"/>
    <w:rsid w:val="009350E4"/>
    <w:rsid w:val="009354E5"/>
    <w:rsid w:val="00935753"/>
    <w:rsid w:val="009358B6"/>
    <w:rsid w:val="009359DF"/>
    <w:rsid w:val="00935A5A"/>
    <w:rsid w:val="00935D19"/>
    <w:rsid w:val="00935F92"/>
    <w:rsid w:val="0093603E"/>
    <w:rsid w:val="009360D7"/>
    <w:rsid w:val="009362C9"/>
    <w:rsid w:val="00936530"/>
    <w:rsid w:val="0093743C"/>
    <w:rsid w:val="00937498"/>
    <w:rsid w:val="00937509"/>
    <w:rsid w:val="00937539"/>
    <w:rsid w:val="0093753F"/>
    <w:rsid w:val="00937565"/>
    <w:rsid w:val="00937935"/>
    <w:rsid w:val="00937D38"/>
    <w:rsid w:val="00937E54"/>
    <w:rsid w:val="009404D7"/>
    <w:rsid w:val="009405A4"/>
    <w:rsid w:val="009406E0"/>
    <w:rsid w:val="009407AA"/>
    <w:rsid w:val="00940AD1"/>
    <w:rsid w:val="00940E50"/>
    <w:rsid w:val="00940EEB"/>
    <w:rsid w:val="00941026"/>
    <w:rsid w:val="00941536"/>
    <w:rsid w:val="00941754"/>
    <w:rsid w:val="00941769"/>
    <w:rsid w:val="00941974"/>
    <w:rsid w:val="00941D13"/>
    <w:rsid w:val="00942058"/>
    <w:rsid w:val="0094218A"/>
    <w:rsid w:val="00942226"/>
    <w:rsid w:val="00942387"/>
    <w:rsid w:val="009428F2"/>
    <w:rsid w:val="00942A1E"/>
    <w:rsid w:val="00942F4C"/>
    <w:rsid w:val="00943577"/>
    <w:rsid w:val="0094380C"/>
    <w:rsid w:val="0094385A"/>
    <w:rsid w:val="009438FE"/>
    <w:rsid w:val="00943AD9"/>
    <w:rsid w:val="00943AE3"/>
    <w:rsid w:val="00944236"/>
    <w:rsid w:val="00944614"/>
    <w:rsid w:val="00944959"/>
    <w:rsid w:val="00944EAE"/>
    <w:rsid w:val="0094517F"/>
    <w:rsid w:val="009451A4"/>
    <w:rsid w:val="0094553C"/>
    <w:rsid w:val="00945613"/>
    <w:rsid w:val="009457B0"/>
    <w:rsid w:val="00945D86"/>
    <w:rsid w:val="00945EF3"/>
    <w:rsid w:val="00946019"/>
    <w:rsid w:val="0094626F"/>
    <w:rsid w:val="009462D2"/>
    <w:rsid w:val="0094692B"/>
    <w:rsid w:val="00946A1D"/>
    <w:rsid w:val="00946ED5"/>
    <w:rsid w:val="009476AB"/>
    <w:rsid w:val="009479A6"/>
    <w:rsid w:val="00947E56"/>
    <w:rsid w:val="0095054F"/>
    <w:rsid w:val="00950A20"/>
    <w:rsid w:val="00950CD5"/>
    <w:rsid w:val="00950D16"/>
    <w:rsid w:val="0095118D"/>
    <w:rsid w:val="0095144C"/>
    <w:rsid w:val="009515F4"/>
    <w:rsid w:val="0095165B"/>
    <w:rsid w:val="00951BD0"/>
    <w:rsid w:val="00952548"/>
    <w:rsid w:val="00952844"/>
    <w:rsid w:val="009531B5"/>
    <w:rsid w:val="00953587"/>
    <w:rsid w:val="00953825"/>
    <w:rsid w:val="009538C2"/>
    <w:rsid w:val="00953C2A"/>
    <w:rsid w:val="00953D79"/>
    <w:rsid w:val="00953D91"/>
    <w:rsid w:val="00954003"/>
    <w:rsid w:val="00954148"/>
    <w:rsid w:val="009542ED"/>
    <w:rsid w:val="0095434A"/>
    <w:rsid w:val="00954939"/>
    <w:rsid w:val="009553DD"/>
    <w:rsid w:val="0095554D"/>
    <w:rsid w:val="0095584D"/>
    <w:rsid w:val="00955943"/>
    <w:rsid w:val="009559B8"/>
    <w:rsid w:val="00955A1A"/>
    <w:rsid w:val="00955AC4"/>
    <w:rsid w:val="00955B89"/>
    <w:rsid w:val="00955DF3"/>
    <w:rsid w:val="00956139"/>
    <w:rsid w:val="0095654C"/>
    <w:rsid w:val="0095686C"/>
    <w:rsid w:val="00956C4E"/>
    <w:rsid w:val="0095751D"/>
    <w:rsid w:val="00957569"/>
    <w:rsid w:val="009576B9"/>
    <w:rsid w:val="00957A77"/>
    <w:rsid w:val="00957D5A"/>
    <w:rsid w:val="00957D5D"/>
    <w:rsid w:val="0096002A"/>
    <w:rsid w:val="0096010B"/>
    <w:rsid w:val="009602CB"/>
    <w:rsid w:val="009608B3"/>
    <w:rsid w:val="00961623"/>
    <w:rsid w:val="009619B3"/>
    <w:rsid w:val="00961E08"/>
    <w:rsid w:val="00961E7E"/>
    <w:rsid w:val="00961F98"/>
    <w:rsid w:val="00961F9F"/>
    <w:rsid w:val="00961FF0"/>
    <w:rsid w:val="00962323"/>
    <w:rsid w:val="009626AC"/>
    <w:rsid w:val="0096297B"/>
    <w:rsid w:val="009633D7"/>
    <w:rsid w:val="009637F5"/>
    <w:rsid w:val="00963891"/>
    <w:rsid w:val="00963ACD"/>
    <w:rsid w:val="00963B85"/>
    <w:rsid w:val="00964723"/>
    <w:rsid w:val="00964A1C"/>
    <w:rsid w:val="00964A79"/>
    <w:rsid w:val="00964C14"/>
    <w:rsid w:val="00964CF1"/>
    <w:rsid w:val="009652D5"/>
    <w:rsid w:val="00966AE3"/>
    <w:rsid w:val="00966C16"/>
    <w:rsid w:val="00966D01"/>
    <w:rsid w:val="00966E91"/>
    <w:rsid w:val="009673BF"/>
    <w:rsid w:val="0096761A"/>
    <w:rsid w:val="00967799"/>
    <w:rsid w:val="009677DE"/>
    <w:rsid w:val="009677F8"/>
    <w:rsid w:val="0097014B"/>
    <w:rsid w:val="0097036B"/>
    <w:rsid w:val="0097054C"/>
    <w:rsid w:val="009705FE"/>
    <w:rsid w:val="00970910"/>
    <w:rsid w:val="00970C46"/>
    <w:rsid w:val="00970D1A"/>
    <w:rsid w:val="00970E55"/>
    <w:rsid w:val="00970EF1"/>
    <w:rsid w:val="00970F09"/>
    <w:rsid w:val="00970F7A"/>
    <w:rsid w:val="00971146"/>
    <w:rsid w:val="009713E2"/>
    <w:rsid w:val="009713EB"/>
    <w:rsid w:val="009717F0"/>
    <w:rsid w:val="0097198B"/>
    <w:rsid w:val="00971AA1"/>
    <w:rsid w:val="00971C3A"/>
    <w:rsid w:val="00971DC0"/>
    <w:rsid w:val="009721C9"/>
    <w:rsid w:val="00972278"/>
    <w:rsid w:val="009723EC"/>
    <w:rsid w:val="0097252E"/>
    <w:rsid w:val="009725F2"/>
    <w:rsid w:val="00972636"/>
    <w:rsid w:val="00972847"/>
    <w:rsid w:val="00972916"/>
    <w:rsid w:val="00972A9A"/>
    <w:rsid w:val="00972AFF"/>
    <w:rsid w:val="00972B99"/>
    <w:rsid w:val="00972CA0"/>
    <w:rsid w:val="009735FB"/>
    <w:rsid w:val="0097374B"/>
    <w:rsid w:val="00973C85"/>
    <w:rsid w:val="0097410D"/>
    <w:rsid w:val="0097429B"/>
    <w:rsid w:val="009746C6"/>
    <w:rsid w:val="009749F7"/>
    <w:rsid w:val="009757B3"/>
    <w:rsid w:val="00975B8C"/>
    <w:rsid w:val="0097600B"/>
    <w:rsid w:val="00976427"/>
    <w:rsid w:val="00976703"/>
    <w:rsid w:val="0097691F"/>
    <w:rsid w:val="009769C3"/>
    <w:rsid w:val="00977263"/>
    <w:rsid w:val="00977A34"/>
    <w:rsid w:val="00977D75"/>
    <w:rsid w:val="009809DC"/>
    <w:rsid w:val="00980C60"/>
    <w:rsid w:val="00981126"/>
    <w:rsid w:val="0098193C"/>
    <w:rsid w:val="00981C05"/>
    <w:rsid w:val="00981E75"/>
    <w:rsid w:val="009821F9"/>
    <w:rsid w:val="00982435"/>
    <w:rsid w:val="00982559"/>
    <w:rsid w:val="00982627"/>
    <w:rsid w:val="00982719"/>
    <w:rsid w:val="00982745"/>
    <w:rsid w:val="0098307E"/>
    <w:rsid w:val="00983096"/>
    <w:rsid w:val="009830B5"/>
    <w:rsid w:val="0098338D"/>
    <w:rsid w:val="00983875"/>
    <w:rsid w:val="00983A0F"/>
    <w:rsid w:val="00983C31"/>
    <w:rsid w:val="00983DFB"/>
    <w:rsid w:val="00983E7E"/>
    <w:rsid w:val="00983EF1"/>
    <w:rsid w:val="0098401C"/>
    <w:rsid w:val="009841C1"/>
    <w:rsid w:val="0098461A"/>
    <w:rsid w:val="00984A1E"/>
    <w:rsid w:val="00984E8C"/>
    <w:rsid w:val="00985121"/>
    <w:rsid w:val="0098513A"/>
    <w:rsid w:val="00985E04"/>
    <w:rsid w:val="0098635C"/>
    <w:rsid w:val="009865DA"/>
    <w:rsid w:val="009866A4"/>
    <w:rsid w:val="00987008"/>
    <w:rsid w:val="00987347"/>
    <w:rsid w:val="009874D7"/>
    <w:rsid w:val="0098765E"/>
    <w:rsid w:val="00987A6D"/>
    <w:rsid w:val="00987BAC"/>
    <w:rsid w:val="00987BB1"/>
    <w:rsid w:val="00987C50"/>
    <w:rsid w:val="009900C6"/>
    <w:rsid w:val="00990169"/>
    <w:rsid w:val="009902F9"/>
    <w:rsid w:val="009905FF"/>
    <w:rsid w:val="00990672"/>
    <w:rsid w:val="00990CF1"/>
    <w:rsid w:val="00990D40"/>
    <w:rsid w:val="00990F98"/>
    <w:rsid w:val="00991675"/>
    <w:rsid w:val="00992008"/>
    <w:rsid w:val="009928FE"/>
    <w:rsid w:val="00992A0D"/>
    <w:rsid w:val="00992B05"/>
    <w:rsid w:val="00992BBD"/>
    <w:rsid w:val="00992BC7"/>
    <w:rsid w:val="00992F72"/>
    <w:rsid w:val="00993387"/>
    <w:rsid w:val="00993EC9"/>
    <w:rsid w:val="00993F9C"/>
    <w:rsid w:val="00994540"/>
    <w:rsid w:val="0099478E"/>
    <w:rsid w:val="00994987"/>
    <w:rsid w:val="0099499F"/>
    <w:rsid w:val="009949AA"/>
    <w:rsid w:val="00994B8D"/>
    <w:rsid w:val="00994DF9"/>
    <w:rsid w:val="0099513F"/>
    <w:rsid w:val="0099546D"/>
    <w:rsid w:val="00995563"/>
    <w:rsid w:val="0099566F"/>
    <w:rsid w:val="00995D8B"/>
    <w:rsid w:val="00995F67"/>
    <w:rsid w:val="0099606C"/>
    <w:rsid w:val="00996106"/>
    <w:rsid w:val="00996409"/>
    <w:rsid w:val="00996499"/>
    <w:rsid w:val="009965BC"/>
    <w:rsid w:val="00996750"/>
    <w:rsid w:val="0099699D"/>
    <w:rsid w:val="009969D4"/>
    <w:rsid w:val="00996ACD"/>
    <w:rsid w:val="00996BB0"/>
    <w:rsid w:val="00996D00"/>
    <w:rsid w:val="00996D57"/>
    <w:rsid w:val="0099752F"/>
    <w:rsid w:val="00997B48"/>
    <w:rsid w:val="00997D0E"/>
    <w:rsid w:val="00997DED"/>
    <w:rsid w:val="009A0382"/>
    <w:rsid w:val="009A03DC"/>
    <w:rsid w:val="009A0481"/>
    <w:rsid w:val="009A058D"/>
    <w:rsid w:val="009A0FD4"/>
    <w:rsid w:val="009A14A3"/>
    <w:rsid w:val="009A1675"/>
    <w:rsid w:val="009A1683"/>
    <w:rsid w:val="009A16C3"/>
    <w:rsid w:val="009A1C5A"/>
    <w:rsid w:val="009A2217"/>
    <w:rsid w:val="009A228E"/>
    <w:rsid w:val="009A2700"/>
    <w:rsid w:val="009A2C92"/>
    <w:rsid w:val="009A3215"/>
    <w:rsid w:val="009A33E4"/>
    <w:rsid w:val="009A34D9"/>
    <w:rsid w:val="009A35F7"/>
    <w:rsid w:val="009A3D6B"/>
    <w:rsid w:val="009A41A1"/>
    <w:rsid w:val="009A4569"/>
    <w:rsid w:val="009A48BF"/>
    <w:rsid w:val="009A4A76"/>
    <w:rsid w:val="009A4E10"/>
    <w:rsid w:val="009A4F77"/>
    <w:rsid w:val="009A567A"/>
    <w:rsid w:val="009A6558"/>
    <w:rsid w:val="009A6CA2"/>
    <w:rsid w:val="009A6CF3"/>
    <w:rsid w:val="009A7199"/>
    <w:rsid w:val="009A72F8"/>
    <w:rsid w:val="009A74E4"/>
    <w:rsid w:val="009A76F7"/>
    <w:rsid w:val="009A7999"/>
    <w:rsid w:val="009B0134"/>
    <w:rsid w:val="009B05AB"/>
    <w:rsid w:val="009B0655"/>
    <w:rsid w:val="009B08A0"/>
    <w:rsid w:val="009B0B83"/>
    <w:rsid w:val="009B0E88"/>
    <w:rsid w:val="009B1804"/>
    <w:rsid w:val="009B1A42"/>
    <w:rsid w:val="009B1A57"/>
    <w:rsid w:val="009B1F80"/>
    <w:rsid w:val="009B2020"/>
    <w:rsid w:val="009B235A"/>
    <w:rsid w:val="009B2391"/>
    <w:rsid w:val="009B24F2"/>
    <w:rsid w:val="009B252F"/>
    <w:rsid w:val="009B2785"/>
    <w:rsid w:val="009B2DBA"/>
    <w:rsid w:val="009B3133"/>
    <w:rsid w:val="009B3504"/>
    <w:rsid w:val="009B366F"/>
    <w:rsid w:val="009B38BC"/>
    <w:rsid w:val="009B42DD"/>
    <w:rsid w:val="009B43BF"/>
    <w:rsid w:val="009B449D"/>
    <w:rsid w:val="009B4693"/>
    <w:rsid w:val="009B4A2D"/>
    <w:rsid w:val="009B4A90"/>
    <w:rsid w:val="009B4C09"/>
    <w:rsid w:val="009B4E71"/>
    <w:rsid w:val="009B540B"/>
    <w:rsid w:val="009B54AB"/>
    <w:rsid w:val="009B54E0"/>
    <w:rsid w:val="009B56F9"/>
    <w:rsid w:val="009B591D"/>
    <w:rsid w:val="009B5A07"/>
    <w:rsid w:val="009B5CD6"/>
    <w:rsid w:val="009B64D1"/>
    <w:rsid w:val="009B64FF"/>
    <w:rsid w:val="009B655D"/>
    <w:rsid w:val="009B6884"/>
    <w:rsid w:val="009B6BC6"/>
    <w:rsid w:val="009B6EAB"/>
    <w:rsid w:val="009B708E"/>
    <w:rsid w:val="009B730C"/>
    <w:rsid w:val="009B74D3"/>
    <w:rsid w:val="009B7516"/>
    <w:rsid w:val="009B757A"/>
    <w:rsid w:val="009B7890"/>
    <w:rsid w:val="009C0286"/>
    <w:rsid w:val="009C065D"/>
    <w:rsid w:val="009C09C4"/>
    <w:rsid w:val="009C0D78"/>
    <w:rsid w:val="009C1363"/>
    <w:rsid w:val="009C14A4"/>
    <w:rsid w:val="009C16B9"/>
    <w:rsid w:val="009C18B8"/>
    <w:rsid w:val="009C199B"/>
    <w:rsid w:val="009C1B3C"/>
    <w:rsid w:val="009C1B99"/>
    <w:rsid w:val="009C1E01"/>
    <w:rsid w:val="009C1E0B"/>
    <w:rsid w:val="009C1E8E"/>
    <w:rsid w:val="009C2007"/>
    <w:rsid w:val="009C2259"/>
    <w:rsid w:val="009C26C9"/>
    <w:rsid w:val="009C2871"/>
    <w:rsid w:val="009C2A1C"/>
    <w:rsid w:val="009C2EC7"/>
    <w:rsid w:val="009C2F02"/>
    <w:rsid w:val="009C32E4"/>
    <w:rsid w:val="009C3769"/>
    <w:rsid w:val="009C37DA"/>
    <w:rsid w:val="009C442C"/>
    <w:rsid w:val="009C4785"/>
    <w:rsid w:val="009C47A7"/>
    <w:rsid w:val="009C4851"/>
    <w:rsid w:val="009C4884"/>
    <w:rsid w:val="009C48B1"/>
    <w:rsid w:val="009C4A9D"/>
    <w:rsid w:val="009C4AD3"/>
    <w:rsid w:val="009C52A7"/>
    <w:rsid w:val="009C5421"/>
    <w:rsid w:val="009C56C2"/>
    <w:rsid w:val="009C57A4"/>
    <w:rsid w:val="009C5AFF"/>
    <w:rsid w:val="009C5D3B"/>
    <w:rsid w:val="009C601F"/>
    <w:rsid w:val="009C62F8"/>
    <w:rsid w:val="009C6B6E"/>
    <w:rsid w:val="009C7124"/>
    <w:rsid w:val="009C73CB"/>
    <w:rsid w:val="009C7951"/>
    <w:rsid w:val="009C7B7D"/>
    <w:rsid w:val="009D03E1"/>
    <w:rsid w:val="009D057F"/>
    <w:rsid w:val="009D0581"/>
    <w:rsid w:val="009D07C3"/>
    <w:rsid w:val="009D0946"/>
    <w:rsid w:val="009D097D"/>
    <w:rsid w:val="009D09FF"/>
    <w:rsid w:val="009D0A1F"/>
    <w:rsid w:val="009D0D3A"/>
    <w:rsid w:val="009D0F03"/>
    <w:rsid w:val="009D150C"/>
    <w:rsid w:val="009D15C6"/>
    <w:rsid w:val="009D17B9"/>
    <w:rsid w:val="009D1A67"/>
    <w:rsid w:val="009D1ED1"/>
    <w:rsid w:val="009D1F69"/>
    <w:rsid w:val="009D2362"/>
    <w:rsid w:val="009D23F9"/>
    <w:rsid w:val="009D2788"/>
    <w:rsid w:val="009D38F7"/>
    <w:rsid w:val="009D3DD0"/>
    <w:rsid w:val="009D406F"/>
    <w:rsid w:val="009D4157"/>
    <w:rsid w:val="009D4ED0"/>
    <w:rsid w:val="009D542D"/>
    <w:rsid w:val="009D545A"/>
    <w:rsid w:val="009D558A"/>
    <w:rsid w:val="009D5BCD"/>
    <w:rsid w:val="009D5BF0"/>
    <w:rsid w:val="009D5E81"/>
    <w:rsid w:val="009D6321"/>
    <w:rsid w:val="009D6606"/>
    <w:rsid w:val="009D669A"/>
    <w:rsid w:val="009D6B83"/>
    <w:rsid w:val="009D6B9B"/>
    <w:rsid w:val="009D6CDA"/>
    <w:rsid w:val="009D6D44"/>
    <w:rsid w:val="009D7225"/>
    <w:rsid w:val="009D7401"/>
    <w:rsid w:val="009D7639"/>
    <w:rsid w:val="009D7B09"/>
    <w:rsid w:val="009D7E6F"/>
    <w:rsid w:val="009E00EA"/>
    <w:rsid w:val="009E01D7"/>
    <w:rsid w:val="009E02E3"/>
    <w:rsid w:val="009E037D"/>
    <w:rsid w:val="009E0593"/>
    <w:rsid w:val="009E0CC9"/>
    <w:rsid w:val="009E0F4D"/>
    <w:rsid w:val="009E1096"/>
    <w:rsid w:val="009E10AD"/>
    <w:rsid w:val="009E10D6"/>
    <w:rsid w:val="009E11F6"/>
    <w:rsid w:val="009E165F"/>
    <w:rsid w:val="009E177E"/>
    <w:rsid w:val="009E1C8D"/>
    <w:rsid w:val="009E1CCF"/>
    <w:rsid w:val="009E1F4C"/>
    <w:rsid w:val="009E1F85"/>
    <w:rsid w:val="009E22FA"/>
    <w:rsid w:val="009E2D9C"/>
    <w:rsid w:val="009E2E6B"/>
    <w:rsid w:val="009E3F46"/>
    <w:rsid w:val="009E3FA9"/>
    <w:rsid w:val="009E44DA"/>
    <w:rsid w:val="009E4744"/>
    <w:rsid w:val="009E47E0"/>
    <w:rsid w:val="009E4878"/>
    <w:rsid w:val="009E4CB5"/>
    <w:rsid w:val="009E4CBA"/>
    <w:rsid w:val="009E4EC9"/>
    <w:rsid w:val="009E4FA3"/>
    <w:rsid w:val="009E5211"/>
    <w:rsid w:val="009E5542"/>
    <w:rsid w:val="009E58B0"/>
    <w:rsid w:val="009E5D00"/>
    <w:rsid w:val="009E5D5A"/>
    <w:rsid w:val="009E6790"/>
    <w:rsid w:val="009E67F6"/>
    <w:rsid w:val="009E6876"/>
    <w:rsid w:val="009E6D30"/>
    <w:rsid w:val="009E6DB6"/>
    <w:rsid w:val="009E784E"/>
    <w:rsid w:val="009E7F68"/>
    <w:rsid w:val="009F0630"/>
    <w:rsid w:val="009F08AA"/>
    <w:rsid w:val="009F0984"/>
    <w:rsid w:val="009F0B36"/>
    <w:rsid w:val="009F0C36"/>
    <w:rsid w:val="009F1180"/>
    <w:rsid w:val="009F1758"/>
    <w:rsid w:val="009F1C84"/>
    <w:rsid w:val="009F2114"/>
    <w:rsid w:val="009F2262"/>
    <w:rsid w:val="009F28E2"/>
    <w:rsid w:val="009F299F"/>
    <w:rsid w:val="009F2C2D"/>
    <w:rsid w:val="009F32AD"/>
    <w:rsid w:val="009F3315"/>
    <w:rsid w:val="009F3377"/>
    <w:rsid w:val="009F3BCC"/>
    <w:rsid w:val="009F4171"/>
    <w:rsid w:val="009F42E8"/>
    <w:rsid w:val="009F441E"/>
    <w:rsid w:val="009F4583"/>
    <w:rsid w:val="009F47CE"/>
    <w:rsid w:val="009F4A66"/>
    <w:rsid w:val="009F4ADA"/>
    <w:rsid w:val="009F4BA8"/>
    <w:rsid w:val="009F4C47"/>
    <w:rsid w:val="009F5421"/>
    <w:rsid w:val="009F5858"/>
    <w:rsid w:val="009F60FA"/>
    <w:rsid w:val="009F6239"/>
    <w:rsid w:val="009F6658"/>
    <w:rsid w:val="009F6A0D"/>
    <w:rsid w:val="009F6A49"/>
    <w:rsid w:val="009F6BF2"/>
    <w:rsid w:val="009F6C05"/>
    <w:rsid w:val="009F7100"/>
    <w:rsid w:val="009F7294"/>
    <w:rsid w:val="009F734C"/>
    <w:rsid w:val="009F746A"/>
    <w:rsid w:val="009F7724"/>
    <w:rsid w:val="009F7C9B"/>
    <w:rsid w:val="009F7D13"/>
    <w:rsid w:val="009F7E8C"/>
    <w:rsid w:val="009F7E99"/>
    <w:rsid w:val="009F7FA9"/>
    <w:rsid w:val="009F7FB3"/>
    <w:rsid w:val="00A00BA5"/>
    <w:rsid w:val="00A00F5D"/>
    <w:rsid w:val="00A017A8"/>
    <w:rsid w:val="00A01AAD"/>
    <w:rsid w:val="00A01AC1"/>
    <w:rsid w:val="00A01B15"/>
    <w:rsid w:val="00A01BA3"/>
    <w:rsid w:val="00A01EAA"/>
    <w:rsid w:val="00A028E5"/>
    <w:rsid w:val="00A02B02"/>
    <w:rsid w:val="00A02F04"/>
    <w:rsid w:val="00A02FD1"/>
    <w:rsid w:val="00A0313B"/>
    <w:rsid w:val="00A03D76"/>
    <w:rsid w:val="00A03DE5"/>
    <w:rsid w:val="00A03F67"/>
    <w:rsid w:val="00A03FE0"/>
    <w:rsid w:val="00A04712"/>
    <w:rsid w:val="00A04CFA"/>
    <w:rsid w:val="00A04D9F"/>
    <w:rsid w:val="00A05069"/>
    <w:rsid w:val="00A050D7"/>
    <w:rsid w:val="00A0534B"/>
    <w:rsid w:val="00A0603E"/>
    <w:rsid w:val="00A0638A"/>
    <w:rsid w:val="00A069D1"/>
    <w:rsid w:val="00A06E2E"/>
    <w:rsid w:val="00A06F01"/>
    <w:rsid w:val="00A070B7"/>
    <w:rsid w:val="00A071D0"/>
    <w:rsid w:val="00A074B7"/>
    <w:rsid w:val="00A07991"/>
    <w:rsid w:val="00A079A5"/>
    <w:rsid w:val="00A07ACD"/>
    <w:rsid w:val="00A07B27"/>
    <w:rsid w:val="00A07D42"/>
    <w:rsid w:val="00A07F1F"/>
    <w:rsid w:val="00A1008B"/>
    <w:rsid w:val="00A104CE"/>
    <w:rsid w:val="00A106AC"/>
    <w:rsid w:val="00A1092B"/>
    <w:rsid w:val="00A10CDE"/>
    <w:rsid w:val="00A11350"/>
    <w:rsid w:val="00A1135A"/>
    <w:rsid w:val="00A11545"/>
    <w:rsid w:val="00A1165A"/>
    <w:rsid w:val="00A11A9E"/>
    <w:rsid w:val="00A11EAA"/>
    <w:rsid w:val="00A11EB5"/>
    <w:rsid w:val="00A12450"/>
    <w:rsid w:val="00A12DE8"/>
    <w:rsid w:val="00A12F1D"/>
    <w:rsid w:val="00A12FE0"/>
    <w:rsid w:val="00A13252"/>
    <w:rsid w:val="00A139FC"/>
    <w:rsid w:val="00A13A89"/>
    <w:rsid w:val="00A13E76"/>
    <w:rsid w:val="00A14238"/>
    <w:rsid w:val="00A143E1"/>
    <w:rsid w:val="00A143F0"/>
    <w:rsid w:val="00A14598"/>
    <w:rsid w:val="00A14748"/>
    <w:rsid w:val="00A14887"/>
    <w:rsid w:val="00A14D25"/>
    <w:rsid w:val="00A14DE8"/>
    <w:rsid w:val="00A150BE"/>
    <w:rsid w:val="00A152E5"/>
    <w:rsid w:val="00A15BD1"/>
    <w:rsid w:val="00A15F04"/>
    <w:rsid w:val="00A15F6E"/>
    <w:rsid w:val="00A160A9"/>
    <w:rsid w:val="00A1610F"/>
    <w:rsid w:val="00A163DA"/>
    <w:rsid w:val="00A1680D"/>
    <w:rsid w:val="00A168D9"/>
    <w:rsid w:val="00A16CA1"/>
    <w:rsid w:val="00A16EA7"/>
    <w:rsid w:val="00A1716C"/>
    <w:rsid w:val="00A1749D"/>
    <w:rsid w:val="00A176FF"/>
    <w:rsid w:val="00A17CC1"/>
    <w:rsid w:val="00A17E1A"/>
    <w:rsid w:val="00A204AF"/>
    <w:rsid w:val="00A207E0"/>
    <w:rsid w:val="00A210F3"/>
    <w:rsid w:val="00A21829"/>
    <w:rsid w:val="00A2190F"/>
    <w:rsid w:val="00A21962"/>
    <w:rsid w:val="00A21B20"/>
    <w:rsid w:val="00A21D6F"/>
    <w:rsid w:val="00A21DA9"/>
    <w:rsid w:val="00A21DDD"/>
    <w:rsid w:val="00A21EDD"/>
    <w:rsid w:val="00A22037"/>
    <w:rsid w:val="00A222CC"/>
    <w:rsid w:val="00A22BA1"/>
    <w:rsid w:val="00A2305E"/>
    <w:rsid w:val="00A23718"/>
    <w:rsid w:val="00A23764"/>
    <w:rsid w:val="00A237D4"/>
    <w:rsid w:val="00A238F3"/>
    <w:rsid w:val="00A23AB0"/>
    <w:rsid w:val="00A23C1A"/>
    <w:rsid w:val="00A241A2"/>
    <w:rsid w:val="00A24949"/>
    <w:rsid w:val="00A24C87"/>
    <w:rsid w:val="00A2507A"/>
    <w:rsid w:val="00A25297"/>
    <w:rsid w:val="00A25D3B"/>
    <w:rsid w:val="00A25E0F"/>
    <w:rsid w:val="00A26369"/>
    <w:rsid w:val="00A2639A"/>
    <w:rsid w:val="00A266C5"/>
    <w:rsid w:val="00A26704"/>
    <w:rsid w:val="00A26B02"/>
    <w:rsid w:val="00A26B03"/>
    <w:rsid w:val="00A26C43"/>
    <w:rsid w:val="00A26D60"/>
    <w:rsid w:val="00A26E70"/>
    <w:rsid w:val="00A2712F"/>
    <w:rsid w:val="00A2717C"/>
    <w:rsid w:val="00A27303"/>
    <w:rsid w:val="00A27448"/>
    <w:rsid w:val="00A2744F"/>
    <w:rsid w:val="00A278DB"/>
    <w:rsid w:val="00A30190"/>
    <w:rsid w:val="00A3020D"/>
    <w:rsid w:val="00A3052D"/>
    <w:rsid w:val="00A308B2"/>
    <w:rsid w:val="00A309C6"/>
    <w:rsid w:val="00A30BC0"/>
    <w:rsid w:val="00A30C55"/>
    <w:rsid w:val="00A30F98"/>
    <w:rsid w:val="00A3115A"/>
    <w:rsid w:val="00A313F8"/>
    <w:rsid w:val="00A31657"/>
    <w:rsid w:val="00A31734"/>
    <w:rsid w:val="00A31778"/>
    <w:rsid w:val="00A317A3"/>
    <w:rsid w:val="00A3187D"/>
    <w:rsid w:val="00A319DB"/>
    <w:rsid w:val="00A31BDC"/>
    <w:rsid w:val="00A31C8F"/>
    <w:rsid w:val="00A3227D"/>
    <w:rsid w:val="00A326F2"/>
    <w:rsid w:val="00A3277F"/>
    <w:rsid w:val="00A32AFC"/>
    <w:rsid w:val="00A32E4E"/>
    <w:rsid w:val="00A33019"/>
    <w:rsid w:val="00A3301F"/>
    <w:rsid w:val="00A3303E"/>
    <w:rsid w:val="00A333F6"/>
    <w:rsid w:val="00A336E7"/>
    <w:rsid w:val="00A33BAE"/>
    <w:rsid w:val="00A33C48"/>
    <w:rsid w:val="00A33D3C"/>
    <w:rsid w:val="00A34001"/>
    <w:rsid w:val="00A3430F"/>
    <w:rsid w:val="00A3443F"/>
    <w:rsid w:val="00A34538"/>
    <w:rsid w:val="00A347CC"/>
    <w:rsid w:val="00A34882"/>
    <w:rsid w:val="00A349DD"/>
    <w:rsid w:val="00A34D12"/>
    <w:rsid w:val="00A354E8"/>
    <w:rsid w:val="00A3553E"/>
    <w:rsid w:val="00A357C1"/>
    <w:rsid w:val="00A358C4"/>
    <w:rsid w:val="00A35ACA"/>
    <w:rsid w:val="00A35B65"/>
    <w:rsid w:val="00A35BA3"/>
    <w:rsid w:val="00A36400"/>
    <w:rsid w:val="00A3647F"/>
    <w:rsid w:val="00A36493"/>
    <w:rsid w:val="00A36842"/>
    <w:rsid w:val="00A36C43"/>
    <w:rsid w:val="00A36C9C"/>
    <w:rsid w:val="00A372A5"/>
    <w:rsid w:val="00A37574"/>
    <w:rsid w:val="00A40325"/>
    <w:rsid w:val="00A4089E"/>
    <w:rsid w:val="00A40FE5"/>
    <w:rsid w:val="00A4103C"/>
    <w:rsid w:val="00A4109C"/>
    <w:rsid w:val="00A415E6"/>
    <w:rsid w:val="00A41726"/>
    <w:rsid w:val="00A41B00"/>
    <w:rsid w:val="00A41D03"/>
    <w:rsid w:val="00A42026"/>
    <w:rsid w:val="00A427D6"/>
    <w:rsid w:val="00A42AF7"/>
    <w:rsid w:val="00A42BED"/>
    <w:rsid w:val="00A42D88"/>
    <w:rsid w:val="00A42E6E"/>
    <w:rsid w:val="00A42EFE"/>
    <w:rsid w:val="00A4327B"/>
    <w:rsid w:val="00A43EF4"/>
    <w:rsid w:val="00A44066"/>
    <w:rsid w:val="00A445E5"/>
    <w:rsid w:val="00A44625"/>
    <w:rsid w:val="00A44C91"/>
    <w:rsid w:val="00A44CF3"/>
    <w:rsid w:val="00A44EA7"/>
    <w:rsid w:val="00A451A0"/>
    <w:rsid w:val="00A4542B"/>
    <w:rsid w:val="00A455A1"/>
    <w:rsid w:val="00A45A66"/>
    <w:rsid w:val="00A45D10"/>
    <w:rsid w:val="00A45DF1"/>
    <w:rsid w:val="00A45FF3"/>
    <w:rsid w:val="00A464C8"/>
    <w:rsid w:val="00A47281"/>
    <w:rsid w:val="00A4765F"/>
    <w:rsid w:val="00A47789"/>
    <w:rsid w:val="00A47868"/>
    <w:rsid w:val="00A4796D"/>
    <w:rsid w:val="00A47B26"/>
    <w:rsid w:val="00A47D63"/>
    <w:rsid w:val="00A47ECE"/>
    <w:rsid w:val="00A50100"/>
    <w:rsid w:val="00A50328"/>
    <w:rsid w:val="00A504C0"/>
    <w:rsid w:val="00A505DE"/>
    <w:rsid w:val="00A508E7"/>
    <w:rsid w:val="00A50BD4"/>
    <w:rsid w:val="00A50CDF"/>
    <w:rsid w:val="00A50D3F"/>
    <w:rsid w:val="00A50D81"/>
    <w:rsid w:val="00A50D97"/>
    <w:rsid w:val="00A50DBB"/>
    <w:rsid w:val="00A50F99"/>
    <w:rsid w:val="00A5102B"/>
    <w:rsid w:val="00A51164"/>
    <w:rsid w:val="00A5123F"/>
    <w:rsid w:val="00A51668"/>
    <w:rsid w:val="00A51818"/>
    <w:rsid w:val="00A51923"/>
    <w:rsid w:val="00A51A3F"/>
    <w:rsid w:val="00A525F4"/>
    <w:rsid w:val="00A526A0"/>
    <w:rsid w:val="00A52822"/>
    <w:rsid w:val="00A52857"/>
    <w:rsid w:val="00A529E8"/>
    <w:rsid w:val="00A5314F"/>
    <w:rsid w:val="00A531BB"/>
    <w:rsid w:val="00A5324C"/>
    <w:rsid w:val="00A5327C"/>
    <w:rsid w:val="00A53447"/>
    <w:rsid w:val="00A53A7F"/>
    <w:rsid w:val="00A53AE7"/>
    <w:rsid w:val="00A53F6A"/>
    <w:rsid w:val="00A54056"/>
    <w:rsid w:val="00A54439"/>
    <w:rsid w:val="00A549DA"/>
    <w:rsid w:val="00A55273"/>
    <w:rsid w:val="00A558F9"/>
    <w:rsid w:val="00A55B2C"/>
    <w:rsid w:val="00A567DB"/>
    <w:rsid w:val="00A56AC9"/>
    <w:rsid w:val="00A56C71"/>
    <w:rsid w:val="00A5721C"/>
    <w:rsid w:val="00A57434"/>
    <w:rsid w:val="00A574FA"/>
    <w:rsid w:val="00A576F5"/>
    <w:rsid w:val="00A57899"/>
    <w:rsid w:val="00A57D34"/>
    <w:rsid w:val="00A57EB4"/>
    <w:rsid w:val="00A60563"/>
    <w:rsid w:val="00A60A26"/>
    <w:rsid w:val="00A60BB9"/>
    <w:rsid w:val="00A60CF4"/>
    <w:rsid w:val="00A611D9"/>
    <w:rsid w:val="00A61239"/>
    <w:rsid w:val="00A61446"/>
    <w:rsid w:val="00A6146C"/>
    <w:rsid w:val="00A614EB"/>
    <w:rsid w:val="00A614EC"/>
    <w:rsid w:val="00A6165A"/>
    <w:rsid w:val="00A61705"/>
    <w:rsid w:val="00A6194E"/>
    <w:rsid w:val="00A61E6C"/>
    <w:rsid w:val="00A61F47"/>
    <w:rsid w:val="00A62293"/>
    <w:rsid w:val="00A62781"/>
    <w:rsid w:val="00A62D5D"/>
    <w:rsid w:val="00A62DCC"/>
    <w:rsid w:val="00A62FC9"/>
    <w:rsid w:val="00A6304E"/>
    <w:rsid w:val="00A6336D"/>
    <w:rsid w:val="00A63410"/>
    <w:rsid w:val="00A63D22"/>
    <w:rsid w:val="00A63F85"/>
    <w:rsid w:val="00A64769"/>
    <w:rsid w:val="00A65106"/>
    <w:rsid w:val="00A654E7"/>
    <w:rsid w:val="00A6591E"/>
    <w:rsid w:val="00A65C97"/>
    <w:rsid w:val="00A65DAD"/>
    <w:rsid w:val="00A65E23"/>
    <w:rsid w:val="00A6608F"/>
    <w:rsid w:val="00A661CC"/>
    <w:rsid w:val="00A66234"/>
    <w:rsid w:val="00A6633A"/>
    <w:rsid w:val="00A66C65"/>
    <w:rsid w:val="00A66D34"/>
    <w:rsid w:val="00A66DE4"/>
    <w:rsid w:val="00A67215"/>
    <w:rsid w:val="00A6746F"/>
    <w:rsid w:val="00A67913"/>
    <w:rsid w:val="00A67969"/>
    <w:rsid w:val="00A67A73"/>
    <w:rsid w:val="00A67B22"/>
    <w:rsid w:val="00A67DAB"/>
    <w:rsid w:val="00A700CC"/>
    <w:rsid w:val="00A70D18"/>
    <w:rsid w:val="00A70FE5"/>
    <w:rsid w:val="00A7113E"/>
    <w:rsid w:val="00A71476"/>
    <w:rsid w:val="00A714FB"/>
    <w:rsid w:val="00A716BA"/>
    <w:rsid w:val="00A71A6C"/>
    <w:rsid w:val="00A71AFF"/>
    <w:rsid w:val="00A722A2"/>
    <w:rsid w:val="00A7240F"/>
    <w:rsid w:val="00A72432"/>
    <w:rsid w:val="00A72DD2"/>
    <w:rsid w:val="00A73704"/>
    <w:rsid w:val="00A73E86"/>
    <w:rsid w:val="00A74064"/>
    <w:rsid w:val="00A74260"/>
    <w:rsid w:val="00A743F8"/>
    <w:rsid w:val="00A74599"/>
    <w:rsid w:val="00A746A1"/>
    <w:rsid w:val="00A747BB"/>
    <w:rsid w:val="00A7483E"/>
    <w:rsid w:val="00A748F0"/>
    <w:rsid w:val="00A74934"/>
    <w:rsid w:val="00A74B9B"/>
    <w:rsid w:val="00A74F50"/>
    <w:rsid w:val="00A750EE"/>
    <w:rsid w:val="00A75892"/>
    <w:rsid w:val="00A759D5"/>
    <w:rsid w:val="00A75A1F"/>
    <w:rsid w:val="00A766E4"/>
    <w:rsid w:val="00A766FF"/>
    <w:rsid w:val="00A767AA"/>
    <w:rsid w:val="00A76861"/>
    <w:rsid w:val="00A76BFF"/>
    <w:rsid w:val="00A7779F"/>
    <w:rsid w:val="00A77C21"/>
    <w:rsid w:val="00A77D6D"/>
    <w:rsid w:val="00A8014C"/>
    <w:rsid w:val="00A80556"/>
    <w:rsid w:val="00A808DB"/>
    <w:rsid w:val="00A80B2C"/>
    <w:rsid w:val="00A80B3C"/>
    <w:rsid w:val="00A80FF2"/>
    <w:rsid w:val="00A81252"/>
    <w:rsid w:val="00A8125B"/>
    <w:rsid w:val="00A81A94"/>
    <w:rsid w:val="00A81D28"/>
    <w:rsid w:val="00A81D45"/>
    <w:rsid w:val="00A82005"/>
    <w:rsid w:val="00A8223B"/>
    <w:rsid w:val="00A82534"/>
    <w:rsid w:val="00A82948"/>
    <w:rsid w:val="00A82B23"/>
    <w:rsid w:val="00A82BA1"/>
    <w:rsid w:val="00A82C5B"/>
    <w:rsid w:val="00A83005"/>
    <w:rsid w:val="00A8329D"/>
    <w:rsid w:val="00A83520"/>
    <w:rsid w:val="00A8355A"/>
    <w:rsid w:val="00A8364E"/>
    <w:rsid w:val="00A83ACF"/>
    <w:rsid w:val="00A83F0C"/>
    <w:rsid w:val="00A8429C"/>
    <w:rsid w:val="00A843C4"/>
    <w:rsid w:val="00A845F6"/>
    <w:rsid w:val="00A84D50"/>
    <w:rsid w:val="00A84E12"/>
    <w:rsid w:val="00A85346"/>
    <w:rsid w:val="00A85830"/>
    <w:rsid w:val="00A85D0F"/>
    <w:rsid w:val="00A85EDA"/>
    <w:rsid w:val="00A86039"/>
    <w:rsid w:val="00A860BF"/>
    <w:rsid w:val="00A860F3"/>
    <w:rsid w:val="00A86C7B"/>
    <w:rsid w:val="00A86E2E"/>
    <w:rsid w:val="00A87332"/>
    <w:rsid w:val="00A878B9"/>
    <w:rsid w:val="00A878E7"/>
    <w:rsid w:val="00A87DD8"/>
    <w:rsid w:val="00A87FF6"/>
    <w:rsid w:val="00A90503"/>
    <w:rsid w:val="00A90B83"/>
    <w:rsid w:val="00A9108B"/>
    <w:rsid w:val="00A9119A"/>
    <w:rsid w:val="00A911F3"/>
    <w:rsid w:val="00A92037"/>
    <w:rsid w:val="00A9250B"/>
    <w:rsid w:val="00A927C2"/>
    <w:rsid w:val="00A9289F"/>
    <w:rsid w:val="00A92A30"/>
    <w:rsid w:val="00A93036"/>
    <w:rsid w:val="00A93548"/>
    <w:rsid w:val="00A93636"/>
    <w:rsid w:val="00A93749"/>
    <w:rsid w:val="00A9396C"/>
    <w:rsid w:val="00A93DAA"/>
    <w:rsid w:val="00A9453E"/>
    <w:rsid w:val="00A949AE"/>
    <w:rsid w:val="00A94C15"/>
    <w:rsid w:val="00A94F3E"/>
    <w:rsid w:val="00A9501B"/>
    <w:rsid w:val="00A951CD"/>
    <w:rsid w:val="00A9522D"/>
    <w:rsid w:val="00A95300"/>
    <w:rsid w:val="00A956B1"/>
    <w:rsid w:val="00A95932"/>
    <w:rsid w:val="00A95A19"/>
    <w:rsid w:val="00A95D13"/>
    <w:rsid w:val="00A95DED"/>
    <w:rsid w:val="00A961DE"/>
    <w:rsid w:val="00A9625B"/>
    <w:rsid w:val="00A962F1"/>
    <w:rsid w:val="00A9663C"/>
    <w:rsid w:val="00A9681E"/>
    <w:rsid w:val="00A9695E"/>
    <w:rsid w:val="00A96A38"/>
    <w:rsid w:val="00A96E4B"/>
    <w:rsid w:val="00A97670"/>
    <w:rsid w:val="00A97948"/>
    <w:rsid w:val="00A97B74"/>
    <w:rsid w:val="00A97E96"/>
    <w:rsid w:val="00AA007A"/>
    <w:rsid w:val="00AA0235"/>
    <w:rsid w:val="00AA02FE"/>
    <w:rsid w:val="00AA0445"/>
    <w:rsid w:val="00AA0AE9"/>
    <w:rsid w:val="00AA0D6A"/>
    <w:rsid w:val="00AA0E8A"/>
    <w:rsid w:val="00AA12B3"/>
    <w:rsid w:val="00AA12C5"/>
    <w:rsid w:val="00AA1450"/>
    <w:rsid w:val="00AA15D2"/>
    <w:rsid w:val="00AA1C89"/>
    <w:rsid w:val="00AA1E89"/>
    <w:rsid w:val="00AA255D"/>
    <w:rsid w:val="00AA274B"/>
    <w:rsid w:val="00AA2ED3"/>
    <w:rsid w:val="00AA353F"/>
    <w:rsid w:val="00AA35B4"/>
    <w:rsid w:val="00AA3603"/>
    <w:rsid w:val="00AA3B49"/>
    <w:rsid w:val="00AA3B57"/>
    <w:rsid w:val="00AA3C37"/>
    <w:rsid w:val="00AA46F0"/>
    <w:rsid w:val="00AA4DB7"/>
    <w:rsid w:val="00AA4DD2"/>
    <w:rsid w:val="00AA4E64"/>
    <w:rsid w:val="00AA5069"/>
    <w:rsid w:val="00AA522C"/>
    <w:rsid w:val="00AA5443"/>
    <w:rsid w:val="00AA5697"/>
    <w:rsid w:val="00AA5CF6"/>
    <w:rsid w:val="00AA5F1A"/>
    <w:rsid w:val="00AA607B"/>
    <w:rsid w:val="00AA6586"/>
    <w:rsid w:val="00AA685A"/>
    <w:rsid w:val="00AA6C3C"/>
    <w:rsid w:val="00AA70FB"/>
    <w:rsid w:val="00AA7204"/>
    <w:rsid w:val="00AA7225"/>
    <w:rsid w:val="00AA73C3"/>
    <w:rsid w:val="00AA751E"/>
    <w:rsid w:val="00AA756E"/>
    <w:rsid w:val="00AA75F7"/>
    <w:rsid w:val="00AA7713"/>
    <w:rsid w:val="00AA7B2F"/>
    <w:rsid w:val="00AA7DB5"/>
    <w:rsid w:val="00AA7DEE"/>
    <w:rsid w:val="00AA7E3A"/>
    <w:rsid w:val="00AB008F"/>
    <w:rsid w:val="00AB0125"/>
    <w:rsid w:val="00AB03EA"/>
    <w:rsid w:val="00AB067C"/>
    <w:rsid w:val="00AB073E"/>
    <w:rsid w:val="00AB0950"/>
    <w:rsid w:val="00AB0989"/>
    <w:rsid w:val="00AB0AAB"/>
    <w:rsid w:val="00AB0E87"/>
    <w:rsid w:val="00AB13AF"/>
    <w:rsid w:val="00AB1424"/>
    <w:rsid w:val="00AB14AE"/>
    <w:rsid w:val="00AB14D7"/>
    <w:rsid w:val="00AB164D"/>
    <w:rsid w:val="00AB16B0"/>
    <w:rsid w:val="00AB1A13"/>
    <w:rsid w:val="00AB1D66"/>
    <w:rsid w:val="00AB240C"/>
    <w:rsid w:val="00AB24C5"/>
    <w:rsid w:val="00AB25BF"/>
    <w:rsid w:val="00AB29E8"/>
    <w:rsid w:val="00AB2E87"/>
    <w:rsid w:val="00AB3173"/>
    <w:rsid w:val="00AB31BC"/>
    <w:rsid w:val="00AB3999"/>
    <w:rsid w:val="00AB3D7C"/>
    <w:rsid w:val="00AB3F21"/>
    <w:rsid w:val="00AB3FBA"/>
    <w:rsid w:val="00AB424B"/>
    <w:rsid w:val="00AB45FE"/>
    <w:rsid w:val="00AB47DC"/>
    <w:rsid w:val="00AB4E79"/>
    <w:rsid w:val="00AB4E9F"/>
    <w:rsid w:val="00AB506E"/>
    <w:rsid w:val="00AB5493"/>
    <w:rsid w:val="00AB54D6"/>
    <w:rsid w:val="00AB5666"/>
    <w:rsid w:val="00AB5CDF"/>
    <w:rsid w:val="00AB60E2"/>
    <w:rsid w:val="00AB63B3"/>
    <w:rsid w:val="00AB64C0"/>
    <w:rsid w:val="00AB6B3F"/>
    <w:rsid w:val="00AB6E87"/>
    <w:rsid w:val="00AB6FFE"/>
    <w:rsid w:val="00AB7A2F"/>
    <w:rsid w:val="00AC006D"/>
    <w:rsid w:val="00AC00C4"/>
    <w:rsid w:val="00AC0529"/>
    <w:rsid w:val="00AC07DD"/>
    <w:rsid w:val="00AC0A1D"/>
    <w:rsid w:val="00AC0B0B"/>
    <w:rsid w:val="00AC0CE2"/>
    <w:rsid w:val="00AC126F"/>
    <w:rsid w:val="00AC1379"/>
    <w:rsid w:val="00AC1736"/>
    <w:rsid w:val="00AC190C"/>
    <w:rsid w:val="00AC1C55"/>
    <w:rsid w:val="00AC1D2B"/>
    <w:rsid w:val="00AC1FE2"/>
    <w:rsid w:val="00AC210F"/>
    <w:rsid w:val="00AC27FF"/>
    <w:rsid w:val="00AC2A31"/>
    <w:rsid w:val="00AC2AD1"/>
    <w:rsid w:val="00AC2F92"/>
    <w:rsid w:val="00AC3010"/>
    <w:rsid w:val="00AC315E"/>
    <w:rsid w:val="00AC319E"/>
    <w:rsid w:val="00AC328F"/>
    <w:rsid w:val="00AC35FD"/>
    <w:rsid w:val="00AC3685"/>
    <w:rsid w:val="00AC3D80"/>
    <w:rsid w:val="00AC3F70"/>
    <w:rsid w:val="00AC42ED"/>
    <w:rsid w:val="00AC446F"/>
    <w:rsid w:val="00AC460B"/>
    <w:rsid w:val="00AC4659"/>
    <w:rsid w:val="00AC48B8"/>
    <w:rsid w:val="00AC4BB9"/>
    <w:rsid w:val="00AC5B1B"/>
    <w:rsid w:val="00AC5D5A"/>
    <w:rsid w:val="00AC5D6E"/>
    <w:rsid w:val="00AC624F"/>
    <w:rsid w:val="00AC6BCD"/>
    <w:rsid w:val="00AC6BEE"/>
    <w:rsid w:val="00AC6C7E"/>
    <w:rsid w:val="00AC6F02"/>
    <w:rsid w:val="00AC6F7A"/>
    <w:rsid w:val="00AC71D8"/>
    <w:rsid w:val="00AC762A"/>
    <w:rsid w:val="00AC7665"/>
    <w:rsid w:val="00AC7812"/>
    <w:rsid w:val="00AC79CC"/>
    <w:rsid w:val="00AC7D5E"/>
    <w:rsid w:val="00AC7D89"/>
    <w:rsid w:val="00AD0326"/>
    <w:rsid w:val="00AD06BC"/>
    <w:rsid w:val="00AD09B3"/>
    <w:rsid w:val="00AD0CF7"/>
    <w:rsid w:val="00AD129A"/>
    <w:rsid w:val="00AD1C47"/>
    <w:rsid w:val="00AD21A1"/>
    <w:rsid w:val="00AD222C"/>
    <w:rsid w:val="00AD2294"/>
    <w:rsid w:val="00AD2AC9"/>
    <w:rsid w:val="00AD2CD4"/>
    <w:rsid w:val="00AD30A0"/>
    <w:rsid w:val="00AD34F4"/>
    <w:rsid w:val="00AD353F"/>
    <w:rsid w:val="00AD35D7"/>
    <w:rsid w:val="00AD386C"/>
    <w:rsid w:val="00AD3A37"/>
    <w:rsid w:val="00AD3E8B"/>
    <w:rsid w:val="00AD3F5E"/>
    <w:rsid w:val="00AD3FC6"/>
    <w:rsid w:val="00AD47E6"/>
    <w:rsid w:val="00AD494E"/>
    <w:rsid w:val="00AD4A4F"/>
    <w:rsid w:val="00AD4BE5"/>
    <w:rsid w:val="00AD4ED4"/>
    <w:rsid w:val="00AD50AD"/>
    <w:rsid w:val="00AD516A"/>
    <w:rsid w:val="00AD566A"/>
    <w:rsid w:val="00AD5A30"/>
    <w:rsid w:val="00AD5EEC"/>
    <w:rsid w:val="00AD5F24"/>
    <w:rsid w:val="00AD5FE2"/>
    <w:rsid w:val="00AD6131"/>
    <w:rsid w:val="00AD66BE"/>
    <w:rsid w:val="00AD675E"/>
    <w:rsid w:val="00AD69F3"/>
    <w:rsid w:val="00AD6AD3"/>
    <w:rsid w:val="00AD6D52"/>
    <w:rsid w:val="00AD6E42"/>
    <w:rsid w:val="00AD722A"/>
    <w:rsid w:val="00AD7286"/>
    <w:rsid w:val="00AD7F4A"/>
    <w:rsid w:val="00AD7FE9"/>
    <w:rsid w:val="00AE0356"/>
    <w:rsid w:val="00AE04BC"/>
    <w:rsid w:val="00AE0961"/>
    <w:rsid w:val="00AE09FB"/>
    <w:rsid w:val="00AE0A2D"/>
    <w:rsid w:val="00AE0B90"/>
    <w:rsid w:val="00AE1529"/>
    <w:rsid w:val="00AE1B01"/>
    <w:rsid w:val="00AE28E4"/>
    <w:rsid w:val="00AE2AF7"/>
    <w:rsid w:val="00AE2B5B"/>
    <w:rsid w:val="00AE309D"/>
    <w:rsid w:val="00AE313D"/>
    <w:rsid w:val="00AE3455"/>
    <w:rsid w:val="00AE35FF"/>
    <w:rsid w:val="00AE3620"/>
    <w:rsid w:val="00AE3739"/>
    <w:rsid w:val="00AE3A1E"/>
    <w:rsid w:val="00AE3AA3"/>
    <w:rsid w:val="00AE3D37"/>
    <w:rsid w:val="00AE3F50"/>
    <w:rsid w:val="00AE4395"/>
    <w:rsid w:val="00AE4673"/>
    <w:rsid w:val="00AE4AC3"/>
    <w:rsid w:val="00AE571D"/>
    <w:rsid w:val="00AE578C"/>
    <w:rsid w:val="00AE5F32"/>
    <w:rsid w:val="00AE5F4E"/>
    <w:rsid w:val="00AE6898"/>
    <w:rsid w:val="00AE68F7"/>
    <w:rsid w:val="00AE69A7"/>
    <w:rsid w:val="00AE69E3"/>
    <w:rsid w:val="00AE6A1B"/>
    <w:rsid w:val="00AE6CD0"/>
    <w:rsid w:val="00AE7158"/>
    <w:rsid w:val="00AE734F"/>
    <w:rsid w:val="00AE7661"/>
    <w:rsid w:val="00AE7F77"/>
    <w:rsid w:val="00AF0308"/>
    <w:rsid w:val="00AF067A"/>
    <w:rsid w:val="00AF07B2"/>
    <w:rsid w:val="00AF109E"/>
    <w:rsid w:val="00AF12C6"/>
    <w:rsid w:val="00AF18AB"/>
    <w:rsid w:val="00AF1A2D"/>
    <w:rsid w:val="00AF2656"/>
    <w:rsid w:val="00AF294A"/>
    <w:rsid w:val="00AF2C0B"/>
    <w:rsid w:val="00AF2DBC"/>
    <w:rsid w:val="00AF2FCC"/>
    <w:rsid w:val="00AF300E"/>
    <w:rsid w:val="00AF3824"/>
    <w:rsid w:val="00AF3D60"/>
    <w:rsid w:val="00AF3DFE"/>
    <w:rsid w:val="00AF3E8F"/>
    <w:rsid w:val="00AF4019"/>
    <w:rsid w:val="00AF4170"/>
    <w:rsid w:val="00AF4DBF"/>
    <w:rsid w:val="00AF4FD5"/>
    <w:rsid w:val="00AF57E0"/>
    <w:rsid w:val="00AF5A7E"/>
    <w:rsid w:val="00AF5ACD"/>
    <w:rsid w:val="00AF60B0"/>
    <w:rsid w:val="00AF6110"/>
    <w:rsid w:val="00AF6226"/>
    <w:rsid w:val="00AF63E9"/>
    <w:rsid w:val="00AF6425"/>
    <w:rsid w:val="00AF646E"/>
    <w:rsid w:val="00AF685D"/>
    <w:rsid w:val="00AF6AC6"/>
    <w:rsid w:val="00AF7095"/>
    <w:rsid w:val="00AF70D8"/>
    <w:rsid w:val="00AF719C"/>
    <w:rsid w:val="00AF71C9"/>
    <w:rsid w:val="00AF72E9"/>
    <w:rsid w:val="00AF7D99"/>
    <w:rsid w:val="00AF7E82"/>
    <w:rsid w:val="00B00014"/>
    <w:rsid w:val="00B00611"/>
    <w:rsid w:val="00B013E3"/>
    <w:rsid w:val="00B0170E"/>
    <w:rsid w:val="00B01F1F"/>
    <w:rsid w:val="00B01F87"/>
    <w:rsid w:val="00B02046"/>
    <w:rsid w:val="00B02141"/>
    <w:rsid w:val="00B02B88"/>
    <w:rsid w:val="00B02DD8"/>
    <w:rsid w:val="00B03037"/>
    <w:rsid w:val="00B0334E"/>
    <w:rsid w:val="00B03484"/>
    <w:rsid w:val="00B03719"/>
    <w:rsid w:val="00B03A5A"/>
    <w:rsid w:val="00B03A82"/>
    <w:rsid w:val="00B03CED"/>
    <w:rsid w:val="00B040CE"/>
    <w:rsid w:val="00B04354"/>
    <w:rsid w:val="00B0461C"/>
    <w:rsid w:val="00B04663"/>
    <w:rsid w:val="00B048DB"/>
    <w:rsid w:val="00B049C5"/>
    <w:rsid w:val="00B04FD7"/>
    <w:rsid w:val="00B05316"/>
    <w:rsid w:val="00B0555A"/>
    <w:rsid w:val="00B05686"/>
    <w:rsid w:val="00B06224"/>
    <w:rsid w:val="00B06426"/>
    <w:rsid w:val="00B065B9"/>
    <w:rsid w:val="00B066E7"/>
    <w:rsid w:val="00B0684A"/>
    <w:rsid w:val="00B06BA4"/>
    <w:rsid w:val="00B06BDC"/>
    <w:rsid w:val="00B06C9E"/>
    <w:rsid w:val="00B06E50"/>
    <w:rsid w:val="00B0724D"/>
    <w:rsid w:val="00B074A0"/>
    <w:rsid w:val="00B0770C"/>
    <w:rsid w:val="00B07945"/>
    <w:rsid w:val="00B07D14"/>
    <w:rsid w:val="00B07DB8"/>
    <w:rsid w:val="00B10118"/>
    <w:rsid w:val="00B101C7"/>
    <w:rsid w:val="00B101E6"/>
    <w:rsid w:val="00B10297"/>
    <w:rsid w:val="00B10367"/>
    <w:rsid w:val="00B10737"/>
    <w:rsid w:val="00B10D0C"/>
    <w:rsid w:val="00B10D51"/>
    <w:rsid w:val="00B10D6B"/>
    <w:rsid w:val="00B11706"/>
    <w:rsid w:val="00B11B7E"/>
    <w:rsid w:val="00B11BAA"/>
    <w:rsid w:val="00B11BCB"/>
    <w:rsid w:val="00B11D09"/>
    <w:rsid w:val="00B11E11"/>
    <w:rsid w:val="00B11E5A"/>
    <w:rsid w:val="00B1232A"/>
    <w:rsid w:val="00B13013"/>
    <w:rsid w:val="00B130FC"/>
    <w:rsid w:val="00B1325A"/>
    <w:rsid w:val="00B1372B"/>
    <w:rsid w:val="00B13C94"/>
    <w:rsid w:val="00B13D07"/>
    <w:rsid w:val="00B13DCB"/>
    <w:rsid w:val="00B14BB1"/>
    <w:rsid w:val="00B154F0"/>
    <w:rsid w:val="00B157A5"/>
    <w:rsid w:val="00B157B6"/>
    <w:rsid w:val="00B15B1B"/>
    <w:rsid w:val="00B15BA3"/>
    <w:rsid w:val="00B15BAF"/>
    <w:rsid w:val="00B15DFC"/>
    <w:rsid w:val="00B15ED6"/>
    <w:rsid w:val="00B160CA"/>
    <w:rsid w:val="00B16126"/>
    <w:rsid w:val="00B16420"/>
    <w:rsid w:val="00B164E0"/>
    <w:rsid w:val="00B16BCB"/>
    <w:rsid w:val="00B16D7F"/>
    <w:rsid w:val="00B17D28"/>
    <w:rsid w:val="00B17FBC"/>
    <w:rsid w:val="00B20C13"/>
    <w:rsid w:val="00B20CCB"/>
    <w:rsid w:val="00B2118F"/>
    <w:rsid w:val="00B21E43"/>
    <w:rsid w:val="00B22135"/>
    <w:rsid w:val="00B22173"/>
    <w:rsid w:val="00B221B5"/>
    <w:rsid w:val="00B2234B"/>
    <w:rsid w:val="00B223EF"/>
    <w:rsid w:val="00B2283A"/>
    <w:rsid w:val="00B2324E"/>
    <w:rsid w:val="00B238E4"/>
    <w:rsid w:val="00B23A6B"/>
    <w:rsid w:val="00B23C92"/>
    <w:rsid w:val="00B240B0"/>
    <w:rsid w:val="00B2439C"/>
    <w:rsid w:val="00B243B0"/>
    <w:rsid w:val="00B2462E"/>
    <w:rsid w:val="00B2484E"/>
    <w:rsid w:val="00B249FC"/>
    <w:rsid w:val="00B24CAB"/>
    <w:rsid w:val="00B24CE9"/>
    <w:rsid w:val="00B25147"/>
    <w:rsid w:val="00B254B8"/>
    <w:rsid w:val="00B259DE"/>
    <w:rsid w:val="00B25C8C"/>
    <w:rsid w:val="00B26087"/>
    <w:rsid w:val="00B26531"/>
    <w:rsid w:val="00B268A9"/>
    <w:rsid w:val="00B26D1E"/>
    <w:rsid w:val="00B27212"/>
    <w:rsid w:val="00B27740"/>
    <w:rsid w:val="00B27975"/>
    <w:rsid w:val="00B27FC2"/>
    <w:rsid w:val="00B3062A"/>
    <w:rsid w:val="00B306D0"/>
    <w:rsid w:val="00B30E5A"/>
    <w:rsid w:val="00B30E90"/>
    <w:rsid w:val="00B31035"/>
    <w:rsid w:val="00B31552"/>
    <w:rsid w:val="00B317E7"/>
    <w:rsid w:val="00B31809"/>
    <w:rsid w:val="00B31A96"/>
    <w:rsid w:val="00B31C0F"/>
    <w:rsid w:val="00B328AA"/>
    <w:rsid w:val="00B32B64"/>
    <w:rsid w:val="00B32FB1"/>
    <w:rsid w:val="00B338FB"/>
    <w:rsid w:val="00B33A0F"/>
    <w:rsid w:val="00B33A57"/>
    <w:rsid w:val="00B34083"/>
    <w:rsid w:val="00B34226"/>
    <w:rsid w:val="00B34744"/>
    <w:rsid w:val="00B347BB"/>
    <w:rsid w:val="00B34BD6"/>
    <w:rsid w:val="00B34C57"/>
    <w:rsid w:val="00B34F1C"/>
    <w:rsid w:val="00B34F90"/>
    <w:rsid w:val="00B34FFF"/>
    <w:rsid w:val="00B35056"/>
    <w:rsid w:val="00B3514C"/>
    <w:rsid w:val="00B35392"/>
    <w:rsid w:val="00B35BC4"/>
    <w:rsid w:val="00B36704"/>
    <w:rsid w:val="00B3678D"/>
    <w:rsid w:val="00B3693B"/>
    <w:rsid w:val="00B36C36"/>
    <w:rsid w:val="00B37514"/>
    <w:rsid w:val="00B37728"/>
    <w:rsid w:val="00B377E0"/>
    <w:rsid w:val="00B37935"/>
    <w:rsid w:val="00B37E30"/>
    <w:rsid w:val="00B37E37"/>
    <w:rsid w:val="00B37E88"/>
    <w:rsid w:val="00B4020A"/>
    <w:rsid w:val="00B404C4"/>
    <w:rsid w:val="00B40949"/>
    <w:rsid w:val="00B41056"/>
    <w:rsid w:val="00B41288"/>
    <w:rsid w:val="00B41B52"/>
    <w:rsid w:val="00B4291E"/>
    <w:rsid w:val="00B42ADE"/>
    <w:rsid w:val="00B42EA7"/>
    <w:rsid w:val="00B432C6"/>
    <w:rsid w:val="00B4338B"/>
    <w:rsid w:val="00B435E3"/>
    <w:rsid w:val="00B43827"/>
    <w:rsid w:val="00B4385D"/>
    <w:rsid w:val="00B43A6F"/>
    <w:rsid w:val="00B43B1E"/>
    <w:rsid w:val="00B43C7F"/>
    <w:rsid w:val="00B43E60"/>
    <w:rsid w:val="00B43EEA"/>
    <w:rsid w:val="00B44205"/>
    <w:rsid w:val="00B444AF"/>
    <w:rsid w:val="00B449E9"/>
    <w:rsid w:val="00B44F50"/>
    <w:rsid w:val="00B44F9C"/>
    <w:rsid w:val="00B450AB"/>
    <w:rsid w:val="00B45373"/>
    <w:rsid w:val="00B4541C"/>
    <w:rsid w:val="00B45702"/>
    <w:rsid w:val="00B458E7"/>
    <w:rsid w:val="00B45AE3"/>
    <w:rsid w:val="00B45C64"/>
    <w:rsid w:val="00B45DB8"/>
    <w:rsid w:val="00B45E63"/>
    <w:rsid w:val="00B46207"/>
    <w:rsid w:val="00B466F6"/>
    <w:rsid w:val="00B4678F"/>
    <w:rsid w:val="00B46A32"/>
    <w:rsid w:val="00B46B29"/>
    <w:rsid w:val="00B46EF4"/>
    <w:rsid w:val="00B46FE3"/>
    <w:rsid w:val="00B47298"/>
    <w:rsid w:val="00B47458"/>
    <w:rsid w:val="00B476E0"/>
    <w:rsid w:val="00B47896"/>
    <w:rsid w:val="00B47954"/>
    <w:rsid w:val="00B47BF7"/>
    <w:rsid w:val="00B47C01"/>
    <w:rsid w:val="00B50765"/>
    <w:rsid w:val="00B50A40"/>
    <w:rsid w:val="00B50E9E"/>
    <w:rsid w:val="00B51177"/>
    <w:rsid w:val="00B514B6"/>
    <w:rsid w:val="00B51B18"/>
    <w:rsid w:val="00B51D59"/>
    <w:rsid w:val="00B51E78"/>
    <w:rsid w:val="00B5230B"/>
    <w:rsid w:val="00B52740"/>
    <w:rsid w:val="00B528DF"/>
    <w:rsid w:val="00B5299E"/>
    <w:rsid w:val="00B529FF"/>
    <w:rsid w:val="00B52ABC"/>
    <w:rsid w:val="00B52BE4"/>
    <w:rsid w:val="00B52E18"/>
    <w:rsid w:val="00B53501"/>
    <w:rsid w:val="00B53547"/>
    <w:rsid w:val="00B53597"/>
    <w:rsid w:val="00B53784"/>
    <w:rsid w:val="00B537EF"/>
    <w:rsid w:val="00B54690"/>
    <w:rsid w:val="00B5494B"/>
    <w:rsid w:val="00B54A2D"/>
    <w:rsid w:val="00B54C75"/>
    <w:rsid w:val="00B55040"/>
    <w:rsid w:val="00B550D8"/>
    <w:rsid w:val="00B55114"/>
    <w:rsid w:val="00B5524F"/>
    <w:rsid w:val="00B55322"/>
    <w:rsid w:val="00B55D3E"/>
    <w:rsid w:val="00B561CA"/>
    <w:rsid w:val="00B56F38"/>
    <w:rsid w:val="00B5711C"/>
    <w:rsid w:val="00B57642"/>
    <w:rsid w:val="00B5791A"/>
    <w:rsid w:val="00B57921"/>
    <w:rsid w:val="00B57938"/>
    <w:rsid w:val="00B57B8D"/>
    <w:rsid w:val="00B60122"/>
    <w:rsid w:val="00B60BF9"/>
    <w:rsid w:val="00B610F4"/>
    <w:rsid w:val="00B613B9"/>
    <w:rsid w:val="00B6141E"/>
    <w:rsid w:val="00B61619"/>
    <w:rsid w:val="00B618D6"/>
    <w:rsid w:val="00B619F4"/>
    <w:rsid w:val="00B61A01"/>
    <w:rsid w:val="00B61F4E"/>
    <w:rsid w:val="00B62590"/>
    <w:rsid w:val="00B626C0"/>
    <w:rsid w:val="00B62700"/>
    <w:rsid w:val="00B62F20"/>
    <w:rsid w:val="00B6327D"/>
    <w:rsid w:val="00B632FF"/>
    <w:rsid w:val="00B6393A"/>
    <w:rsid w:val="00B63970"/>
    <w:rsid w:val="00B63E8A"/>
    <w:rsid w:val="00B646A9"/>
    <w:rsid w:val="00B64AA0"/>
    <w:rsid w:val="00B64C7F"/>
    <w:rsid w:val="00B64EB8"/>
    <w:rsid w:val="00B651B5"/>
    <w:rsid w:val="00B65504"/>
    <w:rsid w:val="00B65904"/>
    <w:rsid w:val="00B65AF3"/>
    <w:rsid w:val="00B65CD0"/>
    <w:rsid w:val="00B6634B"/>
    <w:rsid w:val="00B66381"/>
    <w:rsid w:val="00B663F1"/>
    <w:rsid w:val="00B6684C"/>
    <w:rsid w:val="00B670BA"/>
    <w:rsid w:val="00B67271"/>
    <w:rsid w:val="00B6729F"/>
    <w:rsid w:val="00B676E1"/>
    <w:rsid w:val="00B67D60"/>
    <w:rsid w:val="00B67F40"/>
    <w:rsid w:val="00B7006C"/>
    <w:rsid w:val="00B7063D"/>
    <w:rsid w:val="00B706E2"/>
    <w:rsid w:val="00B70A8C"/>
    <w:rsid w:val="00B720D4"/>
    <w:rsid w:val="00B721B4"/>
    <w:rsid w:val="00B7222D"/>
    <w:rsid w:val="00B7267A"/>
    <w:rsid w:val="00B72988"/>
    <w:rsid w:val="00B730C2"/>
    <w:rsid w:val="00B7361F"/>
    <w:rsid w:val="00B73788"/>
    <w:rsid w:val="00B74022"/>
    <w:rsid w:val="00B742DF"/>
    <w:rsid w:val="00B74AE3"/>
    <w:rsid w:val="00B74BA0"/>
    <w:rsid w:val="00B74E9A"/>
    <w:rsid w:val="00B74F66"/>
    <w:rsid w:val="00B754A4"/>
    <w:rsid w:val="00B755ED"/>
    <w:rsid w:val="00B75608"/>
    <w:rsid w:val="00B75682"/>
    <w:rsid w:val="00B757F1"/>
    <w:rsid w:val="00B759AA"/>
    <w:rsid w:val="00B75B4F"/>
    <w:rsid w:val="00B75DB8"/>
    <w:rsid w:val="00B760B4"/>
    <w:rsid w:val="00B76292"/>
    <w:rsid w:val="00B76535"/>
    <w:rsid w:val="00B766B0"/>
    <w:rsid w:val="00B768C2"/>
    <w:rsid w:val="00B76BDD"/>
    <w:rsid w:val="00B76C7B"/>
    <w:rsid w:val="00B76D3B"/>
    <w:rsid w:val="00B76DBB"/>
    <w:rsid w:val="00B77306"/>
    <w:rsid w:val="00B77787"/>
    <w:rsid w:val="00B77B49"/>
    <w:rsid w:val="00B77BBF"/>
    <w:rsid w:val="00B77D2C"/>
    <w:rsid w:val="00B77F1D"/>
    <w:rsid w:val="00B77F57"/>
    <w:rsid w:val="00B800F5"/>
    <w:rsid w:val="00B8048B"/>
    <w:rsid w:val="00B80772"/>
    <w:rsid w:val="00B80B50"/>
    <w:rsid w:val="00B80F47"/>
    <w:rsid w:val="00B812BB"/>
    <w:rsid w:val="00B81389"/>
    <w:rsid w:val="00B81AA6"/>
    <w:rsid w:val="00B81C48"/>
    <w:rsid w:val="00B81D95"/>
    <w:rsid w:val="00B81F24"/>
    <w:rsid w:val="00B823A7"/>
    <w:rsid w:val="00B82567"/>
    <w:rsid w:val="00B82627"/>
    <w:rsid w:val="00B82B88"/>
    <w:rsid w:val="00B82BA0"/>
    <w:rsid w:val="00B82D02"/>
    <w:rsid w:val="00B83298"/>
    <w:rsid w:val="00B83403"/>
    <w:rsid w:val="00B8358F"/>
    <w:rsid w:val="00B83A4B"/>
    <w:rsid w:val="00B84331"/>
    <w:rsid w:val="00B84913"/>
    <w:rsid w:val="00B84A8E"/>
    <w:rsid w:val="00B84B30"/>
    <w:rsid w:val="00B84B6C"/>
    <w:rsid w:val="00B84DB6"/>
    <w:rsid w:val="00B84EED"/>
    <w:rsid w:val="00B84F29"/>
    <w:rsid w:val="00B85271"/>
    <w:rsid w:val="00B8528E"/>
    <w:rsid w:val="00B85B5C"/>
    <w:rsid w:val="00B85BC2"/>
    <w:rsid w:val="00B8624B"/>
    <w:rsid w:val="00B86804"/>
    <w:rsid w:val="00B8693B"/>
    <w:rsid w:val="00B86978"/>
    <w:rsid w:val="00B86AF9"/>
    <w:rsid w:val="00B871F0"/>
    <w:rsid w:val="00B87403"/>
    <w:rsid w:val="00B8751C"/>
    <w:rsid w:val="00B87802"/>
    <w:rsid w:val="00B878BC"/>
    <w:rsid w:val="00B87951"/>
    <w:rsid w:val="00B879CE"/>
    <w:rsid w:val="00B879DD"/>
    <w:rsid w:val="00B87BCE"/>
    <w:rsid w:val="00B90656"/>
    <w:rsid w:val="00B90A0B"/>
    <w:rsid w:val="00B90AA7"/>
    <w:rsid w:val="00B90D03"/>
    <w:rsid w:val="00B9137B"/>
    <w:rsid w:val="00B91453"/>
    <w:rsid w:val="00B91830"/>
    <w:rsid w:val="00B91A26"/>
    <w:rsid w:val="00B920E2"/>
    <w:rsid w:val="00B9230F"/>
    <w:rsid w:val="00B92333"/>
    <w:rsid w:val="00B923CA"/>
    <w:rsid w:val="00B925CD"/>
    <w:rsid w:val="00B92825"/>
    <w:rsid w:val="00B92B39"/>
    <w:rsid w:val="00B93311"/>
    <w:rsid w:val="00B93798"/>
    <w:rsid w:val="00B937BA"/>
    <w:rsid w:val="00B93809"/>
    <w:rsid w:val="00B938DC"/>
    <w:rsid w:val="00B940D0"/>
    <w:rsid w:val="00B941ED"/>
    <w:rsid w:val="00B94256"/>
    <w:rsid w:val="00B94307"/>
    <w:rsid w:val="00B94335"/>
    <w:rsid w:val="00B944A0"/>
    <w:rsid w:val="00B94569"/>
    <w:rsid w:val="00B94879"/>
    <w:rsid w:val="00B94887"/>
    <w:rsid w:val="00B94BC9"/>
    <w:rsid w:val="00B94D92"/>
    <w:rsid w:val="00B95273"/>
    <w:rsid w:val="00B957B9"/>
    <w:rsid w:val="00B95AD0"/>
    <w:rsid w:val="00B95FBC"/>
    <w:rsid w:val="00B9655A"/>
    <w:rsid w:val="00B96777"/>
    <w:rsid w:val="00B96A15"/>
    <w:rsid w:val="00B96C94"/>
    <w:rsid w:val="00B96CDE"/>
    <w:rsid w:val="00B96E12"/>
    <w:rsid w:val="00B97943"/>
    <w:rsid w:val="00B979EE"/>
    <w:rsid w:val="00B97A8A"/>
    <w:rsid w:val="00B97ACA"/>
    <w:rsid w:val="00B97AD7"/>
    <w:rsid w:val="00B97B44"/>
    <w:rsid w:val="00BA0002"/>
    <w:rsid w:val="00BA0033"/>
    <w:rsid w:val="00BA0101"/>
    <w:rsid w:val="00BA012A"/>
    <w:rsid w:val="00BA0152"/>
    <w:rsid w:val="00BA0B59"/>
    <w:rsid w:val="00BA0D13"/>
    <w:rsid w:val="00BA0FC7"/>
    <w:rsid w:val="00BA1289"/>
    <w:rsid w:val="00BA12A2"/>
    <w:rsid w:val="00BA168B"/>
    <w:rsid w:val="00BA17DE"/>
    <w:rsid w:val="00BA1810"/>
    <w:rsid w:val="00BA18C8"/>
    <w:rsid w:val="00BA206E"/>
    <w:rsid w:val="00BA230D"/>
    <w:rsid w:val="00BA23CC"/>
    <w:rsid w:val="00BA24E0"/>
    <w:rsid w:val="00BA24EC"/>
    <w:rsid w:val="00BA2837"/>
    <w:rsid w:val="00BA2952"/>
    <w:rsid w:val="00BA2C95"/>
    <w:rsid w:val="00BA2F9B"/>
    <w:rsid w:val="00BA303A"/>
    <w:rsid w:val="00BA32B2"/>
    <w:rsid w:val="00BA3359"/>
    <w:rsid w:val="00BA35C7"/>
    <w:rsid w:val="00BA3717"/>
    <w:rsid w:val="00BA386D"/>
    <w:rsid w:val="00BA38F6"/>
    <w:rsid w:val="00BA3DA3"/>
    <w:rsid w:val="00BA40EA"/>
    <w:rsid w:val="00BA4C59"/>
    <w:rsid w:val="00BA4C9E"/>
    <w:rsid w:val="00BA4EC4"/>
    <w:rsid w:val="00BA513C"/>
    <w:rsid w:val="00BA55A6"/>
    <w:rsid w:val="00BA56C3"/>
    <w:rsid w:val="00BA5C04"/>
    <w:rsid w:val="00BA5DD3"/>
    <w:rsid w:val="00BA60C8"/>
    <w:rsid w:val="00BA658F"/>
    <w:rsid w:val="00BA659D"/>
    <w:rsid w:val="00BA65E5"/>
    <w:rsid w:val="00BA68D1"/>
    <w:rsid w:val="00BA6CEE"/>
    <w:rsid w:val="00BA70B4"/>
    <w:rsid w:val="00BA75E4"/>
    <w:rsid w:val="00BA7903"/>
    <w:rsid w:val="00BA7970"/>
    <w:rsid w:val="00BA7A62"/>
    <w:rsid w:val="00BA7D37"/>
    <w:rsid w:val="00BA7DB3"/>
    <w:rsid w:val="00BB0386"/>
    <w:rsid w:val="00BB09DF"/>
    <w:rsid w:val="00BB0D58"/>
    <w:rsid w:val="00BB0F75"/>
    <w:rsid w:val="00BB128A"/>
    <w:rsid w:val="00BB13D3"/>
    <w:rsid w:val="00BB1495"/>
    <w:rsid w:val="00BB1B43"/>
    <w:rsid w:val="00BB1B4C"/>
    <w:rsid w:val="00BB2028"/>
    <w:rsid w:val="00BB210A"/>
    <w:rsid w:val="00BB23CE"/>
    <w:rsid w:val="00BB2433"/>
    <w:rsid w:val="00BB25AC"/>
    <w:rsid w:val="00BB2ACB"/>
    <w:rsid w:val="00BB2B29"/>
    <w:rsid w:val="00BB2BBC"/>
    <w:rsid w:val="00BB36E3"/>
    <w:rsid w:val="00BB3EA1"/>
    <w:rsid w:val="00BB3FC5"/>
    <w:rsid w:val="00BB4204"/>
    <w:rsid w:val="00BB4226"/>
    <w:rsid w:val="00BB443F"/>
    <w:rsid w:val="00BB4456"/>
    <w:rsid w:val="00BB4627"/>
    <w:rsid w:val="00BB48D2"/>
    <w:rsid w:val="00BB4A61"/>
    <w:rsid w:val="00BB4BCA"/>
    <w:rsid w:val="00BB4C11"/>
    <w:rsid w:val="00BB551D"/>
    <w:rsid w:val="00BB5D8E"/>
    <w:rsid w:val="00BB5E28"/>
    <w:rsid w:val="00BB5F91"/>
    <w:rsid w:val="00BB60A2"/>
    <w:rsid w:val="00BB6281"/>
    <w:rsid w:val="00BB64D6"/>
    <w:rsid w:val="00BB6770"/>
    <w:rsid w:val="00BB6B54"/>
    <w:rsid w:val="00BB6D14"/>
    <w:rsid w:val="00BB702E"/>
    <w:rsid w:val="00BB7751"/>
    <w:rsid w:val="00BB7849"/>
    <w:rsid w:val="00BB7B9C"/>
    <w:rsid w:val="00BC00B7"/>
    <w:rsid w:val="00BC09FB"/>
    <w:rsid w:val="00BC0A2C"/>
    <w:rsid w:val="00BC0A61"/>
    <w:rsid w:val="00BC0C95"/>
    <w:rsid w:val="00BC1E27"/>
    <w:rsid w:val="00BC2098"/>
    <w:rsid w:val="00BC20C8"/>
    <w:rsid w:val="00BC24D8"/>
    <w:rsid w:val="00BC2605"/>
    <w:rsid w:val="00BC2790"/>
    <w:rsid w:val="00BC27AA"/>
    <w:rsid w:val="00BC28D1"/>
    <w:rsid w:val="00BC2B3B"/>
    <w:rsid w:val="00BC2B7D"/>
    <w:rsid w:val="00BC2EFC"/>
    <w:rsid w:val="00BC30E2"/>
    <w:rsid w:val="00BC31AA"/>
    <w:rsid w:val="00BC3232"/>
    <w:rsid w:val="00BC36A7"/>
    <w:rsid w:val="00BC39FC"/>
    <w:rsid w:val="00BC3A6A"/>
    <w:rsid w:val="00BC3F74"/>
    <w:rsid w:val="00BC4008"/>
    <w:rsid w:val="00BC4198"/>
    <w:rsid w:val="00BC4579"/>
    <w:rsid w:val="00BC463D"/>
    <w:rsid w:val="00BC4661"/>
    <w:rsid w:val="00BC47AE"/>
    <w:rsid w:val="00BC49B1"/>
    <w:rsid w:val="00BC4ACA"/>
    <w:rsid w:val="00BC4F8B"/>
    <w:rsid w:val="00BC509E"/>
    <w:rsid w:val="00BC5289"/>
    <w:rsid w:val="00BC561C"/>
    <w:rsid w:val="00BC5799"/>
    <w:rsid w:val="00BC6254"/>
    <w:rsid w:val="00BC65C6"/>
    <w:rsid w:val="00BC695E"/>
    <w:rsid w:val="00BC6E8B"/>
    <w:rsid w:val="00BC6EBC"/>
    <w:rsid w:val="00BC72DD"/>
    <w:rsid w:val="00BC7606"/>
    <w:rsid w:val="00BC79D1"/>
    <w:rsid w:val="00BC7D96"/>
    <w:rsid w:val="00BC7DE1"/>
    <w:rsid w:val="00BD01BF"/>
    <w:rsid w:val="00BD0B1B"/>
    <w:rsid w:val="00BD0BB6"/>
    <w:rsid w:val="00BD11D4"/>
    <w:rsid w:val="00BD1385"/>
    <w:rsid w:val="00BD13E7"/>
    <w:rsid w:val="00BD1464"/>
    <w:rsid w:val="00BD165F"/>
    <w:rsid w:val="00BD1940"/>
    <w:rsid w:val="00BD1BDE"/>
    <w:rsid w:val="00BD20F4"/>
    <w:rsid w:val="00BD21B0"/>
    <w:rsid w:val="00BD2221"/>
    <w:rsid w:val="00BD270B"/>
    <w:rsid w:val="00BD2853"/>
    <w:rsid w:val="00BD2B62"/>
    <w:rsid w:val="00BD2F79"/>
    <w:rsid w:val="00BD3D24"/>
    <w:rsid w:val="00BD42B8"/>
    <w:rsid w:val="00BD469D"/>
    <w:rsid w:val="00BD49FD"/>
    <w:rsid w:val="00BD4A85"/>
    <w:rsid w:val="00BD4B1A"/>
    <w:rsid w:val="00BD548C"/>
    <w:rsid w:val="00BD5C5C"/>
    <w:rsid w:val="00BD6062"/>
    <w:rsid w:val="00BD62E0"/>
    <w:rsid w:val="00BD640F"/>
    <w:rsid w:val="00BD6551"/>
    <w:rsid w:val="00BD67FF"/>
    <w:rsid w:val="00BD6A77"/>
    <w:rsid w:val="00BD6C77"/>
    <w:rsid w:val="00BD6C86"/>
    <w:rsid w:val="00BD6EEE"/>
    <w:rsid w:val="00BD7615"/>
    <w:rsid w:val="00BD77C0"/>
    <w:rsid w:val="00BD7B2F"/>
    <w:rsid w:val="00BD7B3E"/>
    <w:rsid w:val="00BD7C26"/>
    <w:rsid w:val="00BD7DD8"/>
    <w:rsid w:val="00BE0227"/>
    <w:rsid w:val="00BE0472"/>
    <w:rsid w:val="00BE0615"/>
    <w:rsid w:val="00BE0854"/>
    <w:rsid w:val="00BE0C60"/>
    <w:rsid w:val="00BE0CA9"/>
    <w:rsid w:val="00BE1650"/>
    <w:rsid w:val="00BE1FDD"/>
    <w:rsid w:val="00BE206D"/>
    <w:rsid w:val="00BE24E5"/>
    <w:rsid w:val="00BE27F2"/>
    <w:rsid w:val="00BE2855"/>
    <w:rsid w:val="00BE2ACF"/>
    <w:rsid w:val="00BE2FE9"/>
    <w:rsid w:val="00BE36E0"/>
    <w:rsid w:val="00BE3CCE"/>
    <w:rsid w:val="00BE3E6B"/>
    <w:rsid w:val="00BE409A"/>
    <w:rsid w:val="00BE4768"/>
    <w:rsid w:val="00BE48AD"/>
    <w:rsid w:val="00BE491C"/>
    <w:rsid w:val="00BE491E"/>
    <w:rsid w:val="00BE4B37"/>
    <w:rsid w:val="00BE4D48"/>
    <w:rsid w:val="00BE50EE"/>
    <w:rsid w:val="00BE5447"/>
    <w:rsid w:val="00BE55AE"/>
    <w:rsid w:val="00BE59A1"/>
    <w:rsid w:val="00BE5A4F"/>
    <w:rsid w:val="00BE5A5F"/>
    <w:rsid w:val="00BE6000"/>
    <w:rsid w:val="00BE6240"/>
    <w:rsid w:val="00BE63AF"/>
    <w:rsid w:val="00BE6EC8"/>
    <w:rsid w:val="00BE6FA7"/>
    <w:rsid w:val="00BE71AE"/>
    <w:rsid w:val="00BE7238"/>
    <w:rsid w:val="00BE7398"/>
    <w:rsid w:val="00BE7465"/>
    <w:rsid w:val="00BE769B"/>
    <w:rsid w:val="00BE7C40"/>
    <w:rsid w:val="00BF01CB"/>
    <w:rsid w:val="00BF02A3"/>
    <w:rsid w:val="00BF0946"/>
    <w:rsid w:val="00BF0BA7"/>
    <w:rsid w:val="00BF0BD7"/>
    <w:rsid w:val="00BF0C46"/>
    <w:rsid w:val="00BF0CD1"/>
    <w:rsid w:val="00BF0D9D"/>
    <w:rsid w:val="00BF1AF1"/>
    <w:rsid w:val="00BF1CBD"/>
    <w:rsid w:val="00BF1FD8"/>
    <w:rsid w:val="00BF20E8"/>
    <w:rsid w:val="00BF2C44"/>
    <w:rsid w:val="00BF2D81"/>
    <w:rsid w:val="00BF3782"/>
    <w:rsid w:val="00BF38CD"/>
    <w:rsid w:val="00BF38DC"/>
    <w:rsid w:val="00BF3BCA"/>
    <w:rsid w:val="00BF4A9E"/>
    <w:rsid w:val="00BF5997"/>
    <w:rsid w:val="00BF59CA"/>
    <w:rsid w:val="00BF5BDD"/>
    <w:rsid w:val="00BF5C35"/>
    <w:rsid w:val="00BF5C7E"/>
    <w:rsid w:val="00BF5D69"/>
    <w:rsid w:val="00BF6015"/>
    <w:rsid w:val="00BF6050"/>
    <w:rsid w:val="00BF63B6"/>
    <w:rsid w:val="00BF66EE"/>
    <w:rsid w:val="00BF71A3"/>
    <w:rsid w:val="00BF75A1"/>
    <w:rsid w:val="00BF7680"/>
    <w:rsid w:val="00BF796C"/>
    <w:rsid w:val="00BF7A2C"/>
    <w:rsid w:val="00BF7A2E"/>
    <w:rsid w:val="00BF7A78"/>
    <w:rsid w:val="00BF7E8C"/>
    <w:rsid w:val="00C0018A"/>
    <w:rsid w:val="00C0037D"/>
    <w:rsid w:val="00C003B9"/>
    <w:rsid w:val="00C00525"/>
    <w:rsid w:val="00C00905"/>
    <w:rsid w:val="00C00A7C"/>
    <w:rsid w:val="00C0104C"/>
    <w:rsid w:val="00C01170"/>
    <w:rsid w:val="00C0148F"/>
    <w:rsid w:val="00C0156D"/>
    <w:rsid w:val="00C01892"/>
    <w:rsid w:val="00C01BBB"/>
    <w:rsid w:val="00C01FD1"/>
    <w:rsid w:val="00C024A5"/>
    <w:rsid w:val="00C02938"/>
    <w:rsid w:val="00C02CE1"/>
    <w:rsid w:val="00C02D1E"/>
    <w:rsid w:val="00C0314D"/>
    <w:rsid w:val="00C0331F"/>
    <w:rsid w:val="00C035B5"/>
    <w:rsid w:val="00C036AC"/>
    <w:rsid w:val="00C03865"/>
    <w:rsid w:val="00C03D5A"/>
    <w:rsid w:val="00C04538"/>
    <w:rsid w:val="00C04A19"/>
    <w:rsid w:val="00C05264"/>
    <w:rsid w:val="00C05276"/>
    <w:rsid w:val="00C054A3"/>
    <w:rsid w:val="00C05622"/>
    <w:rsid w:val="00C05851"/>
    <w:rsid w:val="00C05863"/>
    <w:rsid w:val="00C05ECD"/>
    <w:rsid w:val="00C06139"/>
    <w:rsid w:val="00C06AF6"/>
    <w:rsid w:val="00C06BEC"/>
    <w:rsid w:val="00C06CBC"/>
    <w:rsid w:val="00C0707B"/>
    <w:rsid w:val="00C07620"/>
    <w:rsid w:val="00C07AB6"/>
    <w:rsid w:val="00C07ACB"/>
    <w:rsid w:val="00C102F3"/>
    <w:rsid w:val="00C106B8"/>
    <w:rsid w:val="00C108DC"/>
    <w:rsid w:val="00C10AFD"/>
    <w:rsid w:val="00C10B22"/>
    <w:rsid w:val="00C10C3F"/>
    <w:rsid w:val="00C10C52"/>
    <w:rsid w:val="00C11623"/>
    <w:rsid w:val="00C1172F"/>
    <w:rsid w:val="00C118F8"/>
    <w:rsid w:val="00C119A0"/>
    <w:rsid w:val="00C11A92"/>
    <w:rsid w:val="00C11ABD"/>
    <w:rsid w:val="00C129D9"/>
    <w:rsid w:val="00C13089"/>
    <w:rsid w:val="00C134DA"/>
    <w:rsid w:val="00C13752"/>
    <w:rsid w:val="00C13911"/>
    <w:rsid w:val="00C13C06"/>
    <w:rsid w:val="00C13C90"/>
    <w:rsid w:val="00C13CF2"/>
    <w:rsid w:val="00C14F19"/>
    <w:rsid w:val="00C14F3E"/>
    <w:rsid w:val="00C14FB2"/>
    <w:rsid w:val="00C15205"/>
    <w:rsid w:val="00C1575F"/>
    <w:rsid w:val="00C15B0C"/>
    <w:rsid w:val="00C15DE5"/>
    <w:rsid w:val="00C16621"/>
    <w:rsid w:val="00C168BF"/>
    <w:rsid w:val="00C168CF"/>
    <w:rsid w:val="00C16912"/>
    <w:rsid w:val="00C17007"/>
    <w:rsid w:val="00C170B2"/>
    <w:rsid w:val="00C17204"/>
    <w:rsid w:val="00C17304"/>
    <w:rsid w:val="00C1748F"/>
    <w:rsid w:val="00C176AC"/>
    <w:rsid w:val="00C17CE1"/>
    <w:rsid w:val="00C2058B"/>
    <w:rsid w:val="00C20668"/>
    <w:rsid w:val="00C208B8"/>
    <w:rsid w:val="00C209AD"/>
    <w:rsid w:val="00C20B13"/>
    <w:rsid w:val="00C2103A"/>
    <w:rsid w:val="00C211F9"/>
    <w:rsid w:val="00C2164B"/>
    <w:rsid w:val="00C21DA3"/>
    <w:rsid w:val="00C21EF9"/>
    <w:rsid w:val="00C21FE6"/>
    <w:rsid w:val="00C221C0"/>
    <w:rsid w:val="00C222A1"/>
    <w:rsid w:val="00C222F7"/>
    <w:rsid w:val="00C22397"/>
    <w:rsid w:val="00C224E3"/>
    <w:rsid w:val="00C22AAB"/>
    <w:rsid w:val="00C22ECB"/>
    <w:rsid w:val="00C23BB4"/>
    <w:rsid w:val="00C23F47"/>
    <w:rsid w:val="00C242C1"/>
    <w:rsid w:val="00C24589"/>
    <w:rsid w:val="00C24707"/>
    <w:rsid w:val="00C24792"/>
    <w:rsid w:val="00C24839"/>
    <w:rsid w:val="00C24D35"/>
    <w:rsid w:val="00C2525E"/>
    <w:rsid w:val="00C254AC"/>
    <w:rsid w:val="00C2584D"/>
    <w:rsid w:val="00C25CDB"/>
    <w:rsid w:val="00C25F77"/>
    <w:rsid w:val="00C26159"/>
    <w:rsid w:val="00C261C1"/>
    <w:rsid w:val="00C2629C"/>
    <w:rsid w:val="00C262ED"/>
    <w:rsid w:val="00C26376"/>
    <w:rsid w:val="00C265C9"/>
    <w:rsid w:val="00C26968"/>
    <w:rsid w:val="00C26A69"/>
    <w:rsid w:val="00C26BEC"/>
    <w:rsid w:val="00C27037"/>
    <w:rsid w:val="00C27671"/>
    <w:rsid w:val="00C27891"/>
    <w:rsid w:val="00C27C23"/>
    <w:rsid w:val="00C30019"/>
    <w:rsid w:val="00C301CF"/>
    <w:rsid w:val="00C309E6"/>
    <w:rsid w:val="00C30AC8"/>
    <w:rsid w:val="00C30B6D"/>
    <w:rsid w:val="00C30BC4"/>
    <w:rsid w:val="00C30C46"/>
    <w:rsid w:val="00C3119B"/>
    <w:rsid w:val="00C311E2"/>
    <w:rsid w:val="00C31439"/>
    <w:rsid w:val="00C31460"/>
    <w:rsid w:val="00C31808"/>
    <w:rsid w:val="00C31ACA"/>
    <w:rsid w:val="00C31D03"/>
    <w:rsid w:val="00C31D26"/>
    <w:rsid w:val="00C31E1D"/>
    <w:rsid w:val="00C32064"/>
    <w:rsid w:val="00C3223A"/>
    <w:rsid w:val="00C323E0"/>
    <w:rsid w:val="00C326B5"/>
    <w:rsid w:val="00C32CA7"/>
    <w:rsid w:val="00C32E58"/>
    <w:rsid w:val="00C330B7"/>
    <w:rsid w:val="00C33183"/>
    <w:rsid w:val="00C33706"/>
    <w:rsid w:val="00C33A05"/>
    <w:rsid w:val="00C33B39"/>
    <w:rsid w:val="00C33F14"/>
    <w:rsid w:val="00C34760"/>
    <w:rsid w:val="00C34D0A"/>
    <w:rsid w:val="00C35028"/>
    <w:rsid w:val="00C35222"/>
    <w:rsid w:val="00C357EA"/>
    <w:rsid w:val="00C35941"/>
    <w:rsid w:val="00C35A3D"/>
    <w:rsid w:val="00C35BCA"/>
    <w:rsid w:val="00C3616F"/>
    <w:rsid w:val="00C36691"/>
    <w:rsid w:val="00C366C6"/>
    <w:rsid w:val="00C36A9F"/>
    <w:rsid w:val="00C374C1"/>
    <w:rsid w:val="00C37611"/>
    <w:rsid w:val="00C37666"/>
    <w:rsid w:val="00C37B9E"/>
    <w:rsid w:val="00C37CF3"/>
    <w:rsid w:val="00C37E8E"/>
    <w:rsid w:val="00C40013"/>
    <w:rsid w:val="00C411E9"/>
    <w:rsid w:val="00C416FD"/>
    <w:rsid w:val="00C417CC"/>
    <w:rsid w:val="00C417F5"/>
    <w:rsid w:val="00C41954"/>
    <w:rsid w:val="00C41AFB"/>
    <w:rsid w:val="00C41C84"/>
    <w:rsid w:val="00C41DF7"/>
    <w:rsid w:val="00C41E33"/>
    <w:rsid w:val="00C41F79"/>
    <w:rsid w:val="00C424DF"/>
    <w:rsid w:val="00C426CE"/>
    <w:rsid w:val="00C428FF"/>
    <w:rsid w:val="00C42C84"/>
    <w:rsid w:val="00C42FAA"/>
    <w:rsid w:val="00C43051"/>
    <w:rsid w:val="00C43314"/>
    <w:rsid w:val="00C4358D"/>
    <w:rsid w:val="00C43EA9"/>
    <w:rsid w:val="00C4473A"/>
    <w:rsid w:val="00C44D00"/>
    <w:rsid w:val="00C44D46"/>
    <w:rsid w:val="00C44DED"/>
    <w:rsid w:val="00C45289"/>
    <w:rsid w:val="00C454D9"/>
    <w:rsid w:val="00C45525"/>
    <w:rsid w:val="00C45537"/>
    <w:rsid w:val="00C45779"/>
    <w:rsid w:val="00C45C60"/>
    <w:rsid w:val="00C4684C"/>
    <w:rsid w:val="00C469F2"/>
    <w:rsid w:val="00C46D29"/>
    <w:rsid w:val="00C46E19"/>
    <w:rsid w:val="00C47024"/>
    <w:rsid w:val="00C471F0"/>
    <w:rsid w:val="00C47541"/>
    <w:rsid w:val="00C475C7"/>
    <w:rsid w:val="00C47601"/>
    <w:rsid w:val="00C47DF2"/>
    <w:rsid w:val="00C50AAE"/>
    <w:rsid w:val="00C5119C"/>
    <w:rsid w:val="00C51591"/>
    <w:rsid w:val="00C515B0"/>
    <w:rsid w:val="00C51702"/>
    <w:rsid w:val="00C5171D"/>
    <w:rsid w:val="00C517ED"/>
    <w:rsid w:val="00C51B08"/>
    <w:rsid w:val="00C51BA8"/>
    <w:rsid w:val="00C51C23"/>
    <w:rsid w:val="00C51C57"/>
    <w:rsid w:val="00C51DB8"/>
    <w:rsid w:val="00C51FF9"/>
    <w:rsid w:val="00C520E5"/>
    <w:rsid w:val="00C5298A"/>
    <w:rsid w:val="00C5304F"/>
    <w:rsid w:val="00C530D5"/>
    <w:rsid w:val="00C53513"/>
    <w:rsid w:val="00C53730"/>
    <w:rsid w:val="00C53A44"/>
    <w:rsid w:val="00C53E49"/>
    <w:rsid w:val="00C53F82"/>
    <w:rsid w:val="00C540B9"/>
    <w:rsid w:val="00C54398"/>
    <w:rsid w:val="00C54411"/>
    <w:rsid w:val="00C54CC3"/>
    <w:rsid w:val="00C54D6E"/>
    <w:rsid w:val="00C54EE3"/>
    <w:rsid w:val="00C552F9"/>
    <w:rsid w:val="00C554D4"/>
    <w:rsid w:val="00C554D9"/>
    <w:rsid w:val="00C55669"/>
    <w:rsid w:val="00C55E8A"/>
    <w:rsid w:val="00C560DB"/>
    <w:rsid w:val="00C56532"/>
    <w:rsid w:val="00C56885"/>
    <w:rsid w:val="00C56D39"/>
    <w:rsid w:val="00C57155"/>
    <w:rsid w:val="00C5715C"/>
    <w:rsid w:val="00C57996"/>
    <w:rsid w:val="00C57A92"/>
    <w:rsid w:val="00C57C0D"/>
    <w:rsid w:val="00C57E63"/>
    <w:rsid w:val="00C57F51"/>
    <w:rsid w:val="00C601E4"/>
    <w:rsid w:val="00C60360"/>
    <w:rsid w:val="00C6069B"/>
    <w:rsid w:val="00C607D1"/>
    <w:rsid w:val="00C608EA"/>
    <w:rsid w:val="00C60A86"/>
    <w:rsid w:val="00C60CB5"/>
    <w:rsid w:val="00C60D11"/>
    <w:rsid w:val="00C60FBF"/>
    <w:rsid w:val="00C61109"/>
    <w:rsid w:val="00C61324"/>
    <w:rsid w:val="00C6183D"/>
    <w:rsid w:val="00C61A7C"/>
    <w:rsid w:val="00C61AB2"/>
    <w:rsid w:val="00C61B02"/>
    <w:rsid w:val="00C61E90"/>
    <w:rsid w:val="00C61F1C"/>
    <w:rsid w:val="00C61FD2"/>
    <w:rsid w:val="00C620D4"/>
    <w:rsid w:val="00C6222B"/>
    <w:rsid w:val="00C624C0"/>
    <w:rsid w:val="00C62689"/>
    <w:rsid w:val="00C6276A"/>
    <w:rsid w:val="00C62798"/>
    <w:rsid w:val="00C6297B"/>
    <w:rsid w:val="00C62AB4"/>
    <w:rsid w:val="00C63BFA"/>
    <w:rsid w:val="00C640C7"/>
    <w:rsid w:val="00C64208"/>
    <w:rsid w:val="00C643EB"/>
    <w:rsid w:val="00C644C4"/>
    <w:rsid w:val="00C644F2"/>
    <w:rsid w:val="00C64544"/>
    <w:rsid w:val="00C645FD"/>
    <w:rsid w:val="00C64868"/>
    <w:rsid w:val="00C64DA3"/>
    <w:rsid w:val="00C64E8C"/>
    <w:rsid w:val="00C64FAD"/>
    <w:rsid w:val="00C6539B"/>
    <w:rsid w:val="00C6540F"/>
    <w:rsid w:val="00C65840"/>
    <w:rsid w:val="00C65D6D"/>
    <w:rsid w:val="00C65FF3"/>
    <w:rsid w:val="00C6642E"/>
    <w:rsid w:val="00C66494"/>
    <w:rsid w:val="00C66676"/>
    <w:rsid w:val="00C666B9"/>
    <w:rsid w:val="00C66B92"/>
    <w:rsid w:val="00C66C98"/>
    <w:rsid w:val="00C66E98"/>
    <w:rsid w:val="00C670FA"/>
    <w:rsid w:val="00C670FC"/>
    <w:rsid w:val="00C70072"/>
    <w:rsid w:val="00C70146"/>
    <w:rsid w:val="00C702A2"/>
    <w:rsid w:val="00C70370"/>
    <w:rsid w:val="00C70585"/>
    <w:rsid w:val="00C705C3"/>
    <w:rsid w:val="00C70975"/>
    <w:rsid w:val="00C709F0"/>
    <w:rsid w:val="00C71490"/>
    <w:rsid w:val="00C71783"/>
    <w:rsid w:val="00C719A2"/>
    <w:rsid w:val="00C71C37"/>
    <w:rsid w:val="00C71DC7"/>
    <w:rsid w:val="00C71F6D"/>
    <w:rsid w:val="00C72165"/>
    <w:rsid w:val="00C72184"/>
    <w:rsid w:val="00C72773"/>
    <w:rsid w:val="00C72A13"/>
    <w:rsid w:val="00C72A19"/>
    <w:rsid w:val="00C72B8E"/>
    <w:rsid w:val="00C72D7B"/>
    <w:rsid w:val="00C73AB0"/>
    <w:rsid w:val="00C73D66"/>
    <w:rsid w:val="00C73FEE"/>
    <w:rsid w:val="00C74167"/>
    <w:rsid w:val="00C741A7"/>
    <w:rsid w:val="00C741D2"/>
    <w:rsid w:val="00C7486E"/>
    <w:rsid w:val="00C74929"/>
    <w:rsid w:val="00C74D98"/>
    <w:rsid w:val="00C75357"/>
    <w:rsid w:val="00C7536F"/>
    <w:rsid w:val="00C7574B"/>
    <w:rsid w:val="00C75797"/>
    <w:rsid w:val="00C757AE"/>
    <w:rsid w:val="00C758BD"/>
    <w:rsid w:val="00C75A6D"/>
    <w:rsid w:val="00C75CEB"/>
    <w:rsid w:val="00C76268"/>
    <w:rsid w:val="00C76624"/>
    <w:rsid w:val="00C76661"/>
    <w:rsid w:val="00C7692D"/>
    <w:rsid w:val="00C76AAF"/>
    <w:rsid w:val="00C76C46"/>
    <w:rsid w:val="00C76E35"/>
    <w:rsid w:val="00C77478"/>
    <w:rsid w:val="00C774A1"/>
    <w:rsid w:val="00C775A0"/>
    <w:rsid w:val="00C80848"/>
    <w:rsid w:val="00C80C41"/>
    <w:rsid w:val="00C80CDD"/>
    <w:rsid w:val="00C80CEF"/>
    <w:rsid w:val="00C80E40"/>
    <w:rsid w:val="00C81120"/>
    <w:rsid w:val="00C81432"/>
    <w:rsid w:val="00C82490"/>
    <w:rsid w:val="00C82547"/>
    <w:rsid w:val="00C82610"/>
    <w:rsid w:val="00C828B8"/>
    <w:rsid w:val="00C82994"/>
    <w:rsid w:val="00C82E07"/>
    <w:rsid w:val="00C82EC5"/>
    <w:rsid w:val="00C83041"/>
    <w:rsid w:val="00C838C3"/>
    <w:rsid w:val="00C843DF"/>
    <w:rsid w:val="00C8445F"/>
    <w:rsid w:val="00C8452A"/>
    <w:rsid w:val="00C848A7"/>
    <w:rsid w:val="00C849C0"/>
    <w:rsid w:val="00C84F2E"/>
    <w:rsid w:val="00C84F93"/>
    <w:rsid w:val="00C85035"/>
    <w:rsid w:val="00C851F6"/>
    <w:rsid w:val="00C858FF"/>
    <w:rsid w:val="00C85AE0"/>
    <w:rsid w:val="00C85E30"/>
    <w:rsid w:val="00C866A0"/>
    <w:rsid w:val="00C86BFA"/>
    <w:rsid w:val="00C86E8E"/>
    <w:rsid w:val="00C8712F"/>
    <w:rsid w:val="00C8730C"/>
    <w:rsid w:val="00C876A0"/>
    <w:rsid w:val="00C878CA"/>
    <w:rsid w:val="00C87AF2"/>
    <w:rsid w:val="00C87B57"/>
    <w:rsid w:val="00C87FC6"/>
    <w:rsid w:val="00C905AF"/>
    <w:rsid w:val="00C908C6"/>
    <w:rsid w:val="00C90B42"/>
    <w:rsid w:val="00C91074"/>
    <w:rsid w:val="00C9165C"/>
    <w:rsid w:val="00C9182B"/>
    <w:rsid w:val="00C91C5F"/>
    <w:rsid w:val="00C91CFC"/>
    <w:rsid w:val="00C9213E"/>
    <w:rsid w:val="00C9255D"/>
    <w:rsid w:val="00C927E8"/>
    <w:rsid w:val="00C9296C"/>
    <w:rsid w:val="00C92DFF"/>
    <w:rsid w:val="00C93384"/>
    <w:rsid w:val="00C93FD8"/>
    <w:rsid w:val="00C94170"/>
    <w:rsid w:val="00C9432C"/>
    <w:rsid w:val="00C945C2"/>
    <w:rsid w:val="00C946B2"/>
    <w:rsid w:val="00C946F6"/>
    <w:rsid w:val="00C9475D"/>
    <w:rsid w:val="00C94B1E"/>
    <w:rsid w:val="00C95056"/>
    <w:rsid w:val="00C95115"/>
    <w:rsid w:val="00C951FD"/>
    <w:rsid w:val="00C952C3"/>
    <w:rsid w:val="00C9536E"/>
    <w:rsid w:val="00C95A15"/>
    <w:rsid w:val="00C95A37"/>
    <w:rsid w:val="00C95A68"/>
    <w:rsid w:val="00C95D21"/>
    <w:rsid w:val="00C961DD"/>
    <w:rsid w:val="00C962F3"/>
    <w:rsid w:val="00C963BF"/>
    <w:rsid w:val="00C96516"/>
    <w:rsid w:val="00C965B0"/>
    <w:rsid w:val="00C96EC1"/>
    <w:rsid w:val="00C970A1"/>
    <w:rsid w:val="00C97397"/>
    <w:rsid w:val="00C975E6"/>
    <w:rsid w:val="00C978FE"/>
    <w:rsid w:val="00C97D48"/>
    <w:rsid w:val="00C97EAC"/>
    <w:rsid w:val="00CA06E0"/>
    <w:rsid w:val="00CA0C2D"/>
    <w:rsid w:val="00CA0E9B"/>
    <w:rsid w:val="00CA10D0"/>
    <w:rsid w:val="00CA110D"/>
    <w:rsid w:val="00CA1333"/>
    <w:rsid w:val="00CA13DE"/>
    <w:rsid w:val="00CA1458"/>
    <w:rsid w:val="00CA175E"/>
    <w:rsid w:val="00CA19A9"/>
    <w:rsid w:val="00CA1B16"/>
    <w:rsid w:val="00CA1E51"/>
    <w:rsid w:val="00CA21A9"/>
    <w:rsid w:val="00CA3ACF"/>
    <w:rsid w:val="00CA3B95"/>
    <w:rsid w:val="00CA3C0A"/>
    <w:rsid w:val="00CA43F9"/>
    <w:rsid w:val="00CA4458"/>
    <w:rsid w:val="00CA45FC"/>
    <w:rsid w:val="00CA481F"/>
    <w:rsid w:val="00CA487E"/>
    <w:rsid w:val="00CA4D9A"/>
    <w:rsid w:val="00CA516C"/>
    <w:rsid w:val="00CA52B2"/>
    <w:rsid w:val="00CA5411"/>
    <w:rsid w:val="00CA56C5"/>
    <w:rsid w:val="00CA59C2"/>
    <w:rsid w:val="00CA5C47"/>
    <w:rsid w:val="00CA5C82"/>
    <w:rsid w:val="00CA5D80"/>
    <w:rsid w:val="00CA5E60"/>
    <w:rsid w:val="00CA62EE"/>
    <w:rsid w:val="00CA65EF"/>
    <w:rsid w:val="00CA6647"/>
    <w:rsid w:val="00CA679A"/>
    <w:rsid w:val="00CA7217"/>
    <w:rsid w:val="00CA7414"/>
    <w:rsid w:val="00CA7632"/>
    <w:rsid w:val="00CA7682"/>
    <w:rsid w:val="00CA7854"/>
    <w:rsid w:val="00CA7A75"/>
    <w:rsid w:val="00CA7E03"/>
    <w:rsid w:val="00CA7F28"/>
    <w:rsid w:val="00CA7F39"/>
    <w:rsid w:val="00CB00EA"/>
    <w:rsid w:val="00CB0125"/>
    <w:rsid w:val="00CB01EF"/>
    <w:rsid w:val="00CB01F6"/>
    <w:rsid w:val="00CB029E"/>
    <w:rsid w:val="00CB0768"/>
    <w:rsid w:val="00CB0A1F"/>
    <w:rsid w:val="00CB0CE9"/>
    <w:rsid w:val="00CB131F"/>
    <w:rsid w:val="00CB1320"/>
    <w:rsid w:val="00CB16C4"/>
    <w:rsid w:val="00CB1A00"/>
    <w:rsid w:val="00CB2121"/>
    <w:rsid w:val="00CB21AF"/>
    <w:rsid w:val="00CB221C"/>
    <w:rsid w:val="00CB2476"/>
    <w:rsid w:val="00CB2E15"/>
    <w:rsid w:val="00CB335F"/>
    <w:rsid w:val="00CB33D0"/>
    <w:rsid w:val="00CB3555"/>
    <w:rsid w:val="00CB3693"/>
    <w:rsid w:val="00CB372C"/>
    <w:rsid w:val="00CB3889"/>
    <w:rsid w:val="00CB3E69"/>
    <w:rsid w:val="00CB434C"/>
    <w:rsid w:val="00CB439C"/>
    <w:rsid w:val="00CB452B"/>
    <w:rsid w:val="00CB4900"/>
    <w:rsid w:val="00CB4CD5"/>
    <w:rsid w:val="00CB4DC2"/>
    <w:rsid w:val="00CB4DCD"/>
    <w:rsid w:val="00CB4E4B"/>
    <w:rsid w:val="00CB4F2D"/>
    <w:rsid w:val="00CB53F8"/>
    <w:rsid w:val="00CB544A"/>
    <w:rsid w:val="00CB5E59"/>
    <w:rsid w:val="00CB5FF4"/>
    <w:rsid w:val="00CB603C"/>
    <w:rsid w:val="00CB6272"/>
    <w:rsid w:val="00CB6B3F"/>
    <w:rsid w:val="00CB6C9D"/>
    <w:rsid w:val="00CB7418"/>
    <w:rsid w:val="00CB7A7D"/>
    <w:rsid w:val="00CB7C49"/>
    <w:rsid w:val="00CB7EC4"/>
    <w:rsid w:val="00CC01EB"/>
    <w:rsid w:val="00CC0670"/>
    <w:rsid w:val="00CC0743"/>
    <w:rsid w:val="00CC0ACD"/>
    <w:rsid w:val="00CC0BBE"/>
    <w:rsid w:val="00CC100B"/>
    <w:rsid w:val="00CC1311"/>
    <w:rsid w:val="00CC1690"/>
    <w:rsid w:val="00CC1969"/>
    <w:rsid w:val="00CC19DE"/>
    <w:rsid w:val="00CC1C92"/>
    <w:rsid w:val="00CC2213"/>
    <w:rsid w:val="00CC2221"/>
    <w:rsid w:val="00CC23B3"/>
    <w:rsid w:val="00CC27FE"/>
    <w:rsid w:val="00CC2A78"/>
    <w:rsid w:val="00CC2D98"/>
    <w:rsid w:val="00CC2E06"/>
    <w:rsid w:val="00CC3066"/>
    <w:rsid w:val="00CC3234"/>
    <w:rsid w:val="00CC367D"/>
    <w:rsid w:val="00CC3832"/>
    <w:rsid w:val="00CC3A33"/>
    <w:rsid w:val="00CC3D23"/>
    <w:rsid w:val="00CC4210"/>
    <w:rsid w:val="00CC4238"/>
    <w:rsid w:val="00CC44F1"/>
    <w:rsid w:val="00CC44FE"/>
    <w:rsid w:val="00CC4921"/>
    <w:rsid w:val="00CC5431"/>
    <w:rsid w:val="00CC600E"/>
    <w:rsid w:val="00CC6144"/>
    <w:rsid w:val="00CC644D"/>
    <w:rsid w:val="00CC658D"/>
    <w:rsid w:val="00CC665A"/>
    <w:rsid w:val="00CC67EC"/>
    <w:rsid w:val="00CC6FB8"/>
    <w:rsid w:val="00CC7122"/>
    <w:rsid w:val="00CC718D"/>
    <w:rsid w:val="00CC7210"/>
    <w:rsid w:val="00CC74A2"/>
    <w:rsid w:val="00CC7526"/>
    <w:rsid w:val="00CC7546"/>
    <w:rsid w:val="00CC7666"/>
    <w:rsid w:val="00CC7697"/>
    <w:rsid w:val="00CC779C"/>
    <w:rsid w:val="00CC7F36"/>
    <w:rsid w:val="00CD005A"/>
    <w:rsid w:val="00CD03B2"/>
    <w:rsid w:val="00CD03D4"/>
    <w:rsid w:val="00CD0492"/>
    <w:rsid w:val="00CD0518"/>
    <w:rsid w:val="00CD0593"/>
    <w:rsid w:val="00CD07CA"/>
    <w:rsid w:val="00CD07DE"/>
    <w:rsid w:val="00CD088E"/>
    <w:rsid w:val="00CD107A"/>
    <w:rsid w:val="00CD1184"/>
    <w:rsid w:val="00CD1311"/>
    <w:rsid w:val="00CD146B"/>
    <w:rsid w:val="00CD155B"/>
    <w:rsid w:val="00CD1A3E"/>
    <w:rsid w:val="00CD1FD1"/>
    <w:rsid w:val="00CD20D4"/>
    <w:rsid w:val="00CD2187"/>
    <w:rsid w:val="00CD246B"/>
    <w:rsid w:val="00CD2519"/>
    <w:rsid w:val="00CD251C"/>
    <w:rsid w:val="00CD2C94"/>
    <w:rsid w:val="00CD2CDC"/>
    <w:rsid w:val="00CD2F34"/>
    <w:rsid w:val="00CD3B34"/>
    <w:rsid w:val="00CD3B66"/>
    <w:rsid w:val="00CD3D04"/>
    <w:rsid w:val="00CD3FF7"/>
    <w:rsid w:val="00CD430F"/>
    <w:rsid w:val="00CD45E1"/>
    <w:rsid w:val="00CD4817"/>
    <w:rsid w:val="00CD4CB3"/>
    <w:rsid w:val="00CD4CEB"/>
    <w:rsid w:val="00CD4F23"/>
    <w:rsid w:val="00CD4FC6"/>
    <w:rsid w:val="00CD520E"/>
    <w:rsid w:val="00CD5217"/>
    <w:rsid w:val="00CD5562"/>
    <w:rsid w:val="00CD558B"/>
    <w:rsid w:val="00CD55B3"/>
    <w:rsid w:val="00CD59D9"/>
    <w:rsid w:val="00CD5A05"/>
    <w:rsid w:val="00CD5B7D"/>
    <w:rsid w:val="00CD5D9A"/>
    <w:rsid w:val="00CD5F3B"/>
    <w:rsid w:val="00CD67B9"/>
    <w:rsid w:val="00CD6882"/>
    <w:rsid w:val="00CD6ABC"/>
    <w:rsid w:val="00CD750A"/>
    <w:rsid w:val="00CD7CD0"/>
    <w:rsid w:val="00CD7E16"/>
    <w:rsid w:val="00CD7EE5"/>
    <w:rsid w:val="00CD7FD7"/>
    <w:rsid w:val="00CE0097"/>
    <w:rsid w:val="00CE04A0"/>
    <w:rsid w:val="00CE04BA"/>
    <w:rsid w:val="00CE06BD"/>
    <w:rsid w:val="00CE07A2"/>
    <w:rsid w:val="00CE0855"/>
    <w:rsid w:val="00CE1705"/>
    <w:rsid w:val="00CE1A46"/>
    <w:rsid w:val="00CE1AAD"/>
    <w:rsid w:val="00CE2228"/>
    <w:rsid w:val="00CE23B9"/>
    <w:rsid w:val="00CE2D14"/>
    <w:rsid w:val="00CE3042"/>
    <w:rsid w:val="00CE30A7"/>
    <w:rsid w:val="00CE30B0"/>
    <w:rsid w:val="00CE30E6"/>
    <w:rsid w:val="00CE333D"/>
    <w:rsid w:val="00CE341F"/>
    <w:rsid w:val="00CE345F"/>
    <w:rsid w:val="00CE34DC"/>
    <w:rsid w:val="00CE368B"/>
    <w:rsid w:val="00CE36DD"/>
    <w:rsid w:val="00CE3BF2"/>
    <w:rsid w:val="00CE3F11"/>
    <w:rsid w:val="00CE4B23"/>
    <w:rsid w:val="00CE4BBB"/>
    <w:rsid w:val="00CE4C3C"/>
    <w:rsid w:val="00CE4D3C"/>
    <w:rsid w:val="00CE5899"/>
    <w:rsid w:val="00CE593C"/>
    <w:rsid w:val="00CE59A3"/>
    <w:rsid w:val="00CE5E98"/>
    <w:rsid w:val="00CE5F30"/>
    <w:rsid w:val="00CE60CD"/>
    <w:rsid w:val="00CE697C"/>
    <w:rsid w:val="00CE69FC"/>
    <w:rsid w:val="00CE6CC6"/>
    <w:rsid w:val="00CE6E7E"/>
    <w:rsid w:val="00CE6E81"/>
    <w:rsid w:val="00CF0219"/>
    <w:rsid w:val="00CF04B4"/>
    <w:rsid w:val="00CF05DB"/>
    <w:rsid w:val="00CF0B33"/>
    <w:rsid w:val="00CF0B8C"/>
    <w:rsid w:val="00CF0FC4"/>
    <w:rsid w:val="00CF1089"/>
    <w:rsid w:val="00CF13CB"/>
    <w:rsid w:val="00CF1C79"/>
    <w:rsid w:val="00CF1D89"/>
    <w:rsid w:val="00CF2157"/>
    <w:rsid w:val="00CF26C2"/>
    <w:rsid w:val="00CF2708"/>
    <w:rsid w:val="00CF2C08"/>
    <w:rsid w:val="00CF2C97"/>
    <w:rsid w:val="00CF2F64"/>
    <w:rsid w:val="00CF2FFE"/>
    <w:rsid w:val="00CF311A"/>
    <w:rsid w:val="00CF3284"/>
    <w:rsid w:val="00CF3359"/>
    <w:rsid w:val="00CF339F"/>
    <w:rsid w:val="00CF3400"/>
    <w:rsid w:val="00CF379F"/>
    <w:rsid w:val="00CF410E"/>
    <w:rsid w:val="00CF42DF"/>
    <w:rsid w:val="00CF4307"/>
    <w:rsid w:val="00CF488E"/>
    <w:rsid w:val="00CF570D"/>
    <w:rsid w:val="00CF5840"/>
    <w:rsid w:val="00CF5A00"/>
    <w:rsid w:val="00CF611F"/>
    <w:rsid w:val="00CF66A4"/>
    <w:rsid w:val="00CF6700"/>
    <w:rsid w:val="00CF6876"/>
    <w:rsid w:val="00CF77C4"/>
    <w:rsid w:val="00CF7FAF"/>
    <w:rsid w:val="00D0008E"/>
    <w:rsid w:val="00D002DA"/>
    <w:rsid w:val="00D007CD"/>
    <w:rsid w:val="00D009E6"/>
    <w:rsid w:val="00D00EEC"/>
    <w:rsid w:val="00D01453"/>
    <w:rsid w:val="00D018FE"/>
    <w:rsid w:val="00D01954"/>
    <w:rsid w:val="00D01E95"/>
    <w:rsid w:val="00D01ED5"/>
    <w:rsid w:val="00D02070"/>
    <w:rsid w:val="00D021F0"/>
    <w:rsid w:val="00D02271"/>
    <w:rsid w:val="00D02456"/>
    <w:rsid w:val="00D026BC"/>
    <w:rsid w:val="00D02946"/>
    <w:rsid w:val="00D0294B"/>
    <w:rsid w:val="00D02AD7"/>
    <w:rsid w:val="00D02C47"/>
    <w:rsid w:val="00D03458"/>
    <w:rsid w:val="00D03E7A"/>
    <w:rsid w:val="00D046F6"/>
    <w:rsid w:val="00D04827"/>
    <w:rsid w:val="00D04EFF"/>
    <w:rsid w:val="00D05188"/>
    <w:rsid w:val="00D051A6"/>
    <w:rsid w:val="00D051E5"/>
    <w:rsid w:val="00D05245"/>
    <w:rsid w:val="00D05307"/>
    <w:rsid w:val="00D0531C"/>
    <w:rsid w:val="00D05358"/>
    <w:rsid w:val="00D0557D"/>
    <w:rsid w:val="00D05669"/>
    <w:rsid w:val="00D05DFF"/>
    <w:rsid w:val="00D06878"/>
    <w:rsid w:val="00D06A55"/>
    <w:rsid w:val="00D06CBF"/>
    <w:rsid w:val="00D06DE4"/>
    <w:rsid w:val="00D0713C"/>
    <w:rsid w:val="00D078C6"/>
    <w:rsid w:val="00D07FB4"/>
    <w:rsid w:val="00D1036E"/>
    <w:rsid w:val="00D1060A"/>
    <w:rsid w:val="00D107E7"/>
    <w:rsid w:val="00D10C12"/>
    <w:rsid w:val="00D10D0E"/>
    <w:rsid w:val="00D10E7B"/>
    <w:rsid w:val="00D10E91"/>
    <w:rsid w:val="00D1105A"/>
    <w:rsid w:val="00D1137B"/>
    <w:rsid w:val="00D11564"/>
    <w:rsid w:val="00D118F6"/>
    <w:rsid w:val="00D11DB6"/>
    <w:rsid w:val="00D1221E"/>
    <w:rsid w:val="00D12482"/>
    <w:rsid w:val="00D12700"/>
    <w:rsid w:val="00D1298F"/>
    <w:rsid w:val="00D12BB7"/>
    <w:rsid w:val="00D132D5"/>
    <w:rsid w:val="00D13621"/>
    <w:rsid w:val="00D13E53"/>
    <w:rsid w:val="00D1473B"/>
    <w:rsid w:val="00D151EA"/>
    <w:rsid w:val="00D15303"/>
    <w:rsid w:val="00D15C0C"/>
    <w:rsid w:val="00D16051"/>
    <w:rsid w:val="00D160F7"/>
    <w:rsid w:val="00D16297"/>
    <w:rsid w:val="00D16549"/>
    <w:rsid w:val="00D168DB"/>
    <w:rsid w:val="00D169DA"/>
    <w:rsid w:val="00D16EF2"/>
    <w:rsid w:val="00D17788"/>
    <w:rsid w:val="00D20039"/>
    <w:rsid w:val="00D20461"/>
    <w:rsid w:val="00D20B75"/>
    <w:rsid w:val="00D20EB0"/>
    <w:rsid w:val="00D21163"/>
    <w:rsid w:val="00D2148E"/>
    <w:rsid w:val="00D2175F"/>
    <w:rsid w:val="00D218BB"/>
    <w:rsid w:val="00D21A6E"/>
    <w:rsid w:val="00D21FA8"/>
    <w:rsid w:val="00D220EF"/>
    <w:rsid w:val="00D22166"/>
    <w:rsid w:val="00D22675"/>
    <w:rsid w:val="00D22AD1"/>
    <w:rsid w:val="00D22B80"/>
    <w:rsid w:val="00D22B8A"/>
    <w:rsid w:val="00D22D5A"/>
    <w:rsid w:val="00D236B7"/>
    <w:rsid w:val="00D2385E"/>
    <w:rsid w:val="00D23BE3"/>
    <w:rsid w:val="00D23E48"/>
    <w:rsid w:val="00D2403F"/>
    <w:rsid w:val="00D244BE"/>
    <w:rsid w:val="00D244CE"/>
    <w:rsid w:val="00D24537"/>
    <w:rsid w:val="00D24640"/>
    <w:rsid w:val="00D2482F"/>
    <w:rsid w:val="00D24B50"/>
    <w:rsid w:val="00D24B54"/>
    <w:rsid w:val="00D25054"/>
    <w:rsid w:val="00D25352"/>
    <w:rsid w:val="00D25410"/>
    <w:rsid w:val="00D25599"/>
    <w:rsid w:val="00D25964"/>
    <w:rsid w:val="00D25EC9"/>
    <w:rsid w:val="00D25FED"/>
    <w:rsid w:val="00D26067"/>
    <w:rsid w:val="00D26215"/>
    <w:rsid w:val="00D263FE"/>
    <w:rsid w:val="00D268D9"/>
    <w:rsid w:val="00D2692A"/>
    <w:rsid w:val="00D26A83"/>
    <w:rsid w:val="00D26BB6"/>
    <w:rsid w:val="00D26D2F"/>
    <w:rsid w:val="00D26F36"/>
    <w:rsid w:val="00D27232"/>
    <w:rsid w:val="00D27375"/>
    <w:rsid w:val="00D278E5"/>
    <w:rsid w:val="00D278F4"/>
    <w:rsid w:val="00D27B83"/>
    <w:rsid w:val="00D27F2D"/>
    <w:rsid w:val="00D300E9"/>
    <w:rsid w:val="00D30118"/>
    <w:rsid w:val="00D30264"/>
    <w:rsid w:val="00D30334"/>
    <w:rsid w:val="00D304CF"/>
    <w:rsid w:val="00D3090A"/>
    <w:rsid w:val="00D30BCD"/>
    <w:rsid w:val="00D310F3"/>
    <w:rsid w:val="00D3111E"/>
    <w:rsid w:val="00D31221"/>
    <w:rsid w:val="00D3126E"/>
    <w:rsid w:val="00D31318"/>
    <w:rsid w:val="00D316DF"/>
    <w:rsid w:val="00D31700"/>
    <w:rsid w:val="00D31851"/>
    <w:rsid w:val="00D31C27"/>
    <w:rsid w:val="00D31F8D"/>
    <w:rsid w:val="00D323F9"/>
    <w:rsid w:val="00D32449"/>
    <w:rsid w:val="00D3255B"/>
    <w:rsid w:val="00D32664"/>
    <w:rsid w:val="00D326D0"/>
    <w:rsid w:val="00D32D36"/>
    <w:rsid w:val="00D32FA5"/>
    <w:rsid w:val="00D3300B"/>
    <w:rsid w:val="00D333CF"/>
    <w:rsid w:val="00D336AD"/>
    <w:rsid w:val="00D33C32"/>
    <w:rsid w:val="00D33EBE"/>
    <w:rsid w:val="00D34058"/>
    <w:rsid w:val="00D34376"/>
    <w:rsid w:val="00D344F9"/>
    <w:rsid w:val="00D34615"/>
    <w:rsid w:val="00D347CA"/>
    <w:rsid w:val="00D348DF"/>
    <w:rsid w:val="00D34E0C"/>
    <w:rsid w:val="00D34ECE"/>
    <w:rsid w:val="00D3517E"/>
    <w:rsid w:val="00D35357"/>
    <w:rsid w:val="00D353B4"/>
    <w:rsid w:val="00D35755"/>
    <w:rsid w:val="00D35E91"/>
    <w:rsid w:val="00D35FE9"/>
    <w:rsid w:val="00D361D9"/>
    <w:rsid w:val="00D3694A"/>
    <w:rsid w:val="00D36CB6"/>
    <w:rsid w:val="00D36CFB"/>
    <w:rsid w:val="00D373FF"/>
    <w:rsid w:val="00D375EF"/>
    <w:rsid w:val="00D37ECC"/>
    <w:rsid w:val="00D401AB"/>
    <w:rsid w:val="00D401C6"/>
    <w:rsid w:val="00D4049E"/>
    <w:rsid w:val="00D40508"/>
    <w:rsid w:val="00D406B2"/>
    <w:rsid w:val="00D40B95"/>
    <w:rsid w:val="00D40EAE"/>
    <w:rsid w:val="00D40FBC"/>
    <w:rsid w:val="00D4111E"/>
    <w:rsid w:val="00D414C7"/>
    <w:rsid w:val="00D41905"/>
    <w:rsid w:val="00D41A59"/>
    <w:rsid w:val="00D41CF9"/>
    <w:rsid w:val="00D41E77"/>
    <w:rsid w:val="00D4281E"/>
    <w:rsid w:val="00D42B97"/>
    <w:rsid w:val="00D43096"/>
    <w:rsid w:val="00D43B5E"/>
    <w:rsid w:val="00D43BC4"/>
    <w:rsid w:val="00D43D89"/>
    <w:rsid w:val="00D43DE4"/>
    <w:rsid w:val="00D43F83"/>
    <w:rsid w:val="00D4469E"/>
    <w:rsid w:val="00D44715"/>
    <w:rsid w:val="00D44DB6"/>
    <w:rsid w:val="00D44DEF"/>
    <w:rsid w:val="00D44FC7"/>
    <w:rsid w:val="00D45001"/>
    <w:rsid w:val="00D458E5"/>
    <w:rsid w:val="00D45A7A"/>
    <w:rsid w:val="00D45DA9"/>
    <w:rsid w:val="00D45DEB"/>
    <w:rsid w:val="00D4610D"/>
    <w:rsid w:val="00D463A2"/>
    <w:rsid w:val="00D46593"/>
    <w:rsid w:val="00D46852"/>
    <w:rsid w:val="00D469D9"/>
    <w:rsid w:val="00D46AB2"/>
    <w:rsid w:val="00D46C90"/>
    <w:rsid w:val="00D46D50"/>
    <w:rsid w:val="00D471ED"/>
    <w:rsid w:val="00D472D9"/>
    <w:rsid w:val="00D47331"/>
    <w:rsid w:val="00D47815"/>
    <w:rsid w:val="00D47A4F"/>
    <w:rsid w:val="00D47D2C"/>
    <w:rsid w:val="00D47FED"/>
    <w:rsid w:val="00D500D3"/>
    <w:rsid w:val="00D501AA"/>
    <w:rsid w:val="00D501FA"/>
    <w:rsid w:val="00D50344"/>
    <w:rsid w:val="00D503A5"/>
    <w:rsid w:val="00D5050B"/>
    <w:rsid w:val="00D5069A"/>
    <w:rsid w:val="00D51477"/>
    <w:rsid w:val="00D51647"/>
    <w:rsid w:val="00D516BD"/>
    <w:rsid w:val="00D518A7"/>
    <w:rsid w:val="00D51F0F"/>
    <w:rsid w:val="00D5204E"/>
    <w:rsid w:val="00D521E4"/>
    <w:rsid w:val="00D52283"/>
    <w:rsid w:val="00D5253F"/>
    <w:rsid w:val="00D526F8"/>
    <w:rsid w:val="00D5276E"/>
    <w:rsid w:val="00D527C8"/>
    <w:rsid w:val="00D5287C"/>
    <w:rsid w:val="00D52B7E"/>
    <w:rsid w:val="00D52BBB"/>
    <w:rsid w:val="00D52E6A"/>
    <w:rsid w:val="00D53169"/>
    <w:rsid w:val="00D53509"/>
    <w:rsid w:val="00D53637"/>
    <w:rsid w:val="00D5376F"/>
    <w:rsid w:val="00D5392D"/>
    <w:rsid w:val="00D53953"/>
    <w:rsid w:val="00D5396D"/>
    <w:rsid w:val="00D53BC0"/>
    <w:rsid w:val="00D53CE6"/>
    <w:rsid w:val="00D54840"/>
    <w:rsid w:val="00D54B50"/>
    <w:rsid w:val="00D552EE"/>
    <w:rsid w:val="00D5567E"/>
    <w:rsid w:val="00D557F0"/>
    <w:rsid w:val="00D55928"/>
    <w:rsid w:val="00D55AF0"/>
    <w:rsid w:val="00D55F0F"/>
    <w:rsid w:val="00D5648E"/>
    <w:rsid w:val="00D565D4"/>
    <w:rsid w:val="00D567A6"/>
    <w:rsid w:val="00D56B70"/>
    <w:rsid w:val="00D56F15"/>
    <w:rsid w:val="00D5713D"/>
    <w:rsid w:val="00D57180"/>
    <w:rsid w:val="00D572E6"/>
    <w:rsid w:val="00D573EC"/>
    <w:rsid w:val="00D57608"/>
    <w:rsid w:val="00D576BF"/>
    <w:rsid w:val="00D577B7"/>
    <w:rsid w:val="00D578F0"/>
    <w:rsid w:val="00D57AB1"/>
    <w:rsid w:val="00D57B11"/>
    <w:rsid w:val="00D57C69"/>
    <w:rsid w:val="00D600D1"/>
    <w:rsid w:val="00D60157"/>
    <w:rsid w:val="00D601C1"/>
    <w:rsid w:val="00D60805"/>
    <w:rsid w:val="00D609B3"/>
    <w:rsid w:val="00D60A87"/>
    <w:rsid w:val="00D61217"/>
    <w:rsid w:val="00D612FF"/>
    <w:rsid w:val="00D614B7"/>
    <w:rsid w:val="00D6173B"/>
    <w:rsid w:val="00D61981"/>
    <w:rsid w:val="00D619FD"/>
    <w:rsid w:val="00D622DA"/>
    <w:rsid w:val="00D62506"/>
    <w:rsid w:val="00D625AA"/>
    <w:rsid w:val="00D62DB6"/>
    <w:rsid w:val="00D62DEF"/>
    <w:rsid w:val="00D62F7C"/>
    <w:rsid w:val="00D63447"/>
    <w:rsid w:val="00D6347A"/>
    <w:rsid w:val="00D6356D"/>
    <w:rsid w:val="00D635CE"/>
    <w:rsid w:val="00D636D3"/>
    <w:rsid w:val="00D63934"/>
    <w:rsid w:val="00D63B98"/>
    <w:rsid w:val="00D63E85"/>
    <w:rsid w:val="00D63F54"/>
    <w:rsid w:val="00D63F89"/>
    <w:rsid w:val="00D64059"/>
    <w:rsid w:val="00D6428D"/>
    <w:rsid w:val="00D6437F"/>
    <w:rsid w:val="00D644C2"/>
    <w:rsid w:val="00D64667"/>
    <w:rsid w:val="00D647EB"/>
    <w:rsid w:val="00D64833"/>
    <w:rsid w:val="00D65425"/>
    <w:rsid w:val="00D6553D"/>
    <w:rsid w:val="00D655E5"/>
    <w:rsid w:val="00D6561C"/>
    <w:rsid w:val="00D656EB"/>
    <w:rsid w:val="00D65D96"/>
    <w:rsid w:val="00D65F20"/>
    <w:rsid w:val="00D66181"/>
    <w:rsid w:val="00D666A5"/>
    <w:rsid w:val="00D6686E"/>
    <w:rsid w:val="00D66BA4"/>
    <w:rsid w:val="00D66CFF"/>
    <w:rsid w:val="00D679FD"/>
    <w:rsid w:val="00D701E8"/>
    <w:rsid w:val="00D70222"/>
    <w:rsid w:val="00D703B9"/>
    <w:rsid w:val="00D707A9"/>
    <w:rsid w:val="00D708E9"/>
    <w:rsid w:val="00D71026"/>
    <w:rsid w:val="00D7149A"/>
    <w:rsid w:val="00D71528"/>
    <w:rsid w:val="00D715B2"/>
    <w:rsid w:val="00D720DF"/>
    <w:rsid w:val="00D721E0"/>
    <w:rsid w:val="00D72408"/>
    <w:rsid w:val="00D7250F"/>
    <w:rsid w:val="00D72544"/>
    <w:rsid w:val="00D725F7"/>
    <w:rsid w:val="00D72894"/>
    <w:rsid w:val="00D72A83"/>
    <w:rsid w:val="00D72BF1"/>
    <w:rsid w:val="00D72CBF"/>
    <w:rsid w:val="00D72FDC"/>
    <w:rsid w:val="00D730B0"/>
    <w:rsid w:val="00D73385"/>
    <w:rsid w:val="00D734E1"/>
    <w:rsid w:val="00D73744"/>
    <w:rsid w:val="00D739FF"/>
    <w:rsid w:val="00D73B88"/>
    <w:rsid w:val="00D749C1"/>
    <w:rsid w:val="00D74D67"/>
    <w:rsid w:val="00D74E04"/>
    <w:rsid w:val="00D74FB4"/>
    <w:rsid w:val="00D7506D"/>
    <w:rsid w:val="00D7563F"/>
    <w:rsid w:val="00D759FC"/>
    <w:rsid w:val="00D75B70"/>
    <w:rsid w:val="00D76269"/>
    <w:rsid w:val="00D7637C"/>
    <w:rsid w:val="00D765A0"/>
    <w:rsid w:val="00D76684"/>
    <w:rsid w:val="00D766AA"/>
    <w:rsid w:val="00D76998"/>
    <w:rsid w:val="00D76AB5"/>
    <w:rsid w:val="00D771FD"/>
    <w:rsid w:val="00D7796D"/>
    <w:rsid w:val="00D77FDB"/>
    <w:rsid w:val="00D800F7"/>
    <w:rsid w:val="00D80855"/>
    <w:rsid w:val="00D80B1A"/>
    <w:rsid w:val="00D80C06"/>
    <w:rsid w:val="00D80E49"/>
    <w:rsid w:val="00D8111F"/>
    <w:rsid w:val="00D812C7"/>
    <w:rsid w:val="00D81B18"/>
    <w:rsid w:val="00D821B3"/>
    <w:rsid w:val="00D82253"/>
    <w:rsid w:val="00D82666"/>
    <w:rsid w:val="00D831DB"/>
    <w:rsid w:val="00D8327F"/>
    <w:rsid w:val="00D83541"/>
    <w:rsid w:val="00D836EA"/>
    <w:rsid w:val="00D836F8"/>
    <w:rsid w:val="00D83768"/>
    <w:rsid w:val="00D8435E"/>
    <w:rsid w:val="00D8466B"/>
    <w:rsid w:val="00D8487E"/>
    <w:rsid w:val="00D84B4D"/>
    <w:rsid w:val="00D84D05"/>
    <w:rsid w:val="00D8501A"/>
    <w:rsid w:val="00D856AF"/>
    <w:rsid w:val="00D85D32"/>
    <w:rsid w:val="00D85F1D"/>
    <w:rsid w:val="00D86281"/>
    <w:rsid w:val="00D86421"/>
    <w:rsid w:val="00D865F5"/>
    <w:rsid w:val="00D866A4"/>
    <w:rsid w:val="00D86757"/>
    <w:rsid w:val="00D86BED"/>
    <w:rsid w:val="00D86F9B"/>
    <w:rsid w:val="00D873DC"/>
    <w:rsid w:val="00D87453"/>
    <w:rsid w:val="00D8794E"/>
    <w:rsid w:val="00D87C14"/>
    <w:rsid w:val="00D90161"/>
    <w:rsid w:val="00D901AD"/>
    <w:rsid w:val="00D903DE"/>
    <w:rsid w:val="00D906D9"/>
    <w:rsid w:val="00D91390"/>
    <w:rsid w:val="00D91540"/>
    <w:rsid w:val="00D91B3E"/>
    <w:rsid w:val="00D91F6E"/>
    <w:rsid w:val="00D92124"/>
    <w:rsid w:val="00D92148"/>
    <w:rsid w:val="00D9223B"/>
    <w:rsid w:val="00D922E4"/>
    <w:rsid w:val="00D927AC"/>
    <w:rsid w:val="00D92832"/>
    <w:rsid w:val="00D92A3A"/>
    <w:rsid w:val="00D9355C"/>
    <w:rsid w:val="00D938A4"/>
    <w:rsid w:val="00D939A2"/>
    <w:rsid w:val="00D93A16"/>
    <w:rsid w:val="00D93B28"/>
    <w:rsid w:val="00D93B89"/>
    <w:rsid w:val="00D93C1B"/>
    <w:rsid w:val="00D93CD5"/>
    <w:rsid w:val="00D93D55"/>
    <w:rsid w:val="00D93E19"/>
    <w:rsid w:val="00D94187"/>
    <w:rsid w:val="00D945AB"/>
    <w:rsid w:val="00D9496D"/>
    <w:rsid w:val="00D94E49"/>
    <w:rsid w:val="00D94FB5"/>
    <w:rsid w:val="00D9500A"/>
    <w:rsid w:val="00D95DC4"/>
    <w:rsid w:val="00D96288"/>
    <w:rsid w:val="00D96356"/>
    <w:rsid w:val="00D96699"/>
    <w:rsid w:val="00D96DBC"/>
    <w:rsid w:val="00D96DCC"/>
    <w:rsid w:val="00D96E5F"/>
    <w:rsid w:val="00D96ED8"/>
    <w:rsid w:val="00D97252"/>
    <w:rsid w:val="00D975AB"/>
    <w:rsid w:val="00D97BEF"/>
    <w:rsid w:val="00D97CAF"/>
    <w:rsid w:val="00D97F9A"/>
    <w:rsid w:val="00DA004C"/>
    <w:rsid w:val="00DA05D8"/>
    <w:rsid w:val="00DA06E9"/>
    <w:rsid w:val="00DA0768"/>
    <w:rsid w:val="00DA076C"/>
    <w:rsid w:val="00DA0E91"/>
    <w:rsid w:val="00DA109C"/>
    <w:rsid w:val="00DA161A"/>
    <w:rsid w:val="00DA1CD0"/>
    <w:rsid w:val="00DA1E27"/>
    <w:rsid w:val="00DA20A3"/>
    <w:rsid w:val="00DA2220"/>
    <w:rsid w:val="00DA2659"/>
    <w:rsid w:val="00DA2886"/>
    <w:rsid w:val="00DA2C18"/>
    <w:rsid w:val="00DA32A5"/>
    <w:rsid w:val="00DA3494"/>
    <w:rsid w:val="00DA3633"/>
    <w:rsid w:val="00DA3A39"/>
    <w:rsid w:val="00DA3E2F"/>
    <w:rsid w:val="00DA3EEE"/>
    <w:rsid w:val="00DA4039"/>
    <w:rsid w:val="00DA4258"/>
    <w:rsid w:val="00DA43A0"/>
    <w:rsid w:val="00DA46CD"/>
    <w:rsid w:val="00DA475F"/>
    <w:rsid w:val="00DA4850"/>
    <w:rsid w:val="00DA4968"/>
    <w:rsid w:val="00DA4BA7"/>
    <w:rsid w:val="00DA4F7F"/>
    <w:rsid w:val="00DA51F0"/>
    <w:rsid w:val="00DA5741"/>
    <w:rsid w:val="00DA5A94"/>
    <w:rsid w:val="00DA5D06"/>
    <w:rsid w:val="00DA5D37"/>
    <w:rsid w:val="00DA6514"/>
    <w:rsid w:val="00DA6521"/>
    <w:rsid w:val="00DA6824"/>
    <w:rsid w:val="00DA6A04"/>
    <w:rsid w:val="00DA6C16"/>
    <w:rsid w:val="00DA70E2"/>
    <w:rsid w:val="00DA7191"/>
    <w:rsid w:val="00DA752A"/>
    <w:rsid w:val="00DA758D"/>
    <w:rsid w:val="00DA7597"/>
    <w:rsid w:val="00DA7634"/>
    <w:rsid w:val="00DA7727"/>
    <w:rsid w:val="00DA7863"/>
    <w:rsid w:val="00DA7953"/>
    <w:rsid w:val="00DA7A46"/>
    <w:rsid w:val="00DA7A60"/>
    <w:rsid w:val="00DA7C81"/>
    <w:rsid w:val="00DA7EFD"/>
    <w:rsid w:val="00DA7F1B"/>
    <w:rsid w:val="00DA7F2E"/>
    <w:rsid w:val="00DB012F"/>
    <w:rsid w:val="00DB031B"/>
    <w:rsid w:val="00DB0324"/>
    <w:rsid w:val="00DB05B7"/>
    <w:rsid w:val="00DB05BD"/>
    <w:rsid w:val="00DB061A"/>
    <w:rsid w:val="00DB0867"/>
    <w:rsid w:val="00DB1044"/>
    <w:rsid w:val="00DB1144"/>
    <w:rsid w:val="00DB14EB"/>
    <w:rsid w:val="00DB1B4A"/>
    <w:rsid w:val="00DB1C73"/>
    <w:rsid w:val="00DB1FCF"/>
    <w:rsid w:val="00DB2110"/>
    <w:rsid w:val="00DB2355"/>
    <w:rsid w:val="00DB2606"/>
    <w:rsid w:val="00DB2914"/>
    <w:rsid w:val="00DB2CF9"/>
    <w:rsid w:val="00DB2E7C"/>
    <w:rsid w:val="00DB316D"/>
    <w:rsid w:val="00DB35FF"/>
    <w:rsid w:val="00DB38DC"/>
    <w:rsid w:val="00DB3BB4"/>
    <w:rsid w:val="00DB3EA6"/>
    <w:rsid w:val="00DB40E4"/>
    <w:rsid w:val="00DB43B7"/>
    <w:rsid w:val="00DB4403"/>
    <w:rsid w:val="00DB44B2"/>
    <w:rsid w:val="00DB45AB"/>
    <w:rsid w:val="00DB4717"/>
    <w:rsid w:val="00DB48F5"/>
    <w:rsid w:val="00DB5415"/>
    <w:rsid w:val="00DB541B"/>
    <w:rsid w:val="00DB5437"/>
    <w:rsid w:val="00DB5620"/>
    <w:rsid w:val="00DB56E0"/>
    <w:rsid w:val="00DB5777"/>
    <w:rsid w:val="00DB5889"/>
    <w:rsid w:val="00DB5B8E"/>
    <w:rsid w:val="00DB5EE8"/>
    <w:rsid w:val="00DB5F6C"/>
    <w:rsid w:val="00DB6699"/>
    <w:rsid w:val="00DB66C5"/>
    <w:rsid w:val="00DB6AD5"/>
    <w:rsid w:val="00DB6F15"/>
    <w:rsid w:val="00DB74B3"/>
    <w:rsid w:val="00DB762B"/>
    <w:rsid w:val="00DB7910"/>
    <w:rsid w:val="00DB7A2E"/>
    <w:rsid w:val="00DB7CF1"/>
    <w:rsid w:val="00DB7FDD"/>
    <w:rsid w:val="00DC0015"/>
    <w:rsid w:val="00DC023A"/>
    <w:rsid w:val="00DC07A1"/>
    <w:rsid w:val="00DC0BFE"/>
    <w:rsid w:val="00DC0DB1"/>
    <w:rsid w:val="00DC0F02"/>
    <w:rsid w:val="00DC0F8D"/>
    <w:rsid w:val="00DC1325"/>
    <w:rsid w:val="00DC1378"/>
    <w:rsid w:val="00DC19B4"/>
    <w:rsid w:val="00DC1EAA"/>
    <w:rsid w:val="00DC1FBF"/>
    <w:rsid w:val="00DC2132"/>
    <w:rsid w:val="00DC2284"/>
    <w:rsid w:val="00DC2483"/>
    <w:rsid w:val="00DC24F1"/>
    <w:rsid w:val="00DC2956"/>
    <w:rsid w:val="00DC2D04"/>
    <w:rsid w:val="00DC2DED"/>
    <w:rsid w:val="00DC2E98"/>
    <w:rsid w:val="00DC2EB4"/>
    <w:rsid w:val="00DC34F2"/>
    <w:rsid w:val="00DC3639"/>
    <w:rsid w:val="00DC3718"/>
    <w:rsid w:val="00DC38AC"/>
    <w:rsid w:val="00DC38DA"/>
    <w:rsid w:val="00DC3CA4"/>
    <w:rsid w:val="00DC3DA2"/>
    <w:rsid w:val="00DC3E76"/>
    <w:rsid w:val="00DC40D2"/>
    <w:rsid w:val="00DC410B"/>
    <w:rsid w:val="00DC420E"/>
    <w:rsid w:val="00DC4304"/>
    <w:rsid w:val="00DC468C"/>
    <w:rsid w:val="00DC49F5"/>
    <w:rsid w:val="00DC4FAF"/>
    <w:rsid w:val="00DC5139"/>
    <w:rsid w:val="00DC5201"/>
    <w:rsid w:val="00DC53B8"/>
    <w:rsid w:val="00DC556C"/>
    <w:rsid w:val="00DC5AD1"/>
    <w:rsid w:val="00DC5B96"/>
    <w:rsid w:val="00DC5C0D"/>
    <w:rsid w:val="00DC5F9F"/>
    <w:rsid w:val="00DC6158"/>
    <w:rsid w:val="00DC7032"/>
    <w:rsid w:val="00DC72A4"/>
    <w:rsid w:val="00DC72D1"/>
    <w:rsid w:val="00DC746E"/>
    <w:rsid w:val="00DC76EE"/>
    <w:rsid w:val="00DC7D95"/>
    <w:rsid w:val="00DD0160"/>
    <w:rsid w:val="00DD01CA"/>
    <w:rsid w:val="00DD02F4"/>
    <w:rsid w:val="00DD043A"/>
    <w:rsid w:val="00DD069E"/>
    <w:rsid w:val="00DD0BAF"/>
    <w:rsid w:val="00DD112D"/>
    <w:rsid w:val="00DD1176"/>
    <w:rsid w:val="00DD1A7E"/>
    <w:rsid w:val="00DD1B4E"/>
    <w:rsid w:val="00DD2329"/>
    <w:rsid w:val="00DD245C"/>
    <w:rsid w:val="00DD2484"/>
    <w:rsid w:val="00DD295D"/>
    <w:rsid w:val="00DD2AD7"/>
    <w:rsid w:val="00DD2E0D"/>
    <w:rsid w:val="00DD304A"/>
    <w:rsid w:val="00DD32D6"/>
    <w:rsid w:val="00DD399A"/>
    <w:rsid w:val="00DD3A13"/>
    <w:rsid w:val="00DD3BDC"/>
    <w:rsid w:val="00DD3CA5"/>
    <w:rsid w:val="00DD4714"/>
    <w:rsid w:val="00DD49C4"/>
    <w:rsid w:val="00DD4D92"/>
    <w:rsid w:val="00DD516D"/>
    <w:rsid w:val="00DD552F"/>
    <w:rsid w:val="00DD5A48"/>
    <w:rsid w:val="00DD5A72"/>
    <w:rsid w:val="00DD5BE4"/>
    <w:rsid w:val="00DD5BF3"/>
    <w:rsid w:val="00DD632E"/>
    <w:rsid w:val="00DD6621"/>
    <w:rsid w:val="00DD6705"/>
    <w:rsid w:val="00DD698D"/>
    <w:rsid w:val="00DD6B1E"/>
    <w:rsid w:val="00DD6D1F"/>
    <w:rsid w:val="00DD6E9C"/>
    <w:rsid w:val="00DD6F42"/>
    <w:rsid w:val="00DD717F"/>
    <w:rsid w:val="00DD742C"/>
    <w:rsid w:val="00DD75C0"/>
    <w:rsid w:val="00DD75EF"/>
    <w:rsid w:val="00DD7CB3"/>
    <w:rsid w:val="00DD7FA5"/>
    <w:rsid w:val="00DE03A0"/>
    <w:rsid w:val="00DE077F"/>
    <w:rsid w:val="00DE0B17"/>
    <w:rsid w:val="00DE10FD"/>
    <w:rsid w:val="00DE1255"/>
    <w:rsid w:val="00DE1376"/>
    <w:rsid w:val="00DE1C0E"/>
    <w:rsid w:val="00DE1CF4"/>
    <w:rsid w:val="00DE218D"/>
    <w:rsid w:val="00DE2193"/>
    <w:rsid w:val="00DE228D"/>
    <w:rsid w:val="00DE2293"/>
    <w:rsid w:val="00DE2417"/>
    <w:rsid w:val="00DE246B"/>
    <w:rsid w:val="00DE2953"/>
    <w:rsid w:val="00DE2D56"/>
    <w:rsid w:val="00DE2DB1"/>
    <w:rsid w:val="00DE2E9D"/>
    <w:rsid w:val="00DE3440"/>
    <w:rsid w:val="00DE36A9"/>
    <w:rsid w:val="00DE374E"/>
    <w:rsid w:val="00DE37BE"/>
    <w:rsid w:val="00DE3FC0"/>
    <w:rsid w:val="00DE4103"/>
    <w:rsid w:val="00DE4210"/>
    <w:rsid w:val="00DE42F6"/>
    <w:rsid w:val="00DE4578"/>
    <w:rsid w:val="00DE4812"/>
    <w:rsid w:val="00DE4C5E"/>
    <w:rsid w:val="00DE4CD1"/>
    <w:rsid w:val="00DE4DA8"/>
    <w:rsid w:val="00DE51B4"/>
    <w:rsid w:val="00DE5403"/>
    <w:rsid w:val="00DE55CB"/>
    <w:rsid w:val="00DE57C5"/>
    <w:rsid w:val="00DE58E6"/>
    <w:rsid w:val="00DE591A"/>
    <w:rsid w:val="00DE5E6A"/>
    <w:rsid w:val="00DE70FC"/>
    <w:rsid w:val="00DE7805"/>
    <w:rsid w:val="00DE782B"/>
    <w:rsid w:val="00DE7B41"/>
    <w:rsid w:val="00DF005A"/>
    <w:rsid w:val="00DF010F"/>
    <w:rsid w:val="00DF0155"/>
    <w:rsid w:val="00DF02E7"/>
    <w:rsid w:val="00DF04EE"/>
    <w:rsid w:val="00DF07D9"/>
    <w:rsid w:val="00DF08AE"/>
    <w:rsid w:val="00DF0D8B"/>
    <w:rsid w:val="00DF1879"/>
    <w:rsid w:val="00DF198F"/>
    <w:rsid w:val="00DF1E48"/>
    <w:rsid w:val="00DF1E89"/>
    <w:rsid w:val="00DF1F1E"/>
    <w:rsid w:val="00DF24F8"/>
    <w:rsid w:val="00DF2549"/>
    <w:rsid w:val="00DF26FF"/>
    <w:rsid w:val="00DF2741"/>
    <w:rsid w:val="00DF2A69"/>
    <w:rsid w:val="00DF2BD1"/>
    <w:rsid w:val="00DF3038"/>
    <w:rsid w:val="00DF32E7"/>
    <w:rsid w:val="00DF33DD"/>
    <w:rsid w:val="00DF3467"/>
    <w:rsid w:val="00DF34EF"/>
    <w:rsid w:val="00DF3743"/>
    <w:rsid w:val="00DF3757"/>
    <w:rsid w:val="00DF3A21"/>
    <w:rsid w:val="00DF3C7D"/>
    <w:rsid w:val="00DF3DD4"/>
    <w:rsid w:val="00DF3E35"/>
    <w:rsid w:val="00DF40FE"/>
    <w:rsid w:val="00DF42E0"/>
    <w:rsid w:val="00DF441A"/>
    <w:rsid w:val="00DF4742"/>
    <w:rsid w:val="00DF53A0"/>
    <w:rsid w:val="00DF5B56"/>
    <w:rsid w:val="00DF6076"/>
    <w:rsid w:val="00DF620E"/>
    <w:rsid w:val="00DF6326"/>
    <w:rsid w:val="00DF66E4"/>
    <w:rsid w:val="00DF6E6E"/>
    <w:rsid w:val="00DF718E"/>
    <w:rsid w:val="00DF7249"/>
    <w:rsid w:val="00DF7BB0"/>
    <w:rsid w:val="00DF7D84"/>
    <w:rsid w:val="00DF7FC3"/>
    <w:rsid w:val="00E00309"/>
    <w:rsid w:val="00E00460"/>
    <w:rsid w:val="00E004BA"/>
    <w:rsid w:val="00E006E9"/>
    <w:rsid w:val="00E00844"/>
    <w:rsid w:val="00E00924"/>
    <w:rsid w:val="00E00B94"/>
    <w:rsid w:val="00E00C71"/>
    <w:rsid w:val="00E00EAA"/>
    <w:rsid w:val="00E01034"/>
    <w:rsid w:val="00E0103C"/>
    <w:rsid w:val="00E01934"/>
    <w:rsid w:val="00E01ECD"/>
    <w:rsid w:val="00E0220F"/>
    <w:rsid w:val="00E02399"/>
    <w:rsid w:val="00E0240A"/>
    <w:rsid w:val="00E0274F"/>
    <w:rsid w:val="00E02814"/>
    <w:rsid w:val="00E02D97"/>
    <w:rsid w:val="00E02FD4"/>
    <w:rsid w:val="00E0338D"/>
    <w:rsid w:val="00E0339C"/>
    <w:rsid w:val="00E038DC"/>
    <w:rsid w:val="00E03A5F"/>
    <w:rsid w:val="00E03B07"/>
    <w:rsid w:val="00E03ED5"/>
    <w:rsid w:val="00E03F68"/>
    <w:rsid w:val="00E04119"/>
    <w:rsid w:val="00E0443B"/>
    <w:rsid w:val="00E04491"/>
    <w:rsid w:val="00E044AB"/>
    <w:rsid w:val="00E047E5"/>
    <w:rsid w:val="00E04AE7"/>
    <w:rsid w:val="00E04C97"/>
    <w:rsid w:val="00E05434"/>
    <w:rsid w:val="00E05508"/>
    <w:rsid w:val="00E0576F"/>
    <w:rsid w:val="00E05A10"/>
    <w:rsid w:val="00E05AA3"/>
    <w:rsid w:val="00E0623D"/>
    <w:rsid w:val="00E06243"/>
    <w:rsid w:val="00E062B6"/>
    <w:rsid w:val="00E0632A"/>
    <w:rsid w:val="00E065DF"/>
    <w:rsid w:val="00E06853"/>
    <w:rsid w:val="00E068D6"/>
    <w:rsid w:val="00E068ED"/>
    <w:rsid w:val="00E06E3E"/>
    <w:rsid w:val="00E07169"/>
    <w:rsid w:val="00E071D5"/>
    <w:rsid w:val="00E0722D"/>
    <w:rsid w:val="00E07358"/>
    <w:rsid w:val="00E07828"/>
    <w:rsid w:val="00E0783F"/>
    <w:rsid w:val="00E07885"/>
    <w:rsid w:val="00E078CE"/>
    <w:rsid w:val="00E07ABA"/>
    <w:rsid w:val="00E07EF5"/>
    <w:rsid w:val="00E109C1"/>
    <w:rsid w:val="00E10F9C"/>
    <w:rsid w:val="00E1114D"/>
    <w:rsid w:val="00E11277"/>
    <w:rsid w:val="00E11282"/>
    <w:rsid w:val="00E11364"/>
    <w:rsid w:val="00E1144B"/>
    <w:rsid w:val="00E117E2"/>
    <w:rsid w:val="00E11807"/>
    <w:rsid w:val="00E11863"/>
    <w:rsid w:val="00E11AF5"/>
    <w:rsid w:val="00E11BA4"/>
    <w:rsid w:val="00E11BD2"/>
    <w:rsid w:val="00E11D0F"/>
    <w:rsid w:val="00E11D92"/>
    <w:rsid w:val="00E11DF4"/>
    <w:rsid w:val="00E12185"/>
    <w:rsid w:val="00E12378"/>
    <w:rsid w:val="00E12450"/>
    <w:rsid w:val="00E124AF"/>
    <w:rsid w:val="00E128FF"/>
    <w:rsid w:val="00E12A19"/>
    <w:rsid w:val="00E12F0C"/>
    <w:rsid w:val="00E130AD"/>
    <w:rsid w:val="00E13601"/>
    <w:rsid w:val="00E136BF"/>
    <w:rsid w:val="00E13C52"/>
    <w:rsid w:val="00E13FCA"/>
    <w:rsid w:val="00E14911"/>
    <w:rsid w:val="00E14D4B"/>
    <w:rsid w:val="00E14E5F"/>
    <w:rsid w:val="00E15026"/>
    <w:rsid w:val="00E157D3"/>
    <w:rsid w:val="00E15A4F"/>
    <w:rsid w:val="00E15BCD"/>
    <w:rsid w:val="00E15D54"/>
    <w:rsid w:val="00E15E7A"/>
    <w:rsid w:val="00E15FCB"/>
    <w:rsid w:val="00E15FEC"/>
    <w:rsid w:val="00E1605F"/>
    <w:rsid w:val="00E162A4"/>
    <w:rsid w:val="00E162D7"/>
    <w:rsid w:val="00E16569"/>
    <w:rsid w:val="00E16717"/>
    <w:rsid w:val="00E16869"/>
    <w:rsid w:val="00E16888"/>
    <w:rsid w:val="00E1688C"/>
    <w:rsid w:val="00E1725C"/>
    <w:rsid w:val="00E172C5"/>
    <w:rsid w:val="00E17391"/>
    <w:rsid w:val="00E1777B"/>
    <w:rsid w:val="00E17CFF"/>
    <w:rsid w:val="00E17E8E"/>
    <w:rsid w:val="00E2006F"/>
    <w:rsid w:val="00E2089E"/>
    <w:rsid w:val="00E20955"/>
    <w:rsid w:val="00E20995"/>
    <w:rsid w:val="00E20DCA"/>
    <w:rsid w:val="00E20E33"/>
    <w:rsid w:val="00E213FE"/>
    <w:rsid w:val="00E2145C"/>
    <w:rsid w:val="00E21877"/>
    <w:rsid w:val="00E2191D"/>
    <w:rsid w:val="00E219B4"/>
    <w:rsid w:val="00E21AD0"/>
    <w:rsid w:val="00E220C6"/>
    <w:rsid w:val="00E22665"/>
    <w:rsid w:val="00E227AE"/>
    <w:rsid w:val="00E23185"/>
    <w:rsid w:val="00E233E7"/>
    <w:rsid w:val="00E23526"/>
    <w:rsid w:val="00E23D56"/>
    <w:rsid w:val="00E23F4E"/>
    <w:rsid w:val="00E24469"/>
    <w:rsid w:val="00E24799"/>
    <w:rsid w:val="00E2482D"/>
    <w:rsid w:val="00E2486C"/>
    <w:rsid w:val="00E24906"/>
    <w:rsid w:val="00E24AF1"/>
    <w:rsid w:val="00E24B28"/>
    <w:rsid w:val="00E24C10"/>
    <w:rsid w:val="00E24C62"/>
    <w:rsid w:val="00E24C6A"/>
    <w:rsid w:val="00E24FB5"/>
    <w:rsid w:val="00E2528E"/>
    <w:rsid w:val="00E25365"/>
    <w:rsid w:val="00E25E05"/>
    <w:rsid w:val="00E26810"/>
    <w:rsid w:val="00E2682C"/>
    <w:rsid w:val="00E269D9"/>
    <w:rsid w:val="00E26A1F"/>
    <w:rsid w:val="00E27387"/>
    <w:rsid w:val="00E2740A"/>
    <w:rsid w:val="00E276A9"/>
    <w:rsid w:val="00E30029"/>
    <w:rsid w:val="00E30037"/>
    <w:rsid w:val="00E30499"/>
    <w:rsid w:val="00E30663"/>
    <w:rsid w:val="00E30920"/>
    <w:rsid w:val="00E30B51"/>
    <w:rsid w:val="00E30B8E"/>
    <w:rsid w:val="00E3102A"/>
    <w:rsid w:val="00E31116"/>
    <w:rsid w:val="00E311F4"/>
    <w:rsid w:val="00E31290"/>
    <w:rsid w:val="00E312B8"/>
    <w:rsid w:val="00E31767"/>
    <w:rsid w:val="00E324BB"/>
    <w:rsid w:val="00E32983"/>
    <w:rsid w:val="00E32A7A"/>
    <w:rsid w:val="00E32B2E"/>
    <w:rsid w:val="00E32ECD"/>
    <w:rsid w:val="00E338C4"/>
    <w:rsid w:val="00E338E5"/>
    <w:rsid w:val="00E339B0"/>
    <w:rsid w:val="00E339F0"/>
    <w:rsid w:val="00E33DC5"/>
    <w:rsid w:val="00E3403C"/>
    <w:rsid w:val="00E341F5"/>
    <w:rsid w:val="00E34287"/>
    <w:rsid w:val="00E34324"/>
    <w:rsid w:val="00E344CB"/>
    <w:rsid w:val="00E345EC"/>
    <w:rsid w:val="00E34796"/>
    <w:rsid w:val="00E347A0"/>
    <w:rsid w:val="00E34884"/>
    <w:rsid w:val="00E34B1D"/>
    <w:rsid w:val="00E34D8C"/>
    <w:rsid w:val="00E35427"/>
    <w:rsid w:val="00E35718"/>
    <w:rsid w:val="00E35C76"/>
    <w:rsid w:val="00E35E8B"/>
    <w:rsid w:val="00E360F0"/>
    <w:rsid w:val="00E3617F"/>
    <w:rsid w:val="00E368C0"/>
    <w:rsid w:val="00E36CE6"/>
    <w:rsid w:val="00E37017"/>
    <w:rsid w:val="00E373AC"/>
    <w:rsid w:val="00E37424"/>
    <w:rsid w:val="00E375C1"/>
    <w:rsid w:val="00E377E8"/>
    <w:rsid w:val="00E37821"/>
    <w:rsid w:val="00E37B7F"/>
    <w:rsid w:val="00E37C98"/>
    <w:rsid w:val="00E37E42"/>
    <w:rsid w:val="00E37E88"/>
    <w:rsid w:val="00E37F69"/>
    <w:rsid w:val="00E40283"/>
    <w:rsid w:val="00E40444"/>
    <w:rsid w:val="00E40518"/>
    <w:rsid w:val="00E40986"/>
    <w:rsid w:val="00E40A6B"/>
    <w:rsid w:val="00E40D34"/>
    <w:rsid w:val="00E40F22"/>
    <w:rsid w:val="00E412DC"/>
    <w:rsid w:val="00E415B1"/>
    <w:rsid w:val="00E416FC"/>
    <w:rsid w:val="00E41711"/>
    <w:rsid w:val="00E417E4"/>
    <w:rsid w:val="00E41C77"/>
    <w:rsid w:val="00E41CA3"/>
    <w:rsid w:val="00E41E0A"/>
    <w:rsid w:val="00E41FB9"/>
    <w:rsid w:val="00E4259A"/>
    <w:rsid w:val="00E426AB"/>
    <w:rsid w:val="00E427EC"/>
    <w:rsid w:val="00E427F0"/>
    <w:rsid w:val="00E42BE9"/>
    <w:rsid w:val="00E42C72"/>
    <w:rsid w:val="00E42EDF"/>
    <w:rsid w:val="00E43055"/>
    <w:rsid w:val="00E43464"/>
    <w:rsid w:val="00E43542"/>
    <w:rsid w:val="00E43719"/>
    <w:rsid w:val="00E43773"/>
    <w:rsid w:val="00E4394A"/>
    <w:rsid w:val="00E43A9B"/>
    <w:rsid w:val="00E43AED"/>
    <w:rsid w:val="00E43C11"/>
    <w:rsid w:val="00E43D44"/>
    <w:rsid w:val="00E44270"/>
    <w:rsid w:val="00E44414"/>
    <w:rsid w:val="00E44472"/>
    <w:rsid w:val="00E44AD2"/>
    <w:rsid w:val="00E451BE"/>
    <w:rsid w:val="00E4564D"/>
    <w:rsid w:val="00E456B4"/>
    <w:rsid w:val="00E45D80"/>
    <w:rsid w:val="00E45EF9"/>
    <w:rsid w:val="00E46181"/>
    <w:rsid w:val="00E464F2"/>
    <w:rsid w:val="00E4691B"/>
    <w:rsid w:val="00E471D4"/>
    <w:rsid w:val="00E4767B"/>
    <w:rsid w:val="00E477EE"/>
    <w:rsid w:val="00E47A69"/>
    <w:rsid w:val="00E47C85"/>
    <w:rsid w:val="00E47F56"/>
    <w:rsid w:val="00E501F9"/>
    <w:rsid w:val="00E50A52"/>
    <w:rsid w:val="00E50B87"/>
    <w:rsid w:val="00E50C35"/>
    <w:rsid w:val="00E50D50"/>
    <w:rsid w:val="00E51472"/>
    <w:rsid w:val="00E518D2"/>
    <w:rsid w:val="00E51919"/>
    <w:rsid w:val="00E51AB6"/>
    <w:rsid w:val="00E51E3A"/>
    <w:rsid w:val="00E51EAD"/>
    <w:rsid w:val="00E521A6"/>
    <w:rsid w:val="00E523E2"/>
    <w:rsid w:val="00E5244D"/>
    <w:rsid w:val="00E52CF0"/>
    <w:rsid w:val="00E532C7"/>
    <w:rsid w:val="00E5330C"/>
    <w:rsid w:val="00E534C6"/>
    <w:rsid w:val="00E53857"/>
    <w:rsid w:val="00E53967"/>
    <w:rsid w:val="00E53F73"/>
    <w:rsid w:val="00E546DA"/>
    <w:rsid w:val="00E54F6B"/>
    <w:rsid w:val="00E5545A"/>
    <w:rsid w:val="00E55636"/>
    <w:rsid w:val="00E55696"/>
    <w:rsid w:val="00E556F7"/>
    <w:rsid w:val="00E5578F"/>
    <w:rsid w:val="00E55D5A"/>
    <w:rsid w:val="00E561DE"/>
    <w:rsid w:val="00E56347"/>
    <w:rsid w:val="00E56410"/>
    <w:rsid w:val="00E564DD"/>
    <w:rsid w:val="00E5650C"/>
    <w:rsid w:val="00E56DAC"/>
    <w:rsid w:val="00E56DE5"/>
    <w:rsid w:val="00E571BB"/>
    <w:rsid w:val="00E577C9"/>
    <w:rsid w:val="00E60147"/>
    <w:rsid w:val="00E603B9"/>
    <w:rsid w:val="00E60430"/>
    <w:rsid w:val="00E60774"/>
    <w:rsid w:val="00E6086D"/>
    <w:rsid w:val="00E6092E"/>
    <w:rsid w:val="00E60A84"/>
    <w:rsid w:val="00E60B92"/>
    <w:rsid w:val="00E61404"/>
    <w:rsid w:val="00E615CB"/>
    <w:rsid w:val="00E6162C"/>
    <w:rsid w:val="00E61990"/>
    <w:rsid w:val="00E61F08"/>
    <w:rsid w:val="00E620F9"/>
    <w:rsid w:val="00E6216A"/>
    <w:rsid w:val="00E625F7"/>
    <w:rsid w:val="00E62740"/>
    <w:rsid w:val="00E62C15"/>
    <w:rsid w:val="00E62DFB"/>
    <w:rsid w:val="00E631AB"/>
    <w:rsid w:val="00E63625"/>
    <w:rsid w:val="00E63760"/>
    <w:rsid w:val="00E637D7"/>
    <w:rsid w:val="00E6383D"/>
    <w:rsid w:val="00E638A3"/>
    <w:rsid w:val="00E63E86"/>
    <w:rsid w:val="00E6414C"/>
    <w:rsid w:val="00E64233"/>
    <w:rsid w:val="00E6435E"/>
    <w:rsid w:val="00E643C6"/>
    <w:rsid w:val="00E64772"/>
    <w:rsid w:val="00E64B24"/>
    <w:rsid w:val="00E64D19"/>
    <w:rsid w:val="00E64DF4"/>
    <w:rsid w:val="00E65145"/>
    <w:rsid w:val="00E652D3"/>
    <w:rsid w:val="00E65370"/>
    <w:rsid w:val="00E655E8"/>
    <w:rsid w:val="00E65C41"/>
    <w:rsid w:val="00E65EF6"/>
    <w:rsid w:val="00E66004"/>
    <w:rsid w:val="00E6657E"/>
    <w:rsid w:val="00E665F9"/>
    <w:rsid w:val="00E666B9"/>
    <w:rsid w:val="00E6697E"/>
    <w:rsid w:val="00E66BAA"/>
    <w:rsid w:val="00E66F79"/>
    <w:rsid w:val="00E670C0"/>
    <w:rsid w:val="00E67128"/>
    <w:rsid w:val="00E675E0"/>
    <w:rsid w:val="00E67A21"/>
    <w:rsid w:val="00E67E50"/>
    <w:rsid w:val="00E706CF"/>
    <w:rsid w:val="00E70957"/>
    <w:rsid w:val="00E70BF2"/>
    <w:rsid w:val="00E7122A"/>
    <w:rsid w:val="00E71C50"/>
    <w:rsid w:val="00E71DBA"/>
    <w:rsid w:val="00E71DDF"/>
    <w:rsid w:val="00E71FD8"/>
    <w:rsid w:val="00E7229E"/>
    <w:rsid w:val="00E72A82"/>
    <w:rsid w:val="00E73434"/>
    <w:rsid w:val="00E73B44"/>
    <w:rsid w:val="00E73BE1"/>
    <w:rsid w:val="00E742D4"/>
    <w:rsid w:val="00E742F5"/>
    <w:rsid w:val="00E74405"/>
    <w:rsid w:val="00E74435"/>
    <w:rsid w:val="00E7444B"/>
    <w:rsid w:val="00E74860"/>
    <w:rsid w:val="00E74A0E"/>
    <w:rsid w:val="00E74B5D"/>
    <w:rsid w:val="00E74E72"/>
    <w:rsid w:val="00E74F46"/>
    <w:rsid w:val="00E74F92"/>
    <w:rsid w:val="00E75236"/>
    <w:rsid w:val="00E7566E"/>
    <w:rsid w:val="00E75866"/>
    <w:rsid w:val="00E758AD"/>
    <w:rsid w:val="00E75F53"/>
    <w:rsid w:val="00E76430"/>
    <w:rsid w:val="00E76851"/>
    <w:rsid w:val="00E7691E"/>
    <w:rsid w:val="00E76A86"/>
    <w:rsid w:val="00E76DAC"/>
    <w:rsid w:val="00E76E17"/>
    <w:rsid w:val="00E774A2"/>
    <w:rsid w:val="00E77A79"/>
    <w:rsid w:val="00E77D4E"/>
    <w:rsid w:val="00E8004B"/>
    <w:rsid w:val="00E801BC"/>
    <w:rsid w:val="00E80542"/>
    <w:rsid w:val="00E80898"/>
    <w:rsid w:val="00E80A61"/>
    <w:rsid w:val="00E80AF8"/>
    <w:rsid w:val="00E81119"/>
    <w:rsid w:val="00E816B3"/>
    <w:rsid w:val="00E817E4"/>
    <w:rsid w:val="00E81B1A"/>
    <w:rsid w:val="00E82880"/>
    <w:rsid w:val="00E82958"/>
    <w:rsid w:val="00E829CA"/>
    <w:rsid w:val="00E82B73"/>
    <w:rsid w:val="00E831E5"/>
    <w:rsid w:val="00E83650"/>
    <w:rsid w:val="00E848C5"/>
    <w:rsid w:val="00E84B9A"/>
    <w:rsid w:val="00E85086"/>
    <w:rsid w:val="00E8509A"/>
    <w:rsid w:val="00E8529E"/>
    <w:rsid w:val="00E85A34"/>
    <w:rsid w:val="00E85A5D"/>
    <w:rsid w:val="00E85EF5"/>
    <w:rsid w:val="00E860BF"/>
    <w:rsid w:val="00E864A7"/>
    <w:rsid w:val="00E86B7B"/>
    <w:rsid w:val="00E87218"/>
    <w:rsid w:val="00E874B0"/>
    <w:rsid w:val="00E874FA"/>
    <w:rsid w:val="00E87908"/>
    <w:rsid w:val="00E900F1"/>
    <w:rsid w:val="00E90457"/>
    <w:rsid w:val="00E90472"/>
    <w:rsid w:val="00E90533"/>
    <w:rsid w:val="00E905C6"/>
    <w:rsid w:val="00E90685"/>
    <w:rsid w:val="00E90B44"/>
    <w:rsid w:val="00E90B49"/>
    <w:rsid w:val="00E90B9C"/>
    <w:rsid w:val="00E90D4C"/>
    <w:rsid w:val="00E91860"/>
    <w:rsid w:val="00E91C12"/>
    <w:rsid w:val="00E91E5B"/>
    <w:rsid w:val="00E92395"/>
    <w:rsid w:val="00E9256D"/>
    <w:rsid w:val="00E9283C"/>
    <w:rsid w:val="00E92AC9"/>
    <w:rsid w:val="00E92B67"/>
    <w:rsid w:val="00E92C15"/>
    <w:rsid w:val="00E932AE"/>
    <w:rsid w:val="00E937DD"/>
    <w:rsid w:val="00E93D55"/>
    <w:rsid w:val="00E9431A"/>
    <w:rsid w:val="00E9460B"/>
    <w:rsid w:val="00E9498C"/>
    <w:rsid w:val="00E9505D"/>
    <w:rsid w:val="00E954B7"/>
    <w:rsid w:val="00E95CEB"/>
    <w:rsid w:val="00E9627C"/>
    <w:rsid w:val="00E965F6"/>
    <w:rsid w:val="00E9663E"/>
    <w:rsid w:val="00E96768"/>
    <w:rsid w:val="00E96CCA"/>
    <w:rsid w:val="00E96E58"/>
    <w:rsid w:val="00E96FDB"/>
    <w:rsid w:val="00E976AC"/>
    <w:rsid w:val="00E9794E"/>
    <w:rsid w:val="00E97C3D"/>
    <w:rsid w:val="00E97CF8"/>
    <w:rsid w:val="00E97E43"/>
    <w:rsid w:val="00EA0075"/>
    <w:rsid w:val="00EA00F9"/>
    <w:rsid w:val="00EA031F"/>
    <w:rsid w:val="00EA032A"/>
    <w:rsid w:val="00EA04E2"/>
    <w:rsid w:val="00EA059C"/>
    <w:rsid w:val="00EA074A"/>
    <w:rsid w:val="00EA0D29"/>
    <w:rsid w:val="00EA0EB7"/>
    <w:rsid w:val="00EA107B"/>
    <w:rsid w:val="00EA1186"/>
    <w:rsid w:val="00EA2328"/>
    <w:rsid w:val="00EA23F6"/>
    <w:rsid w:val="00EA2A96"/>
    <w:rsid w:val="00EA2E80"/>
    <w:rsid w:val="00EA34D0"/>
    <w:rsid w:val="00EA3575"/>
    <w:rsid w:val="00EA3CF7"/>
    <w:rsid w:val="00EA3ED8"/>
    <w:rsid w:val="00EA40A6"/>
    <w:rsid w:val="00EA4232"/>
    <w:rsid w:val="00EA43AA"/>
    <w:rsid w:val="00EA43EE"/>
    <w:rsid w:val="00EA44D4"/>
    <w:rsid w:val="00EA4645"/>
    <w:rsid w:val="00EA478E"/>
    <w:rsid w:val="00EA4B30"/>
    <w:rsid w:val="00EA4D40"/>
    <w:rsid w:val="00EA59C6"/>
    <w:rsid w:val="00EA63C3"/>
    <w:rsid w:val="00EA64A8"/>
    <w:rsid w:val="00EA6BA8"/>
    <w:rsid w:val="00EA6D62"/>
    <w:rsid w:val="00EA71DC"/>
    <w:rsid w:val="00EA75E0"/>
    <w:rsid w:val="00EA76EE"/>
    <w:rsid w:val="00EA79F7"/>
    <w:rsid w:val="00EA7AEE"/>
    <w:rsid w:val="00EA7F09"/>
    <w:rsid w:val="00EB0691"/>
    <w:rsid w:val="00EB069D"/>
    <w:rsid w:val="00EB0985"/>
    <w:rsid w:val="00EB0BCD"/>
    <w:rsid w:val="00EB0BE2"/>
    <w:rsid w:val="00EB0E5A"/>
    <w:rsid w:val="00EB0E96"/>
    <w:rsid w:val="00EB1029"/>
    <w:rsid w:val="00EB1098"/>
    <w:rsid w:val="00EB10AC"/>
    <w:rsid w:val="00EB13D5"/>
    <w:rsid w:val="00EB196D"/>
    <w:rsid w:val="00EB196F"/>
    <w:rsid w:val="00EB1FCE"/>
    <w:rsid w:val="00EB2100"/>
    <w:rsid w:val="00EB3295"/>
    <w:rsid w:val="00EB356D"/>
    <w:rsid w:val="00EB38A0"/>
    <w:rsid w:val="00EB3A78"/>
    <w:rsid w:val="00EB3CE5"/>
    <w:rsid w:val="00EB3D5C"/>
    <w:rsid w:val="00EB3F40"/>
    <w:rsid w:val="00EB47C0"/>
    <w:rsid w:val="00EB4A21"/>
    <w:rsid w:val="00EB4A93"/>
    <w:rsid w:val="00EB4C29"/>
    <w:rsid w:val="00EB506B"/>
    <w:rsid w:val="00EB50A1"/>
    <w:rsid w:val="00EB5A97"/>
    <w:rsid w:val="00EB5BA5"/>
    <w:rsid w:val="00EB5C8A"/>
    <w:rsid w:val="00EB5E0E"/>
    <w:rsid w:val="00EB641F"/>
    <w:rsid w:val="00EB66A6"/>
    <w:rsid w:val="00EB6750"/>
    <w:rsid w:val="00EB67A9"/>
    <w:rsid w:val="00EB6889"/>
    <w:rsid w:val="00EB69A1"/>
    <w:rsid w:val="00EB6AB9"/>
    <w:rsid w:val="00EB6D31"/>
    <w:rsid w:val="00EB745E"/>
    <w:rsid w:val="00EB74D0"/>
    <w:rsid w:val="00EB76D5"/>
    <w:rsid w:val="00EB784E"/>
    <w:rsid w:val="00EB7A93"/>
    <w:rsid w:val="00EC06CC"/>
    <w:rsid w:val="00EC0A7E"/>
    <w:rsid w:val="00EC0DFD"/>
    <w:rsid w:val="00EC0F16"/>
    <w:rsid w:val="00EC0F86"/>
    <w:rsid w:val="00EC10A0"/>
    <w:rsid w:val="00EC1195"/>
    <w:rsid w:val="00EC1383"/>
    <w:rsid w:val="00EC13D0"/>
    <w:rsid w:val="00EC1591"/>
    <w:rsid w:val="00EC16C6"/>
    <w:rsid w:val="00EC16F1"/>
    <w:rsid w:val="00EC1C8A"/>
    <w:rsid w:val="00EC1DFD"/>
    <w:rsid w:val="00EC20D8"/>
    <w:rsid w:val="00EC279C"/>
    <w:rsid w:val="00EC282D"/>
    <w:rsid w:val="00EC2840"/>
    <w:rsid w:val="00EC2B0D"/>
    <w:rsid w:val="00EC2D3F"/>
    <w:rsid w:val="00EC3573"/>
    <w:rsid w:val="00EC36A8"/>
    <w:rsid w:val="00EC3957"/>
    <w:rsid w:val="00EC419F"/>
    <w:rsid w:val="00EC50A2"/>
    <w:rsid w:val="00EC518D"/>
    <w:rsid w:val="00EC52B8"/>
    <w:rsid w:val="00EC54F8"/>
    <w:rsid w:val="00EC5791"/>
    <w:rsid w:val="00EC57C6"/>
    <w:rsid w:val="00EC591D"/>
    <w:rsid w:val="00EC5FB8"/>
    <w:rsid w:val="00EC628D"/>
    <w:rsid w:val="00EC6763"/>
    <w:rsid w:val="00EC6C28"/>
    <w:rsid w:val="00EC6C83"/>
    <w:rsid w:val="00EC6D0E"/>
    <w:rsid w:val="00EC6DFD"/>
    <w:rsid w:val="00EC6EF3"/>
    <w:rsid w:val="00EC7048"/>
    <w:rsid w:val="00EC71CB"/>
    <w:rsid w:val="00EC71D1"/>
    <w:rsid w:val="00EC769C"/>
    <w:rsid w:val="00EC76F3"/>
    <w:rsid w:val="00EC7797"/>
    <w:rsid w:val="00EC78BC"/>
    <w:rsid w:val="00EC7D87"/>
    <w:rsid w:val="00EC7E17"/>
    <w:rsid w:val="00ED00DD"/>
    <w:rsid w:val="00ED05D6"/>
    <w:rsid w:val="00ED060E"/>
    <w:rsid w:val="00ED0C6F"/>
    <w:rsid w:val="00ED0D88"/>
    <w:rsid w:val="00ED13D1"/>
    <w:rsid w:val="00ED1AA8"/>
    <w:rsid w:val="00ED22F7"/>
    <w:rsid w:val="00ED233E"/>
    <w:rsid w:val="00ED29F2"/>
    <w:rsid w:val="00ED2D3B"/>
    <w:rsid w:val="00ED2E28"/>
    <w:rsid w:val="00ED2FCC"/>
    <w:rsid w:val="00ED3028"/>
    <w:rsid w:val="00ED3A81"/>
    <w:rsid w:val="00ED3F32"/>
    <w:rsid w:val="00ED4967"/>
    <w:rsid w:val="00ED4C12"/>
    <w:rsid w:val="00ED4E12"/>
    <w:rsid w:val="00ED50D8"/>
    <w:rsid w:val="00ED53B0"/>
    <w:rsid w:val="00ED5646"/>
    <w:rsid w:val="00ED668B"/>
    <w:rsid w:val="00ED67CE"/>
    <w:rsid w:val="00ED6997"/>
    <w:rsid w:val="00ED7559"/>
    <w:rsid w:val="00ED7637"/>
    <w:rsid w:val="00ED76F8"/>
    <w:rsid w:val="00ED7A84"/>
    <w:rsid w:val="00EE0279"/>
    <w:rsid w:val="00EE03BB"/>
    <w:rsid w:val="00EE0538"/>
    <w:rsid w:val="00EE05EC"/>
    <w:rsid w:val="00EE0625"/>
    <w:rsid w:val="00EE0A4C"/>
    <w:rsid w:val="00EE0B6E"/>
    <w:rsid w:val="00EE0C7B"/>
    <w:rsid w:val="00EE0F57"/>
    <w:rsid w:val="00EE0F97"/>
    <w:rsid w:val="00EE1046"/>
    <w:rsid w:val="00EE1B10"/>
    <w:rsid w:val="00EE1C34"/>
    <w:rsid w:val="00EE1F65"/>
    <w:rsid w:val="00EE2371"/>
    <w:rsid w:val="00EE28A4"/>
    <w:rsid w:val="00EE28CE"/>
    <w:rsid w:val="00EE28F4"/>
    <w:rsid w:val="00EE2D19"/>
    <w:rsid w:val="00EE31EC"/>
    <w:rsid w:val="00EE3728"/>
    <w:rsid w:val="00EE38B6"/>
    <w:rsid w:val="00EE3E7B"/>
    <w:rsid w:val="00EE3E83"/>
    <w:rsid w:val="00EE4261"/>
    <w:rsid w:val="00EE4493"/>
    <w:rsid w:val="00EE45C5"/>
    <w:rsid w:val="00EE49A1"/>
    <w:rsid w:val="00EE4ADF"/>
    <w:rsid w:val="00EE4B3E"/>
    <w:rsid w:val="00EE5A6B"/>
    <w:rsid w:val="00EE5B3C"/>
    <w:rsid w:val="00EE5F75"/>
    <w:rsid w:val="00EE63BE"/>
    <w:rsid w:val="00EE64E0"/>
    <w:rsid w:val="00EE6972"/>
    <w:rsid w:val="00EE6A2B"/>
    <w:rsid w:val="00EE6B04"/>
    <w:rsid w:val="00EE6B89"/>
    <w:rsid w:val="00EE712F"/>
    <w:rsid w:val="00EE73B5"/>
    <w:rsid w:val="00EE79AF"/>
    <w:rsid w:val="00EF0024"/>
    <w:rsid w:val="00EF0799"/>
    <w:rsid w:val="00EF0884"/>
    <w:rsid w:val="00EF09CD"/>
    <w:rsid w:val="00EF10CC"/>
    <w:rsid w:val="00EF12C5"/>
    <w:rsid w:val="00EF15F5"/>
    <w:rsid w:val="00EF1C75"/>
    <w:rsid w:val="00EF1EB2"/>
    <w:rsid w:val="00EF2006"/>
    <w:rsid w:val="00EF21AF"/>
    <w:rsid w:val="00EF2411"/>
    <w:rsid w:val="00EF24F7"/>
    <w:rsid w:val="00EF2722"/>
    <w:rsid w:val="00EF2A35"/>
    <w:rsid w:val="00EF2B31"/>
    <w:rsid w:val="00EF2B93"/>
    <w:rsid w:val="00EF2DB3"/>
    <w:rsid w:val="00EF363D"/>
    <w:rsid w:val="00EF37C7"/>
    <w:rsid w:val="00EF3850"/>
    <w:rsid w:val="00EF3D19"/>
    <w:rsid w:val="00EF40A5"/>
    <w:rsid w:val="00EF40BE"/>
    <w:rsid w:val="00EF416B"/>
    <w:rsid w:val="00EF41D3"/>
    <w:rsid w:val="00EF4469"/>
    <w:rsid w:val="00EF4590"/>
    <w:rsid w:val="00EF47BD"/>
    <w:rsid w:val="00EF4AE4"/>
    <w:rsid w:val="00EF5107"/>
    <w:rsid w:val="00EF5B55"/>
    <w:rsid w:val="00EF5CE4"/>
    <w:rsid w:val="00EF5E9A"/>
    <w:rsid w:val="00EF5EEA"/>
    <w:rsid w:val="00EF6294"/>
    <w:rsid w:val="00EF6601"/>
    <w:rsid w:val="00EF6805"/>
    <w:rsid w:val="00EF696D"/>
    <w:rsid w:val="00EF6D9B"/>
    <w:rsid w:val="00EF6EAE"/>
    <w:rsid w:val="00EF711F"/>
    <w:rsid w:val="00EF730B"/>
    <w:rsid w:val="00EF768F"/>
    <w:rsid w:val="00EF78A0"/>
    <w:rsid w:val="00EF7910"/>
    <w:rsid w:val="00EF7CF2"/>
    <w:rsid w:val="00EF7D85"/>
    <w:rsid w:val="00EF7F31"/>
    <w:rsid w:val="00F00259"/>
    <w:rsid w:val="00F00506"/>
    <w:rsid w:val="00F00508"/>
    <w:rsid w:val="00F00B2E"/>
    <w:rsid w:val="00F01490"/>
    <w:rsid w:val="00F01820"/>
    <w:rsid w:val="00F0193F"/>
    <w:rsid w:val="00F01C5B"/>
    <w:rsid w:val="00F01E52"/>
    <w:rsid w:val="00F02473"/>
    <w:rsid w:val="00F0256E"/>
    <w:rsid w:val="00F02DCB"/>
    <w:rsid w:val="00F0319D"/>
    <w:rsid w:val="00F037A3"/>
    <w:rsid w:val="00F03858"/>
    <w:rsid w:val="00F0389E"/>
    <w:rsid w:val="00F0394B"/>
    <w:rsid w:val="00F04286"/>
    <w:rsid w:val="00F042DC"/>
    <w:rsid w:val="00F04309"/>
    <w:rsid w:val="00F0448B"/>
    <w:rsid w:val="00F0463B"/>
    <w:rsid w:val="00F04664"/>
    <w:rsid w:val="00F046BD"/>
    <w:rsid w:val="00F04D63"/>
    <w:rsid w:val="00F04E40"/>
    <w:rsid w:val="00F04E72"/>
    <w:rsid w:val="00F0526B"/>
    <w:rsid w:val="00F0576E"/>
    <w:rsid w:val="00F057C2"/>
    <w:rsid w:val="00F0584D"/>
    <w:rsid w:val="00F05999"/>
    <w:rsid w:val="00F059AB"/>
    <w:rsid w:val="00F05B05"/>
    <w:rsid w:val="00F06322"/>
    <w:rsid w:val="00F06894"/>
    <w:rsid w:val="00F06906"/>
    <w:rsid w:val="00F06B4C"/>
    <w:rsid w:val="00F06C35"/>
    <w:rsid w:val="00F06DDD"/>
    <w:rsid w:val="00F07099"/>
    <w:rsid w:val="00F07383"/>
    <w:rsid w:val="00F074FA"/>
    <w:rsid w:val="00F07A90"/>
    <w:rsid w:val="00F07B75"/>
    <w:rsid w:val="00F102A7"/>
    <w:rsid w:val="00F105EA"/>
    <w:rsid w:val="00F107E1"/>
    <w:rsid w:val="00F10B8A"/>
    <w:rsid w:val="00F10F10"/>
    <w:rsid w:val="00F1106A"/>
    <w:rsid w:val="00F1109A"/>
    <w:rsid w:val="00F11117"/>
    <w:rsid w:val="00F111B8"/>
    <w:rsid w:val="00F112B0"/>
    <w:rsid w:val="00F11304"/>
    <w:rsid w:val="00F11768"/>
    <w:rsid w:val="00F11D55"/>
    <w:rsid w:val="00F11DC7"/>
    <w:rsid w:val="00F11FA7"/>
    <w:rsid w:val="00F1205C"/>
    <w:rsid w:val="00F12541"/>
    <w:rsid w:val="00F12FA5"/>
    <w:rsid w:val="00F13580"/>
    <w:rsid w:val="00F13586"/>
    <w:rsid w:val="00F13D3C"/>
    <w:rsid w:val="00F143EE"/>
    <w:rsid w:val="00F14435"/>
    <w:rsid w:val="00F14C45"/>
    <w:rsid w:val="00F1510D"/>
    <w:rsid w:val="00F15233"/>
    <w:rsid w:val="00F15618"/>
    <w:rsid w:val="00F15E91"/>
    <w:rsid w:val="00F164D2"/>
    <w:rsid w:val="00F16E72"/>
    <w:rsid w:val="00F16F98"/>
    <w:rsid w:val="00F1735C"/>
    <w:rsid w:val="00F17473"/>
    <w:rsid w:val="00F178FF"/>
    <w:rsid w:val="00F1792A"/>
    <w:rsid w:val="00F17C97"/>
    <w:rsid w:val="00F17E21"/>
    <w:rsid w:val="00F17F93"/>
    <w:rsid w:val="00F2064C"/>
    <w:rsid w:val="00F20B53"/>
    <w:rsid w:val="00F20B5F"/>
    <w:rsid w:val="00F21056"/>
    <w:rsid w:val="00F21961"/>
    <w:rsid w:val="00F21A42"/>
    <w:rsid w:val="00F21BA6"/>
    <w:rsid w:val="00F21C71"/>
    <w:rsid w:val="00F21D12"/>
    <w:rsid w:val="00F21D48"/>
    <w:rsid w:val="00F21FB3"/>
    <w:rsid w:val="00F22035"/>
    <w:rsid w:val="00F222BB"/>
    <w:rsid w:val="00F2291C"/>
    <w:rsid w:val="00F22A18"/>
    <w:rsid w:val="00F22A78"/>
    <w:rsid w:val="00F22C19"/>
    <w:rsid w:val="00F22D18"/>
    <w:rsid w:val="00F22FD6"/>
    <w:rsid w:val="00F2300F"/>
    <w:rsid w:val="00F23350"/>
    <w:rsid w:val="00F23434"/>
    <w:rsid w:val="00F235FB"/>
    <w:rsid w:val="00F23664"/>
    <w:rsid w:val="00F2367A"/>
    <w:rsid w:val="00F23880"/>
    <w:rsid w:val="00F23F3C"/>
    <w:rsid w:val="00F241CD"/>
    <w:rsid w:val="00F24450"/>
    <w:rsid w:val="00F24686"/>
    <w:rsid w:val="00F24B35"/>
    <w:rsid w:val="00F24B44"/>
    <w:rsid w:val="00F2521E"/>
    <w:rsid w:val="00F25763"/>
    <w:rsid w:val="00F25B50"/>
    <w:rsid w:val="00F25D28"/>
    <w:rsid w:val="00F26073"/>
    <w:rsid w:val="00F26137"/>
    <w:rsid w:val="00F261E6"/>
    <w:rsid w:val="00F2624C"/>
    <w:rsid w:val="00F26270"/>
    <w:rsid w:val="00F26385"/>
    <w:rsid w:val="00F2678A"/>
    <w:rsid w:val="00F267AE"/>
    <w:rsid w:val="00F26AA8"/>
    <w:rsid w:val="00F26AF2"/>
    <w:rsid w:val="00F26B6B"/>
    <w:rsid w:val="00F26BBB"/>
    <w:rsid w:val="00F27D48"/>
    <w:rsid w:val="00F27E00"/>
    <w:rsid w:val="00F3026A"/>
    <w:rsid w:val="00F3039A"/>
    <w:rsid w:val="00F30747"/>
    <w:rsid w:val="00F307B3"/>
    <w:rsid w:val="00F30A58"/>
    <w:rsid w:val="00F30A91"/>
    <w:rsid w:val="00F30BB4"/>
    <w:rsid w:val="00F30F8A"/>
    <w:rsid w:val="00F312B5"/>
    <w:rsid w:val="00F313C9"/>
    <w:rsid w:val="00F3162A"/>
    <w:rsid w:val="00F3174C"/>
    <w:rsid w:val="00F31837"/>
    <w:rsid w:val="00F31DD9"/>
    <w:rsid w:val="00F31E7F"/>
    <w:rsid w:val="00F31EC4"/>
    <w:rsid w:val="00F327CC"/>
    <w:rsid w:val="00F32A89"/>
    <w:rsid w:val="00F32E22"/>
    <w:rsid w:val="00F32F13"/>
    <w:rsid w:val="00F32FF4"/>
    <w:rsid w:val="00F33DA9"/>
    <w:rsid w:val="00F33DE5"/>
    <w:rsid w:val="00F33F9F"/>
    <w:rsid w:val="00F34042"/>
    <w:rsid w:val="00F34973"/>
    <w:rsid w:val="00F34F0D"/>
    <w:rsid w:val="00F34FC3"/>
    <w:rsid w:val="00F357BC"/>
    <w:rsid w:val="00F3582B"/>
    <w:rsid w:val="00F358B7"/>
    <w:rsid w:val="00F361D0"/>
    <w:rsid w:val="00F368E6"/>
    <w:rsid w:val="00F369C2"/>
    <w:rsid w:val="00F36C87"/>
    <w:rsid w:val="00F36E5C"/>
    <w:rsid w:val="00F376F4"/>
    <w:rsid w:val="00F37AAC"/>
    <w:rsid w:val="00F37C04"/>
    <w:rsid w:val="00F37D6F"/>
    <w:rsid w:val="00F40460"/>
    <w:rsid w:val="00F40485"/>
    <w:rsid w:val="00F40B26"/>
    <w:rsid w:val="00F4139E"/>
    <w:rsid w:val="00F4165C"/>
    <w:rsid w:val="00F41869"/>
    <w:rsid w:val="00F41A52"/>
    <w:rsid w:val="00F41E2A"/>
    <w:rsid w:val="00F420C8"/>
    <w:rsid w:val="00F4256F"/>
    <w:rsid w:val="00F427F0"/>
    <w:rsid w:val="00F42881"/>
    <w:rsid w:val="00F42C4B"/>
    <w:rsid w:val="00F4325B"/>
    <w:rsid w:val="00F4348E"/>
    <w:rsid w:val="00F439C9"/>
    <w:rsid w:val="00F43DE0"/>
    <w:rsid w:val="00F43F95"/>
    <w:rsid w:val="00F44339"/>
    <w:rsid w:val="00F4433B"/>
    <w:rsid w:val="00F44995"/>
    <w:rsid w:val="00F44A07"/>
    <w:rsid w:val="00F44EC9"/>
    <w:rsid w:val="00F44FD8"/>
    <w:rsid w:val="00F45218"/>
    <w:rsid w:val="00F468D3"/>
    <w:rsid w:val="00F46927"/>
    <w:rsid w:val="00F47062"/>
    <w:rsid w:val="00F4771A"/>
    <w:rsid w:val="00F5047A"/>
    <w:rsid w:val="00F504F3"/>
    <w:rsid w:val="00F50999"/>
    <w:rsid w:val="00F51129"/>
    <w:rsid w:val="00F51302"/>
    <w:rsid w:val="00F51396"/>
    <w:rsid w:val="00F5148A"/>
    <w:rsid w:val="00F516DA"/>
    <w:rsid w:val="00F51AA5"/>
    <w:rsid w:val="00F51C6A"/>
    <w:rsid w:val="00F51C8A"/>
    <w:rsid w:val="00F51C95"/>
    <w:rsid w:val="00F51D13"/>
    <w:rsid w:val="00F52406"/>
    <w:rsid w:val="00F52A77"/>
    <w:rsid w:val="00F53237"/>
    <w:rsid w:val="00F5385F"/>
    <w:rsid w:val="00F538BE"/>
    <w:rsid w:val="00F53952"/>
    <w:rsid w:val="00F53A18"/>
    <w:rsid w:val="00F53CC4"/>
    <w:rsid w:val="00F543CC"/>
    <w:rsid w:val="00F54498"/>
    <w:rsid w:val="00F54889"/>
    <w:rsid w:val="00F5493B"/>
    <w:rsid w:val="00F54E5D"/>
    <w:rsid w:val="00F55097"/>
    <w:rsid w:val="00F55854"/>
    <w:rsid w:val="00F55A50"/>
    <w:rsid w:val="00F55A97"/>
    <w:rsid w:val="00F55CEC"/>
    <w:rsid w:val="00F55D9A"/>
    <w:rsid w:val="00F55EA4"/>
    <w:rsid w:val="00F56011"/>
    <w:rsid w:val="00F5609A"/>
    <w:rsid w:val="00F5634E"/>
    <w:rsid w:val="00F56813"/>
    <w:rsid w:val="00F5686F"/>
    <w:rsid w:val="00F56FAA"/>
    <w:rsid w:val="00F56FAE"/>
    <w:rsid w:val="00F57BEC"/>
    <w:rsid w:val="00F57F4B"/>
    <w:rsid w:val="00F57FB7"/>
    <w:rsid w:val="00F600BC"/>
    <w:rsid w:val="00F60257"/>
    <w:rsid w:val="00F60397"/>
    <w:rsid w:val="00F6091D"/>
    <w:rsid w:val="00F60B8D"/>
    <w:rsid w:val="00F60CA1"/>
    <w:rsid w:val="00F60F15"/>
    <w:rsid w:val="00F6180A"/>
    <w:rsid w:val="00F61FEA"/>
    <w:rsid w:val="00F627EF"/>
    <w:rsid w:val="00F62D42"/>
    <w:rsid w:val="00F62DDB"/>
    <w:rsid w:val="00F62EDF"/>
    <w:rsid w:val="00F62F4E"/>
    <w:rsid w:val="00F63515"/>
    <w:rsid w:val="00F63565"/>
    <w:rsid w:val="00F636AC"/>
    <w:rsid w:val="00F63B8F"/>
    <w:rsid w:val="00F63DC4"/>
    <w:rsid w:val="00F63F59"/>
    <w:rsid w:val="00F6422C"/>
    <w:rsid w:val="00F64584"/>
    <w:rsid w:val="00F64A79"/>
    <w:rsid w:val="00F64B3B"/>
    <w:rsid w:val="00F64FA9"/>
    <w:rsid w:val="00F6534F"/>
    <w:rsid w:val="00F65413"/>
    <w:rsid w:val="00F656A6"/>
    <w:rsid w:val="00F656E3"/>
    <w:rsid w:val="00F65A32"/>
    <w:rsid w:val="00F65CFF"/>
    <w:rsid w:val="00F66298"/>
    <w:rsid w:val="00F663EB"/>
    <w:rsid w:val="00F66617"/>
    <w:rsid w:val="00F66AFE"/>
    <w:rsid w:val="00F67053"/>
    <w:rsid w:val="00F67468"/>
    <w:rsid w:val="00F70110"/>
    <w:rsid w:val="00F7011F"/>
    <w:rsid w:val="00F707C2"/>
    <w:rsid w:val="00F70C11"/>
    <w:rsid w:val="00F70FD1"/>
    <w:rsid w:val="00F711DA"/>
    <w:rsid w:val="00F718A1"/>
    <w:rsid w:val="00F71A2D"/>
    <w:rsid w:val="00F71A69"/>
    <w:rsid w:val="00F71AC2"/>
    <w:rsid w:val="00F71B54"/>
    <w:rsid w:val="00F71B9E"/>
    <w:rsid w:val="00F71E9A"/>
    <w:rsid w:val="00F721A0"/>
    <w:rsid w:val="00F72587"/>
    <w:rsid w:val="00F72A80"/>
    <w:rsid w:val="00F72C93"/>
    <w:rsid w:val="00F731F4"/>
    <w:rsid w:val="00F732F8"/>
    <w:rsid w:val="00F733EB"/>
    <w:rsid w:val="00F73671"/>
    <w:rsid w:val="00F736F7"/>
    <w:rsid w:val="00F73AAB"/>
    <w:rsid w:val="00F73F0F"/>
    <w:rsid w:val="00F74288"/>
    <w:rsid w:val="00F746B3"/>
    <w:rsid w:val="00F74A58"/>
    <w:rsid w:val="00F74B4B"/>
    <w:rsid w:val="00F74CB4"/>
    <w:rsid w:val="00F751B6"/>
    <w:rsid w:val="00F754C2"/>
    <w:rsid w:val="00F75843"/>
    <w:rsid w:val="00F75A5A"/>
    <w:rsid w:val="00F76023"/>
    <w:rsid w:val="00F77239"/>
    <w:rsid w:val="00F77498"/>
    <w:rsid w:val="00F800B8"/>
    <w:rsid w:val="00F80131"/>
    <w:rsid w:val="00F8029D"/>
    <w:rsid w:val="00F8031E"/>
    <w:rsid w:val="00F80496"/>
    <w:rsid w:val="00F80662"/>
    <w:rsid w:val="00F80866"/>
    <w:rsid w:val="00F80A88"/>
    <w:rsid w:val="00F80B4E"/>
    <w:rsid w:val="00F80B66"/>
    <w:rsid w:val="00F80F5A"/>
    <w:rsid w:val="00F80F6B"/>
    <w:rsid w:val="00F81498"/>
    <w:rsid w:val="00F814A0"/>
    <w:rsid w:val="00F81858"/>
    <w:rsid w:val="00F818A0"/>
    <w:rsid w:val="00F81B22"/>
    <w:rsid w:val="00F81DCC"/>
    <w:rsid w:val="00F81F72"/>
    <w:rsid w:val="00F823F5"/>
    <w:rsid w:val="00F824BE"/>
    <w:rsid w:val="00F824CB"/>
    <w:rsid w:val="00F826A2"/>
    <w:rsid w:val="00F82D98"/>
    <w:rsid w:val="00F82EE9"/>
    <w:rsid w:val="00F8361B"/>
    <w:rsid w:val="00F837A3"/>
    <w:rsid w:val="00F8386F"/>
    <w:rsid w:val="00F8399B"/>
    <w:rsid w:val="00F83B2A"/>
    <w:rsid w:val="00F83D29"/>
    <w:rsid w:val="00F83D92"/>
    <w:rsid w:val="00F83EB1"/>
    <w:rsid w:val="00F840E9"/>
    <w:rsid w:val="00F84207"/>
    <w:rsid w:val="00F84225"/>
    <w:rsid w:val="00F84469"/>
    <w:rsid w:val="00F84509"/>
    <w:rsid w:val="00F848F9"/>
    <w:rsid w:val="00F84DB6"/>
    <w:rsid w:val="00F85721"/>
    <w:rsid w:val="00F85B1B"/>
    <w:rsid w:val="00F85EB7"/>
    <w:rsid w:val="00F85F5C"/>
    <w:rsid w:val="00F85F71"/>
    <w:rsid w:val="00F86028"/>
    <w:rsid w:val="00F860DC"/>
    <w:rsid w:val="00F8626D"/>
    <w:rsid w:val="00F863A8"/>
    <w:rsid w:val="00F86422"/>
    <w:rsid w:val="00F86519"/>
    <w:rsid w:val="00F86799"/>
    <w:rsid w:val="00F86903"/>
    <w:rsid w:val="00F86A85"/>
    <w:rsid w:val="00F86B66"/>
    <w:rsid w:val="00F86EF2"/>
    <w:rsid w:val="00F86F78"/>
    <w:rsid w:val="00F877FF"/>
    <w:rsid w:val="00F879DA"/>
    <w:rsid w:val="00F87CCC"/>
    <w:rsid w:val="00F902DB"/>
    <w:rsid w:val="00F90311"/>
    <w:rsid w:val="00F91011"/>
    <w:rsid w:val="00F9170D"/>
    <w:rsid w:val="00F91A03"/>
    <w:rsid w:val="00F91AD1"/>
    <w:rsid w:val="00F920C9"/>
    <w:rsid w:val="00F9212C"/>
    <w:rsid w:val="00F926E2"/>
    <w:rsid w:val="00F92734"/>
    <w:rsid w:val="00F92804"/>
    <w:rsid w:val="00F932D3"/>
    <w:rsid w:val="00F935A7"/>
    <w:rsid w:val="00F93824"/>
    <w:rsid w:val="00F93B52"/>
    <w:rsid w:val="00F93D18"/>
    <w:rsid w:val="00F93D8D"/>
    <w:rsid w:val="00F93F47"/>
    <w:rsid w:val="00F94368"/>
    <w:rsid w:val="00F94423"/>
    <w:rsid w:val="00F945EB"/>
    <w:rsid w:val="00F9472E"/>
    <w:rsid w:val="00F9494C"/>
    <w:rsid w:val="00F9498D"/>
    <w:rsid w:val="00F94A0E"/>
    <w:rsid w:val="00F94C8B"/>
    <w:rsid w:val="00F94EC4"/>
    <w:rsid w:val="00F9533E"/>
    <w:rsid w:val="00F958D7"/>
    <w:rsid w:val="00F95A03"/>
    <w:rsid w:val="00F961DA"/>
    <w:rsid w:val="00F962C0"/>
    <w:rsid w:val="00F965D3"/>
    <w:rsid w:val="00F96E89"/>
    <w:rsid w:val="00F97103"/>
    <w:rsid w:val="00F971B0"/>
    <w:rsid w:val="00F9733D"/>
    <w:rsid w:val="00F97691"/>
    <w:rsid w:val="00F97A46"/>
    <w:rsid w:val="00F97A61"/>
    <w:rsid w:val="00F97CB8"/>
    <w:rsid w:val="00F97EF9"/>
    <w:rsid w:val="00FA015E"/>
    <w:rsid w:val="00FA038E"/>
    <w:rsid w:val="00FA0597"/>
    <w:rsid w:val="00FA0840"/>
    <w:rsid w:val="00FA0933"/>
    <w:rsid w:val="00FA0BF6"/>
    <w:rsid w:val="00FA0C51"/>
    <w:rsid w:val="00FA15C8"/>
    <w:rsid w:val="00FA1640"/>
    <w:rsid w:val="00FA16F2"/>
    <w:rsid w:val="00FA21D5"/>
    <w:rsid w:val="00FA2496"/>
    <w:rsid w:val="00FA2B1C"/>
    <w:rsid w:val="00FA2C5D"/>
    <w:rsid w:val="00FA2D86"/>
    <w:rsid w:val="00FA348C"/>
    <w:rsid w:val="00FA39D5"/>
    <w:rsid w:val="00FA3D87"/>
    <w:rsid w:val="00FA3EBD"/>
    <w:rsid w:val="00FA463F"/>
    <w:rsid w:val="00FA4AED"/>
    <w:rsid w:val="00FA4C57"/>
    <w:rsid w:val="00FA4F25"/>
    <w:rsid w:val="00FA515B"/>
    <w:rsid w:val="00FA53D8"/>
    <w:rsid w:val="00FA5721"/>
    <w:rsid w:val="00FA6201"/>
    <w:rsid w:val="00FA645E"/>
    <w:rsid w:val="00FA6674"/>
    <w:rsid w:val="00FA6792"/>
    <w:rsid w:val="00FA679E"/>
    <w:rsid w:val="00FA6961"/>
    <w:rsid w:val="00FA6A7C"/>
    <w:rsid w:val="00FA709C"/>
    <w:rsid w:val="00FA7B25"/>
    <w:rsid w:val="00FA7EB1"/>
    <w:rsid w:val="00FB0185"/>
    <w:rsid w:val="00FB027A"/>
    <w:rsid w:val="00FB045F"/>
    <w:rsid w:val="00FB0A85"/>
    <w:rsid w:val="00FB0AD8"/>
    <w:rsid w:val="00FB0C38"/>
    <w:rsid w:val="00FB0E05"/>
    <w:rsid w:val="00FB12DE"/>
    <w:rsid w:val="00FB16A9"/>
    <w:rsid w:val="00FB1A3B"/>
    <w:rsid w:val="00FB20E7"/>
    <w:rsid w:val="00FB2AC3"/>
    <w:rsid w:val="00FB2E17"/>
    <w:rsid w:val="00FB2E47"/>
    <w:rsid w:val="00FB3584"/>
    <w:rsid w:val="00FB363C"/>
    <w:rsid w:val="00FB3802"/>
    <w:rsid w:val="00FB39F1"/>
    <w:rsid w:val="00FB3D71"/>
    <w:rsid w:val="00FB404B"/>
    <w:rsid w:val="00FB40F7"/>
    <w:rsid w:val="00FB430E"/>
    <w:rsid w:val="00FB45E7"/>
    <w:rsid w:val="00FB49A5"/>
    <w:rsid w:val="00FB4A29"/>
    <w:rsid w:val="00FB4C1F"/>
    <w:rsid w:val="00FB4C99"/>
    <w:rsid w:val="00FB4D6C"/>
    <w:rsid w:val="00FB4DBB"/>
    <w:rsid w:val="00FB5016"/>
    <w:rsid w:val="00FB5526"/>
    <w:rsid w:val="00FB552F"/>
    <w:rsid w:val="00FB5753"/>
    <w:rsid w:val="00FB58C0"/>
    <w:rsid w:val="00FB59C2"/>
    <w:rsid w:val="00FB5AA3"/>
    <w:rsid w:val="00FB5DF1"/>
    <w:rsid w:val="00FB5E1E"/>
    <w:rsid w:val="00FB5F97"/>
    <w:rsid w:val="00FB64FC"/>
    <w:rsid w:val="00FB66E4"/>
    <w:rsid w:val="00FB6AD1"/>
    <w:rsid w:val="00FB6B29"/>
    <w:rsid w:val="00FB6C5B"/>
    <w:rsid w:val="00FB6E68"/>
    <w:rsid w:val="00FB7337"/>
    <w:rsid w:val="00FB748F"/>
    <w:rsid w:val="00FB7622"/>
    <w:rsid w:val="00FB792A"/>
    <w:rsid w:val="00FB7A57"/>
    <w:rsid w:val="00FB7B0F"/>
    <w:rsid w:val="00FB7D3F"/>
    <w:rsid w:val="00FC023D"/>
    <w:rsid w:val="00FC0BFA"/>
    <w:rsid w:val="00FC0EBC"/>
    <w:rsid w:val="00FC13AD"/>
    <w:rsid w:val="00FC13E5"/>
    <w:rsid w:val="00FC1510"/>
    <w:rsid w:val="00FC1717"/>
    <w:rsid w:val="00FC17A8"/>
    <w:rsid w:val="00FC195C"/>
    <w:rsid w:val="00FC1A06"/>
    <w:rsid w:val="00FC1A8D"/>
    <w:rsid w:val="00FC1B86"/>
    <w:rsid w:val="00FC1C1E"/>
    <w:rsid w:val="00FC1D33"/>
    <w:rsid w:val="00FC1FFE"/>
    <w:rsid w:val="00FC2007"/>
    <w:rsid w:val="00FC21E3"/>
    <w:rsid w:val="00FC244B"/>
    <w:rsid w:val="00FC28B1"/>
    <w:rsid w:val="00FC2974"/>
    <w:rsid w:val="00FC3557"/>
    <w:rsid w:val="00FC36EE"/>
    <w:rsid w:val="00FC3810"/>
    <w:rsid w:val="00FC3A39"/>
    <w:rsid w:val="00FC3BED"/>
    <w:rsid w:val="00FC43D1"/>
    <w:rsid w:val="00FC45A5"/>
    <w:rsid w:val="00FC46CA"/>
    <w:rsid w:val="00FC4CF8"/>
    <w:rsid w:val="00FC531B"/>
    <w:rsid w:val="00FC5701"/>
    <w:rsid w:val="00FC5757"/>
    <w:rsid w:val="00FC59AD"/>
    <w:rsid w:val="00FC5EC3"/>
    <w:rsid w:val="00FC634F"/>
    <w:rsid w:val="00FC69C0"/>
    <w:rsid w:val="00FC7206"/>
    <w:rsid w:val="00FC76B1"/>
    <w:rsid w:val="00FC7740"/>
    <w:rsid w:val="00FC7809"/>
    <w:rsid w:val="00FC7D7A"/>
    <w:rsid w:val="00FD000D"/>
    <w:rsid w:val="00FD00AA"/>
    <w:rsid w:val="00FD0147"/>
    <w:rsid w:val="00FD019D"/>
    <w:rsid w:val="00FD0423"/>
    <w:rsid w:val="00FD05BA"/>
    <w:rsid w:val="00FD08D4"/>
    <w:rsid w:val="00FD0C68"/>
    <w:rsid w:val="00FD0CD9"/>
    <w:rsid w:val="00FD0CF5"/>
    <w:rsid w:val="00FD1065"/>
    <w:rsid w:val="00FD10FE"/>
    <w:rsid w:val="00FD1749"/>
    <w:rsid w:val="00FD18D4"/>
    <w:rsid w:val="00FD1954"/>
    <w:rsid w:val="00FD1C2B"/>
    <w:rsid w:val="00FD2050"/>
    <w:rsid w:val="00FD2393"/>
    <w:rsid w:val="00FD23C4"/>
    <w:rsid w:val="00FD24DE"/>
    <w:rsid w:val="00FD260F"/>
    <w:rsid w:val="00FD45BD"/>
    <w:rsid w:val="00FD4C21"/>
    <w:rsid w:val="00FD51F3"/>
    <w:rsid w:val="00FD53A5"/>
    <w:rsid w:val="00FD564B"/>
    <w:rsid w:val="00FD5907"/>
    <w:rsid w:val="00FD592E"/>
    <w:rsid w:val="00FD6AEB"/>
    <w:rsid w:val="00FD6B8A"/>
    <w:rsid w:val="00FD6C12"/>
    <w:rsid w:val="00FD717A"/>
    <w:rsid w:val="00FD7374"/>
    <w:rsid w:val="00FD74B9"/>
    <w:rsid w:val="00FD7546"/>
    <w:rsid w:val="00FD7924"/>
    <w:rsid w:val="00FD795A"/>
    <w:rsid w:val="00FD79E4"/>
    <w:rsid w:val="00FD7DAB"/>
    <w:rsid w:val="00FD7FC0"/>
    <w:rsid w:val="00FE0249"/>
    <w:rsid w:val="00FE030E"/>
    <w:rsid w:val="00FE032C"/>
    <w:rsid w:val="00FE040A"/>
    <w:rsid w:val="00FE0471"/>
    <w:rsid w:val="00FE07BB"/>
    <w:rsid w:val="00FE0C45"/>
    <w:rsid w:val="00FE0C87"/>
    <w:rsid w:val="00FE0D40"/>
    <w:rsid w:val="00FE0DAB"/>
    <w:rsid w:val="00FE136C"/>
    <w:rsid w:val="00FE1406"/>
    <w:rsid w:val="00FE15C1"/>
    <w:rsid w:val="00FE1670"/>
    <w:rsid w:val="00FE1AC3"/>
    <w:rsid w:val="00FE1EC3"/>
    <w:rsid w:val="00FE21B4"/>
    <w:rsid w:val="00FE23E4"/>
    <w:rsid w:val="00FE2459"/>
    <w:rsid w:val="00FE24FF"/>
    <w:rsid w:val="00FE253B"/>
    <w:rsid w:val="00FE2C17"/>
    <w:rsid w:val="00FE3496"/>
    <w:rsid w:val="00FE369C"/>
    <w:rsid w:val="00FE3876"/>
    <w:rsid w:val="00FE39C8"/>
    <w:rsid w:val="00FE3E6C"/>
    <w:rsid w:val="00FE434D"/>
    <w:rsid w:val="00FE4472"/>
    <w:rsid w:val="00FE47AE"/>
    <w:rsid w:val="00FE48E8"/>
    <w:rsid w:val="00FE4B98"/>
    <w:rsid w:val="00FE4C4B"/>
    <w:rsid w:val="00FE4D0B"/>
    <w:rsid w:val="00FE5131"/>
    <w:rsid w:val="00FE518B"/>
    <w:rsid w:val="00FE5A76"/>
    <w:rsid w:val="00FE5C60"/>
    <w:rsid w:val="00FE6661"/>
    <w:rsid w:val="00FE699F"/>
    <w:rsid w:val="00FE69B9"/>
    <w:rsid w:val="00FE6DFE"/>
    <w:rsid w:val="00FE71D5"/>
    <w:rsid w:val="00FE7250"/>
    <w:rsid w:val="00FE7321"/>
    <w:rsid w:val="00FE736A"/>
    <w:rsid w:val="00FE7446"/>
    <w:rsid w:val="00FE7E05"/>
    <w:rsid w:val="00FE7E4E"/>
    <w:rsid w:val="00FE7FAF"/>
    <w:rsid w:val="00FF01D7"/>
    <w:rsid w:val="00FF02CF"/>
    <w:rsid w:val="00FF0402"/>
    <w:rsid w:val="00FF0406"/>
    <w:rsid w:val="00FF050E"/>
    <w:rsid w:val="00FF072F"/>
    <w:rsid w:val="00FF0841"/>
    <w:rsid w:val="00FF09C7"/>
    <w:rsid w:val="00FF0A81"/>
    <w:rsid w:val="00FF0DA3"/>
    <w:rsid w:val="00FF0DF0"/>
    <w:rsid w:val="00FF1027"/>
    <w:rsid w:val="00FF1589"/>
    <w:rsid w:val="00FF15AE"/>
    <w:rsid w:val="00FF15B5"/>
    <w:rsid w:val="00FF1637"/>
    <w:rsid w:val="00FF1A4E"/>
    <w:rsid w:val="00FF1CBE"/>
    <w:rsid w:val="00FF1CE2"/>
    <w:rsid w:val="00FF1D48"/>
    <w:rsid w:val="00FF1F04"/>
    <w:rsid w:val="00FF20D7"/>
    <w:rsid w:val="00FF246E"/>
    <w:rsid w:val="00FF2B14"/>
    <w:rsid w:val="00FF2D85"/>
    <w:rsid w:val="00FF310C"/>
    <w:rsid w:val="00FF326A"/>
    <w:rsid w:val="00FF35B8"/>
    <w:rsid w:val="00FF3733"/>
    <w:rsid w:val="00FF37F3"/>
    <w:rsid w:val="00FF3ED1"/>
    <w:rsid w:val="00FF3FF2"/>
    <w:rsid w:val="00FF4613"/>
    <w:rsid w:val="00FF46C3"/>
    <w:rsid w:val="00FF477B"/>
    <w:rsid w:val="00FF489E"/>
    <w:rsid w:val="00FF534A"/>
    <w:rsid w:val="00FF5373"/>
    <w:rsid w:val="00FF55B1"/>
    <w:rsid w:val="00FF5937"/>
    <w:rsid w:val="00FF6499"/>
    <w:rsid w:val="00FF6658"/>
    <w:rsid w:val="00FF6B89"/>
    <w:rsid w:val="00FF6D7F"/>
    <w:rsid w:val="00FF7707"/>
    <w:rsid w:val="00FF7F6A"/>
    <w:rsid w:val="09B8C5CE"/>
    <w:rsid w:val="0ABB79E3"/>
    <w:rsid w:val="0CA3AE72"/>
    <w:rsid w:val="1A10DA79"/>
    <w:rsid w:val="23B22024"/>
    <w:rsid w:val="24F50054"/>
    <w:rsid w:val="2A6DE07B"/>
    <w:rsid w:val="2CFC9453"/>
    <w:rsid w:val="2D1BB01B"/>
    <w:rsid w:val="31BA9522"/>
    <w:rsid w:val="32082CDF"/>
    <w:rsid w:val="3495AE98"/>
    <w:rsid w:val="3EEEC718"/>
    <w:rsid w:val="456E2746"/>
    <w:rsid w:val="460D8C84"/>
    <w:rsid w:val="46F25864"/>
    <w:rsid w:val="477855AB"/>
    <w:rsid w:val="4917E216"/>
    <w:rsid w:val="49BC46E6"/>
    <w:rsid w:val="4E940D90"/>
    <w:rsid w:val="4FA0265A"/>
    <w:rsid w:val="50274945"/>
    <w:rsid w:val="512A003F"/>
    <w:rsid w:val="5280316E"/>
    <w:rsid w:val="53A7A6C3"/>
    <w:rsid w:val="590B4D12"/>
    <w:rsid w:val="59F70394"/>
    <w:rsid w:val="5B5760B0"/>
    <w:rsid w:val="5B788B4C"/>
    <w:rsid w:val="5D3C852E"/>
    <w:rsid w:val="63365415"/>
    <w:rsid w:val="63F84288"/>
    <w:rsid w:val="66AFCFA2"/>
    <w:rsid w:val="6D757224"/>
    <w:rsid w:val="73B22ADA"/>
    <w:rsid w:val="759F9767"/>
    <w:rsid w:val="75D948AC"/>
    <w:rsid w:val="78394C23"/>
    <w:rsid w:val="7EF362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FB76D"/>
  <w15:docId w15:val="{017A4D6A-8613-4F6A-9FFA-5570911F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005"/>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2B274C"/>
    <w:pPr>
      <w:tabs>
        <w:tab w:val="clear" w:pos="567"/>
      </w:tabs>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7C4D64"/>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9A2C92"/>
    <w:pPr>
      <w:tabs>
        <w:tab w:val="clear" w:pos="567"/>
      </w:tabs>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BD6EEE"/>
    <w:pPr>
      <w:keepNext/>
      <w:widowControl w:val="0"/>
      <w:spacing w:before="24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BD13E7"/>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782EC4"/>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6226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65BA8"/>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F74B4B"/>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uiPriority w:val="35"/>
    <w:qFormat/>
    <w:rsid w:val="00485F13"/>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rsid w:val="00C21EF9"/>
    <w:pPr>
      <w:numPr>
        <w:numId w:val="2"/>
      </w:numPr>
      <w:tabs>
        <w:tab w:val="clear" w:pos="567"/>
        <w:tab w:val="clear" w:pos="927"/>
        <w:tab w:val="left" w:pos="1701"/>
      </w:tabs>
      <w:spacing w:line="300" w:lineRule="atLeast"/>
    </w:pPr>
    <w:rPr>
      <w:szCs w:val="20"/>
    </w:rPr>
  </w:style>
  <w:style w:type="paragraph" w:customStyle="1" w:styleId="CGCTableFootnote">
    <w:name w:val="CGC Table Footnote"/>
    <w:basedOn w:val="Normal"/>
    <w:next w:val="NoSpacing"/>
    <w:rsid w:val="00641D96"/>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FE5C6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65BA8"/>
    <w:pPr>
      <w:shd w:val="clear" w:color="auto" w:fill="000080"/>
    </w:pPr>
    <w:rPr>
      <w:rFonts w:ascii="Tahoma" w:hAnsi="Tahoma" w:cs="Tahoma"/>
      <w:szCs w:val="20"/>
    </w:rPr>
  </w:style>
  <w:style w:type="paragraph" w:styleId="Footer">
    <w:name w:val="footer"/>
    <w:basedOn w:val="Normal"/>
    <w:link w:val="FooterChar"/>
    <w:uiPriority w:val="99"/>
    <w:unhideWhenUsed/>
    <w:rsid w:val="007A178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uiPriority w:val="99"/>
    <w:qFormat/>
    <w:rsid w:val="0026115B"/>
    <w:rPr>
      <w:rFonts w:ascii="Work Sans" w:hAnsi="Work Sans"/>
      <w:sz w:val="20"/>
      <w:szCs w:val="20"/>
      <w:vertAlign w:val="superscript"/>
    </w:rPr>
  </w:style>
  <w:style w:type="paragraph" w:styleId="FootnoteText">
    <w:name w:val="footnote text"/>
    <w:basedOn w:val="Normal"/>
    <w:link w:val="FootnoteTextChar"/>
    <w:autoRedefine/>
    <w:uiPriority w:val="99"/>
    <w:qFormat/>
    <w:rsid w:val="00D74FB4"/>
    <w:pPr>
      <w:spacing w:before="40" w:line="240" w:lineRule="auto"/>
      <w:ind w:left="142" w:hanging="142"/>
    </w:pPr>
    <w:rPr>
      <w:rFonts w:ascii="Work Sans" w:hAnsi="Work Sans"/>
      <w:sz w:val="14"/>
      <w:szCs w:val="16"/>
    </w:rPr>
  </w:style>
  <w:style w:type="paragraph" w:styleId="Header">
    <w:name w:val="header"/>
    <w:basedOn w:val="Footer"/>
    <w:link w:val="HeaderChar"/>
    <w:uiPriority w:val="99"/>
    <w:unhideWhenUsed/>
    <w:rsid w:val="007A1785"/>
  </w:style>
  <w:style w:type="character" w:styleId="Hyperlink">
    <w:name w:val="Hyperlink"/>
    <w:basedOn w:val="DefaultParagraphFont"/>
    <w:uiPriority w:val="99"/>
    <w:unhideWhenUsed/>
    <w:qFormat/>
    <w:rsid w:val="00782EC4"/>
    <w:rPr>
      <w:color w:val="006991"/>
      <w:u w:val="single"/>
    </w:rPr>
  </w:style>
  <w:style w:type="character" w:styleId="PageNumber">
    <w:name w:val="page number"/>
    <w:basedOn w:val="DefaultParagraphFont"/>
    <w:rsid w:val="00765BA8"/>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85F13"/>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EB6889"/>
    <w:pPr>
      <w:spacing w:before="120"/>
    </w:pPr>
    <w:rPr>
      <w:rFonts w:ascii="Work Sans" w:hAnsi="Work Sans"/>
      <w:b w:val="0"/>
    </w:rPr>
  </w:style>
  <w:style w:type="paragraph" w:styleId="TOC3">
    <w:name w:val="toc 3"/>
    <w:basedOn w:val="TOC2"/>
    <w:next w:val="Normal"/>
    <w:uiPriority w:val="39"/>
    <w:rsid w:val="00485F13"/>
    <w:pPr>
      <w:ind w:left="397"/>
    </w:pPr>
    <w:rPr>
      <w:rFonts w:ascii="Open Sans Light" w:hAnsi="Open Sans Light"/>
      <w:iCs/>
    </w:rPr>
  </w:style>
  <w:style w:type="paragraph" w:styleId="TOC4">
    <w:name w:val="toc 4"/>
    <w:basedOn w:val="TOC3"/>
    <w:next w:val="Normal"/>
    <w:uiPriority w:val="39"/>
    <w:rsid w:val="00FE5C60"/>
    <w:pPr>
      <w:ind w:left="680"/>
    </w:pPr>
    <w:rPr>
      <w:i/>
    </w:rPr>
  </w:style>
  <w:style w:type="paragraph" w:styleId="TOC5">
    <w:name w:val="toc 5"/>
    <w:basedOn w:val="TOC3"/>
    <w:next w:val="Normal"/>
    <w:uiPriority w:val="39"/>
    <w:rsid w:val="007A1785"/>
    <w:pPr>
      <w:spacing w:before="0"/>
      <w:ind w:left="964"/>
    </w:pPr>
    <w:rPr>
      <w:szCs w:val="18"/>
    </w:rPr>
  </w:style>
  <w:style w:type="paragraph" w:styleId="TOC6">
    <w:name w:val="toc 6"/>
    <w:basedOn w:val="TOC5"/>
    <w:next w:val="Normal"/>
    <w:uiPriority w:val="39"/>
    <w:rsid w:val="007A1785"/>
    <w:rPr>
      <w:i/>
    </w:rPr>
  </w:style>
  <w:style w:type="paragraph" w:styleId="TOC7">
    <w:name w:val="toc 7"/>
    <w:basedOn w:val="Normal"/>
    <w:next w:val="Normal"/>
    <w:rsid w:val="00765BA8"/>
    <w:pPr>
      <w:tabs>
        <w:tab w:val="clear" w:pos="567"/>
      </w:tabs>
      <w:ind w:left="1320"/>
    </w:pPr>
    <w:rPr>
      <w:sz w:val="18"/>
      <w:szCs w:val="18"/>
    </w:rPr>
  </w:style>
  <w:style w:type="paragraph" w:styleId="TOC8">
    <w:name w:val="toc 8"/>
    <w:basedOn w:val="Normal"/>
    <w:next w:val="Normal"/>
    <w:rsid w:val="00765BA8"/>
    <w:pPr>
      <w:tabs>
        <w:tab w:val="clear" w:pos="567"/>
      </w:tabs>
      <w:ind w:left="1540"/>
    </w:pPr>
    <w:rPr>
      <w:sz w:val="18"/>
      <w:szCs w:val="18"/>
    </w:rPr>
  </w:style>
  <w:style w:type="paragraph" w:styleId="TOC9">
    <w:name w:val="toc 9"/>
    <w:basedOn w:val="Normal"/>
    <w:next w:val="Normal"/>
    <w:rsid w:val="00765BA8"/>
    <w:pPr>
      <w:tabs>
        <w:tab w:val="clear" w:pos="567"/>
      </w:tabs>
      <w:ind w:left="1760"/>
    </w:pPr>
    <w:rPr>
      <w:sz w:val="18"/>
      <w:szCs w:val="18"/>
    </w:rPr>
  </w:style>
  <w:style w:type="character" w:customStyle="1" w:styleId="Heading1Char">
    <w:name w:val="Heading 1 Char"/>
    <w:basedOn w:val="DefaultParagraphFont"/>
    <w:link w:val="Heading1"/>
    <w:uiPriority w:val="9"/>
    <w:rsid w:val="002B274C"/>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7C4D64"/>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9A2C92"/>
    <w:rPr>
      <w:rFonts w:ascii="Work Sans" w:eastAsia="Times New Roman" w:hAnsi="Work Sans" w:cs="Open Sans"/>
      <w:b/>
      <w:bCs/>
      <w:color w:val="006991"/>
      <w:sz w:val="28"/>
      <w:szCs w:val="28"/>
    </w:rPr>
  </w:style>
  <w:style w:type="character" w:customStyle="1" w:styleId="Heading4Char">
    <w:name w:val="Heading 4 Char"/>
    <w:aliases w:val="CGC 2025 Heading 4 Char"/>
    <w:basedOn w:val="DefaultParagraphFont"/>
    <w:link w:val="Heading4"/>
    <w:uiPriority w:val="9"/>
    <w:rsid w:val="00BD6EEE"/>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BD13E7"/>
    <w:rPr>
      <w:rFonts w:ascii="Montserrat Semi Bold" w:eastAsiaTheme="majorEastAsia" w:hAnsi="Montserrat Semi Bold" w:cstheme="majorBidi"/>
      <w:color w:val="636466"/>
      <w:sz w:val="20"/>
    </w:rPr>
  </w:style>
  <w:style w:type="paragraph" w:styleId="NoSpacing">
    <w:name w:val="No Spacing"/>
    <w:link w:val="NoSpacingChar"/>
    <w:uiPriority w:val="1"/>
    <w:qFormat/>
    <w:rsid w:val="00782EC4"/>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782EC4"/>
    <w:rPr>
      <w:sz w:val="24"/>
    </w:rPr>
  </w:style>
  <w:style w:type="paragraph" w:styleId="ListParagraph">
    <w:name w:val="List Paragraph"/>
    <w:basedOn w:val="Normal"/>
    <w:link w:val="ListParagraphChar"/>
    <w:uiPriority w:val="34"/>
    <w:qFormat/>
    <w:rsid w:val="00622669"/>
    <w:pPr>
      <w:ind w:left="720"/>
      <w:contextualSpacing/>
    </w:pPr>
  </w:style>
  <w:style w:type="paragraph" w:styleId="TOCHeading">
    <w:name w:val="TOC Heading"/>
    <w:aliases w:val="CGC 2025 TOC Heading"/>
    <w:basedOn w:val="Heading1"/>
    <w:next w:val="Normal"/>
    <w:uiPriority w:val="39"/>
    <w:unhideWhenUsed/>
    <w:qFormat/>
    <w:rsid w:val="00032318"/>
    <w:pPr>
      <w:keepLines/>
      <w:spacing w:before="480" w:line="320" w:lineRule="atLeast"/>
      <w:outlineLvl w:val="9"/>
    </w:pPr>
    <w:rPr>
      <w:caps/>
      <w:color w:val="365F91" w:themeColor="accent1" w:themeShade="BF"/>
      <w:sz w:val="28"/>
    </w:rPr>
  </w:style>
  <w:style w:type="character" w:customStyle="1" w:styleId="FooterChar">
    <w:name w:val="Footer Char"/>
    <w:basedOn w:val="DefaultParagraphFont"/>
    <w:link w:val="Footer"/>
    <w:uiPriority w:val="99"/>
    <w:rsid w:val="007A1785"/>
    <w:rPr>
      <w:rFonts w:ascii="Montserrat Ultra Light" w:hAnsi="Montserrat Ultra Light"/>
      <w:b/>
      <w:color w:val="004563"/>
      <w:sz w:val="20"/>
    </w:rPr>
  </w:style>
  <w:style w:type="character" w:customStyle="1" w:styleId="HeaderChar">
    <w:name w:val="Header Char"/>
    <w:basedOn w:val="DefaultParagraphFont"/>
    <w:link w:val="Header"/>
    <w:uiPriority w:val="99"/>
    <w:rsid w:val="007A1785"/>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622669"/>
  </w:style>
  <w:style w:type="character" w:customStyle="1" w:styleId="CaptionChar">
    <w:name w:val="Caption Char"/>
    <w:basedOn w:val="DefaultParagraphFont"/>
    <w:link w:val="Caption"/>
    <w:uiPriority w:val="35"/>
    <w:rsid w:val="00485F13"/>
    <w:rPr>
      <w:rFonts w:ascii="Montserrat Ultra Light" w:hAnsi="Montserrat Ultra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uiPriority w:val="99"/>
    <w:rsid w:val="00D74FB4"/>
    <w:rPr>
      <w:rFonts w:ascii="Work Sans" w:hAnsi="Work Sans"/>
      <w:sz w:val="14"/>
      <w:szCs w:val="16"/>
    </w:rPr>
  </w:style>
  <w:style w:type="character" w:customStyle="1" w:styleId="Heading6Char">
    <w:name w:val="Heading 6 Char"/>
    <w:basedOn w:val="DefaultParagraphFont"/>
    <w:link w:val="Heading6"/>
    <w:uiPriority w:val="9"/>
    <w:rsid w:val="00782EC4"/>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paragraph" w:customStyle="1" w:styleId="CGCParaNumber">
    <w:name w:val="CGC Para Number"/>
    <w:basedOn w:val="Normal"/>
    <w:qFormat/>
    <w:rsid w:val="00956C4E"/>
    <w:pPr>
      <w:numPr>
        <w:numId w:val="10"/>
      </w:numPr>
    </w:pPr>
    <w:rPr>
      <w:rFonts w:ascii="Work Sans" w:hAnsi="Work Sans"/>
      <w:szCs w:val="20"/>
    </w:rPr>
  </w:style>
  <w:style w:type="paragraph" w:customStyle="1" w:styleId="CGC2025Bullet1">
    <w:name w:val="CGC 2025 Bullet 1"/>
    <w:basedOn w:val="Normal"/>
    <w:qFormat/>
    <w:rsid w:val="00956C4E"/>
    <w:pPr>
      <w:numPr>
        <w:numId w:val="3"/>
      </w:numPr>
    </w:pPr>
    <w:rPr>
      <w:rFonts w:ascii="Work Sans" w:hAnsi="Work Sans"/>
      <w:szCs w:val="20"/>
    </w:rPr>
  </w:style>
  <w:style w:type="paragraph" w:customStyle="1" w:styleId="CGCBullet2">
    <w:name w:val="CGC Bullet 2"/>
    <w:basedOn w:val="Normal"/>
    <w:qFormat/>
    <w:rsid w:val="00DA7A60"/>
    <w:pPr>
      <w:numPr>
        <w:numId w:val="4"/>
      </w:numPr>
    </w:pPr>
  </w:style>
  <w:style w:type="paragraph" w:customStyle="1" w:styleId="CGCBullet3">
    <w:name w:val="CGC Bullet 3"/>
    <w:basedOn w:val="Normal"/>
    <w:qFormat/>
    <w:rsid w:val="007A1785"/>
    <w:pPr>
      <w:numPr>
        <w:numId w:val="5"/>
      </w:numPr>
    </w:pPr>
  </w:style>
  <w:style w:type="paragraph" w:customStyle="1" w:styleId="CGCQuoteText">
    <w:name w:val="CGC Quote Text"/>
    <w:basedOn w:val="Normal"/>
    <w:next w:val="Normal"/>
    <w:rsid w:val="00782EC4"/>
    <w:pPr>
      <w:spacing w:after="120"/>
      <w:ind w:left="1418" w:right="1134"/>
    </w:pPr>
  </w:style>
  <w:style w:type="paragraph" w:customStyle="1" w:styleId="CGCQuoteBullet">
    <w:name w:val="CGC Quote Bullet"/>
    <w:basedOn w:val="CGCQuoteText"/>
    <w:next w:val="Normal"/>
    <w:rsid w:val="00782EC4"/>
    <w:pPr>
      <w:numPr>
        <w:numId w:val="6"/>
      </w:numPr>
      <w:ind w:right="1418"/>
    </w:pPr>
  </w:style>
  <w:style w:type="paragraph" w:customStyle="1" w:styleId="CGCTablerow">
    <w:name w:val="CGC Table row"/>
    <w:basedOn w:val="Normal"/>
    <w:qFormat/>
    <w:rsid w:val="00782EC4"/>
    <w:pPr>
      <w:spacing w:before="0" w:line="240" w:lineRule="auto"/>
    </w:pPr>
    <w:rPr>
      <w:sz w:val="16"/>
    </w:rPr>
  </w:style>
  <w:style w:type="paragraph" w:customStyle="1" w:styleId="CGCTablenote">
    <w:name w:val="CGC Table note"/>
    <w:basedOn w:val="Normal"/>
    <w:next w:val="Normal"/>
    <w:link w:val="CGCTablenoteChar"/>
    <w:qFormat/>
    <w:rsid w:val="00FE5C60"/>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FE5C60"/>
    <w:rPr>
      <w:rFonts w:ascii="Montserrat Ultra Light" w:hAnsi="Montserrat Ultra Light"/>
      <w:b/>
      <w:sz w:val="20"/>
      <w:szCs w:val="20"/>
    </w:rPr>
  </w:style>
  <w:style w:type="paragraph" w:customStyle="1" w:styleId="TOCtitle">
    <w:name w:val="TOC title"/>
    <w:basedOn w:val="Normal"/>
    <w:next w:val="Normal"/>
    <w:rsid w:val="001C1121"/>
    <w:rPr>
      <w:rFonts w:ascii="Montserrat Semi Bold" w:hAnsi="Montserrat Semi Bold"/>
      <w:color w:val="004563"/>
      <w:sz w:val="36"/>
      <w:lang w:val="en-US"/>
    </w:rPr>
  </w:style>
  <w:style w:type="character" w:styleId="CommentReference">
    <w:name w:val="annotation reference"/>
    <w:basedOn w:val="DefaultParagraphFont"/>
    <w:semiHidden/>
    <w:unhideWhenUsed/>
    <w:rsid w:val="00CA7A75"/>
    <w:rPr>
      <w:sz w:val="16"/>
      <w:szCs w:val="16"/>
    </w:rPr>
  </w:style>
  <w:style w:type="paragraph" w:styleId="CommentText">
    <w:name w:val="annotation text"/>
    <w:basedOn w:val="Normal"/>
    <w:link w:val="CommentTextChar"/>
    <w:unhideWhenUsed/>
    <w:rsid w:val="00CA7A75"/>
    <w:pPr>
      <w:spacing w:line="240" w:lineRule="auto"/>
    </w:pPr>
    <w:rPr>
      <w:szCs w:val="20"/>
    </w:rPr>
  </w:style>
  <w:style w:type="character" w:customStyle="1" w:styleId="CommentTextChar">
    <w:name w:val="Comment Text Char"/>
    <w:basedOn w:val="DefaultParagraphFont"/>
    <w:link w:val="CommentText"/>
    <w:rsid w:val="00CA7A75"/>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CA7A75"/>
    <w:rPr>
      <w:b/>
      <w:bCs/>
    </w:rPr>
  </w:style>
  <w:style w:type="character" w:customStyle="1" w:styleId="CommentSubjectChar">
    <w:name w:val="Comment Subject Char"/>
    <w:basedOn w:val="CommentTextChar"/>
    <w:link w:val="CommentSubject"/>
    <w:semiHidden/>
    <w:rsid w:val="00CA7A75"/>
    <w:rPr>
      <w:rFonts w:ascii="Open Sans Light" w:hAnsi="Open Sans Light"/>
      <w:b/>
      <w:bCs/>
      <w:sz w:val="20"/>
      <w:szCs w:val="20"/>
    </w:rPr>
  </w:style>
  <w:style w:type="paragraph" w:customStyle="1" w:styleId="CGCTablesubhead1">
    <w:name w:val="CGC Table subhead1"/>
    <w:basedOn w:val="Normal"/>
    <w:rsid w:val="00BF20E8"/>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4F4A13"/>
    <w:rPr>
      <w:color w:val="605E5C"/>
      <w:shd w:val="clear" w:color="auto" w:fill="E1DFDD"/>
    </w:rPr>
  </w:style>
  <w:style w:type="character" w:styleId="Mention">
    <w:name w:val="Mention"/>
    <w:basedOn w:val="DefaultParagraphFont"/>
    <w:uiPriority w:val="99"/>
    <w:unhideWhenUsed/>
    <w:rsid w:val="004F4A13"/>
    <w:rPr>
      <w:color w:val="2B579A"/>
      <w:shd w:val="clear" w:color="auto" w:fill="E1DFDD"/>
    </w:rPr>
  </w:style>
  <w:style w:type="paragraph" w:customStyle="1" w:styleId="Bulletpoint">
    <w:name w:val="Bullet point"/>
    <w:basedOn w:val="ListParagraph"/>
    <w:link w:val="BulletpointChar"/>
    <w:qFormat/>
    <w:rsid w:val="00A5102B"/>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A5102B"/>
    <w:rPr>
      <w:rFonts w:ascii="Open Sans Light" w:hAnsi="Open Sans Light"/>
      <w:sz w:val="20"/>
    </w:rPr>
  </w:style>
  <w:style w:type="character" w:customStyle="1" w:styleId="BulletpointChar">
    <w:name w:val="Bullet point Char"/>
    <w:basedOn w:val="ListParagraphChar"/>
    <w:link w:val="Bulletpoint"/>
    <w:rsid w:val="00A5102B"/>
    <w:rPr>
      <w:rFonts w:ascii="Open Sans Light" w:hAnsi="Open Sans Light"/>
      <w:sz w:val="20"/>
    </w:rPr>
  </w:style>
  <w:style w:type="paragraph" w:styleId="Revision">
    <w:name w:val="Revision"/>
    <w:hidden/>
    <w:uiPriority w:val="99"/>
    <w:semiHidden/>
    <w:rsid w:val="001B76A8"/>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1307A8"/>
    <w:pPr>
      <w:numPr>
        <w:numId w:val="8"/>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rsid w:val="001307A8"/>
    <w:pPr>
      <w:numPr>
        <w:ilvl w:val="1"/>
        <w:numId w:val="9"/>
      </w:numPr>
      <w:tabs>
        <w:tab w:val="clear" w:pos="567"/>
      </w:tabs>
      <w:spacing w:after="80" w:line="320" w:lineRule="atLeast"/>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1307A8"/>
    <w:rPr>
      <w:sz w:val="24"/>
      <w:szCs w:val="20"/>
    </w:rPr>
  </w:style>
  <w:style w:type="character" w:customStyle="1" w:styleId="cf01">
    <w:name w:val="cf01"/>
    <w:basedOn w:val="DefaultParagraphFont"/>
    <w:rsid w:val="002F0D1B"/>
    <w:rPr>
      <w:rFonts w:ascii="Segoe UI" w:hAnsi="Segoe UI" w:cs="Segoe UI" w:hint="default"/>
      <w:sz w:val="18"/>
      <w:szCs w:val="18"/>
    </w:rPr>
  </w:style>
  <w:style w:type="table" w:customStyle="1" w:styleId="TableGrid1">
    <w:name w:val="Table Grid1"/>
    <w:basedOn w:val="TableNormal"/>
    <w:next w:val="TableGrid"/>
    <w:uiPriority w:val="39"/>
    <w:rsid w:val="002F08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6E3848"/>
    <w:rPr>
      <w:color w:val="800080" w:themeColor="followedHyperlink"/>
      <w:u w:val="single"/>
    </w:rPr>
  </w:style>
  <w:style w:type="paragraph" w:customStyle="1" w:styleId="CGC2025QuestionNumbers">
    <w:name w:val="CGC 2025 Question Numbers"/>
    <w:basedOn w:val="Normal"/>
    <w:qFormat/>
    <w:rsid w:val="007B2219"/>
    <w:pPr>
      <w:numPr>
        <w:numId w:val="12"/>
      </w:numPr>
      <w:spacing w:after="120"/>
    </w:pPr>
    <w:rPr>
      <w:rFonts w:ascii="Work Sans" w:hAnsi="Work Sans" w:cs="Open Sans Light"/>
      <w:szCs w:val="20"/>
    </w:rPr>
  </w:style>
  <w:style w:type="numbering" w:customStyle="1" w:styleId="CGCConsultQuestion">
    <w:name w:val="CGC Consult Question"/>
    <w:basedOn w:val="NoList"/>
    <w:uiPriority w:val="99"/>
    <w:rsid w:val="00084EE0"/>
    <w:pPr>
      <w:numPr>
        <w:numId w:val="11"/>
      </w:numPr>
    </w:pPr>
  </w:style>
  <w:style w:type="paragraph" w:customStyle="1" w:styleId="CGC2025ParaNumbers">
    <w:name w:val="CGC 2025 Para Numbers"/>
    <w:basedOn w:val="CGCNumberedPara"/>
    <w:rsid w:val="004477FF"/>
    <w:pPr>
      <w:tabs>
        <w:tab w:val="num" w:pos="567"/>
      </w:tabs>
    </w:pPr>
    <w:rPr>
      <w:rFonts w:ascii="Work Sans" w:hAnsi="Work Sans"/>
      <w:sz w:val="20"/>
    </w:rPr>
  </w:style>
  <w:style w:type="paragraph" w:customStyle="1" w:styleId="CGC2025Bullet2">
    <w:name w:val="CGC 2025 Bullet 2"/>
    <w:basedOn w:val="CGCBullet2"/>
    <w:rsid w:val="00294D2F"/>
    <w:rPr>
      <w:rFonts w:ascii="Work Sans" w:hAnsi="Work Sans"/>
    </w:rPr>
  </w:style>
  <w:style w:type="paragraph" w:customStyle="1" w:styleId="CGC2025Heading2AttachmentFollower">
    <w:name w:val="CGC 2025 Heading 2 Attachment Follower"/>
    <w:basedOn w:val="Heading2"/>
    <w:rsid w:val="00294D2F"/>
    <w:rPr>
      <w:b w:val="0"/>
      <w:bCs w:val="0"/>
    </w:rPr>
  </w:style>
  <w:style w:type="paragraph" w:customStyle="1" w:styleId="CGC2025Caption">
    <w:name w:val="CGC 2025 Caption"/>
    <w:basedOn w:val="Normal"/>
    <w:qFormat/>
    <w:rsid w:val="0036695B"/>
    <w:pPr>
      <w:spacing w:before="240" w:after="120" w:line="240" w:lineRule="auto"/>
    </w:pPr>
    <w:rPr>
      <w:rFonts w:ascii="Work Sans" w:hAnsi="Work Sans"/>
      <w:b/>
    </w:rPr>
  </w:style>
  <w:style w:type="paragraph" w:customStyle="1" w:styleId="CGC2025Questionsnumbers2">
    <w:name w:val="CGC 2025 Questions numbers 2"/>
    <w:basedOn w:val="Normal"/>
    <w:next w:val="CGC2025ParaNumbers"/>
    <w:qFormat/>
    <w:rsid w:val="004E0005"/>
    <w:pPr>
      <w:numPr>
        <w:numId w:val="13"/>
      </w:numPr>
      <w:ind w:left="454" w:hanging="454"/>
    </w:pPr>
    <w:rPr>
      <w:rFonts w:ascii="Work Sans" w:hAnsi="Work Sans" w:cs="Open Sans"/>
      <w:bCs/>
      <w:szCs w:val="56"/>
    </w:rPr>
  </w:style>
  <w:style w:type="paragraph" w:customStyle="1" w:styleId="CGC2025TableNote">
    <w:name w:val="CGC 2025 Table Note"/>
    <w:basedOn w:val="CGCTablenote"/>
    <w:link w:val="CGC2025TableNoteChar"/>
    <w:qFormat/>
    <w:rsid w:val="00FB59C2"/>
    <w:rPr>
      <w:rFonts w:ascii="Work Sans" w:hAnsi="Work Sans"/>
    </w:rPr>
  </w:style>
  <w:style w:type="character" w:customStyle="1" w:styleId="CGCTablenoteChar">
    <w:name w:val="CGC Table note Char"/>
    <w:basedOn w:val="DefaultParagraphFont"/>
    <w:link w:val="CGCTablenote"/>
    <w:rsid w:val="00FB59C2"/>
    <w:rPr>
      <w:rFonts w:ascii="Open Sans Light" w:hAnsi="Open Sans Light"/>
      <w:sz w:val="14"/>
    </w:rPr>
  </w:style>
  <w:style w:type="character" w:customStyle="1" w:styleId="CGC2025TableNoteChar">
    <w:name w:val="CGC 2025 Table Note Char"/>
    <w:basedOn w:val="CGCTablenoteChar"/>
    <w:link w:val="CGC2025TableNote"/>
    <w:rsid w:val="00FB59C2"/>
    <w:rPr>
      <w:rFonts w:ascii="Work Sans" w:hAnsi="Work Sans"/>
      <w:sz w:val="14"/>
    </w:rPr>
  </w:style>
  <w:style w:type="paragraph" w:customStyle="1" w:styleId="CGCBullet1">
    <w:name w:val="CGC Bullet 1"/>
    <w:basedOn w:val="Normal"/>
    <w:qFormat/>
    <w:rsid w:val="00A11A9E"/>
    <w:pPr>
      <w:ind w:left="927" w:hanging="360"/>
    </w:pPr>
    <w:rPr>
      <w:rFonts w:ascii="Work Sans" w:hAnsi="Work Sans"/>
    </w:rPr>
  </w:style>
  <w:style w:type="paragraph" w:styleId="Bibliography">
    <w:name w:val="Bibliography"/>
    <w:basedOn w:val="Normal"/>
    <w:next w:val="Normal"/>
    <w:uiPriority w:val="37"/>
    <w:unhideWhenUsed/>
    <w:rsid w:val="00DB66C5"/>
  </w:style>
  <w:style w:type="paragraph" w:styleId="TableofFigures">
    <w:name w:val="table of figures"/>
    <w:basedOn w:val="Normal"/>
    <w:next w:val="Normal"/>
    <w:uiPriority w:val="99"/>
    <w:unhideWhenUsed/>
    <w:rsid w:val="00BA658F"/>
    <w:pPr>
      <w:tabs>
        <w:tab w:val="clear" w:pos="567"/>
      </w:tabs>
      <w:spacing w:before="0" w:line="259" w:lineRule="auto"/>
    </w:pPr>
    <w:rPr>
      <w:rFonts w:asciiTheme="minorHAnsi" w:hAnsiTheme="minorHAnsi"/>
      <w:kern w:val="2"/>
      <w:sz w:val="22"/>
      <w14:ligatures w14:val="standardContextual"/>
    </w:rPr>
  </w:style>
  <w:style w:type="character" w:styleId="Strong">
    <w:name w:val="Strong"/>
    <w:basedOn w:val="DefaultParagraphFont"/>
    <w:uiPriority w:val="22"/>
    <w:qFormat/>
    <w:rsid w:val="00554AEC"/>
    <w:rPr>
      <w:b/>
      <w:bCs/>
    </w:rPr>
  </w:style>
  <w:style w:type="character" w:customStyle="1" w:styleId="ui-provider">
    <w:name w:val="ui-provider"/>
    <w:basedOn w:val="DefaultParagraphFont"/>
    <w:rsid w:val="00E80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02">
      <w:bodyDiv w:val="1"/>
      <w:marLeft w:val="0"/>
      <w:marRight w:val="0"/>
      <w:marTop w:val="0"/>
      <w:marBottom w:val="0"/>
      <w:divBdr>
        <w:top w:val="none" w:sz="0" w:space="0" w:color="auto"/>
        <w:left w:val="none" w:sz="0" w:space="0" w:color="auto"/>
        <w:bottom w:val="none" w:sz="0" w:space="0" w:color="auto"/>
        <w:right w:val="none" w:sz="0" w:space="0" w:color="auto"/>
      </w:divBdr>
    </w:div>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28343417">
      <w:bodyDiv w:val="1"/>
      <w:marLeft w:val="0"/>
      <w:marRight w:val="0"/>
      <w:marTop w:val="0"/>
      <w:marBottom w:val="0"/>
      <w:divBdr>
        <w:top w:val="none" w:sz="0" w:space="0" w:color="auto"/>
        <w:left w:val="none" w:sz="0" w:space="0" w:color="auto"/>
        <w:bottom w:val="none" w:sz="0" w:space="0" w:color="auto"/>
        <w:right w:val="none" w:sz="0" w:space="0" w:color="auto"/>
      </w:divBdr>
    </w:div>
    <w:div w:id="84965298">
      <w:bodyDiv w:val="1"/>
      <w:marLeft w:val="0"/>
      <w:marRight w:val="0"/>
      <w:marTop w:val="0"/>
      <w:marBottom w:val="0"/>
      <w:divBdr>
        <w:top w:val="none" w:sz="0" w:space="0" w:color="auto"/>
        <w:left w:val="none" w:sz="0" w:space="0" w:color="auto"/>
        <w:bottom w:val="none" w:sz="0" w:space="0" w:color="auto"/>
        <w:right w:val="none" w:sz="0" w:space="0" w:color="auto"/>
      </w:divBdr>
    </w:div>
    <w:div w:id="96684897">
      <w:bodyDiv w:val="1"/>
      <w:marLeft w:val="0"/>
      <w:marRight w:val="0"/>
      <w:marTop w:val="0"/>
      <w:marBottom w:val="0"/>
      <w:divBdr>
        <w:top w:val="none" w:sz="0" w:space="0" w:color="auto"/>
        <w:left w:val="none" w:sz="0" w:space="0" w:color="auto"/>
        <w:bottom w:val="none" w:sz="0" w:space="0" w:color="auto"/>
        <w:right w:val="none" w:sz="0" w:space="0" w:color="auto"/>
      </w:divBdr>
    </w:div>
    <w:div w:id="101802365">
      <w:bodyDiv w:val="1"/>
      <w:marLeft w:val="0"/>
      <w:marRight w:val="0"/>
      <w:marTop w:val="0"/>
      <w:marBottom w:val="0"/>
      <w:divBdr>
        <w:top w:val="none" w:sz="0" w:space="0" w:color="auto"/>
        <w:left w:val="none" w:sz="0" w:space="0" w:color="auto"/>
        <w:bottom w:val="none" w:sz="0" w:space="0" w:color="auto"/>
        <w:right w:val="none" w:sz="0" w:space="0" w:color="auto"/>
      </w:divBdr>
    </w:div>
    <w:div w:id="105739114">
      <w:bodyDiv w:val="1"/>
      <w:marLeft w:val="0"/>
      <w:marRight w:val="0"/>
      <w:marTop w:val="0"/>
      <w:marBottom w:val="0"/>
      <w:divBdr>
        <w:top w:val="none" w:sz="0" w:space="0" w:color="auto"/>
        <w:left w:val="none" w:sz="0" w:space="0" w:color="auto"/>
        <w:bottom w:val="none" w:sz="0" w:space="0" w:color="auto"/>
        <w:right w:val="none" w:sz="0" w:space="0" w:color="auto"/>
      </w:divBdr>
    </w:div>
    <w:div w:id="107235896">
      <w:bodyDiv w:val="1"/>
      <w:marLeft w:val="0"/>
      <w:marRight w:val="0"/>
      <w:marTop w:val="0"/>
      <w:marBottom w:val="0"/>
      <w:divBdr>
        <w:top w:val="none" w:sz="0" w:space="0" w:color="auto"/>
        <w:left w:val="none" w:sz="0" w:space="0" w:color="auto"/>
        <w:bottom w:val="none" w:sz="0" w:space="0" w:color="auto"/>
        <w:right w:val="none" w:sz="0" w:space="0" w:color="auto"/>
      </w:divBdr>
    </w:div>
    <w:div w:id="125127611">
      <w:bodyDiv w:val="1"/>
      <w:marLeft w:val="0"/>
      <w:marRight w:val="0"/>
      <w:marTop w:val="0"/>
      <w:marBottom w:val="0"/>
      <w:divBdr>
        <w:top w:val="none" w:sz="0" w:space="0" w:color="auto"/>
        <w:left w:val="none" w:sz="0" w:space="0" w:color="auto"/>
        <w:bottom w:val="none" w:sz="0" w:space="0" w:color="auto"/>
        <w:right w:val="none" w:sz="0" w:space="0" w:color="auto"/>
      </w:divBdr>
    </w:div>
    <w:div w:id="126165844">
      <w:bodyDiv w:val="1"/>
      <w:marLeft w:val="0"/>
      <w:marRight w:val="0"/>
      <w:marTop w:val="0"/>
      <w:marBottom w:val="0"/>
      <w:divBdr>
        <w:top w:val="none" w:sz="0" w:space="0" w:color="auto"/>
        <w:left w:val="none" w:sz="0" w:space="0" w:color="auto"/>
        <w:bottom w:val="none" w:sz="0" w:space="0" w:color="auto"/>
        <w:right w:val="none" w:sz="0" w:space="0" w:color="auto"/>
      </w:divBdr>
    </w:div>
    <w:div w:id="162819994">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289669450">
      <w:bodyDiv w:val="1"/>
      <w:marLeft w:val="0"/>
      <w:marRight w:val="0"/>
      <w:marTop w:val="0"/>
      <w:marBottom w:val="0"/>
      <w:divBdr>
        <w:top w:val="none" w:sz="0" w:space="0" w:color="auto"/>
        <w:left w:val="none" w:sz="0" w:space="0" w:color="auto"/>
        <w:bottom w:val="none" w:sz="0" w:space="0" w:color="auto"/>
        <w:right w:val="none" w:sz="0" w:space="0" w:color="auto"/>
      </w:divBdr>
    </w:div>
    <w:div w:id="335619354">
      <w:bodyDiv w:val="1"/>
      <w:marLeft w:val="0"/>
      <w:marRight w:val="0"/>
      <w:marTop w:val="0"/>
      <w:marBottom w:val="0"/>
      <w:divBdr>
        <w:top w:val="none" w:sz="0" w:space="0" w:color="auto"/>
        <w:left w:val="none" w:sz="0" w:space="0" w:color="auto"/>
        <w:bottom w:val="none" w:sz="0" w:space="0" w:color="auto"/>
        <w:right w:val="none" w:sz="0" w:space="0" w:color="auto"/>
      </w:divBdr>
    </w:div>
    <w:div w:id="352416889">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372653288">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6219649">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12902319">
      <w:bodyDiv w:val="1"/>
      <w:marLeft w:val="0"/>
      <w:marRight w:val="0"/>
      <w:marTop w:val="0"/>
      <w:marBottom w:val="0"/>
      <w:divBdr>
        <w:top w:val="none" w:sz="0" w:space="0" w:color="auto"/>
        <w:left w:val="none" w:sz="0" w:space="0" w:color="auto"/>
        <w:bottom w:val="none" w:sz="0" w:space="0" w:color="auto"/>
        <w:right w:val="none" w:sz="0" w:space="0" w:color="auto"/>
      </w:divBdr>
    </w:div>
    <w:div w:id="633024440">
      <w:bodyDiv w:val="1"/>
      <w:marLeft w:val="0"/>
      <w:marRight w:val="0"/>
      <w:marTop w:val="0"/>
      <w:marBottom w:val="0"/>
      <w:divBdr>
        <w:top w:val="none" w:sz="0" w:space="0" w:color="auto"/>
        <w:left w:val="none" w:sz="0" w:space="0" w:color="auto"/>
        <w:bottom w:val="none" w:sz="0" w:space="0" w:color="auto"/>
        <w:right w:val="none" w:sz="0" w:space="0" w:color="auto"/>
      </w:divBdr>
    </w:div>
    <w:div w:id="638532435">
      <w:bodyDiv w:val="1"/>
      <w:marLeft w:val="0"/>
      <w:marRight w:val="0"/>
      <w:marTop w:val="0"/>
      <w:marBottom w:val="0"/>
      <w:divBdr>
        <w:top w:val="none" w:sz="0" w:space="0" w:color="auto"/>
        <w:left w:val="none" w:sz="0" w:space="0" w:color="auto"/>
        <w:bottom w:val="none" w:sz="0" w:space="0" w:color="auto"/>
        <w:right w:val="none" w:sz="0" w:space="0" w:color="auto"/>
      </w:divBdr>
    </w:div>
    <w:div w:id="659116111">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690568777">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14280260">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744105496">
      <w:bodyDiv w:val="1"/>
      <w:marLeft w:val="0"/>
      <w:marRight w:val="0"/>
      <w:marTop w:val="0"/>
      <w:marBottom w:val="0"/>
      <w:divBdr>
        <w:top w:val="none" w:sz="0" w:space="0" w:color="auto"/>
        <w:left w:val="none" w:sz="0" w:space="0" w:color="auto"/>
        <w:bottom w:val="none" w:sz="0" w:space="0" w:color="auto"/>
        <w:right w:val="none" w:sz="0" w:space="0" w:color="auto"/>
      </w:divBdr>
    </w:div>
    <w:div w:id="751239815">
      <w:bodyDiv w:val="1"/>
      <w:marLeft w:val="0"/>
      <w:marRight w:val="0"/>
      <w:marTop w:val="0"/>
      <w:marBottom w:val="0"/>
      <w:divBdr>
        <w:top w:val="none" w:sz="0" w:space="0" w:color="auto"/>
        <w:left w:val="none" w:sz="0" w:space="0" w:color="auto"/>
        <w:bottom w:val="none" w:sz="0" w:space="0" w:color="auto"/>
        <w:right w:val="none" w:sz="0" w:space="0" w:color="auto"/>
      </w:divBdr>
    </w:div>
    <w:div w:id="758454277">
      <w:bodyDiv w:val="1"/>
      <w:marLeft w:val="0"/>
      <w:marRight w:val="0"/>
      <w:marTop w:val="0"/>
      <w:marBottom w:val="0"/>
      <w:divBdr>
        <w:top w:val="none" w:sz="0" w:space="0" w:color="auto"/>
        <w:left w:val="none" w:sz="0" w:space="0" w:color="auto"/>
        <w:bottom w:val="none" w:sz="0" w:space="0" w:color="auto"/>
        <w:right w:val="none" w:sz="0" w:space="0" w:color="auto"/>
      </w:divBdr>
    </w:div>
    <w:div w:id="778529905">
      <w:bodyDiv w:val="1"/>
      <w:marLeft w:val="0"/>
      <w:marRight w:val="0"/>
      <w:marTop w:val="0"/>
      <w:marBottom w:val="0"/>
      <w:divBdr>
        <w:top w:val="none" w:sz="0" w:space="0" w:color="auto"/>
        <w:left w:val="none" w:sz="0" w:space="0" w:color="auto"/>
        <w:bottom w:val="none" w:sz="0" w:space="0" w:color="auto"/>
        <w:right w:val="none" w:sz="0" w:space="0" w:color="auto"/>
      </w:divBdr>
    </w:div>
    <w:div w:id="811947686">
      <w:bodyDiv w:val="1"/>
      <w:marLeft w:val="0"/>
      <w:marRight w:val="0"/>
      <w:marTop w:val="0"/>
      <w:marBottom w:val="0"/>
      <w:divBdr>
        <w:top w:val="none" w:sz="0" w:space="0" w:color="auto"/>
        <w:left w:val="none" w:sz="0" w:space="0" w:color="auto"/>
        <w:bottom w:val="none" w:sz="0" w:space="0" w:color="auto"/>
        <w:right w:val="none" w:sz="0" w:space="0" w:color="auto"/>
      </w:divBdr>
    </w:div>
    <w:div w:id="826088990">
      <w:bodyDiv w:val="1"/>
      <w:marLeft w:val="0"/>
      <w:marRight w:val="0"/>
      <w:marTop w:val="0"/>
      <w:marBottom w:val="0"/>
      <w:divBdr>
        <w:top w:val="none" w:sz="0" w:space="0" w:color="auto"/>
        <w:left w:val="none" w:sz="0" w:space="0" w:color="auto"/>
        <w:bottom w:val="none" w:sz="0" w:space="0" w:color="auto"/>
        <w:right w:val="none" w:sz="0" w:space="0" w:color="auto"/>
      </w:divBdr>
    </w:div>
    <w:div w:id="894314632">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27470766">
      <w:bodyDiv w:val="1"/>
      <w:marLeft w:val="0"/>
      <w:marRight w:val="0"/>
      <w:marTop w:val="0"/>
      <w:marBottom w:val="0"/>
      <w:divBdr>
        <w:top w:val="none" w:sz="0" w:space="0" w:color="auto"/>
        <w:left w:val="none" w:sz="0" w:space="0" w:color="auto"/>
        <w:bottom w:val="none" w:sz="0" w:space="0" w:color="auto"/>
        <w:right w:val="none" w:sz="0" w:space="0" w:color="auto"/>
      </w:divBdr>
    </w:div>
    <w:div w:id="949510616">
      <w:bodyDiv w:val="1"/>
      <w:marLeft w:val="0"/>
      <w:marRight w:val="0"/>
      <w:marTop w:val="0"/>
      <w:marBottom w:val="0"/>
      <w:divBdr>
        <w:top w:val="none" w:sz="0" w:space="0" w:color="auto"/>
        <w:left w:val="none" w:sz="0" w:space="0" w:color="auto"/>
        <w:bottom w:val="none" w:sz="0" w:space="0" w:color="auto"/>
        <w:right w:val="none" w:sz="0" w:space="0" w:color="auto"/>
      </w:divBdr>
    </w:div>
    <w:div w:id="988174286">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020083346">
      <w:bodyDiv w:val="1"/>
      <w:marLeft w:val="0"/>
      <w:marRight w:val="0"/>
      <w:marTop w:val="0"/>
      <w:marBottom w:val="0"/>
      <w:divBdr>
        <w:top w:val="none" w:sz="0" w:space="0" w:color="auto"/>
        <w:left w:val="none" w:sz="0" w:space="0" w:color="auto"/>
        <w:bottom w:val="none" w:sz="0" w:space="0" w:color="auto"/>
        <w:right w:val="none" w:sz="0" w:space="0" w:color="auto"/>
      </w:divBdr>
    </w:div>
    <w:div w:id="1140420186">
      <w:bodyDiv w:val="1"/>
      <w:marLeft w:val="0"/>
      <w:marRight w:val="0"/>
      <w:marTop w:val="0"/>
      <w:marBottom w:val="0"/>
      <w:divBdr>
        <w:top w:val="none" w:sz="0" w:space="0" w:color="auto"/>
        <w:left w:val="none" w:sz="0" w:space="0" w:color="auto"/>
        <w:bottom w:val="none" w:sz="0" w:space="0" w:color="auto"/>
        <w:right w:val="none" w:sz="0" w:space="0" w:color="auto"/>
      </w:divBdr>
    </w:div>
    <w:div w:id="1142189634">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240751527">
      <w:bodyDiv w:val="1"/>
      <w:marLeft w:val="0"/>
      <w:marRight w:val="0"/>
      <w:marTop w:val="0"/>
      <w:marBottom w:val="0"/>
      <w:divBdr>
        <w:top w:val="none" w:sz="0" w:space="0" w:color="auto"/>
        <w:left w:val="none" w:sz="0" w:space="0" w:color="auto"/>
        <w:bottom w:val="none" w:sz="0" w:space="0" w:color="auto"/>
        <w:right w:val="none" w:sz="0" w:space="0" w:color="auto"/>
      </w:divBdr>
    </w:div>
    <w:div w:id="1329018852">
      <w:bodyDiv w:val="1"/>
      <w:marLeft w:val="0"/>
      <w:marRight w:val="0"/>
      <w:marTop w:val="0"/>
      <w:marBottom w:val="0"/>
      <w:divBdr>
        <w:top w:val="none" w:sz="0" w:space="0" w:color="auto"/>
        <w:left w:val="none" w:sz="0" w:space="0" w:color="auto"/>
        <w:bottom w:val="none" w:sz="0" w:space="0" w:color="auto"/>
        <w:right w:val="none" w:sz="0" w:space="0" w:color="auto"/>
      </w:divBdr>
    </w:div>
    <w:div w:id="1345091911">
      <w:bodyDiv w:val="1"/>
      <w:marLeft w:val="0"/>
      <w:marRight w:val="0"/>
      <w:marTop w:val="0"/>
      <w:marBottom w:val="0"/>
      <w:divBdr>
        <w:top w:val="none" w:sz="0" w:space="0" w:color="auto"/>
        <w:left w:val="none" w:sz="0" w:space="0" w:color="auto"/>
        <w:bottom w:val="none" w:sz="0" w:space="0" w:color="auto"/>
        <w:right w:val="none" w:sz="0" w:space="0" w:color="auto"/>
      </w:divBdr>
    </w:div>
    <w:div w:id="1352416629">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02630938">
      <w:bodyDiv w:val="1"/>
      <w:marLeft w:val="0"/>
      <w:marRight w:val="0"/>
      <w:marTop w:val="0"/>
      <w:marBottom w:val="0"/>
      <w:divBdr>
        <w:top w:val="none" w:sz="0" w:space="0" w:color="auto"/>
        <w:left w:val="none" w:sz="0" w:space="0" w:color="auto"/>
        <w:bottom w:val="none" w:sz="0" w:space="0" w:color="auto"/>
        <w:right w:val="none" w:sz="0" w:space="0" w:color="auto"/>
      </w:divBdr>
    </w:div>
    <w:div w:id="1439527422">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77988927">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18809167">
      <w:bodyDiv w:val="1"/>
      <w:marLeft w:val="0"/>
      <w:marRight w:val="0"/>
      <w:marTop w:val="0"/>
      <w:marBottom w:val="0"/>
      <w:divBdr>
        <w:top w:val="none" w:sz="0" w:space="0" w:color="auto"/>
        <w:left w:val="none" w:sz="0" w:space="0" w:color="auto"/>
        <w:bottom w:val="none" w:sz="0" w:space="0" w:color="auto"/>
        <w:right w:val="none" w:sz="0" w:space="0" w:color="auto"/>
      </w:divBdr>
    </w:div>
    <w:div w:id="1531607131">
      <w:bodyDiv w:val="1"/>
      <w:marLeft w:val="0"/>
      <w:marRight w:val="0"/>
      <w:marTop w:val="0"/>
      <w:marBottom w:val="0"/>
      <w:divBdr>
        <w:top w:val="none" w:sz="0" w:space="0" w:color="auto"/>
        <w:left w:val="none" w:sz="0" w:space="0" w:color="auto"/>
        <w:bottom w:val="none" w:sz="0" w:space="0" w:color="auto"/>
        <w:right w:val="none" w:sz="0" w:space="0" w:color="auto"/>
      </w:divBdr>
    </w:div>
    <w:div w:id="1534610864">
      <w:bodyDiv w:val="1"/>
      <w:marLeft w:val="0"/>
      <w:marRight w:val="0"/>
      <w:marTop w:val="0"/>
      <w:marBottom w:val="0"/>
      <w:divBdr>
        <w:top w:val="none" w:sz="0" w:space="0" w:color="auto"/>
        <w:left w:val="none" w:sz="0" w:space="0" w:color="auto"/>
        <w:bottom w:val="none" w:sz="0" w:space="0" w:color="auto"/>
        <w:right w:val="none" w:sz="0" w:space="0" w:color="auto"/>
      </w:divBdr>
    </w:div>
    <w:div w:id="1578975730">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21401154">
      <w:bodyDiv w:val="1"/>
      <w:marLeft w:val="0"/>
      <w:marRight w:val="0"/>
      <w:marTop w:val="0"/>
      <w:marBottom w:val="0"/>
      <w:divBdr>
        <w:top w:val="none" w:sz="0" w:space="0" w:color="auto"/>
        <w:left w:val="none" w:sz="0" w:space="0" w:color="auto"/>
        <w:bottom w:val="none" w:sz="0" w:space="0" w:color="auto"/>
        <w:right w:val="none" w:sz="0" w:space="0" w:color="auto"/>
      </w:divBdr>
    </w:div>
    <w:div w:id="1745180312">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62018797">
      <w:bodyDiv w:val="1"/>
      <w:marLeft w:val="0"/>
      <w:marRight w:val="0"/>
      <w:marTop w:val="0"/>
      <w:marBottom w:val="0"/>
      <w:divBdr>
        <w:top w:val="none" w:sz="0" w:space="0" w:color="auto"/>
        <w:left w:val="none" w:sz="0" w:space="0" w:color="auto"/>
        <w:bottom w:val="none" w:sz="0" w:space="0" w:color="auto"/>
        <w:right w:val="none" w:sz="0" w:space="0" w:color="auto"/>
      </w:divBdr>
    </w:div>
    <w:div w:id="1769735264">
      <w:bodyDiv w:val="1"/>
      <w:marLeft w:val="0"/>
      <w:marRight w:val="0"/>
      <w:marTop w:val="0"/>
      <w:marBottom w:val="0"/>
      <w:divBdr>
        <w:top w:val="none" w:sz="0" w:space="0" w:color="auto"/>
        <w:left w:val="none" w:sz="0" w:space="0" w:color="auto"/>
        <w:bottom w:val="none" w:sz="0" w:space="0" w:color="auto"/>
        <w:right w:val="none" w:sz="0" w:space="0" w:color="auto"/>
      </w:divBdr>
    </w:div>
    <w:div w:id="1811439548">
      <w:bodyDiv w:val="1"/>
      <w:marLeft w:val="0"/>
      <w:marRight w:val="0"/>
      <w:marTop w:val="0"/>
      <w:marBottom w:val="0"/>
      <w:divBdr>
        <w:top w:val="none" w:sz="0" w:space="0" w:color="auto"/>
        <w:left w:val="none" w:sz="0" w:space="0" w:color="auto"/>
        <w:bottom w:val="none" w:sz="0" w:space="0" w:color="auto"/>
        <w:right w:val="none" w:sz="0" w:space="0" w:color="auto"/>
      </w:divBdr>
    </w:div>
    <w:div w:id="1852527505">
      <w:bodyDiv w:val="1"/>
      <w:marLeft w:val="0"/>
      <w:marRight w:val="0"/>
      <w:marTop w:val="0"/>
      <w:marBottom w:val="0"/>
      <w:divBdr>
        <w:top w:val="none" w:sz="0" w:space="0" w:color="auto"/>
        <w:left w:val="none" w:sz="0" w:space="0" w:color="auto"/>
        <w:bottom w:val="none" w:sz="0" w:space="0" w:color="auto"/>
        <w:right w:val="none" w:sz="0" w:space="0" w:color="auto"/>
      </w:divBdr>
    </w:div>
    <w:div w:id="1855532205">
      <w:bodyDiv w:val="1"/>
      <w:marLeft w:val="0"/>
      <w:marRight w:val="0"/>
      <w:marTop w:val="0"/>
      <w:marBottom w:val="0"/>
      <w:divBdr>
        <w:top w:val="none" w:sz="0" w:space="0" w:color="auto"/>
        <w:left w:val="none" w:sz="0" w:space="0" w:color="auto"/>
        <w:bottom w:val="none" w:sz="0" w:space="0" w:color="auto"/>
        <w:right w:val="none" w:sz="0" w:space="0" w:color="auto"/>
      </w:divBdr>
    </w:div>
    <w:div w:id="1903054235">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80760930">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1999188723">
      <w:bodyDiv w:val="1"/>
      <w:marLeft w:val="0"/>
      <w:marRight w:val="0"/>
      <w:marTop w:val="0"/>
      <w:marBottom w:val="0"/>
      <w:divBdr>
        <w:top w:val="none" w:sz="0" w:space="0" w:color="auto"/>
        <w:left w:val="none" w:sz="0" w:space="0" w:color="auto"/>
        <w:bottom w:val="none" w:sz="0" w:space="0" w:color="auto"/>
        <w:right w:val="none" w:sz="0" w:space="0" w:color="auto"/>
      </w:divBdr>
    </w:div>
    <w:div w:id="2009794253">
      <w:bodyDiv w:val="1"/>
      <w:marLeft w:val="0"/>
      <w:marRight w:val="0"/>
      <w:marTop w:val="0"/>
      <w:marBottom w:val="0"/>
      <w:divBdr>
        <w:top w:val="none" w:sz="0" w:space="0" w:color="auto"/>
        <w:left w:val="none" w:sz="0" w:space="0" w:color="auto"/>
        <w:bottom w:val="none" w:sz="0" w:space="0" w:color="auto"/>
        <w:right w:val="none" w:sz="0" w:space="0" w:color="auto"/>
      </w:divBdr>
    </w:div>
    <w:div w:id="2020351465">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 w:id="2114397901">
      <w:bodyDiv w:val="1"/>
      <w:marLeft w:val="0"/>
      <w:marRight w:val="0"/>
      <w:marTop w:val="0"/>
      <w:marBottom w:val="0"/>
      <w:divBdr>
        <w:top w:val="none" w:sz="0" w:space="0" w:color="auto"/>
        <w:left w:val="none" w:sz="0" w:space="0" w:color="auto"/>
        <w:bottom w:val="none" w:sz="0" w:space="0" w:color="auto"/>
        <w:right w:val="none" w:sz="0" w:space="0" w:color="auto"/>
      </w:divBdr>
    </w:div>
    <w:div w:id="212411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emf"/><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5894D958-5F65-4259-9192-2A200E8425D1}">
    <t:Anchor>
      <t:Comment id="683058093"/>
    </t:Anchor>
    <t:History>
      <t:Event id="{EAB622FE-0726-4BC4-8CA1-BB72F3654808}" time="2023-09-21T01:12:45.785Z">
        <t:Attribution userId="S::Rose.Verspaandonk@cgc.gov.au::2f512862-4c3d-49dc-a7dc-7de14ac82dbb" userProvider="AD" userName="Rose Verspaandonk"/>
        <t:Anchor>
          <t:Comment id="683058093"/>
        </t:Anchor>
        <t:Create/>
      </t:Event>
      <t:Event id="{1522C6CB-1499-4684-B34C-70FA464F35C3}" time="2023-09-21T01:12:45.785Z">
        <t:Attribution userId="S::Rose.Verspaandonk@cgc.gov.au::2f512862-4c3d-49dc-a7dc-7de14ac82dbb" userProvider="AD" userName="Rose Verspaandonk"/>
        <t:Anchor>
          <t:Comment id="683058093"/>
        </t:Anchor>
        <t:Assign userId="S::Liam.vanderVyver@cgc.gov.au::5dd03f59-b701-4cba-bd79-7d003f4b8578" userProvider="AD" userName="Liam vanderVyver"/>
      </t:Event>
      <t:Event id="{ACEABB8E-AE26-4509-979A-A8C21E9B8B88}" time="2023-09-21T01:12:45.785Z">
        <t:Attribution userId="S::Rose.Verspaandonk@cgc.gov.au::2f512862-4c3d-49dc-a7dc-7de14ac82dbb" userProvider="AD" userName="Rose Verspaandonk"/>
        <t:Anchor>
          <t:Comment id="683058093"/>
        </t:Anchor>
        <t:SetTitle title="@Liam vanderVyver Liam is this you now, or Tim?"/>
      </t:Event>
      <t:Event id="{6A80D2BC-876E-498F-9D36-CC6323D9FBCC}" time="2023-09-21T05:29:14.64Z">
        <t:Attribution userId="S::Liam.vanderVyver@cgc.gov.au::5dd03f59-b701-4cba-bd79-7d003f4b8578" userProvider="AD" userName="Liam vanderVyve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53DC2A4D60EB4CA5A41662837886DC" ma:contentTypeVersion="11" ma:contentTypeDescription="Create a new document." ma:contentTypeScope="" ma:versionID="e5b7196cda127281a45f0787ea6a2347">
  <xsd:schema xmlns:xsd="http://www.w3.org/2001/XMLSchema" xmlns:xs="http://www.w3.org/2001/XMLSchema" xmlns:p="http://schemas.microsoft.com/office/2006/metadata/properties" xmlns:ns2="847fcf36-1066-4f99-bf38-e70e9f2c4219" xmlns:ns3="df07d85c-f1ef-4a2e-88ac-efaebb01227e" targetNamespace="http://schemas.microsoft.com/office/2006/metadata/properties" ma:root="true" ma:fieldsID="b183c6fc7cd641f28732483474fdc2f2" ns2:_="" ns3:_="">
    <xsd:import namespace="847fcf36-1066-4f99-bf38-e70e9f2c4219"/>
    <xsd:import namespace="df07d85c-f1ef-4a2e-88ac-efaebb0122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fcf36-1066-4f99-bf38-e70e9f2c4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07d85c-f1ef-4a2e-88ac-efaebb0122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Web00</b:Tag>
    <b:SourceType>JournalArticle</b:SourceType>
    <b:Guid>{C3646100-A80F-4A49-B0E9-4A4E0CD55651}</b:Guid>
    <b:Author>
      <b:Author>
        <b:NameList>
          <b:Person>
            <b:Last>Webster</b:Last>
            <b:First>Elizabeth</b:First>
          </b:Person>
          <b:Person>
            <b:Last>Tseng</b:Last>
            <b:First>Yi-Ping</b:First>
          </b:Person>
        </b:NameList>
      </b:Author>
    </b:Author>
    <b:Title>The Determinants of Relative Wage Change in Australia</b:Title>
    <b:JournalName>Melboune Instiutute Working Paper Series</b:JournalName>
    <b:Year>2000</b:Year>
    <b:RefOrder>1</b:RefOrder>
  </b:Source>
  <b:Source>
    <b:Tag>Vya22</b:Tag>
    <b:SourceType>JournalArticle</b:SourceType>
    <b:Guid>{C4F081A4-FB4D-4884-A5CA-274CED10D13E}</b:Guid>
    <b:Title>"New normal" at work in a post-COVID world: work-life balance and labor markets</b:Title>
    <b:Year>2022</b:Year>
    <b:Pages>155-167</b:Pages>
    <b:Author>
      <b:Author>
        <b:NameList>
          <b:Person>
            <b:Last>Vyas</b:Last>
            <b:First>L</b:First>
          </b:Person>
        </b:NameList>
      </b:Author>
    </b:Author>
    <b:JournalName>Politics and Society, Volume 41, Issue 1</b:JournalName>
    <b:RefOrder>2</b:RefOrder>
  </b:Source>
  <b:Source>
    <b:Tag>Per17</b:Tag>
    <b:SourceType>JournalArticle</b:SourceType>
    <b:Guid>{B6115BE6-EF92-49A8-917D-E72C52838A00}</b:Guid>
    <b:Author>
      <b:Author>
        <b:NameList>
          <b:Person>
            <b:Last>Perales</b:Last>
            <b:First>Francisco</b:First>
          </b:Person>
          <b:Person>
            <b:Last>Chesters</b:Last>
            <b:First>Jenny</b:First>
          </b:Person>
        </b:NameList>
      </b:Author>
    </b:Author>
    <b:Title>The returns to mature-age education in Australia</b:Title>
    <b:JournalName>International Journal of Educational Research</b:JournalName>
    <b:Year>2017</b:Year>
    <b:Pages>87-98</b:Pages>
    <b:RefOrder>3</b:RefOrder>
  </b:Source>
  <b:Source>
    <b:Tag>Mur201</b:Tag>
    <b:SourceType>JournalArticle</b:SourceType>
    <b:Guid>{E6047952-19FC-4936-82BE-E96CBDB1E377}</b:Guid>
    <b:Title>Revisiting interregional wage differentials: New evidence from Spain with matched employer-employee data</b:Title>
    <b:JournalName>Journal of Regional Science</b:JournalName>
    <b:Year>2020</b:Year>
    <b:Pages>296-347</b:Pages>
    <b:Author>
      <b:Author>
        <b:NameList>
          <b:Person>
            <b:Last>Murillo Huertas</b:Last>
            <b:Middle>P.</b:Middle>
            <b:First>I.</b:First>
          </b:Person>
          <b:Person>
            <b:Last>Ramos</b:Last>
            <b:First>R.</b:First>
          </b:Person>
          <b:Person>
            <b:Last>Simòn</b:Last>
            <b:First>H.</b:First>
          </b:Person>
        </b:NameList>
      </b:Author>
    </b:Author>
    <b:RefOrder>4</b:RefOrder>
  </b:Source>
  <b:Source>
    <b:Tag>Kir22</b:Tag>
    <b:SourceType>InternetSite</b:SourceType>
    <b:Guid>{ED15F892-24DF-4A0C-987F-42D5382C2807}</b:Guid>
    <b:Title>YouGov</b:Title>
    <b:Year>2022</b:Year>
    <b:Author>
      <b:Author>
        <b:NameList>
          <b:Person>
            <b:Last>Kirk</b:Last>
            <b:First>Isabelle</b:First>
          </b:Person>
        </b:NameList>
      </b:Author>
    </b:Author>
    <b:InternetSiteTitle>YouGov</b:InternetSiteTitle>
    <b:Month>February</b:Month>
    <b:Day>24</b:Day>
    <b:URL>https://yougov.co.uk/topics/international/articles-reports/2022/02/24/how-has-covid-19-pandemic-changed-attitudes-workin</b:URL>
    <b:RefOrder>5</b:RefOrder>
  </b:Source>
  <b:Source>
    <b:Tag>Hec03</b:Tag>
    <b:SourceType>JournalArticle</b:SourceType>
    <b:Guid>{31B61037-781B-4950-8B3F-83C90E5D8C9E}</b:Guid>
    <b:Title>Fifty Years of Mincer Earnings Regressions</b:Title>
    <b:Year>2003</b:Year>
    <b:Pages>9732-</b:Pages>
    <b:Author>
      <b:Author>
        <b:NameList>
          <b:Person>
            <b:Last>Heckman</b:Last>
            <b:First>James</b:First>
            <b:Middle>J.</b:Middle>
          </b:Person>
          <b:Person>
            <b:Last>Lochner</b:Last>
            <b:First>Lance</b:First>
            <b:Middle>J.</b:Middle>
          </b:Person>
          <b:Person>
            <b:Last>Todd</b:Last>
            <b:First>Petra</b:First>
            <b:Middle>E.</b:Middle>
          </b:Person>
        </b:NameList>
      </b:Author>
    </b:Author>
    <b:JournalName>NBER Working Paper Series</b:JournalName>
    <b:RefOrder>6</b:RefOrder>
  </b:Source>
  <b:Source>
    <b:Tag>Gro141</b:Tag>
    <b:SourceType>JournalArticle</b:SourceType>
    <b:Guid>{C39FE512-C52F-4C8E-AD7E-321641437E71}</b:Guid>
    <b:Title>Regional Wage Differences in the Netherlands: Micro Evidence on Agglomeration Externalities</b:Title>
    <b:JournalName>Journal of Regional Science</b:JournalName>
    <b:Year>2014</b:Year>
    <b:Pages>503-523</b:Pages>
    <b:Author>
      <b:Author>
        <b:NameList>
          <b:Person>
            <b:Last>Groot</b:Last>
            <b:First>S.</b:First>
          </b:Person>
          <b:Person>
            <b:Last>de Groot</b:Last>
            <b:First>H.</b:First>
          </b:Person>
          <b:Person>
            <b:Last>Smit</b:Last>
            <b:First>M.</b:First>
          </b:Person>
        </b:NameList>
      </b:Author>
    </b:Author>
    <b:RefOrder>7</b:RefOrder>
  </b:Source>
  <b:Source>
    <b:Tag>Fox92</b:Tag>
    <b:SourceType>JournalArticle</b:SourceType>
    <b:Guid>{D65A6AE0-B784-43D8-9E95-44B69707EB86}</b:Guid>
    <b:Title>Generalized Collinearity Diagnostics</b:Title>
    <b:Year>1992</b:Year>
    <b:Author>
      <b:Author>
        <b:NameList>
          <b:Person>
            <b:Last>Fox</b:Last>
            <b:First>John</b:First>
          </b:Person>
          <b:Person>
            <b:Last>Monette</b:Last>
            <b:First>Georges</b:First>
          </b:Person>
        </b:NameList>
      </b:Author>
    </b:Author>
    <b:JournalName>Journal of the American Statistical Association</b:JournalName>
    <b:Pages>178-183</b:Pages>
    <b:Month>March</b:Month>
    <b:Volume>87</b:Volume>
    <b:DOI>10.2307/2290467</b:DOI>
    <b:Issue>417</b:Issue>
    <b:RefOrder>8</b:RefOrder>
  </b:Source>
  <b:Source>
    <b:Tag>Com151</b:Tag>
    <b:SourceType>BookSection</b:SourceType>
    <b:Guid>{DF1E2425-FFA1-4B24-8687-AD6C5E3D38EF}</b:Guid>
    <b:Title>The Empirics of Agglomeration Economies</b:Title>
    <b:Year>2015</b:Year>
    <b:Publisher>Elsevier</b:Publisher>
    <b:Author>
      <b:Author>
        <b:NameList>
          <b:Person>
            <b:Last>Combes</b:Last>
            <b:First>P-P.</b:First>
          </b:Person>
          <b:Person>
            <b:Last>Gobillon</b:Last>
            <b:First>L.</b:First>
          </b:Person>
        </b:NameList>
      </b:Author>
    </b:Author>
    <b:BookTitle>Handbook of Regional and Urban Economics, Volume 5</b:BookTitle>
    <b:Pages>247-348</b:Pages>
    <b:RefOrder>9</b:RefOrder>
  </b:Source>
  <b:Source>
    <b:Tag>Com081</b:Tag>
    <b:SourceType>JournalArticle</b:SourceType>
    <b:Guid>{708EDDB8-B6F5-4967-8714-D1AD2D42C943}</b:Guid>
    <b:Title>Spatial Wage Disparities: Sorting Matters</b:Title>
    <b:Year>2008</b:Year>
    <b:Author>
      <b:Author>
        <b:NameList>
          <b:Person>
            <b:Last>Combes</b:Last>
            <b:First>P-P.</b:First>
          </b:Person>
          <b:Person>
            <b:Last>Duranton</b:Last>
            <b:First>G.</b:First>
          </b:Person>
          <b:Person>
            <b:Last>Gobillon</b:Last>
            <b:First>L.</b:First>
          </b:Person>
        </b:NameList>
      </b:Author>
    </b:Author>
    <b:JournalName>Journal of Urban Economics</b:JournalName>
    <b:Pages>723-742</b:Pages>
    <b:RefOrder>10</b:RefOrder>
  </b:Source>
  <b:Source>
    <b:Tag>Car99</b:Tag>
    <b:SourceType>BookSection</b:SourceType>
    <b:Guid>{878F5735-57AE-4DDA-9AA4-C0BA65A77C5E}</b:Guid>
    <b:Title>The Causal Effect of Education on Earnings</b:Title>
    <b:Year>1999</b:Year>
    <b:Pages>1801-1863</b:Pages>
    <b:Author>
      <b:Author>
        <b:NameList>
          <b:Person>
            <b:Last>Card</b:Last>
            <b:First>David</b:First>
          </b:Person>
        </b:NameList>
      </b:Author>
      <b:BookAuthor>
        <b:NameList>
          <b:Person>
            <b:Last>Ashenfelter</b:Last>
            <b:First>Orley</b:First>
            <b:Middle>C.</b:Middle>
          </b:Person>
          <b:Person>
            <b:Last>Card</b:Last>
            <b:First>David</b:First>
          </b:Person>
        </b:NameList>
      </b:BookAuthor>
    </b:Author>
    <b:BookTitle>Handbook of Labor Economics</b:BookTitle>
    <b:Publisher>Elsevier Science B.V.</b:Publisher>
    <b:Volume>3A</b:Volume>
    <b:ChapterNumber>30</b:ChapterNumber>
    <b:RefOrder>11</b:RefOrder>
  </b:Source>
  <b:Source>
    <b:Tag>Bhu17</b:Tag>
    <b:SourceType>JournalArticle</b:SourceType>
    <b:Guid>{822977DC-8CC7-4511-9AB1-FDD3E7840885}</b:Guid>
    <b:Author>
      <b:Author>
        <b:NameList>
          <b:Person>
            <b:Last>Bhuller</b:Last>
            <b:First>Manudeep</b:First>
          </b:Person>
          <b:Person>
            <b:Last>Mogstad</b:Last>
            <b:First>Magne</b:First>
          </b:Person>
          <b:Person>
            <b:Last>Salvanes</b:Last>
            <b:First>Kjell</b:First>
            <b:Middle>G.</b:Middle>
          </b:Person>
        </b:NameList>
      </b:Author>
    </b:Author>
    <b:Title>Life-Cycle Earnings, Education Premiums, and Internal Rates of Return</b:Title>
    <b:JournalName>Journal of Labor Economics</b:JournalName>
    <b:Year>2017</b:Year>
    <b:Pages>993-1030</b:Pages>
    <b:RefOrder>12</b:RefOrder>
  </b:Source>
  <b:Source>
    <b:Tag>ABS21</b:Tag>
    <b:SourceType>ElectronicSource</b:SourceType>
    <b:Guid>{7148247D-0AD2-4E9E-8C6C-4FAF417F5320}</b:Guid>
    <b:Author>
      <b:Author>
        <b:Corporate>ABS</b:Corporate>
      </b:Author>
    </b:Author>
    <b:Title>Working arrangements</b:Title>
    <b:InternetSiteTitle>abs.gov.au</b:InternetSiteTitle>
    <b:Year>2021</b:Year>
    <b:Month>December</b:Month>
    <b:City>Canberra</b:City>
    <b:RefOrder>13</b:RefOrder>
  </b:Source>
  <b:Source>
    <b:Tag>Aus23</b:Tag>
    <b:SourceType>Report</b:SourceType>
    <b:Guid>{74DBBDE5-8FF9-4AFA-8E7B-5848B45BEF51}</b:Guid>
    <b:Author>
      <b:Author>
        <b:Corporate>ABS</b:Corporate>
      </b:Author>
    </b:Author>
    <b:Title>Wage price index, Australia</b:Title>
    <b:Year>2023</b:Year>
    <b:City>Canberra</b:City>
    <b:Publisher>Australian Bureau of Statistics</b:Publisher>
    <b:RefOrder>14</b:RefOrder>
  </b:Source>
  <b:Source>
    <b:Tag>Nat221</b:Tag>
    <b:SourceType>Report</b:SourceType>
    <b:Guid>{D94D9C1C-C66B-41DD-9F2C-B3C41632D7D6}</b:Guid>
    <b:Title>2022 Skills Priority List</b:Title>
    <b:Year>2022</b:Year>
    <b:Author>
      <b:Author>
        <b:Corporate>National Skills Commission</b:Corporate>
      </b:Author>
    </b:Author>
    <b:Publisher>National Skills Commission</b:Publisher>
    <b:City>Canberra</b:City>
    <b:RefOrder>15</b:RefOrder>
  </b:Source>
  <b:Source>
    <b:Tag>Nat21</b:Tag>
    <b:SourceType>Report</b:SourceType>
    <b:Guid>{7FA0B255-29AF-46B1-AAD2-7E8A44E6BB92}</b:Guid>
    <b:Title>The Transformation of Australia's Labour Market</b:Title>
    <b:Year>2021</b:Year>
    <b:Author>
      <b:Author>
        <b:Corporate>National Skills Commission</b:Corporate>
      </b:Author>
    </b:Author>
    <b:Publisher>National Skills Commission</b:Publisher>
    <b:City>Canberra</b:City>
    <b:RefOrder>16</b:RefOrder>
  </b:Source>
  <b:Source>
    <b:Tag>Nat22</b:Tag>
    <b:SourceType>DocumentFromInternetSite</b:SourceType>
    <b:Guid>{1FF2E6A1-3695-4477-982F-401E50D65461}</b:Guid>
    <b:Author>
      <b:Author>
        <b:Corporate>National Skills Commission</b:Corporate>
      </b:Author>
    </b:Author>
    <b:Title>Projecting employment to 2026</b:Title>
    <b:InternetSiteTitle>National Skills Commission</b:InternetSiteTitle>
    <b:Year>2022</b:Year>
    <b:Month>March</b:Month>
    <b:Day>29</b:Day>
    <b:URL>https://www.nationalskillscommission.gov.au/insights/projecting-employment-2026</b:URL>
    <b:RefOrder>17</b:RefOrder>
  </b:Source>
  <b:Source>
    <b:Tag>ABS22</b:Tag>
    <b:SourceType>ElectronicSource</b:SourceType>
    <b:Guid>{376C2E7C-6132-49BC-ABDC-7DCFA807A39C}</b:Guid>
    <b:Title>Industrial Disputes, Australia</b:Title>
    <b:Year>2022</b:Year>
    <b:Author>
      <b:Author>
        <b:Corporate>ABS</b:Corporate>
      </b:Author>
    </b:Author>
    <b:City>Canberra</b:City>
    <b:Month>December</b:Month>
    <b:RefOrder>18</b:RefOrder>
  </b:Source>
  <b:Source>
    <b:Tag>ABS23</b:Tag>
    <b:SourceType>Report</b:SourceType>
    <b:Guid>{873E8E1C-1BA9-40B4-AC52-5DCD94D37A4B}</b:Guid>
    <b:Author>
      <b:Author>
        <b:Corporate>ABS</b:Corporate>
      </b:Author>
    </b:Author>
    <b:Title>Consumer Price Index, Austalia</b:Title>
    <b:Year>2023</b:Year>
    <b:Publisher>Australian Bureau of Statistics</b:Publisher>
    <b:City>Canberra</b:City>
    <b:RefOrder>19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df07d85c-f1ef-4a2e-88ac-efaebb01227e">
      <UserInfo>
        <DisplayName>Yuhua Shi</DisplayName>
        <AccountId>20</AccountId>
        <AccountType/>
      </UserInfo>
      <UserInfo>
        <DisplayName>Carrie Dreese</DisplayName>
        <AccountId>26</AccountId>
        <AccountType/>
      </UserInfo>
      <UserInfo>
        <DisplayName>SharingLinks.94fc9046-03a2-4640-9004-53198925f65b.OrganizationView.1acbe908-f870-4be7-af4a-ef68186e4e64</DisplayName>
        <AccountId>80</AccountId>
        <AccountType/>
      </UserInfo>
      <UserInfo>
        <DisplayName>Limited Access System Group For Web cde6150a-2887-4330-9d33-41179dba62e9</DisplayName>
        <AccountId>85</AccountId>
        <AccountType/>
      </UserInfo>
      <UserInfo>
        <DisplayName>SharingLinks.54f9dcb5-cfe0-41f3-8802-32f50788cbab.OrganizationView.2a105798-f730-4c54-9135-687ef2fca5d6</DisplayName>
        <AccountId>86</AccountId>
        <AccountType/>
      </UserInfo>
      <UserInfo>
        <DisplayName>Nina Savolainen</DisplayName>
        <AccountId>91</AccountId>
        <AccountType/>
      </UserInfo>
      <UserInfo>
        <DisplayName>SharingLinks.63c40518-0e12-478d-9299-5c14489a97ca.OrganizationView.107562d9-4bac-4e54-8c54-8e2c5e5759a5</DisplayName>
        <AccountId>115</AccountId>
        <AccountType/>
      </UserInfo>
      <UserInfo>
        <DisplayName>SharingLinks.351b0c12-ad6f-4468-b28d-c2c2c385cae6.OrganizationEdit.12d6d088-82ca-4edb-b091-ab1488e0f987</DisplayName>
        <AccountId>146</AccountId>
        <AccountType/>
      </UserInfo>
      <UserInfo>
        <DisplayName>SharingLinks.3ff044ff-227c-4727-a149-9756c89ce108.Flexible.d4892b66-061b-44e2-a304-d502353dff03</DisplayName>
        <AccountId>171</AccountId>
        <AccountType/>
      </UserInfo>
      <UserInfo>
        <DisplayName>Rose Verspaandonk</DisplayName>
        <AccountId>62</AccountId>
        <AccountType/>
      </UserInfo>
    </SharedWithUsers>
  </documentManagement>
</p:properties>
</file>

<file path=customXml/itemProps1.xml><?xml version="1.0" encoding="utf-8"?>
<ds:datastoreItem xmlns:ds="http://schemas.openxmlformats.org/officeDocument/2006/customXml" ds:itemID="{32256F2D-6DC5-4876-93B3-8DFB70295953}"/>
</file>

<file path=customXml/itemProps2.xml><?xml version="1.0" encoding="utf-8"?>
<ds:datastoreItem xmlns:ds="http://schemas.openxmlformats.org/officeDocument/2006/customXml" ds:itemID="{0DF9C94A-53B2-4B40-BB19-46D4024B11F1}">
  <ds:schemaRefs>
    <ds:schemaRef ds:uri="http://schemas.microsoft.com/sharepoint/v3/contenttype/forms"/>
  </ds:schemaRefs>
</ds:datastoreItem>
</file>

<file path=customXml/itemProps3.xml><?xml version="1.0" encoding="utf-8"?>
<ds:datastoreItem xmlns:ds="http://schemas.openxmlformats.org/officeDocument/2006/customXml" ds:itemID="{FA855BE0-9ED2-49D1-A141-F2A49D3D8473}">
  <ds:schemaRefs>
    <ds:schemaRef ds:uri="http://schemas.openxmlformats.org/officeDocument/2006/bibliography"/>
  </ds:schemaRefs>
</ds:datastoreItem>
</file>

<file path=customXml/itemProps4.xml><?xml version="1.0" encoding="utf-8"?>
<ds:datastoreItem xmlns:ds="http://schemas.openxmlformats.org/officeDocument/2006/customXml" ds:itemID="{ED2A4F8F-140F-4856-8B9E-31DCD427886D}">
  <ds:schemaRefs>
    <ds:schemaRef ds:uri="http://schemas.microsoft.com/office/2006/metadata/properties"/>
    <ds:schemaRef ds:uri="http://schemas.microsoft.com/office/infopath/2007/PartnerControls"/>
    <ds:schemaRef ds:uri="cde6150a-2887-4330-9d33-41179dba62e9"/>
    <ds:schemaRef ds:uri="b947e97b-0e0d-4a37-b7a7-c36958e104ca"/>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19</Pages>
  <Words>4241</Words>
  <Characters>24177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vt:lpstr>
    </vt:vector>
  </TitlesOfParts>
  <Company>Hewlett-Packard Company</Company>
  <LinksUpToDate>false</LinksUpToDate>
  <CharactersWithSpaces>28362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Jeffrey Evans</dc:creator>
  <cp:keywords/>
  <cp:lastModifiedBy>Katrina Baldock</cp:lastModifiedBy>
  <cp:revision>174</cp:revision>
  <cp:lastPrinted>2023-06-20T05:26:00Z</cp:lastPrinted>
  <dcterms:created xsi:type="dcterms:W3CDTF">2023-09-15T13:35:00Z</dcterms:created>
  <dcterms:modified xsi:type="dcterms:W3CDTF">2023-09-27T00:38:00Z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0x0101003253DC2A4D60EB4CA5A41662837886DC</vt:lpwstr>
  </property>
  <property fmtid="{D5CDD505-2E9C-101B-9397-08002B2CF9AE}" pid="3" name="MediaServiceImageTags">
    <vt:lpwstr/>
  </property>
  <property fmtid="{D5CDD505-2E9C-101B-9397-08002B2CF9AE}" pid="4" name="Order">
    <vt:r8>86000600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ColorTag">
    <vt:lpwstr/>
  </property>
  <property fmtid="{D5CDD505-2E9C-101B-9397-08002B2CF9AE}" pid="12" name="_ColorHex">
    <vt:lpwstr/>
  </property>
  <property fmtid="{D5CDD505-2E9C-101B-9397-08002B2CF9AE}" pid="13" name="_Emoji">
    <vt:lpwstr/>
  </property>
</Properties>
</file>